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52"/>
          <w:szCs w:val="52"/>
          <w:highlight w:val="none"/>
          <w:lang w:val="en-US"/>
        </w:rPr>
      </w:pPr>
      <w:bookmarkStart w:id="0" w:name="OLE_LINK1"/>
      <w:r>
        <w:rPr>
          <w:rFonts w:hint="eastAsia" w:ascii="宋体"/>
          <w:b/>
          <w:bCs w:val="0"/>
          <w:color w:val="auto"/>
          <w:sz w:val="52"/>
          <w:szCs w:val="52"/>
          <w:highlight w:val="none"/>
          <w:lang w:val="en-US" w:eastAsia="zh-CN"/>
        </w:rPr>
        <w:t>中新苏滁纳百川及宏禧科技10KV电源接入工程监理服务项目</w:t>
      </w:r>
    </w:p>
    <w:p w14:paraId="00E95DF9">
      <w:pPr>
        <w:spacing w:line="360" w:lineRule="auto"/>
        <w:jc w:val="both"/>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73B10C08">
      <w:pPr>
        <w:rPr>
          <w:rFonts w:hint="eastAsia" w:ascii="宋体" w:hAnsi="宋体"/>
          <w:b/>
          <w:color w:val="auto"/>
          <w:sz w:val="84"/>
          <w:szCs w:val="84"/>
          <w:highlight w:val="none"/>
        </w:rPr>
      </w:pPr>
    </w:p>
    <w:p w14:paraId="4A7FD18D">
      <w:pPr>
        <w:pStyle w:val="36"/>
        <w:rPr>
          <w:rFonts w:hint="eastAsia"/>
          <w:color w:val="auto"/>
          <w:highlight w:val="none"/>
        </w:rPr>
      </w:pPr>
    </w:p>
    <w:p w14:paraId="4C460C2D">
      <w:pPr>
        <w:rPr>
          <w:rFonts w:hint="eastAsia"/>
          <w:color w:val="auto"/>
          <w:highlight w:val="none"/>
        </w:rPr>
      </w:pPr>
    </w:p>
    <w:p w14:paraId="5F3801AE">
      <w:pPr>
        <w:pStyle w:val="36"/>
        <w:ind w:left="0" w:leftChars="0" w:firstLine="0" w:firstLineChars="0"/>
        <w:rPr>
          <w:rFonts w:hint="eastAsia"/>
          <w:color w:val="auto"/>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11D8DEB2">
      <w:pPr>
        <w:spacing w:line="360" w:lineRule="exact"/>
        <w:jc w:val="both"/>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8"/>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8"/>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8"/>
          <w:rFonts w:hint="eastAsia" w:ascii="宋体" w:hAnsi="宋体"/>
          <w:b/>
          <w:color w:val="auto"/>
          <w:sz w:val="28"/>
          <w:szCs w:val="28"/>
          <w:highlight w:val="none"/>
        </w:rPr>
        <w:t>第一章</w:t>
      </w:r>
      <w:r>
        <w:rPr>
          <w:rStyle w:val="48"/>
          <w:rFonts w:ascii="宋体" w:hAnsi="宋体"/>
          <w:b/>
          <w:color w:val="auto"/>
          <w:sz w:val="28"/>
          <w:szCs w:val="28"/>
          <w:highlight w:val="none"/>
        </w:rPr>
        <w:t xml:space="preserve"> </w:t>
      </w:r>
      <w:r>
        <w:rPr>
          <w:rStyle w:val="48"/>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8"/>
          <w:rFonts w:hint="eastAsia" w:ascii="宋体" w:hAnsi="宋体"/>
          <w:b/>
          <w:color w:val="auto"/>
          <w:sz w:val="28"/>
          <w:szCs w:val="28"/>
          <w:highlight w:val="none"/>
        </w:rPr>
        <w:t>第二章</w:t>
      </w:r>
      <w:r>
        <w:rPr>
          <w:rStyle w:val="48"/>
          <w:rFonts w:ascii="宋体" w:hAnsi="宋体"/>
          <w:b/>
          <w:color w:val="auto"/>
          <w:sz w:val="28"/>
          <w:szCs w:val="28"/>
          <w:highlight w:val="none"/>
        </w:rPr>
        <w:t xml:space="preserve"> </w:t>
      </w:r>
      <w:r>
        <w:rPr>
          <w:rStyle w:val="48"/>
          <w:rFonts w:hint="eastAsia" w:ascii="宋体" w:hAnsi="宋体"/>
          <w:b/>
          <w:color w:val="auto"/>
          <w:sz w:val="28"/>
          <w:szCs w:val="28"/>
          <w:highlight w:val="none"/>
          <w:lang w:val="en-US" w:eastAsia="zh-CN"/>
        </w:rPr>
        <w:t>投标人</w:t>
      </w:r>
      <w:r>
        <w:rPr>
          <w:rStyle w:val="48"/>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8"/>
          <w:rFonts w:hint="eastAsia" w:ascii="宋体" w:hAnsi="宋体"/>
          <w:b/>
          <w:color w:val="auto"/>
          <w:sz w:val="28"/>
          <w:szCs w:val="28"/>
          <w:highlight w:val="none"/>
        </w:rPr>
        <w:t>第三章</w:t>
      </w:r>
      <w:r>
        <w:rPr>
          <w:rStyle w:val="48"/>
          <w:rFonts w:ascii="宋体" w:hAnsi="宋体"/>
          <w:b/>
          <w:color w:val="auto"/>
          <w:sz w:val="28"/>
          <w:szCs w:val="28"/>
          <w:highlight w:val="none"/>
        </w:rPr>
        <w:t xml:space="preserve"> </w:t>
      </w:r>
      <w:r>
        <w:rPr>
          <w:rStyle w:val="48"/>
          <w:rFonts w:hint="eastAsia" w:ascii="宋体" w:hAnsi="宋体"/>
          <w:b/>
          <w:color w:val="auto"/>
          <w:sz w:val="28"/>
          <w:szCs w:val="28"/>
          <w:highlight w:val="none"/>
        </w:rPr>
        <w:t>评标办法（</w:t>
      </w:r>
      <w:r>
        <w:rPr>
          <w:rStyle w:val="48"/>
          <w:rFonts w:hint="eastAsia" w:ascii="宋体" w:hAnsi="宋体"/>
          <w:b/>
          <w:color w:val="auto"/>
          <w:sz w:val="28"/>
          <w:szCs w:val="28"/>
          <w:highlight w:val="none"/>
          <w:lang w:val="en-US" w:eastAsia="zh-CN"/>
        </w:rPr>
        <w:t>合理低价法</w:t>
      </w:r>
      <w:r>
        <w:rPr>
          <w:rStyle w:val="48"/>
          <w:rFonts w:hint="eastAsia" w:ascii="宋体" w:hAnsi="宋体"/>
          <w:b/>
          <w:color w:val="auto"/>
          <w:sz w:val="28"/>
          <w:szCs w:val="28"/>
          <w:highlight w:val="none"/>
        </w:rPr>
        <w:t>）</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第四章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24</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8"/>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8"/>
          <w:rFonts w:hint="eastAsia" w:ascii="宋体" w:hAnsi="宋体"/>
          <w:b/>
          <w:color w:val="auto"/>
          <w:sz w:val="28"/>
          <w:szCs w:val="28"/>
          <w:highlight w:val="none"/>
        </w:rPr>
        <w:t>第</w:t>
      </w:r>
      <w:r>
        <w:rPr>
          <w:rStyle w:val="48"/>
          <w:rFonts w:hint="eastAsia" w:ascii="宋体" w:hAnsi="宋体"/>
          <w:b/>
          <w:color w:val="auto"/>
          <w:sz w:val="28"/>
          <w:szCs w:val="28"/>
          <w:highlight w:val="none"/>
          <w:lang w:val="en-US" w:eastAsia="zh-CN"/>
        </w:rPr>
        <w:t>五</w:t>
      </w:r>
      <w:r>
        <w:rPr>
          <w:rStyle w:val="48"/>
          <w:rFonts w:hint="eastAsia" w:ascii="宋体" w:hAnsi="宋体"/>
          <w:b/>
          <w:color w:val="auto"/>
          <w:sz w:val="28"/>
          <w:szCs w:val="28"/>
          <w:highlight w:val="none"/>
        </w:rPr>
        <w:t>章</w:t>
      </w:r>
      <w:r>
        <w:rPr>
          <w:rStyle w:val="48"/>
          <w:rFonts w:ascii="宋体" w:hAnsi="宋体"/>
          <w:b/>
          <w:color w:val="auto"/>
          <w:sz w:val="28"/>
          <w:szCs w:val="28"/>
          <w:highlight w:val="none"/>
        </w:rPr>
        <w:t xml:space="preserve"> </w:t>
      </w:r>
      <w:r>
        <w:rPr>
          <w:rStyle w:val="48"/>
          <w:rFonts w:hint="eastAsia" w:ascii="宋体" w:hAnsi="宋体"/>
          <w:b/>
          <w:color w:val="auto"/>
          <w:sz w:val="28"/>
          <w:szCs w:val="28"/>
          <w:highlight w:val="none"/>
          <w:lang w:val="en-US" w:eastAsia="zh-CN"/>
        </w:rPr>
        <w:t>投标</w:t>
      </w:r>
      <w:r>
        <w:rPr>
          <w:rStyle w:val="48"/>
          <w:rFonts w:hint="eastAsia" w:ascii="宋体" w:hAnsi="宋体"/>
          <w:b/>
          <w:color w:val="auto"/>
          <w:sz w:val="28"/>
          <w:szCs w:val="28"/>
          <w:highlight w:val="none"/>
          <w:lang w:eastAsia="zh-CN"/>
        </w:rPr>
        <w:t>文件</w:t>
      </w:r>
      <w:r>
        <w:rPr>
          <w:rStyle w:val="48"/>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35</w:t>
      </w:r>
    </w:p>
    <w:p w14:paraId="7D048BB8">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bookmarkStart w:id="1" w:name="_Toc58430304"/>
    </w:p>
    <w:p w14:paraId="26C6180F">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61" w:hangingChars="50"/>
        <w:jc w:val="center"/>
        <w:textAlignment w:val="auto"/>
        <w:rPr>
          <w:rFonts w:hint="default" w:ascii="宋体" w:eastAsia="宋体"/>
          <w:b/>
          <w:color w:val="auto"/>
          <w:sz w:val="32"/>
          <w:szCs w:val="32"/>
          <w:highlight w:val="none"/>
          <w:lang w:val="en-US" w:eastAsia="zh-CN"/>
        </w:rPr>
      </w:pPr>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中新苏滁纳百川及宏禧科技10KV电源接入工程监理服务项目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项目编号：HXJY1110001056865001 </w:t>
      </w:r>
    </w:p>
    <w:p w14:paraId="6204958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none"/>
        </w:rPr>
        <w:t>中新苏滁纳百川及宏禧科技10KV电源接入工程监理服务项目</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预算金额：项目总投资额</w:t>
      </w:r>
      <w:r>
        <w:rPr>
          <w:rFonts w:hint="eastAsia" w:ascii="仿宋" w:hAnsi="仿宋" w:eastAsia="仿宋" w:cs="仿宋"/>
          <w:color w:val="auto"/>
          <w:sz w:val="28"/>
          <w:szCs w:val="28"/>
          <w:highlight w:val="none"/>
          <w:lang w:val="en-US" w:eastAsia="zh-CN"/>
        </w:rPr>
        <w:t>1200</w:t>
      </w:r>
      <w:r>
        <w:rPr>
          <w:rFonts w:hint="eastAsia" w:ascii="仿宋" w:hAnsi="仿宋" w:eastAsia="仿宋" w:cs="仿宋"/>
          <w:color w:val="auto"/>
          <w:sz w:val="28"/>
          <w:szCs w:val="28"/>
          <w:highlight w:val="none"/>
        </w:rPr>
        <w:t>万元，监理费用约</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万元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监理费率最高限价为1.0%</w:t>
      </w:r>
    </w:p>
    <w:p w14:paraId="78FD9B8A">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采购需求：纳百川（滁州）新能源科技有限公司增容10KV电源接入工程及安徽宏禧微显科技有限公司10KV电源接入工程监理服务</w:t>
      </w:r>
    </w:p>
    <w:p w14:paraId="786BCCE2">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合同履行期限：自本合同签订之日起至项目竣工结算及保修阶段（缺陷责任期）期满止</w:t>
      </w:r>
    </w:p>
    <w:p w14:paraId="4C4C68F8">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03"/>
      <w:bookmarkStart w:id="4" w:name="_Toc35393791"/>
      <w:bookmarkStart w:id="5" w:name="_Toc35393622"/>
      <w:bookmarkStart w:id="6" w:name="_Toc28359080"/>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28359081"/>
      <w:bookmarkStart w:id="8" w:name="_Toc35393792"/>
      <w:bookmarkStart w:id="9" w:name="_Toc28359004"/>
      <w:bookmarkStart w:id="10" w:name="_Toc35393623"/>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投标人须具备建设行政主管部门颁发的监理综合资质或建设行政主管部门颁发的电力工程监理乙级（或以上）资质</w:t>
      </w:r>
      <w:r>
        <w:rPr>
          <w:rFonts w:hint="eastAsia" w:ascii="仿宋" w:hAnsi="仿宋" w:eastAsia="仿宋" w:cs="Times New Roman"/>
          <w:color w:val="auto"/>
          <w:sz w:val="28"/>
          <w:szCs w:val="28"/>
          <w:highlight w:val="none"/>
        </w:rPr>
        <w:t>；</w:t>
      </w:r>
    </w:p>
    <w:p w14:paraId="2E4DE5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.投标人拟派项目负责人（总监理工程师）须具备电力工程专业国家注册监理工程师注册执业资格。</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29</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3</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3</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10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30"/>
        <w:rPr>
          <w:color w:val="auto"/>
          <w:highlight w:val="none"/>
        </w:rPr>
      </w:pPr>
      <w:bookmarkStart w:id="15" w:name="_Toc35393626"/>
      <w:bookmarkStart w:id="16" w:name="_Toc35393795"/>
      <w:r>
        <w:rPr>
          <w:color w:val="auto"/>
          <w:highlight w:val="none"/>
        </w:rPr>
        <w:t>窗体顶端</w:t>
      </w:r>
    </w:p>
    <w:p w14:paraId="50506EB0">
      <w:pPr>
        <w:pStyle w:val="36"/>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449028865"/>
      <w:bookmarkStart w:id="18" w:name="_Toc58430314"/>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7"/>
        <w:tblW w:w="994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7161"/>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161" w:type="dxa"/>
            <w:noWrap w:val="0"/>
            <w:vAlign w:val="center"/>
          </w:tcPr>
          <w:p w14:paraId="4BB3F0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61" w:type="dxa"/>
            <w:noWrap w:val="0"/>
            <w:vAlign w:val="center"/>
          </w:tcPr>
          <w:p w14:paraId="46D56C39">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中新苏滁纳百川及宏禧科技10KV电源接入工程监理服务项目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161" w:type="dxa"/>
            <w:noWrap w:val="0"/>
            <w:vAlign w:val="center"/>
          </w:tcPr>
          <w:p w14:paraId="50E62BF8">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自本合同签订之日起至项目竣工结算及保修阶段（缺陷责任期）期满止</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161" w:type="dxa"/>
            <w:noWrap w:val="0"/>
            <w:vAlign w:val="center"/>
          </w:tcPr>
          <w:p w14:paraId="5812B676">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中新苏滁高新区内</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161" w:type="dxa"/>
            <w:noWrap w:val="0"/>
            <w:vAlign w:val="center"/>
          </w:tcPr>
          <w:p w14:paraId="0511E43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161" w:type="dxa"/>
            <w:noWrap w:val="0"/>
            <w:vAlign w:val="center"/>
          </w:tcPr>
          <w:p w14:paraId="3A15780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161" w:type="dxa"/>
            <w:noWrap w:val="0"/>
            <w:vAlign w:val="center"/>
          </w:tcPr>
          <w:p w14:paraId="2D12EDE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财政</w:t>
            </w:r>
            <w:r>
              <w:rPr>
                <w:rFonts w:hint="eastAsia" w:ascii="宋体" w:hAnsi="宋体" w:eastAsia="宋体" w:cs="宋体"/>
                <w:color w:val="auto"/>
                <w:sz w:val="21"/>
                <w:szCs w:val="21"/>
                <w:highlight w:val="none"/>
                <w:lang w:val="en-US" w:eastAsia="zh-CN"/>
              </w:rPr>
              <w:t>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161" w:type="dxa"/>
            <w:noWrap w:val="0"/>
            <w:vAlign w:val="center"/>
          </w:tcPr>
          <w:p w14:paraId="4B6C812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项目总投资额1200万元，监理费用约12万元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61" w:type="dxa"/>
            <w:noWrap w:val="0"/>
            <w:vAlign w:val="center"/>
          </w:tcPr>
          <w:p w14:paraId="67AC57F8">
            <w:pPr>
              <w:pStyle w:val="18"/>
              <w:keepNext w:val="0"/>
              <w:keepLines w:val="0"/>
              <w:pageBreakBefore w:val="0"/>
              <w:kinsoku/>
              <w:overflowPunct/>
              <w:topLinePunct w:val="0"/>
              <w:autoSpaceDE/>
              <w:autoSpaceDN/>
              <w:bidi w:val="0"/>
              <w:adjustRightInd/>
              <w:spacing w:line="500" w:lineRule="exact"/>
              <w:textAlignment w:val="auto"/>
              <w:rPr>
                <w:rFonts w:hint="default"/>
                <w:b/>
                <w:bCs/>
                <w:color w:val="auto"/>
                <w:highlight w:val="none"/>
                <w:lang w:val="en-US"/>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监理费率最高限价为1.0%，</w:t>
            </w:r>
            <w:r>
              <w:rPr>
                <w:rFonts w:hint="default"/>
                <w:b/>
                <w:bCs/>
                <w:color w:val="auto"/>
                <w:highlight w:val="none"/>
                <w:lang w:val="en-US"/>
              </w:rPr>
              <w:t>注：投标报价费率要求精确到小数点后第二位，如填报多位小数的，按小数点后第三位四舍五入修正投标报价费率。投标单位所报费率不得高于招标人发布的最高限价（费率），否则按无效标处理。</w:t>
            </w:r>
          </w:p>
          <w:p w14:paraId="646241EE">
            <w:pPr>
              <w:pStyle w:val="18"/>
              <w:keepNext w:val="0"/>
              <w:keepLines w:val="0"/>
              <w:pageBreakBefore w:val="0"/>
              <w:numPr>
                <w:ilvl w:val="0"/>
                <w:numId w:val="0"/>
              </w:numPr>
              <w:kinsoku/>
              <w:overflowPunct/>
              <w:topLinePunct w:val="0"/>
              <w:autoSpaceDE/>
              <w:autoSpaceDN/>
              <w:bidi w:val="0"/>
              <w:adjustRightInd/>
              <w:spacing w:line="500" w:lineRule="exact"/>
              <w:textAlignment w:val="auto"/>
              <w:rPr>
                <w:rFonts w:hint="default"/>
                <w:color w:val="auto"/>
                <w:highlight w:val="none"/>
                <w:lang w:val="en-US"/>
              </w:rPr>
            </w:pPr>
            <w:r>
              <w:rPr>
                <w:rFonts w:hint="eastAsia"/>
                <w:color w:val="auto"/>
                <w:highlight w:val="none"/>
                <w:lang w:val="en-US" w:eastAsia="zh-CN"/>
              </w:rPr>
              <w:t>2.</w:t>
            </w:r>
            <w:r>
              <w:rPr>
                <w:rFonts w:hint="default"/>
                <w:color w:val="auto"/>
                <w:highlight w:val="none"/>
                <w:lang w:val="en-US"/>
              </w:rPr>
              <w:t>本项目监理费用最终支付</w:t>
            </w:r>
            <w:bookmarkStart w:id="122" w:name="_GoBack"/>
            <w:bookmarkEnd w:id="122"/>
            <w:r>
              <w:rPr>
                <w:rFonts w:hint="default"/>
                <w:color w:val="auto"/>
                <w:highlight w:val="none"/>
                <w:lang w:val="en-US"/>
              </w:rPr>
              <w:t>以工程结算价为计费基数，监理费用=工程结算价*中标费率。中标后中标费率不予调整。无论任何原因导致的施工工期延长，委托人均不再增加监理费用。无论任何原因导致的工程造价增加或减少，委托人必须按招标文件要求完成所有监理服务内容。</w:t>
            </w:r>
          </w:p>
          <w:p w14:paraId="5CD0DF84">
            <w:pPr>
              <w:pStyle w:val="18"/>
              <w:keepNext w:val="0"/>
              <w:keepLines w:val="0"/>
              <w:pageBreakBefore w:val="0"/>
              <w:kinsoku/>
              <w:overflowPunct/>
              <w:topLinePunct w:val="0"/>
              <w:autoSpaceDE/>
              <w:autoSpaceDN/>
              <w:bidi w:val="0"/>
              <w:adjustRightInd/>
              <w:spacing w:line="500" w:lineRule="exact"/>
              <w:textAlignment w:val="auto"/>
              <w:rPr>
                <w:rFonts w:hint="eastAsia"/>
                <w:color w:val="auto"/>
                <w:highlight w:val="none"/>
              </w:rPr>
            </w:pPr>
            <w:r>
              <w:rPr>
                <w:rFonts w:hint="default"/>
                <w:b/>
                <w:bCs/>
                <w:color w:val="auto"/>
                <w:highlight w:val="none"/>
                <w:lang w:val="en-US"/>
              </w:rPr>
              <w:t>注：暂以</w:t>
            </w:r>
            <w:r>
              <w:rPr>
                <w:rFonts w:hint="eastAsia"/>
                <w:b/>
                <w:bCs/>
                <w:color w:val="auto"/>
                <w:highlight w:val="none"/>
                <w:lang w:val="en-US" w:eastAsia="zh-CN"/>
              </w:rPr>
              <w:t>1200万元</w:t>
            </w:r>
            <w:r>
              <w:rPr>
                <w:rFonts w:hint="default"/>
                <w:b/>
                <w:bCs/>
                <w:color w:val="auto"/>
                <w:highlight w:val="none"/>
                <w:lang w:val="en-US"/>
              </w:rPr>
              <w:t>为计费基数计算监理费，最终支付以工程结算价为计费基数计算监理费。</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161" w:type="dxa"/>
            <w:noWrap w:val="0"/>
            <w:vAlign w:val="center"/>
          </w:tcPr>
          <w:p w14:paraId="07CFCA20">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包括但不限于施工准备阶段、施工阶段、工程收尾阶段（包括但不限于竣工验收、整改、工程移交、工程结算等）及工程质量保修阶段的质量控制、进度控制、投资控制、职业健康安全及环境监督管理、合同管理、信息管理、组织协调等所有方面进行全面控制和管理的工程建设期内的所有监理服务。 </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161" w:type="dxa"/>
            <w:noWrap w:val="0"/>
            <w:vAlign w:val="center"/>
          </w:tcPr>
          <w:p w14:paraId="71A24F0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161" w:type="dxa"/>
            <w:noWrap w:val="0"/>
            <w:vAlign w:val="center"/>
          </w:tcPr>
          <w:p w14:paraId="217B87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7161"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61" w:type="dxa"/>
            <w:noWrap w:val="0"/>
            <w:vAlign w:val="center"/>
          </w:tcPr>
          <w:p w14:paraId="1C09ABA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161" w:type="dxa"/>
            <w:noWrap w:val="0"/>
            <w:vAlign w:val="center"/>
          </w:tcPr>
          <w:p w14:paraId="358BEE0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161" w:type="dxa"/>
            <w:noWrap w:val="0"/>
            <w:vAlign w:val="center"/>
          </w:tcPr>
          <w:p w14:paraId="4D98769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161"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5"/>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161"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161" w:type="dxa"/>
            <w:noWrap w:val="0"/>
            <w:vAlign w:val="center"/>
          </w:tcPr>
          <w:p w14:paraId="615A471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161"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7161"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1"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7161"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40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7161" w:type="dxa"/>
            <w:shd w:val="clear" w:color="auto" w:fill="auto"/>
            <w:noWrap w:val="0"/>
            <w:vAlign w:val="center"/>
          </w:tcPr>
          <w:p w14:paraId="0219BF5E">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7161"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161"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1" w:type="dxa"/>
            <w:noWrap w:val="0"/>
            <w:vAlign w:val="top"/>
          </w:tcPr>
          <w:p w14:paraId="266A04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1" w:type="dxa"/>
            <w:noWrap w:val="0"/>
            <w:vAlign w:val="center"/>
          </w:tcPr>
          <w:p w14:paraId="32475C60">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161"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1"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7161"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7161"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161" w:type="dxa"/>
            <w:noWrap w:val="0"/>
            <w:vAlign w:val="center"/>
          </w:tcPr>
          <w:p w14:paraId="33849193">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按项目分别支付。</w:t>
            </w:r>
            <w:r>
              <w:rPr>
                <w:rFonts w:hint="default" w:ascii="宋体" w:hAnsi="宋体" w:eastAsia="宋体" w:cs="宋体"/>
                <w:b/>
                <w:bCs/>
                <w:color w:val="auto"/>
                <w:sz w:val="21"/>
                <w:szCs w:val="21"/>
                <w:highlight w:val="none"/>
                <w:lang w:val="en-US" w:eastAsia="zh-CN"/>
              </w:rPr>
              <w:t>竣工验收合格</w:t>
            </w:r>
            <w:r>
              <w:rPr>
                <w:rFonts w:hint="eastAsia" w:hAnsi="宋体" w:cs="宋体"/>
                <w:b/>
                <w:bCs/>
                <w:color w:val="auto"/>
                <w:sz w:val="21"/>
                <w:szCs w:val="21"/>
                <w:highlight w:val="none"/>
                <w:lang w:val="en-US" w:eastAsia="zh-CN"/>
              </w:rPr>
              <w:t>后</w:t>
            </w:r>
            <w:r>
              <w:rPr>
                <w:rFonts w:hint="default" w:ascii="宋体" w:hAnsi="宋体" w:eastAsia="宋体" w:cs="宋体"/>
                <w:b/>
                <w:bCs/>
                <w:color w:val="auto"/>
                <w:sz w:val="21"/>
                <w:szCs w:val="21"/>
                <w:highlight w:val="none"/>
                <w:lang w:val="en-US" w:eastAsia="zh-CN"/>
              </w:rPr>
              <w:t>付至</w:t>
            </w:r>
            <w:r>
              <w:rPr>
                <w:rFonts w:hint="eastAsia" w:hAnsi="宋体" w:cs="宋体"/>
                <w:b/>
                <w:bCs/>
                <w:color w:val="auto"/>
                <w:sz w:val="21"/>
                <w:szCs w:val="21"/>
                <w:highlight w:val="none"/>
                <w:lang w:val="en-US" w:eastAsia="zh-CN"/>
              </w:rPr>
              <w:t>对应项目监理费用（对应已完成合格工程量价款*中标费率）的80%，</w:t>
            </w:r>
            <w:r>
              <w:rPr>
                <w:rFonts w:hint="default" w:ascii="宋体" w:hAnsi="宋体" w:eastAsia="宋体" w:cs="宋体"/>
                <w:b/>
                <w:bCs/>
                <w:color w:val="auto"/>
                <w:sz w:val="21"/>
                <w:szCs w:val="21"/>
                <w:highlight w:val="none"/>
                <w:lang w:val="en-US" w:eastAsia="zh-CN"/>
              </w:rPr>
              <w:t>施工结算、资料归档及审计结束后付至</w:t>
            </w:r>
            <w:r>
              <w:rPr>
                <w:rFonts w:hint="eastAsia" w:hAnsi="宋体" w:cs="宋体"/>
                <w:b/>
                <w:bCs/>
                <w:color w:val="auto"/>
                <w:sz w:val="21"/>
                <w:szCs w:val="21"/>
                <w:highlight w:val="none"/>
                <w:lang w:val="en-US" w:eastAsia="zh-CN"/>
              </w:rPr>
              <w:t>对应项目监理费用（对应项目结算价*中标费率）的100%</w:t>
            </w:r>
            <w:r>
              <w:rPr>
                <w:rFonts w:hint="default" w:ascii="宋体" w:hAnsi="宋体" w:eastAsia="宋体" w:cs="宋体"/>
                <w:b/>
                <w:bCs/>
                <w:color w:val="auto"/>
                <w:sz w:val="21"/>
                <w:szCs w:val="21"/>
                <w:highlight w:val="none"/>
                <w:lang w:val="en-US" w:eastAsia="zh-CN"/>
              </w:rPr>
              <w:t>。</w:t>
            </w:r>
          </w:p>
          <w:p w14:paraId="538A7A10">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注：</w:t>
            </w:r>
            <w:r>
              <w:rPr>
                <w:rFonts w:hint="default" w:ascii="宋体" w:hAnsi="宋体" w:eastAsia="宋体" w:cs="宋体"/>
                <w:b/>
                <w:bCs/>
                <w:color w:val="auto"/>
                <w:sz w:val="21"/>
                <w:szCs w:val="21"/>
                <w:highlight w:val="none"/>
                <w:lang w:val="en-US" w:eastAsia="zh-CN"/>
              </w:rPr>
              <w:t>付款前需提供齐全有效的增值税专用发票。</w:t>
            </w:r>
          </w:p>
        </w:tc>
      </w:tr>
      <w:tr w14:paraId="30338A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1FF4DA0F">
            <w:pPr>
              <w:keepNext w:val="0"/>
              <w:keepLines w:val="0"/>
              <w:pageBreakBefore w:val="0"/>
              <w:kinsoku/>
              <w:overflowPunct/>
              <w:topLinePunct w:val="0"/>
              <w:autoSpaceDE/>
              <w:autoSpaceDN/>
              <w:bidi w:val="0"/>
              <w:adjustRightInd/>
              <w:spacing w:line="500" w:lineRule="exact"/>
              <w:jc w:val="both"/>
              <w:textAlignment w:val="auto"/>
              <w:rPr>
                <w:rFonts w:hint="default"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cs="宋体"/>
                <w:color w:val="auto"/>
                <w:sz w:val="21"/>
                <w:szCs w:val="21"/>
                <w:highlight w:val="none"/>
                <w:lang w:val="en-US" w:eastAsia="zh-CN"/>
              </w:rPr>
              <w:t>人员配备要求</w:t>
            </w:r>
          </w:p>
        </w:tc>
        <w:tc>
          <w:tcPr>
            <w:tcW w:w="7161" w:type="dxa"/>
            <w:noWrap w:val="0"/>
            <w:vAlign w:val="center"/>
          </w:tcPr>
          <w:p w14:paraId="4B919B9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lang w:val="en-US" w:eastAsia="zh-CN"/>
              </w:rPr>
              <w:t>不低于国家、省、市及行业相关要求标准</w:t>
            </w:r>
            <w:r>
              <w:rPr>
                <w:rFonts w:hint="eastAsia" w:ascii="宋体" w:hAnsi="宋体" w:eastAsia="宋体" w:cs="宋体"/>
                <w:color w:val="auto"/>
                <w:sz w:val="21"/>
                <w:szCs w:val="21"/>
                <w:highlight w:val="none"/>
                <w:lang w:eastAsia="zh-CN"/>
              </w:rPr>
              <w:t>配备</w:t>
            </w:r>
            <w:r>
              <w:rPr>
                <w:rFonts w:hint="eastAsia" w:ascii="宋体" w:hAnsi="宋体" w:eastAsia="宋体" w:cs="宋体"/>
                <w:color w:val="auto"/>
                <w:sz w:val="21"/>
                <w:szCs w:val="21"/>
                <w:highlight w:val="none"/>
                <w:lang w:val="en-US" w:eastAsia="zh-CN"/>
              </w:rPr>
              <w:t>监理</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lang w:val="en-US" w:eastAsia="zh-CN"/>
              </w:rPr>
              <w:t>除项目负责人（总监理工程师）外，</w:t>
            </w:r>
            <w:r>
              <w:rPr>
                <w:rFonts w:hint="eastAsia" w:ascii="宋体" w:hAnsi="宋体" w:eastAsia="宋体" w:cs="宋体"/>
                <w:color w:val="auto"/>
                <w:sz w:val="21"/>
                <w:szCs w:val="21"/>
                <w:highlight w:val="none"/>
                <w:lang w:eastAsia="zh-CN"/>
              </w:rPr>
              <w:t>中标后</w:t>
            </w:r>
            <w:r>
              <w:rPr>
                <w:rFonts w:hint="eastAsia" w:ascii="宋体" w:hAnsi="宋体" w:eastAsia="宋体" w:cs="宋体"/>
                <w:color w:val="auto"/>
                <w:sz w:val="21"/>
                <w:szCs w:val="21"/>
                <w:highlight w:val="none"/>
                <w:lang w:val="en-US" w:eastAsia="zh-CN"/>
              </w:rPr>
              <w:t>须严格按照不低于国家、省、市及行业相关要求的标准</w:t>
            </w:r>
            <w:r>
              <w:rPr>
                <w:rFonts w:hint="eastAsia" w:ascii="宋体" w:hAnsi="宋体" w:eastAsia="宋体" w:cs="宋体"/>
                <w:color w:val="auto"/>
                <w:sz w:val="21"/>
                <w:szCs w:val="21"/>
                <w:highlight w:val="none"/>
                <w:lang w:eastAsia="zh-CN"/>
              </w:rPr>
              <w:t>配备专业监理工程师、监理员、见证员，否则取消其中标资格，情节严重的，提请建设行政主管部门进行处罚。</w:t>
            </w:r>
          </w:p>
          <w:p w14:paraId="73C8FD9B">
            <w:pPr>
              <w:keepNext w:val="0"/>
              <w:keepLines w:val="0"/>
              <w:pageBreakBefore w:val="0"/>
              <w:kinsoku/>
              <w:overflowPunct/>
              <w:topLinePunct w:val="0"/>
              <w:autoSpaceDE/>
              <w:autoSpaceDN/>
              <w:bidi w:val="0"/>
              <w:adjustRightInd/>
              <w:spacing w:line="500" w:lineRule="exact"/>
              <w:textAlignment w:val="auto"/>
              <w:rPr>
                <w:rFonts w:hint="eastAsia" w:hAnsi="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2.中标单位进驻现场后，须按业主要求根据施工现场情况增加或调整人员数量和相关专业，费用不予调整。现场监理人员不得随意更换或减少</w:t>
            </w:r>
            <w:r>
              <w:rPr>
                <w:rFonts w:hint="eastAsia" w:ascii="宋体" w:hAnsi="宋体" w:eastAsia="宋体" w:cs="宋体"/>
                <w:color w:val="auto"/>
                <w:sz w:val="21"/>
                <w:szCs w:val="21"/>
                <w:highlight w:val="none"/>
                <w:lang w:eastAsia="zh-CN"/>
              </w:rPr>
              <w:t>。</w:t>
            </w:r>
          </w:p>
        </w:tc>
      </w:tr>
    </w:tbl>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合理低价法</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27563"/>
      <w:bookmarkStart w:id="23" w:name="_Toc247513962"/>
      <w:bookmarkStart w:id="24" w:name="_Toc152045539"/>
      <w:bookmarkStart w:id="25" w:name="_Toc152042315"/>
      <w:bookmarkStart w:id="26" w:name="_Toc144974507"/>
      <w:bookmarkStart w:id="27" w:name="_Toc247592876"/>
      <w:bookmarkStart w:id="28" w:name="_Toc296602429"/>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296602430"/>
      <w:bookmarkStart w:id="30" w:name="_Toc247527564"/>
      <w:bookmarkStart w:id="31" w:name="_Toc152042316"/>
      <w:bookmarkStart w:id="32" w:name="_Toc144974508"/>
      <w:bookmarkStart w:id="33" w:name="_Toc247513963"/>
      <w:bookmarkStart w:id="34" w:name="_Toc152045540"/>
      <w:bookmarkStart w:id="35" w:name="_Toc247592877"/>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6"/>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417" w:firstLineChars="198"/>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本项目采用费率报价</w:t>
      </w:r>
      <w:r>
        <w:rPr>
          <w:rFonts w:hint="eastAsia" w:ascii="宋体" w:hAnsi="宋体" w:eastAsia="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eastAsia="宋体" w:cs="宋体"/>
          <w:color w:val="auto"/>
          <w:szCs w:val="21"/>
          <w:highlight w:val="none"/>
          <w:lang w:val="en-US" w:eastAsia="zh-CN"/>
        </w:rPr>
        <w:t>中标费率</w:t>
      </w:r>
      <w:r>
        <w:rPr>
          <w:rFonts w:hint="eastAsia" w:ascii="宋体" w:hAnsi="宋体" w:eastAsia="宋体" w:cs="宋体"/>
          <w:color w:val="auto"/>
          <w:szCs w:val="21"/>
          <w:highlight w:val="none"/>
        </w:rPr>
        <w:t>今后将不作任何调整，</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后期不再追加费用，投标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自行考虑投标风险。</w:t>
      </w:r>
    </w:p>
    <w:p w14:paraId="4B56881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投标人只允许有一个方案、一个报价。</w:t>
      </w:r>
    </w:p>
    <w:p w14:paraId="56263A2B">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投标报价应由法定代表人或被授权人签署。</w:t>
      </w:r>
    </w:p>
    <w:p w14:paraId="082C64E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投标人的报价不得高于本次招标最高限价，否则将作为无效投标处理。</w:t>
      </w:r>
    </w:p>
    <w:p w14:paraId="7AC7708F">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总投标价中不得包含招标文件要求以外的内容，否则，在评标时不予核减，但在授予合同时，</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有权将这部分价格从其中标价格中扣除。</w:t>
      </w:r>
    </w:p>
    <w:p w14:paraId="2A413D1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21213BD7">
      <w:pPr>
        <w:spacing w:line="420" w:lineRule="exact"/>
        <w:ind w:firstLine="421"/>
        <w:jc w:val="left"/>
        <w:rPr>
          <w:rFonts w:hint="eastAsia" w:ascii="宋体"/>
          <w:b/>
          <w:bCs/>
          <w:color w:val="auto"/>
          <w:szCs w:val="21"/>
          <w:highlight w:val="none"/>
        </w:rPr>
      </w:pPr>
      <w:r>
        <w:rPr>
          <w:rFonts w:hint="eastAsia" w:ascii="宋体" w:hAnsi="宋体" w:cs="宋体"/>
          <w:color w:val="auto"/>
          <w:kern w:val="10"/>
          <w:szCs w:val="21"/>
          <w:highlight w:val="none"/>
        </w:rPr>
        <w:t>31.1</w:t>
      </w:r>
      <w:bookmarkStart w:id="40" w:name="_Toc449028873"/>
      <w:r>
        <w:rPr>
          <w:rFonts w:hint="eastAsia" w:ascii="宋体"/>
          <w:b/>
          <w:bCs/>
          <w:color w:val="auto"/>
          <w:szCs w:val="21"/>
          <w:highlight w:val="none"/>
        </w:rPr>
        <w:t xml:space="preserve">重新招标 </w:t>
      </w:r>
    </w:p>
    <w:p w14:paraId="31A5D012">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项目有下列情形之一的，招标人将重新招标：</w:t>
      </w:r>
    </w:p>
    <w:p w14:paraId="61AA2F3A">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(1)投标截止时间止，投标人少于三个的； </w:t>
      </w:r>
    </w:p>
    <w:p w14:paraId="04C2570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(2)符合专业条件的供应商或者对招标文件作实质响应的供应商不足三家的；</w:t>
      </w:r>
    </w:p>
    <w:p w14:paraId="15B0F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(3)出现影响招标公正的违法、违规行为的；</w:t>
      </w:r>
    </w:p>
    <w:p w14:paraId="1EA8BFE1">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(4)投标人的报价均脱离实际且无充分证据的；</w:t>
      </w:r>
    </w:p>
    <w:p w14:paraId="747198F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)因重大变故，采购任务取消的。</w:t>
      </w:r>
    </w:p>
    <w:p w14:paraId="7B60DACF">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p>
    <w:p w14:paraId="4168FF84">
      <w:pPr>
        <w:keepNext w:val="0"/>
        <w:keepLines w:val="0"/>
        <w:pageBreakBefore w:val="0"/>
        <w:kinsoku/>
        <w:wordWrap/>
        <w:overflowPunct/>
        <w:topLinePunct w:val="0"/>
        <w:autoSpaceDE/>
        <w:autoSpaceDN/>
        <w:bidi w:val="0"/>
        <w:adjustRightInd w:val="0"/>
        <w:snapToGrid w:val="0"/>
        <w:spacing w:line="500" w:lineRule="exact"/>
        <w:ind w:firstLine="562"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5"/>
      <w:r>
        <w:rPr>
          <w:rFonts w:hint="eastAsia" w:ascii="宋体" w:hAnsi="宋体" w:eastAsia="宋体" w:cs="宋体"/>
          <w:b/>
          <w:color w:val="auto"/>
          <w:sz w:val="28"/>
          <w:szCs w:val="28"/>
          <w:highlight w:val="none"/>
        </w:rPr>
        <w:t>（八）质疑与投诉</w:t>
      </w:r>
      <w:bookmarkEnd w:id="43"/>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4"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合理低价法</w:t>
      </w:r>
      <w:r>
        <w:rPr>
          <w:rFonts w:hint="eastAsia" w:ascii="宋体" w:hAnsi="Times New Roman" w:eastAsia="宋体" w:cs="Times New Roman"/>
          <w:b/>
          <w:color w:val="auto"/>
          <w:sz w:val="32"/>
          <w:szCs w:val="32"/>
          <w:highlight w:val="none"/>
        </w:rPr>
        <w:t>）</w:t>
      </w:r>
      <w:bookmarkEnd w:id="44"/>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5" w:name="_Toc58430317"/>
      <w:bookmarkStart w:id="46" w:name="_Toc362983801"/>
      <w:bookmarkStart w:id="47" w:name="_Toc449028877"/>
      <w:bookmarkStart w:id="48" w:name="_Toc267320058"/>
      <w:bookmarkStart w:id="49" w:name="_Toc363135205"/>
      <w:r>
        <w:rPr>
          <w:rFonts w:hint="eastAsia" w:ascii="宋体" w:hAnsi="宋体" w:eastAsia="宋体" w:cs="宋体"/>
          <w:b/>
          <w:color w:val="auto"/>
          <w:sz w:val="28"/>
          <w:szCs w:val="28"/>
          <w:highlight w:val="none"/>
        </w:rPr>
        <w:t>一、总则</w:t>
      </w:r>
      <w:bookmarkEnd w:id="45"/>
      <w:bookmarkEnd w:id="46"/>
      <w:bookmarkEnd w:id="47"/>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w:t>
      </w:r>
      <w:r>
        <w:rPr>
          <w:rFonts w:hint="eastAsia" w:ascii="宋体" w:hAnsi="宋体" w:cs="宋体"/>
          <w:b/>
          <w:color w:val="auto"/>
          <w:szCs w:val="21"/>
          <w:highlight w:val="none"/>
        </w:rPr>
        <w:t>本次评标采用</w:t>
      </w:r>
      <w:r>
        <w:rPr>
          <w:rFonts w:hint="eastAsia" w:ascii="宋体" w:hAnsi="宋体" w:cs="宋体"/>
          <w:b/>
          <w:color w:val="auto"/>
          <w:szCs w:val="21"/>
          <w:highlight w:val="none"/>
          <w:lang w:val="en-US" w:eastAsia="zh-CN"/>
        </w:rPr>
        <w:t>合理低价法</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w:t>
      </w:r>
      <w:r>
        <w:rPr>
          <w:rFonts w:hint="eastAsia" w:ascii="宋体"/>
          <w:color w:val="auto"/>
          <w:szCs w:val="21"/>
          <w:highlight w:val="none"/>
          <w:lang w:val="en-US" w:eastAsia="zh-CN"/>
        </w:rPr>
        <w:t>推荐3名中标候选人</w:t>
      </w:r>
      <w:r>
        <w:rPr>
          <w:rFonts w:hint="eastAsia" w:ascii="宋体"/>
          <w:color w:val="auto"/>
          <w:szCs w:val="21"/>
          <w:highlight w:val="none"/>
        </w:rPr>
        <w:t>。</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0" w:name="_Toc449028878"/>
      <w:bookmarkStart w:id="51" w:name="_Toc58430318"/>
      <w:bookmarkStart w:id="52" w:name="_Toc362983802"/>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0"/>
      <w:bookmarkEnd w:id="51"/>
      <w:bookmarkEnd w:id="52"/>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7"/>
        <w:tblW w:w="10078"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0"/>
        <w:gridCol w:w="6090"/>
        <w:gridCol w:w="2053"/>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20"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053"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0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0"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6090"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053"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0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0"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6090"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且具有相应的服务能力</w:t>
            </w:r>
          </w:p>
        </w:tc>
        <w:tc>
          <w:tcPr>
            <w:tcW w:w="2053"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有效的营业执照及资质证书</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30"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6090"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3）诚信投标承诺书</w:t>
            </w:r>
          </w:p>
        </w:tc>
        <w:tc>
          <w:tcPr>
            <w:tcW w:w="2053" w:type="dxa"/>
            <w:noWrap w:val="0"/>
            <w:vAlign w:val="center"/>
          </w:tcPr>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格式见附件</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30"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6090" w:type="dxa"/>
            <w:shd w:val="clear" w:color="auto" w:fill="auto"/>
            <w:noWrap w:val="0"/>
            <w:vAlign w:val="top"/>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4）项目负责人有效身份证及注册证书</w:t>
            </w:r>
          </w:p>
        </w:tc>
        <w:tc>
          <w:tcPr>
            <w:tcW w:w="2053" w:type="dxa"/>
            <w:vMerge w:val="restart"/>
            <w:shd w:val="clear" w:color="auto" w:fill="auto"/>
            <w:noWrap w:val="0"/>
            <w:vAlign w:val="center"/>
          </w:tcPr>
          <w:p w14:paraId="216FFB07">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核验投标文件</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5" w:type="dxa"/>
            <w:vMerge w:val="continue"/>
            <w:noWrap w:val="0"/>
            <w:vAlign w:val="center"/>
          </w:tcPr>
          <w:p w14:paraId="3C6BD0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30"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6090"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053" w:type="dxa"/>
            <w:vMerge w:val="continue"/>
            <w:shd w:val="clear" w:color="auto" w:fill="auto"/>
            <w:noWrap w:val="0"/>
            <w:vAlign w:val="center"/>
          </w:tcPr>
          <w:p w14:paraId="15550D1A">
            <w:pPr>
              <w:spacing w:line="440" w:lineRule="exact"/>
              <w:rPr>
                <w:rFonts w:hint="default" w:ascii="宋体"/>
                <w:color w:val="auto"/>
                <w:szCs w:val="21"/>
                <w:highlight w:val="none"/>
                <w:lang w:val="en-US" w:eastAsia="zh-CN"/>
              </w:rPr>
            </w:pP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4.2资格审查及评分细则中涉及的有关证明材料及相关证书，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3" w:name="_Toc58430319"/>
      <w:bookmarkStart w:id="54" w:name="_Toc362983803"/>
      <w:bookmarkStart w:id="55" w:name="_Toc44902887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3"/>
      <w:bookmarkEnd w:id="54"/>
      <w:bookmarkEnd w:id="55"/>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6" w:name="_Toc449028880"/>
      <w:bookmarkStart w:id="57"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6"/>
      <w:bookmarkEnd w:id="57"/>
    </w:p>
    <w:p w14:paraId="7F5C09E7">
      <w:pPr>
        <w:spacing w:line="500" w:lineRule="exact"/>
        <w:ind w:right="36" w:rightChars="17" w:firstLine="403" w:firstLineChars="192"/>
        <w:jc w:val="left"/>
        <w:rPr>
          <w:rFonts w:hint="eastAsia" w:ascii="宋体" w:hAnsi="宋体" w:eastAsia="宋体" w:cs="宋体"/>
          <w:color w:val="auto"/>
          <w:szCs w:val="21"/>
          <w:highlight w:val="none"/>
        </w:rPr>
      </w:pPr>
      <w:bookmarkStart w:id="58" w:name="_Toc449028881"/>
      <w:bookmarkStart w:id="59" w:name="_Toc362983805"/>
      <w:r>
        <w:rPr>
          <w:rFonts w:hint="eastAsia" w:ascii="宋体" w:hAnsi="宋体" w:eastAsia="宋体" w:cs="宋体"/>
          <w:color w:val="auto"/>
          <w:szCs w:val="21"/>
          <w:highlight w:val="none"/>
        </w:rPr>
        <w:t>6.详细评审即按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eastAsia="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，进行商务报价评审，综合比较与评价。</w:t>
      </w:r>
    </w:p>
    <w:p w14:paraId="7E27354E">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44A1DC35">
      <w:pPr>
        <w:spacing w:line="500" w:lineRule="exact"/>
        <w:ind w:right="36" w:rightChars="17" w:firstLine="403" w:firstLineChars="192"/>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6.1.1投标报价不低于本项目通过符合性评审合格的有效投标报价的平均值80%的，为合理报价。</w:t>
      </w:r>
    </w:p>
    <w:p w14:paraId="451D79D4">
      <w:pPr>
        <w:keepNext w:val="0"/>
        <w:keepLines w:val="0"/>
        <w:pageBreakBefore w:val="0"/>
        <w:widowControl w:val="0"/>
        <w:kinsoku/>
        <w:wordWrap/>
        <w:overflowPunct/>
        <w:topLinePunct w:val="0"/>
        <w:autoSpaceDE/>
        <w:autoSpaceDN/>
        <w:bidi w:val="0"/>
        <w:adjustRightInd/>
        <w:snapToGrid/>
        <w:spacing w:line="500" w:lineRule="exact"/>
        <w:ind w:left="-420" w:leftChars="-200" w:firstLine="840" w:firstLineChars="4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按照</w:t>
      </w:r>
      <w:r>
        <w:rPr>
          <w:rFonts w:hint="eastAsia" w:ascii="宋体" w:hAnsi="宋体" w:cs="宋体"/>
          <w:color w:val="auto"/>
          <w:szCs w:val="21"/>
          <w:highlight w:val="none"/>
          <w:lang w:val="en-US" w:eastAsia="zh-CN"/>
        </w:rPr>
        <w:t>合理低价法</w:t>
      </w:r>
      <w:r>
        <w:rPr>
          <w:rFonts w:hint="eastAsia" w:ascii="宋体" w:hAnsi="宋体" w:eastAsia="宋体" w:cs="宋体"/>
          <w:color w:val="auto"/>
          <w:szCs w:val="21"/>
          <w:highlight w:val="none"/>
          <w:lang w:val="en-US" w:eastAsia="zh-CN"/>
        </w:rPr>
        <w:t>的原则确定中标候选人，在</w:t>
      </w:r>
      <w:r>
        <w:rPr>
          <w:rFonts w:hint="eastAsia" w:ascii="宋体" w:hAnsi="宋体" w:cs="宋体"/>
          <w:color w:val="auto"/>
          <w:szCs w:val="21"/>
          <w:highlight w:val="none"/>
          <w:lang w:val="en-US" w:eastAsia="zh-CN"/>
        </w:rPr>
        <w:t>合理报价范围内</w:t>
      </w:r>
      <w:r>
        <w:rPr>
          <w:rFonts w:hint="eastAsia" w:ascii="宋体" w:hAnsi="宋体" w:eastAsia="宋体" w:cs="宋体"/>
          <w:color w:val="auto"/>
          <w:szCs w:val="21"/>
          <w:highlight w:val="none"/>
          <w:lang w:val="en-US" w:eastAsia="zh-CN"/>
        </w:rPr>
        <w:t>按有效报价最低原则，推荐</w:t>
      </w:r>
      <w:r>
        <w:rPr>
          <w:rFonts w:hint="eastAsia" w:ascii="宋体" w:hAnsi="宋体" w:cs="宋体"/>
          <w:color w:val="auto"/>
          <w:szCs w:val="21"/>
          <w:highlight w:val="none"/>
          <w:lang w:val="en-US" w:eastAsia="zh-CN"/>
        </w:rPr>
        <w:t>有效合理</w:t>
      </w:r>
      <w:r>
        <w:rPr>
          <w:rFonts w:hint="eastAsia" w:ascii="宋体" w:hAnsi="宋体" w:eastAsia="宋体" w:cs="宋体"/>
          <w:color w:val="auto"/>
          <w:szCs w:val="21"/>
          <w:highlight w:val="none"/>
          <w:lang w:val="en-US" w:eastAsia="zh-CN"/>
        </w:rPr>
        <w:t>报价最低的为第一中标候选人，次低的为第二中标候选人，依次类推，推荐3名中标候选人，并标明排序，有效</w:t>
      </w:r>
      <w:r>
        <w:rPr>
          <w:rFonts w:hint="eastAsia" w:ascii="宋体" w:hAnsi="宋体" w:cs="宋体"/>
          <w:color w:val="auto"/>
          <w:szCs w:val="21"/>
          <w:highlight w:val="none"/>
          <w:lang w:val="en-US" w:eastAsia="zh-CN"/>
        </w:rPr>
        <w:t>合理</w:t>
      </w:r>
      <w:r>
        <w:rPr>
          <w:rFonts w:hint="eastAsia" w:ascii="宋体" w:hAnsi="宋体" w:eastAsia="宋体" w:cs="宋体"/>
          <w:color w:val="auto"/>
          <w:szCs w:val="21"/>
          <w:highlight w:val="none"/>
          <w:lang w:val="en-US" w:eastAsia="zh-CN"/>
        </w:rPr>
        <w:t>投标报价最低的有效投标人有两名或两名以上相同时，由招标人或评标委员会主任抽签确定第一中标候选人。</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60" w:name="_Toc58430321"/>
      <w:r>
        <w:rPr>
          <w:rFonts w:hint="eastAsia" w:ascii="宋体" w:hAnsi="宋体" w:eastAsia="宋体" w:cs="宋体"/>
          <w:b/>
          <w:color w:val="auto"/>
          <w:sz w:val="28"/>
          <w:szCs w:val="28"/>
          <w:highlight w:val="none"/>
        </w:rPr>
        <w:t>五、推荐中标候选人</w:t>
      </w:r>
      <w:bookmarkEnd w:id="58"/>
      <w:bookmarkEnd w:id="59"/>
      <w:bookmarkEnd w:id="60"/>
    </w:p>
    <w:bookmarkEnd w:id="48"/>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有6.1.2的规定</w:t>
      </w:r>
      <w:r>
        <w:rPr>
          <w:rFonts w:hint="eastAsia" w:ascii="宋体" w:hAnsi="宋体" w:cs="宋体"/>
          <w:color w:val="auto"/>
          <w:szCs w:val="21"/>
          <w:highlight w:val="none"/>
        </w:rPr>
        <w:t>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EB97C9">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7.1如出现有效</w:t>
      </w:r>
      <w:r>
        <w:rPr>
          <w:rFonts w:hint="eastAsia" w:ascii="宋体" w:hAnsi="宋体" w:cs="宋体"/>
          <w:color w:val="auto"/>
          <w:szCs w:val="21"/>
          <w:highlight w:val="none"/>
          <w:lang w:val="en-US" w:eastAsia="zh-CN"/>
        </w:rPr>
        <w:t>合理</w:t>
      </w:r>
      <w:r>
        <w:rPr>
          <w:rFonts w:hint="eastAsia" w:ascii="宋体" w:hAnsi="宋体" w:eastAsia="宋体" w:cs="宋体"/>
          <w:color w:val="auto"/>
          <w:szCs w:val="21"/>
          <w:highlight w:val="none"/>
          <w:lang w:val="en-US" w:eastAsia="zh-CN"/>
        </w:rPr>
        <w:t>报价最低的有效投标人有两名或两名以上相同时，由招标人或评标委员会主任抽签确定第一中标候选人。</w:t>
      </w:r>
    </w:p>
    <w:p w14:paraId="3B41ED4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49"/>
    <w:bookmarkEnd w:id="61"/>
    <w:p w14:paraId="150DD92B">
      <w:pPr>
        <w:rPr>
          <w:rFonts w:hint="eastAsia" w:ascii="宋体" w:hAnsi="Times New Roman" w:eastAsia="宋体" w:cs="Times New Roman"/>
          <w:b/>
          <w:color w:val="auto"/>
          <w:sz w:val="32"/>
          <w:szCs w:val="32"/>
          <w:highlight w:val="none"/>
        </w:rPr>
      </w:pPr>
      <w:bookmarkStart w:id="62" w:name="_Toc449028945"/>
      <w:bookmarkStart w:id="63" w:name="_Toc58430329"/>
      <w:r>
        <w:rPr>
          <w:rFonts w:hint="eastAsia" w:ascii="宋体" w:hAnsi="Times New Roman" w:eastAsia="宋体" w:cs="Times New Roman"/>
          <w:b/>
          <w:color w:val="auto"/>
          <w:sz w:val="32"/>
          <w:szCs w:val="32"/>
          <w:highlight w:val="none"/>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hAnsi="Times New Roman" w:eastAsia="宋体" w:cs="Times New Roman"/>
          <w:b/>
          <w:color w:val="auto"/>
          <w:sz w:val="32"/>
          <w:szCs w:val="32"/>
          <w:highlight w:val="none"/>
          <w:lang w:val="en-US" w:eastAsia="zh-CN"/>
        </w:rPr>
      </w:pPr>
      <w:r>
        <w:rPr>
          <w:rFonts w:hint="eastAsia" w:ascii="宋体" w:hAnsi="Times New Roman" w:eastAsia="宋体" w:cs="Times New Roman"/>
          <w:b/>
          <w:color w:val="auto"/>
          <w:sz w:val="32"/>
          <w:szCs w:val="32"/>
          <w:highlight w:val="none"/>
        </w:rPr>
        <w:t>第</w:t>
      </w:r>
      <w:r>
        <w:rPr>
          <w:rFonts w:hint="eastAsia" w:ascii="宋体" w:cs="Times New Roman"/>
          <w:b/>
          <w:color w:val="auto"/>
          <w:sz w:val="32"/>
          <w:szCs w:val="32"/>
          <w:highlight w:val="none"/>
          <w:lang w:val="en-US" w:eastAsia="zh-CN"/>
        </w:rPr>
        <w:t>四</w:t>
      </w:r>
      <w:r>
        <w:rPr>
          <w:rFonts w:hint="eastAsia" w:ascii="宋体" w:hAnsi="Times New Roman" w:eastAsia="宋体" w:cs="Times New Roman"/>
          <w:b/>
          <w:color w:val="auto"/>
          <w:sz w:val="32"/>
          <w:szCs w:val="32"/>
          <w:highlight w:val="none"/>
        </w:rPr>
        <w:t>章  合同格式</w:t>
      </w:r>
      <w:bookmarkStart w:id="64" w:name="_Toc58430330"/>
    </w:p>
    <w:bookmarkEnd w:id="64"/>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53A746D8">
      <w:pPr>
        <w:spacing w:line="560" w:lineRule="exact"/>
        <w:ind w:firstLine="2570" w:firstLineChars="800"/>
        <w:rPr>
          <w:rFonts w:hint="eastAsia" w:ascii="华文中宋" w:hAnsi="华文中宋" w:eastAsia="华文中宋"/>
          <w:b/>
          <w:bCs/>
          <w:color w:val="auto"/>
          <w:sz w:val="48"/>
          <w:szCs w:val="48"/>
          <w:highlight w:val="none"/>
        </w:rPr>
      </w:pPr>
      <w:r>
        <w:rPr>
          <w:rFonts w:hint="eastAsia" w:ascii="仿宋_GB2312" w:eastAsia="仿宋_GB2312"/>
          <w:b/>
          <w:color w:val="auto"/>
          <w:sz w:val="32"/>
          <w:szCs w:val="32"/>
          <w:highlight w:val="none"/>
        </w:rPr>
        <w:t>（ＧＦ－2012－0202）</w:t>
      </w:r>
    </w:p>
    <w:p w14:paraId="630A9C69">
      <w:pPr>
        <w:spacing w:line="560" w:lineRule="exact"/>
        <w:jc w:val="center"/>
        <w:rPr>
          <w:rFonts w:hint="eastAsia" w:ascii="华文中宋" w:hAnsi="华文中宋" w:eastAsia="华文中宋"/>
          <w:b/>
          <w:bCs/>
          <w:color w:val="auto"/>
          <w:sz w:val="48"/>
          <w:szCs w:val="48"/>
          <w:highlight w:val="none"/>
        </w:rPr>
      </w:pPr>
    </w:p>
    <w:p w14:paraId="1A0843B2">
      <w:pPr>
        <w:spacing w:line="560" w:lineRule="exact"/>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14:paraId="70C8E10A">
      <w:pPr>
        <w:spacing w:line="560" w:lineRule="exact"/>
        <w:jc w:val="center"/>
        <w:rPr>
          <w:rFonts w:hint="eastAsia" w:ascii="华文楷体" w:hAnsi="华文楷体" w:eastAsia="华文楷体"/>
          <w:b/>
          <w:bCs/>
          <w:color w:val="auto"/>
          <w:sz w:val="52"/>
          <w:szCs w:val="52"/>
          <w:highlight w:val="none"/>
        </w:rPr>
      </w:pPr>
      <w:r>
        <w:rPr>
          <w:rFonts w:hint="eastAsia" w:ascii="华文楷体" w:hAnsi="华文楷体" w:eastAsia="华文楷体"/>
          <w:b/>
          <w:bCs/>
          <w:color w:val="auto"/>
          <w:sz w:val="52"/>
          <w:szCs w:val="52"/>
          <w:highlight w:val="none"/>
        </w:rPr>
        <w:t>（示范文本）</w:t>
      </w:r>
    </w:p>
    <w:p w14:paraId="1A7CEA44">
      <w:pPr>
        <w:spacing w:line="560" w:lineRule="exact"/>
        <w:rPr>
          <w:rFonts w:hint="eastAsia"/>
          <w:color w:val="auto"/>
          <w:highlight w:val="none"/>
        </w:rPr>
      </w:pPr>
    </w:p>
    <w:p w14:paraId="514BCF57">
      <w:pPr>
        <w:spacing w:line="560" w:lineRule="exact"/>
        <w:rPr>
          <w:rFonts w:hint="eastAsia" w:ascii="仿宋_GB2312" w:hAnsi="宋体" w:eastAsia="仿宋_GB2312"/>
          <w:b/>
          <w:bCs/>
          <w:color w:val="auto"/>
          <w:sz w:val="24"/>
          <w:highlight w:val="none"/>
        </w:rPr>
      </w:pPr>
    </w:p>
    <w:p w14:paraId="33100796">
      <w:pPr>
        <w:pStyle w:val="36"/>
        <w:spacing w:line="560" w:lineRule="exact"/>
        <w:ind w:firstLine="482"/>
        <w:rPr>
          <w:rFonts w:hint="eastAsia" w:ascii="仿宋_GB2312" w:hAnsi="宋体" w:eastAsia="仿宋_GB2312"/>
          <w:b/>
          <w:bCs/>
          <w:color w:val="auto"/>
          <w:sz w:val="24"/>
          <w:highlight w:val="none"/>
        </w:rPr>
      </w:pPr>
    </w:p>
    <w:p w14:paraId="2CEAFFBC">
      <w:pPr>
        <w:spacing w:line="560" w:lineRule="exact"/>
        <w:rPr>
          <w:rFonts w:hint="eastAsia" w:ascii="仿宋_GB2312" w:hAnsi="宋体" w:eastAsia="仿宋_GB2312"/>
          <w:b/>
          <w:bCs/>
          <w:color w:val="auto"/>
          <w:sz w:val="24"/>
          <w:highlight w:val="none"/>
        </w:rPr>
      </w:pPr>
    </w:p>
    <w:p w14:paraId="6F15AC6B">
      <w:pPr>
        <w:pStyle w:val="36"/>
        <w:spacing w:line="560" w:lineRule="exact"/>
        <w:ind w:firstLine="482"/>
        <w:rPr>
          <w:rFonts w:hint="eastAsia" w:ascii="仿宋_GB2312" w:hAnsi="宋体" w:eastAsia="仿宋_GB2312"/>
          <w:b/>
          <w:bCs/>
          <w:color w:val="auto"/>
          <w:sz w:val="24"/>
          <w:highlight w:val="none"/>
        </w:rPr>
      </w:pPr>
    </w:p>
    <w:p w14:paraId="04DF60ED">
      <w:pPr>
        <w:spacing w:line="560" w:lineRule="exact"/>
        <w:rPr>
          <w:rFonts w:hint="eastAsia" w:ascii="仿宋_GB2312" w:hAnsi="宋体" w:eastAsia="仿宋_GB2312"/>
          <w:b/>
          <w:bCs/>
          <w:color w:val="auto"/>
          <w:sz w:val="24"/>
          <w:highlight w:val="none"/>
        </w:rPr>
      </w:pPr>
    </w:p>
    <w:p w14:paraId="36648392">
      <w:pPr>
        <w:pStyle w:val="36"/>
        <w:spacing w:line="560" w:lineRule="exact"/>
        <w:ind w:left="0" w:leftChars="0" w:firstLine="0" w:firstLineChars="0"/>
        <w:rPr>
          <w:rFonts w:hint="eastAsia" w:ascii="仿宋_GB2312" w:hAnsi="宋体" w:eastAsia="仿宋_GB2312"/>
          <w:b/>
          <w:bCs/>
          <w:color w:val="auto"/>
          <w:sz w:val="24"/>
          <w:highlight w:val="none"/>
        </w:rPr>
      </w:pPr>
    </w:p>
    <w:p w14:paraId="60559C7D">
      <w:pPr>
        <w:spacing w:line="560" w:lineRule="exact"/>
        <w:rPr>
          <w:rFonts w:hint="eastAsia" w:ascii="仿宋_GB2312" w:hAnsi="宋体" w:eastAsia="仿宋_GB2312"/>
          <w:b/>
          <w:bCs/>
          <w:color w:val="auto"/>
          <w:sz w:val="24"/>
          <w:highlight w:val="none"/>
        </w:rPr>
      </w:pPr>
    </w:p>
    <w:p w14:paraId="0A4EC61A">
      <w:pPr>
        <w:spacing w:line="560" w:lineRule="exact"/>
        <w:rPr>
          <w:rFonts w:hint="eastAsia" w:ascii="仿宋_GB2312" w:hAnsi="宋体" w:eastAsia="仿宋_GB2312"/>
          <w:b/>
          <w:bCs/>
          <w:color w:val="auto"/>
          <w:sz w:val="24"/>
          <w:highlight w:val="none"/>
        </w:rPr>
      </w:pPr>
    </w:p>
    <w:p w14:paraId="45AF8018">
      <w:pPr>
        <w:pStyle w:val="36"/>
        <w:spacing w:line="560" w:lineRule="exact"/>
        <w:rPr>
          <w:rFonts w:hint="eastAsia"/>
          <w:color w:val="auto"/>
          <w:highlight w:val="none"/>
        </w:rPr>
      </w:pPr>
    </w:p>
    <w:p w14:paraId="064AE14C">
      <w:pPr>
        <w:spacing w:line="560" w:lineRule="exact"/>
        <w:jc w:val="center"/>
        <w:rPr>
          <w:rFonts w:hint="eastAsia" w:ascii="华文中宋" w:hAnsi="华文中宋" w:eastAsia="华文中宋"/>
          <w:b/>
          <w:color w:val="auto"/>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bCs/>
          <w:color w:val="auto"/>
          <w:sz w:val="32"/>
          <w:szCs w:val="32"/>
          <w:highlight w:val="none"/>
        </w:rPr>
        <w:t>住房和城乡建设部</w:t>
      </w:r>
    </w:p>
    <w:p w14:paraId="24181182">
      <w:pPr>
        <w:spacing w:line="560" w:lineRule="exact"/>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0E1C64BB">
      <w:pPr>
        <w:spacing w:line="560" w:lineRule="exact"/>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国家工商行政管理总局</w:t>
      </w:r>
    </w:p>
    <w:p w14:paraId="0BA4206A">
      <w:pPr>
        <w:spacing w:line="560" w:lineRule="exact"/>
        <w:jc w:val="center"/>
        <w:rPr>
          <w:rFonts w:hint="eastAsia" w:ascii="仿宋_GB2312" w:hAnsi="宋体" w:eastAsia="仿宋_GB2312"/>
          <w:b/>
          <w:color w:val="auto"/>
          <w:sz w:val="13"/>
          <w:szCs w:val="13"/>
          <w:highlight w:val="none"/>
        </w:rPr>
      </w:pPr>
      <w:r>
        <w:rPr>
          <w:rFonts w:hint="eastAsia"/>
          <w:color w:val="auto"/>
          <w:highlight w:val="none"/>
        </w:rPr>
        <w:br w:type="page"/>
      </w:r>
      <w:r>
        <w:rPr>
          <w:rFonts w:hint="eastAsia" w:ascii="宋体" w:hAnsi="宋体" w:cs="宋体"/>
          <w:b/>
          <w:bCs/>
          <w:color w:val="auto"/>
          <w:sz w:val="32"/>
          <w:szCs w:val="32"/>
          <w:highlight w:val="none"/>
        </w:rPr>
        <w:t xml:space="preserve"> </w:t>
      </w:r>
      <w:bookmarkStart w:id="65" w:name="_Toc7788"/>
      <w:bookmarkStart w:id="66" w:name="_Toc19644"/>
      <w:r>
        <w:rPr>
          <w:rFonts w:hint="eastAsia" w:ascii="宋体" w:hAnsi="宋体" w:cs="宋体"/>
          <w:b/>
          <w:bCs/>
          <w:color w:val="auto"/>
          <w:sz w:val="32"/>
          <w:szCs w:val="32"/>
          <w:highlight w:val="none"/>
        </w:rPr>
        <w:t>第一部分  协议书</w:t>
      </w:r>
      <w:bookmarkEnd w:id="65"/>
      <w:bookmarkEnd w:id="66"/>
    </w:p>
    <w:p w14:paraId="2B89565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p>
    <w:p w14:paraId="2A7DA50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监理人（全称）：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2FF8D9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512A9245">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67" w:name="_Toc9153"/>
      <w:bookmarkStart w:id="68" w:name="_Toc681"/>
      <w:bookmarkStart w:id="69" w:name="_Toc20679"/>
      <w:r>
        <w:rPr>
          <w:rFonts w:hint="eastAsia" w:ascii="宋体" w:hAnsi="宋体" w:cs="宋体"/>
          <w:b/>
          <w:color w:val="auto"/>
          <w:szCs w:val="21"/>
          <w:highlight w:val="none"/>
        </w:rPr>
        <w:t>一、工程概况</w:t>
      </w:r>
      <w:bookmarkEnd w:id="67"/>
      <w:bookmarkEnd w:id="68"/>
      <w:bookmarkEnd w:id="69"/>
    </w:p>
    <w:p w14:paraId="6DACB3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28B0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D33A7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72A9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 工程</w:t>
      </w:r>
      <w:r>
        <w:rPr>
          <w:rFonts w:hint="eastAsia" w:ascii="宋体" w:hAnsi="宋体" w:cs="宋体"/>
          <w:color w:val="auto"/>
          <w:kern w:val="0"/>
          <w:szCs w:val="21"/>
          <w:highlight w:val="none"/>
        </w:rPr>
        <w:t>概算投资额或建筑安装工程费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4A9E45E">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0" w:name="_Toc5109"/>
      <w:r>
        <w:rPr>
          <w:rFonts w:hint="eastAsia" w:ascii="宋体" w:hAnsi="宋体" w:cs="宋体"/>
          <w:b/>
          <w:color w:val="auto"/>
          <w:szCs w:val="21"/>
          <w:highlight w:val="none"/>
        </w:rPr>
        <w:t>二、词语限定</w:t>
      </w:r>
      <w:bookmarkEnd w:id="70"/>
    </w:p>
    <w:p w14:paraId="788C05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3FDCDA41">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1" w:name="_Toc22199"/>
      <w:bookmarkStart w:id="72" w:name="_Toc21994"/>
      <w:bookmarkStart w:id="73" w:name="_Toc28974"/>
      <w:r>
        <w:rPr>
          <w:rFonts w:hint="eastAsia" w:ascii="宋体" w:hAnsi="宋体" w:cs="宋体"/>
          <w:b/>
          <w:color w:val="auto"/>
          <w:szCs w:val="21"/>
          <w:highlight w:val="none"/>
        </w:rPr>
        <w:t>三、组成本合同的文件</w:t>
      </w:r>
      <w:bookmarkEnd w:id="71"/>
      <w:bookmarkEnd w:id="72"/>
      <w:bookmarkEnd w:id="73"/>
    </w:p>
    <w:p w14:paraId="5855C3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协议书；</w:t>
      </w:r>
    </w:p>
    <w:p w14:paraId="656F44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14:paraId="780438D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14:paraId="46BA285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 专用条件；</w:t>
      </w:r>
    </w:p>
    <w:p w14:paraId="19C441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 通用条件；</w:t>
      </w:r>
    </w:p>
    <w:p w14:paraId="13E36D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 附录，即：</w:t>
      </w:r>
    </w:p>
    <w:p w14:paraId="1467556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附录A  相关服务的范围和内容</w:t>
      </w:r>
    </w:p>
    <w:p w14:paraId="58974E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14:paraId="7D00F1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1D187CFA">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4" w:name="_Toc16696"/>
      <w:bookmarkStart w:id="75" w:name="_Toc1406"/>
      <w:bookmarkStart w:id="76" w:name="_Toc7338"/>
      <w:r>
        <w:rPr>
          <w:rFonts w:hint="eastAsia" w:ascii="宋体" w:hAnsi="宋体" w:cs="宋体"/>
          <w:b/>
          <w:color w:val="auto"/>
          <w:szCs w:val="21"/>
          <w:highlight w:val="none"/>
        </w:rPr>
        <w:t>四、总监理工程师</w:t>
      </w:r>
      <w:bookmarkEnd w:id="74"/>
      <w:bookmarkEnd w:id="75"/>
      <w:bookmarkEnd w:id="76"/>
    </w:p>
    <w:p w14:paraId="62EBA5D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3C74707">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7" w:name="_Toc12474"/>
      <w:bookmarkStart w:id="78" w:name="_Toc30508"/>
      <w:bookmarkStart w:id="79" w:name="_Toc16314"/>
      <w:r>
        <w:rPr>
          <w:rFonts w:hint="eastAsia" w:ascii="宋体" w:hAnsi="宋体" w:cs="宋体"/>
          <w:b/>
          <w:color w:val="auto"/>
          <w:szCs w:val="21"/>
          <w:highlight w:val="none"/>
        </w:rPr>
        <w:t>五、签约酬金</w:t>
      </w:r>
      <w:bookmarkEnd w:id="77"/>
      <w:bookmarkEnd w:id="78"/>
      <w:bookmarkEnd w:id="79"/>
    </w:p>
    <w:p w14:paraId="2AC8076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签约酬金（大写）：</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w:t>
      </w:r>
      <w:r>
        <w:rPr>
          <w:rFonts w:ascii="宋体" w:cs="宋体"/>
          <w:b/>
          <w:bCs/>
          <w:color w:val="auto"/>
          <w:szCs w:val="21"/>
          <w:highlight w:val="none"/>
        </w:rPr>
        <w:t>¥</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。监理费率为</w:t>
      </w:r>
      <w:r>
        <w:rPr>
          <w:rFonts w:ascii="宋体" w:hAnsi="宋体" w:cs="宋体"/>
          <w:b/>
          <w:bCs/>
          <w:color w:val="auto"/>
          <w:szCs w:val="21"/>
          <w:highlight w:val="none"/>
          <w:u w:val="single"/>
        </w:rPr>
        <w:t xml:space="preserve">    </w:t>
      </w:r>
      <w:r>
        <w:rPr>
          <w:rFonts w:ascii="宋体" w:hAnsi="宋体" w:cs="宋体"/>
          <w:b/>
          <w:bCs/>
          <w:color w:val="auto"/>
          <w:szCs w:val="21"/>
          <w:highlight w:val="none"/>
        </w:rPr>
        <w:t>%</w:t>
      </w:r>
      <w:r>
        <w:rPr>
          <w:rFonts w:hint="eastAsia" w:ascii="宋体" w:hAnsi="宋体" w:cs="宋体"/>
          <w:b/>
          <w:bCs/>
          <w:color w:val="auto"/>
          <w:szCs w:val="21"/>
          <w:highlight w:val="none"/>
        </w:rPr>
        <w:t>。本项目监理费用最终支付以工程结算价为计费基数，监理费用=工程结算价*中标费率。中标后中标费率不予调整。无论任何原因导致的施工工期延长，委托人均不再增加监理费用。无论任何原因导致的工程造价增加或减少，委托人必须按招标文件要求完成所有监理服务内容。</w:t>
      </w:r>
    </w:p>
    <w:p w14:paraId="1A5742C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注：暂以</w:t>
      </w:r>
      <w:r>
        <w:rPr>
          <w:rFonts w:hint="eastAsia" w:ascii="宋体" w:hAnsi="宋体" w:cs="宋体"/>
          <w:b/>
          <w:bCs/>
          <w:color w:val="auto"/>
          <w:szCs w:val="21"/>
          <w:highlight w:val="none"/>
          <w:lang w:val="en-US" w:eastAsia="zh-CN"/>
        </w:rPr>
        <w:t>1200</w:t>
      </w:r>
      <w:r>
        <w:rPr>
          <w:rFonts w:hint="eastAsia" w:ascii="宋体" w:hAnsi="宋体" w:cs="宋体"/>
          <w:b/>
          <w:bCs/>
          <w:color w:val="auto"/>
          <w:szCs w:val="21"/>
          <w:highlight w:val="none"/>
        </w:rPr>
        <w:t>万元为计费基数计算监理费，最终支付以工程结算价为计费基数计算监理费。</w:t>
      </w:r>
    </w:p>
    <w:p w14:paraId="620C808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包括：</w:t>
      </w:r>
    </w:p>
    <w:p w14:paraId="54B1E20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BA6D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7F0F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其中：</w:t>
      </w:r>
    </w:p>
    <w:p w14:paraId="0601EB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（1）勘察阶段服务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8972A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（2）设计阶段服务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4FD52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（3）保修阶段服务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AE3B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其他相关服务酬金：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62DAC">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80" w:name="_Toc19082"/>
      <w:bookmarkStart w:id="81" w:name="_Toc9390"/>
      <w:bookmarkStart w:id="82" w:name="_Toc16163"/>
      <w:r>
        <w:rPr>
          <w:rFonts w:hint="eastAsia" w:ascii="宋体" w:hAnsi="宋体" w:cs="宋体"/>
          <w:b/>
          <w:color w:val="auto"/>
          <w:szCs w:val="21"/>
          <w:highlight w:val="none"/>
        </w:rPr>
        <w:t>六、期限</w:t>
      </w:r>
      <w:bookmarkEnd w:id="80"/>
      <w:bookmarkEnd w:id="81"/>
      <w:bookmarkEnd w:id="82"/>
    </w:p>
    <w:p w14:paraId="1BFAEC0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监理期限：自本合同签订之日起至本项目竣工结算及保修阶段（缺陷责任期）期满止。自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3225372E">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83" w:name="_Toc27015"/>
      <w:bookmarkStart w:id="84" w:name="_Toc12274"/>
      <w:bookmarkStart w:id="85" w:name="_Toc3907"/>
      <w:r>
        <w:rPr>
          <w:rFonts w:hint="eastAsia" w:ascii="宋体" w:hAnsi="宋体" w:cs="宋体"/>
          <w:b/>
          <w:color w:val="auto"/>
          <w:szCs w:val="21"/>
          <w:highlight w:val="none"/>
        </w:rPr>
        <w:t>七、双方承诺</w:t>
      </w:r>
      <w:bookmarkEnd w:id="83"/>
      <w:bookmarkEnd w:id="84"/>
      <w:bookmarkEnd w:id="85"/>
      <w:r>
        <w:rPr>
          <w:rFonts w:hint="eastAsia" w:ascii="宋体" w:hAnsi="宋体" w:cs="宋体"/>
          <w:b/>
          <w:color w:val="auto"/>
          <w:szCs w:val="21"/>
          <w:highlight w:val="none"/>
        </w:rPr>
        <w:t xml:space="preserve"> </w:t>
      </w:r>
    </w:p>
    <w:p w14:paraId="24637866">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outlineLvl w:val="0"/>
        <w:rPr>
          <w:rFonts w:hint="eastAsia" w:ascii="宋体" w:hAnsi="宋体" w:cs="宋体"/>
          <w:b/>
          <w:color w:val="auto"/>
          <w:szCs w:val="21"/>
          <w:highlight w:val="none"/>
        </w:rPr>
      </w:pPr>
      <w:bookmarkStart w:id="86" w:name="_Toc17889"/>
      <w:bookmarkStart w:id="87" w:name="_Toc25648"/>
      <w:bookmarkStart w:id="88" w:name="_Toc2209"/>
      <w:r>
        <w:rPr>
          <w:rFonts w:hint="eastAsia" w:ascii="宋体" w:hAnsi="宋体" w:cs="宋体"/>
          <w:color w:val="auto"/>
          <w:szCs w:val="21"/>
          <w:highlight w:val="none"/>
        </w:rPr>
        <w:t>1. 监理人向委托人承诺，按照本合同约定</w:t>
      </w:r>
      <w:r>
        <w:rPr>
          <w:rFonts w:hint="eastAsia" w:ascii="宋体" w:hAnsi="宋体" w:cs="宋体"/>
          <w:color w:val="auto"/>
          <w:kern w:val="0"/>
          <w:szCs w:val="21"/>
          <w:highlight w:val="none"/>
        </w:rPr>
        <w:t>提供</w:t>
      </w:r>
      <w:r>
        <w:rPr>
          <w:rFonts w:hint="eastAsia" w:ascii="宋体" w:hAnsi="宋体" w:cs="宋体"/>
          <w:color w:val="auto"/>
          <w:szCs w:val="21"/>
          <w:highlight w:val="none"/>
        </w:rPr>
        <w:t>监理与相关服务。</w:t>
      </w:r>
      <w:bookmarkEnd w:id="86"/>
      <w:bookmarkEnd w:id="87"/>
      <w:bookmarkEnd w:id="88"/>
    </w:p>
    <w:p w14:paraId="47042DC2">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outlineLvl w:val="0"/>
        <w:rPr>
          <w:rFonts w:hint="eastAsia" w:ascii="宋体" w:hAnsi="宋体" w:cs="宋体"/>
          <w:color w:val="auto"/>
          <w:szCs w:val="21"/>
          <w:highlight w:val="none"/>
        </w:rPr>
      </w:pPr>
      <w:bookmarkStart w:id="89" w:name="_Toc22188"/>
      <w:bookmarkStart w:id="90" w:name="_Toc14048"/>
      <w:bookmarkStart w:id="91" w:name="_Toc11663"/>
      <w:r>
        <w:rPr>
          <w:rFonts w:hint="eastAsia" w:ascii="宋体" w:hAnsi="宋体" w:cs="宋体"/>
          <w:color w:val="auto"/>
          <w:szCs w:val="21"/>
          <w:highlight w:val="none"/>
        </w:rPr>
        <w:t>2. 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bookmarkEnd w:id="89"/>
      <w:bookmarkEnd w:id="90"/>
      <w:bookmarkEnd w:id="91"/>
    </w:p>
    <w:p w14:paraId="22D4BD04">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92" w:name="_Toc5312"/>
      <w:bookmarkStart w:id="93" w:name="_Toc32139"/>
      <w:bookmarkStart w:id="94" w:name="_Toc10244"/>
      <w:r>
        <w:rPr>
          <w:rFonts w:hint="eastAsia" w:ascii="宋体" w:hAnsi="宋体" w:cs="宋体"/>
          <w:b/>
          <w:color w:val="auto"/>
          <w:szCs w:val="21"/>
          <w:highlight w:val="none"/>
        </w:rPr>
        <w:t>八、合同订立</w:t>
      </w:r>
      <w:bookmarkEnd w:id="92"/>
      <w:bookmarkEnd w:id="93"/>
      <w:bookmarkEnd w:id="94"/>
    </w:p>
    <w:p w14:paraId="47C6D9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75580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089D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253F766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230578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住所：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 </w:t>
      </w:r>
      <w:r>
        <w:rPr>
          <w:rFonts w:hint="eastAsia" w:ascii="宋体" w:hAnsi="宋体" w:cs="宋体"/>
          <w:color w:val="auto"/>
          <w:szCs w:val="21"/>
          <w:highlight w:val="none"/>
          <w:u w:val="single"/>
        </w:rPr>
        <w:t xml:space="preserve">                      </w:t>
      </w:r>
    </w:p>
    <w:p w14:paraId="1A67222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BD2526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法定代表人或其授权                         法定代表人或其授权</w:t>
      </w:r>
    </w:p>
    <w:p w14:paraId="3D317A2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的代理人：</w:t>
      </w:r>
      <w:r>
        <w:rPr>
          <w:rFonts w:hint="eastAsia" w:ascii="宋体" w:hAnsi="宋体" w:cs="宋体"/>
          <w:color w:val="auto"/>
          <w:szCs w:val="21"/>
          <w:highlight w:val="none"/>
          <w:u w:val="single"/>
        </w:rPr>
        <w:t xml:space="preserve">（签字）            </w:t>
      </w:r>
    </w:p>
    <w:p w14:paraId="7BA6999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47FF02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1847EF8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2C3190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2FC16E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电子邮箱：</w:t>
      </w:r>
      <w:r>
        <w:rPr>
          <w:rFonts w:hint="eastAsia" w:ascii="宋体" w:hAnsi="宋体" w:cs="宋体"/>
          <w:color w:val="auto"/>
          <w:szCs w:val="21"/>
          <w:highlight w:val="none"/>
          <w:u w:val="single"/>
        </w:rPr>
        <w:t xml:space="preserve">                   </w:t>
      </w:r>
    </w:p>
    <w:p w14:paraId="34CF96BA">
      <w:pPr>
        <w:spacing w:before="156" w:beforeLines="50" w:after="156" w:afterLines="50" w:line="560" w:lineRule="exact"/>
        <w:jc w:val="both"/>
        <w:outlineLvl w:val="0"/>
        <w:rPr>
          <w:rFonts w:hint="eastAsia" w:ascii="宋体" w:hAnsi="宋体" w:cs="宋体"/>
          <w:b/>
          <w:bCs/>
          <w:color w:val="auto"/>
          <w:sz w:val="32"/>
          <w:szCs w:val="32"/>
          <w:highlight w:val="none"/>
        </w:rPr>
      </w:pPr>
      <w:bookmarkStart w:id="95" w:name="_Toc2308"/>
      <w:bookmarkStart w:id="96" w:name="_Toc29801"/>
    </w:p>
    <w:p w14:paraId="437C3E5E">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09E5C86">
      <w:pPr>
        <w:spacing w:before="156" w:beforeLines="50" w:after="156" w:afterLines="50" w:line="560" w:lineRule="exact"/>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第二部分  通用条件</w:t>
      </w:r>
      <w:bookmarkEnd w:id="95"/>
      <w:bookmarkEnd w:id="96"/>
    </w:p>
    <w:p w14:paraId="0F0EB607">
      <w:pPr>
        <w:spacing w:line="440" w:lineRule="exact"/>
        <w:ind w:firstLine="562" w:firstLineChars="200"/>
        <w:jc w:val="center"/>
        <w:rPr>
          <w:rFonts w:ascii="宋体" w:cs="宋体"/>
          <w:b/>
          <w:color w:val="auto"/>
          <w:sz w:val="28"/>
          <w:highlight w:val="none"/>
        </w:rPr>
      </w:pPr>
      <w:r>
        <w:rPr>
          <w:rFonts w:hint="eastAsia" w:ascii="宋体" w:hAnsi="宋体" w:cs="宋体"/>
          <w:b/>
          <w:color w:val="auto"/>
          <w:sz w:val="28"/>
          <w:highlight w:val="none"/>
        </w:rPr>
        <w:t>见建设工程委托监理合同（ＧＦ－</w:t>
      </w:r>
      <w:r>
        <w:rPr>
          <w:rFonts w:ascii="宋体" w:hAnsi="宋体" w:cs="宋体"/>
          <w:b/>
          <w:color w:val="auto"/>
          <w:sz w:val="28"/>
          <w:highlight w:val="none"/>
        </w:rPr>
        <w:t>2012</w:t>
      </w:r>
      <w:r>
        <w:rPr>
          <w:rFonts w:hint="eastAsia" w:ascii="宋体" w:hAnsi="宋体" w:cs="宋体"/>
          <w:b/>
          <w:color w:val="auto"/>
          <w:sz w:val="28"/>
          <w:highlight w:val="none"/>
        </w:rPr>
        <w:t>－</w:t>
      </w:r>
      <w:r>
        <w:rPr>
          <w:rFonts w:ascii="宋体" w:hAnsi="宋体" w:cs="宋体"/>
          <w:b/>
          <w:color w:val="auto"/>
          <w:sz w:val="28"/>
          <w:highlight w:val="none"/>
        </w:rPr>
        <w:t>0202</w:t>
      </w:r>
      <w:r>
        <w:rPr>
          <w:rFonts w:hint="eastAsia" w:ascii="宋体" w:hAnsi="宋体" w:cs="宋体"/>
          <w:b/>
          <w:color w:val="auto"/>
          <w:sz w:val="28"/>
          <w:highlight w:val="none"/>
        </w:rPr>
        <w:t>示范文本）</w:t>
      </w:r>
    </w:p>
    <w:p w14:paraId="7BAFA35C">
      <w:pPr>
        <w:spacing w:before="156" w:beforeLines="50" w:after="156" w:afterLines="50" w:line="560" w:lineRule="exact"/>
        <w:jc w:val="center"/>
        <w:outlineLvl w:val="0"/>
        <w:rPr>
          <w:rFonts w:hint="eastAsia" w:ascii="宋体" w:hAnsi="宋体" w:cs="宋体"/>
          <w:b/>
          <w:bCs/>
          <w:color w:val="auto"/>
          <w:sz w:val="32"/>
          <w:szCs w:val="32"/>
          <w:highlight w:val="none"/>
        </w:rPr>
      </w:pPr>
      <w:bookmarkStart w:id="97" w:name="_Toc4139"/>
      <w:bookmarkStart w:id="98" w:name="_Toc14492"/>
      <w:r>
        <w:rPr>
          <w:rFonts w:hint="eastAsia" w:ascii="宋体" w:hAnsi="宋体" w:cs="宋体"/>
          <w:b/>
          <w:bCs/>
          <w:color w:val="auto"/>
          <w:sz w:val="32"/>
          <w:szCs w:val="32"/>
          <w:highlight w:val="none"/>
        </w:rPr>
        <w:t>第三部分  专用条件</w:t>
      </w:r>
      <w:bookmarkEnd w:id="97"/>
      <w:bookmarkEnd w:id="98"/>
    </w:p>
    <w:p w14:paraId="0FA18738">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 定义与解释</w:t>
      </w:r>
    </w:p>
    <w:p w14:paraId="2261E018">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  解释</w:t>
      </w:r>
    </w:p>
    <w:p w14:paraId="6FD92DE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87AB0E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1.2.2 约定本合同文件的解释顺序为：</w:t>
      </w:r>
      <w:r>
        <w:rPr>
          <w:rFonts w:hint="eastAsia" w:ascii="宋体" w:hAnsi="宋体" w:cs="宋体"/>
          <w:color w:val="auto"/>
          <w:szCs w:val="21"/>
          <w:highlight w:val="none"/>
          <w:u w:val="single"/>
        </w:rPr>
        <w:t>（1）协议书；（2）中标通知书（适用于招标工程）或委托书（适用于非招标工程）；（3）招标文件；（4）专用条件及附录A、附录B；（5）通用条件；（6）投标文件（适用于招标工程）或监理与相关服务建议书（适用于非招标工程）。</w:t>
      </w:r>
    </w:p>
    <w:p w14:paraId="4A81334B">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47D887C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 监理人义务</w:t>
      </w:r>
    </w:p>
    <w:p w14:paraId="424E904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 监理的范围和</w:t>
      </w:r>
      <w:r>
        <w:rPr>
          <w:rFonts w:hint="eastAsia" w:ascii="宋体" w:hAnsi="宋体" w:cs="宋体"/>
          <w:bCs/>
          <w:color w:val="auto"/>
          <w:szCs w:val="21"/>
          <w:highlight w:val="none"/>
        </w:rPr>
        <w:t>内容</w:t>
      </w:r>
    </w:p>
    <w:p w14:paraId="4017C64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2.1.1 监理范围包括但不限于：</w:t>
      </w:r>
      <w:r>
        <w:rPr>
          <w:rFonts w:hint="eastAsia" w:ascii="宋体" w:hAnsi="宋体" w:cs="宋体"/>
          <w:color w:val="auto"/>
          <w:szCs w:val="21"/>
          <w:highlight w:val="none"/>
          <w:u w:val="single"/>
          <w:lang w:val="en-US" w:eastAsia="zh-CN"/>
        </w:rPr>
        <w:t>包括但不限于施工准备阶段、施工阶段、工程收尾阶段（包括但不限于竣工验收、整改、工程移交、工程结算等）及工程质量保修阶段的质量控制、进度控制、投资控制、职业健康安全及环境监督管理、合同管理、信息管理、组织协调等所有方面进行全面控制和管理的工程建设期内的所有监理服务。</w:t>
      </w:r>
      <w:r>
        <w:rPr>
          <w:rFonts w:hint="eastAsia" w:ascii="宋体" w:hAnsi="宋体" w:cs="宋体"/>
          <w:color w:val="auto"/>
          <w:szCs w:val="21"/>
          <w:highlight w:val="none"/>
          <w:u w:val="single"/>
        </w:rPr>
        <w:t xml:space="preserve"> </w:t>
      </w:r>
    </w:p>
    <w:p w14:paraId="1EF65E0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2.1.2 监理工作内容还包括：</w:t>
      </w: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）收到工程设计文件后编制监理规划，并在第一次工地会议</w:t>
      </w:r>
      <w:r>
        <w:rPr>
          <w:rFonts w:ascii="宋体" w:hAnsi="宋体" w:cs="宋体"/>
          <w:color w:val="auto"/>
          <w:szCs w:val="21"/>
          <w:highlight w:val="none"/>
          <w:u w:val="single"/>
        </w:rPr>
        <w:t>7</w:t>
      </w:r>
      <w:r>
        <w:rPr>
          <w:rFonts w:hint="eastAsia" w:ascii="宋体" w:hAnsi="宋体" w:cs="宋体"/>
          <w:color w:val="auto"/>
          <w:szCs w:val="21"/>
          <w:highlight w:val="none"/>
          <w:u w:val="single"/>
        </w:rPr>
        <w:t>天前报委托人。根据有关规定和监理工作需要，编制监理实施细则；（</w:t>
      </w:r>
      <w:r>
        <w:rPr>
          <w:rFonts w:ascii="宋体" w:hAnsi="宋体" w:cs="宋体"/>
          <w:color w:val="auto"/>
          <w:szCs w:val="21"/>
          <w:highlight w:val="none"/>
          <w:u w:val="single"/>
        </w:rPr>
        <w:t>2</w:t>
      </w:r>
      <w:r>
        <w:rPr>
          <w:rFonts w:hint="eastAsia" w:ascii="宋体" w:hAnsi="宋体" w:cs="宋体"/>
          <w:color w:val="auto"/>
          <w:szCs w:val="21"/>
          <w:highlight w:val="none"/>
          <w:u w:val="single"/>
        </w:rPr>
        <w:t>）熟悉工程设计文件，并参加由委托人主持的图纸会审和设计交底会议；（</w:t>
      </w:r>
      <w:r>
        <w:rPr>
          <w:rFonts w:ascii="宋体" w:hAnsi="宋体" w:cs="宋体"/>
          <w:color w:val="auto"/>
          <w:szCs w:val="21"/>
          <w:highlight w:val="none"/>
          <w:u w:val="single"/>
        </w:rPr>
        <w:t>3</w:t>
      </w:r>
      <w:r>
        <w:rPr>
          <w:rFonts w:hint="eastAsia" w:ascii="宋体" w:hAnsi="宋体" w:cs="宋体"/>
          <w:color w:val="auto"/>
          <w:szCs w:val="21"/>
          <w:highlight w:val="none"/>
          <w:u w:val="single"/>
        </w:rPr>
        <w:t>）参加由委托人主持的第一次工地会议；主持监理例会并根据工程需要主持或参加专题会议；（</w:t>
      </w:r>
      <w:r>
        <w:rPr>
          <w:rFonts w:ascii="宋体" w:hAnsi="宋体" w:cs="宋体"/>
          <w:color w:val="auto"/>
          <w:szCs w:val="21"/>
          <w:highlight w:val="none"/>
          <w:u w:val="single"/>
        </w:rPr>
        <w:t>4</w:t>
      </w:r>
      <w:r>
        <w:rPr>
          <w:rFonts w:hint="eastAsia" w:ascii="宋体" w:hAnsi="宋体" w:cs="宋体"/>
          <w:color w:val="auto"/>
          <w:szCs w:val="21"/>
          <w:highlight w:val="none"/>
          <w:u w:val="single"/>
        </w:rPr>
        <w:t>）审查施工承包人提交的施工组织设计，重点审查其中的质量安全技术措施、专项施工方案与工程建设强制性标准的符合性；（</w:t>
      </w:r>
      <w:r>
        <w:rPr>
          <w:rFonts w:ascii="宋体" w:hAnsi="宋体" w:cs="宋体"/>
          <w:color w:val="auto"/>
          <w:szCs w:val="21"/>
          <w:highlight w:val="none"/>
          <w:u w:val="single"/>
        </w:rPr>
        <w:t>5</w:t>
      </w:r>
      <w:r>
        <w:rPr>
          <w:rFonts w:hint="eastAsia" w:ascii="宋体" w:hAnsi="宋体" w:cs="宋体"/>
          <w:color w:val="auto"/>
          <w:szCs w:val="21"/>
          <w:highlight w:val="none"/>
          <w:u w:val="single"/>
        </w:rPr>
        <w:t>）检查施工承包人工程质量、安全生产管理制度及组织机构和人员资格；</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6</w:t>
      </w:r>
      <w:r>
        <w:rPr>
          <w:rFonts w:hint="eastAsia" w:ascii="宋体" w:hAnsi="宋体" w:cs="宋体"/>
          <w:color w:val="auto"/>
          <w:szCs w:val="21"/>
          <w:highlight w:val="none"/>
          <w:u w:val="single"/>
        </w:rPr>
        <w:t>）检查施工承包人专职安全生产管理人员的配备情况；（</w:t>
      </w:r>
      <w:r>
        <w:rPr>
          <w:rFonts w:ascii="宋体" w:hAnsi="宋体" w:cs="宋体"/>
          <w:color w:val="auto"/>
          <w:szCs w:val="21"/>
          <w:highlight w:val="none"/>
          <w:u w:val="single"/>
        </w:rPr>
        <w:t>7</w:t>
      </w:r>
      <w:r>
        <w:rPr>
          <w:rFonts w:hint="eastAsia" w:ascii="宋体" w:hAnsi="宋体" w:cs="宋体"/>
          <w:color w:val="auto"/>
          <w:szCs w:val="21"/>
          <w:highlight w:val="none"/>
          <w:u w:val="single"/>
        </w:rPr>
        <w:t>）审查施工承包人提交的施工进度计划，核查承包人对施工进度计划的调整；（</w:t>
      </w:r>
      <w:r>
        <w:rPr>
          <w:rFonts w:ascii="宋体" w:hAnsi="宋体" w:cs="宋体"/>
          <w:color w:val="auto"/>
          <w:szCs w:val="21"/>
          <w:highlight w:val="none"/>
          <w:u w:val="single"/>
        </w:rPr>
        <w:t>9</w:t>
      </w:r>
      <w:r>
        <w:rPr>
          <w:rFonts w:hint="eastAsia" w:ascii="宋体" w:hAnsi="宋体" w:cs="宋体"/>
          <w:color w:val="auto"/>
          <w:szCs w:val="21"/>
          <w:highlight w:val="none"/>
          <w:u w:val="single"/>
        </w:rPr>
        <w:t>）审核施工分包人资质条件；（</w:t>
      </w:r>
      <w:r>
        <w:rPr>
          <w:rFonts w:ascii="宋体" w:hAnsi="宋体" w:cs="宋体"/>
          <w:color w:val="auto"/>
          <w:szCs w:val="21"/>
          <w:highlight w:val="none"/>
          <w:u w:val="single"/>
        </w:rPr>
        <w:t>10</w:t>
      </w:r>
      <w:r>
        <w:rPr>
          <w:rFonts w:hint="eastAsia" w:ascii="宋体" w:hAnsi="宋体" w:cs="宋体"/>
          <w:color w:val="auto"/>
          <w:szCs w:val="21"/>
          <w:highlight w:val="none"/>
          <w:u w:val="single"/>
        </w:rPr>
        <w:t>）查验施工承包人的施工测量放线成果；（</w:t>
      </w:r>
      <w:r>
        <w:rPr>
          <w:rFonts w:ascii="宋体" w:hAnsi="宋体" w:cs="宋体"/>
          <w:color w:val="auto"/>
          <w:szCs w:val="21"/>
          <w:highlight w:val="none"/>
          <w:u w:val="single"/>
        </w:rPr>
        <w:t>11</w:t>
      </w:r>
      <w:r>
        <w:rPr>
          <w:rFonts w:hint="eastAsia" w:ascii="宋体" w:hAnsi="宋体" w:cs="宋体"/>
          <w:color w:val="auto"/>
          <w:szCs w:val="21"/>
          <w:highlight w:val="none"/>
          <w:u w:val="single"/>
        </w:rPr>
        <w:t>）审查工程开工条件，对条件具备的签发开工令；（</w:t>
      </w:r>
      <w:r>
        <w:rPr>
          <w:rFonts w:ascii="宋体" w:hAnsi="宋体" w:cs="宋体"/>
          <w:color w:val="auto"/>
          <w:szCs w:val="21"/>
          <w:highlight w:val="none"/>
          <w:u w:val="single"/>
        </w:rPr>
        <w:t>12</w:t>
      </w:r>
      <w:r>
        <w:rPr>
          <w:rFonts w:hint="eastAsia" w:ascii="宋体" w:hAnsi="宋体" w:cs="宋体"/>
          <w:color w:val="auto"/>
          <w:szCs w:val="21"/>
          <w:highlight w:val="none"/>
          <w:u w:val="single"/>
        </w:rPr>
        <w:t>）审查施工承包人报送的工程材料、构配件、设备质量证明文件的有效性和符合性，并按规定对用于工程的材料采取平行检验或见证取样方式进行抽检；（</w:t>
      </w:r>
      <w:r>
        <w:rPr>
          <w:rFonts w:ascii="宋体" w:hAnsi="宋体" w:cs="宋体"/>
          <w:color w:val="auto"/>
          <w:szCs w:val="21"/>
          <w:highlight w:val="none"/>
          <w:u w:val="single"/>
        </w:rPr>
        <w:t>13</w:t>
      </w:r>
      <w:r>
        <w:rPr>
          <w:rFonts w:hint="eastAsia" w:ascii="宋体" w:hAnsi="宋体" w:cs="宋体"/>
          <w:color w:val="auto"/>
          <w:szCs w:val="21"/>
          <w:highlight w:val="none"/>
          <w:u w:val="single"/>
        </w:rPr>
        <w:t>）审核施工承包人提交的工程款支付申请，签发或出具工程款支付证书，并报委托人审核、批准；（</w:t>
      </w:r>
      <w:r>
        <w:rPr>
          <w:rFonts w:ascii="宋体" w:hAnsi="宋体" w:cs="宋体"/>
          <w:color w:val="auto"/>
          <w:szCs w:val="21"/>
          <w:highlight w:val="none"/>
          <w:u w:val="single"/>
        </w:rPr>
        <w:t>14</w:t>
      </w:r>
      <w:r>
        <w:rPr>
          <w:rFonts w:hint="eastAsia" w:ascii="宋体" w:hAnsi="宋体" w:cs="宋体"/>
          <w:color w:val="auto"/>
          <w:szCs w:val="21"/>
          <w:highlight w:val="none"/>
          <w:u w:val="single"/>
        </w:rPr>
        <w:t>）在巡视、旁站和检验过程中，发现工程质量、施工安全存在事故隐患的，要求施工承包人整改并报委托人；（</w:t>
      </w:r>
      <w:r>
        <w:rPr>
          <w:rFonts w:ascii="宋体" w:hAnsi="宋体" w:cs="宋体"/>
          <w:color w:val="auto"/>
          <w:szCs w:val="21"/>
          <w:highlight w:val="none"/>
          <w:u w:val="single"/>
        </w:rPr>
        <w:t>15</w:t>
      </w:r>
      <w:r>
        <w:rPr>
          <w:rFonts w:hint="eastAsia" w:ascii="宋体" w:hAnsi="宋体" w:cs="宋体"/>
          <w:color w:val="auto"/>
          <w:szCs w:val="21"/>
          <w:highlight w:val="none"/>
          <w:u w:val="single"/>
        </w:rPr>
        <w:t>）经委托人同意，签发工程暂停令和复工令；（</w:t>
      </w:r>
      <w:r>
        <w:rPr>
          <w:rFonts w:ascii="宋体" w:hAnsi="宋体" w:cs="宋体"/>
          <w:color w:val="auto"/>
          <w:szCs w:val="21"/>
          <w:highlight w:val="none"/>
          <w:u w:val="single"/>
        </w:rPr>
        <w:t>16</w:t>
      </w:r>
      <w:r>
        <w:rPr>
          <w:rFonts w:hint="eastAsia" w:ascii="宋体" w:hAnsi="宋体" w:cs="宋体"/>
          <w:color w:val="auto"/>
          <w:szCs w:val="21"/>
          <w:highlight w:val="none"/>
          <w:u w:val="single"/>
        </w:rPr>
        <w:t>）审查施工承包人提交的采用新材料、新工艺、新技术、新设备的论证材料及相关验收标准；（</w:t>
      </w:r>
      <w:r>
        <w:rPr>
          <w:rFonts w:ascii="宋体" w:hAnsi="宋体" w:cs="宋体"/>
          <w:color w:val="auto"/>
          <w:szCs w:val="21"/>
          <w:highlight w:val="none"/>
          <w:u w:val="single"/>
        </w:rPr>
        <w:t>17</w:t>
      </w:r>
      <w:r>
        <w:rPr>
          <w:rFonts w:hint="eastAsia" w:ascii="宋体" w:hAnsi="宋体" w:cs="宋体"/>
          <w:color w:val="auto"/>
          <w:szCs w:val="21"/>
          <w:highlight w:val="none"/>
          <w:u w:val="single"/>
        </w:rPr>
        <w:t>）验收隐蔽工程、分部分项工程；（</w:t>
      </w:r>
      <w:r>
        <w:rPr>
          <w:rFonts w:ascii="宋体" w:hAnsi="宋体" w:cs="宋体"/>
          <w:color w:val="auto"/>
          <w:szCs w:val="21"/>
          <w:highlight w:val="none"/>
          <w:u w:val="single"/>
        </w:rPr>
        <w:t>18</w:t>
      </w:r>
      <w:r>
        <w:rPr>
          <w:rFonts w:hint="eastAsia" w:ascii="宋体" w:hAnsi="宋体" w:cs="宋体"/>
          <w:color w:val="auto"/>
          <w:szCs w:val="21"/>
          <w:highlight w:val="none"/>
          <w:u w:val="single"/>
        </w:rPr>
        <w:t>）审查施工承包人提交的工程变更申请，协调处理施工进度调整、费用索赔、合同争议等事项；（</w:t>
      </w:r>
      <w:r>
        <w:rPr>
          <w:rFonts w:ascii="宋体" w:hAnsi="宋体" w:cs="宋体"/>
          <w:color w:val="auto"/>
          <w:szCs w:val="21"/>
          <w:highlight w:val="none"/>
          <w:u w:val="single"/>
        </w:rPr>
        <w:t>19</w:t>
      </w:r>
      <w:r>
        <w:rPr>
          <w:rFonts w:hint="eastAsia" w:ascii="宋体" w:hAnsi="宋体" w:cs="宋体"/>
          <w:color w:val="auto"/>
          <w:szCs w:val="21"/>
          <w:highlight w:val="none"/>
          <w:u w:val="single"/>
        </w:rPr>
        <w:t>）审查施工承包人提交的竣工验收申请，编写工程质量评估报告；（</w:t>
      </w:r>
      <w:r>
        <w:rPr>
          <w:rFonts w:ascii="宋体" w:hAnsi="宋体" w:cs="宋体"/>
          <w:color w:val="auto"/>
          <w:szCs w:val="21"/>
          <w:highlight w:val="none"/>
          <w:u w:val="single"/>
        </w:rPr>
        <w:t>20</w:t>
      </w:r>
      <w:r>
        <w:rPr>
          <w:rFonts w:hint="eastAsia" w:ascii="宋体" w:hAnsi="宋体" w:cs="宋体"/>
          <w:color w:val="auto"/>
          <w:szCs w:val="21"/>
          <w:highlight w:val="none"/>
          <w:u w:val="single"/>
        </w:rPr>
        <w:t>）参加工程竣工验收，签署竣工验收意见；（</w:t>
      </w:r>
      <w:r>
        <w:rPr>
          <w:rFonts w:ascii="宋体" w:hAnsi="宋体" w:cs="宋体"/>
          <w:color w:val="auto"/>
          <w:szCs w:val="21"/>
          <w:highlight w:val="none"/>
          <w:u w:val="single"/>
        </w:rPr>
        <w:t>21</w:t>
      </w:r>
      <w:r>
        <w:rPr>
          <w:rFonts w:hint="eastAsia" w:ascii="宋体" w:hAnsi="宋体" w:cs="宋体"/>
          <w:color w:val="auto"/>
          <w:szCs w:val="21"/>
          <w:highlight w:val="none"/>
          <w:u w:val="single"/>
        </w:rPr>
        <w:t>）审查施工承包人提交的竣工结算申请并报委托人；（</w:t>
      </w:r>
      <w:r>
        <w:rPr>
          <w:rFonts w:ascii="宋体" w:hAnsi="宋体" w:cs="宋体"/>
          <w:color w:val="auto"/>
          <w:szCs w:val="21"/>
          <w:highlight w:val="none"/>
          <w:u w:val="single"/>
        </w:rPr>
        <w:t>22</w:t>
      </w:r>
      <w:r>
        <w:rPr>
          <w:rFonts w:hint="eastAsia" w:ascii="宋体" w:hAnsi="宋体" w:cs="宋体"/>
          <w:color w:val="auto"/>
          <w:szCs w:val="21"/>
          <w:highlight w:val="none"/>
          <w:u w:val="single"/>
        </w:rPr>
        <w:t>）编制、整理工程监理归档文件并报委托人</w:t>
      </w:r>
      <w:r>
        <w:rPr>
          <w:rFonts w:hint="eastAsia" w:ascii="宋体" w:hAnsi="宋体" w:cs="宋体"/>
          <w:color w:val="auto"/>
          <w:szCs w:val="21"/>
          <w:highlight w:val="none"/>
          <w:u w:val="single"/>
          <w:lang w:eastAsia="zh-CN"/>
        </w:rPr>
        <w:t>。</w:t>
      </w:r>
    </w:p>
    <w:p w14:paraId="506C6701">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监理与相关服务依据</w:t>
      </w:r>
    </w:p>
    <w:p w14:paraId="4E3BD201">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2.2.1 监理依据包括：</w:t>
      </w: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）适用的法律、行政法规及部门规章；（</w:t>
      </w:r>
      <w:r>
        <w:rPr>
          <w:rFonts w:ascii="宋体" w:hAnsi="宋体" w:cs="宋体"/>
          <w:color w:val="auto"/>
          <w:szCs w:val="21"/>
          <w:highlight w:val="none"/>
          <w:u w:val="single"/>
        </w:rPr>
        <w:t>2</w:t>
      </w:r>
      <w:r>
        <w:rPr>
          <w:rFonts w:hint="eastAsia" w:ascii="宋体" w:hAnsi="宋体" w:cs="宋体"/>
          <w:color w:val="auto"/>
          <w:szCs w:val="21"/>
          <w:highlight w:val="none"/>
          <w:u w:val="single"/>
        </w:rPr>
        <w:t>）与工程有关的标准；（</w:t>
      </w:r>
      <w:r>
        <w:rPr>
          <w:rFonts w:ascii="宋体" w:hAnsi="宋体" w:cs="宋体"/>
          <w:color w:val="auto"/>
          <w:szCs w:val="21"/>
          <w:highlight w:val="none"/>
          <w:u w:val="single"/>
        </w:rPr>
        <w:t>3</w:t>
      </w:r>
      <w:r>
        <w:rPr>
          <w:rFonts w:hint="eastAsia" w:ascii="宋体" w:hAnsi="宋体" w:cs="宋体"/>
          <w:color w:val="auto"/>
          <w:szCs w:val="21"/>
          <w:highlight w:val="none"/>
          <w:u w:val="single"/>
        </w:rPr>
        <w:t>）工程设计及有关文件；（</w:t>
      </w:r>
      <w:r>
        <w:rPr>
          <w:rFonts w:ascii="宋体" w:hAnsi="宋体" w:cs="宋体"/>
          <w:color w:val="auto"/>
          <w:szCs w:val="21"/>
          <w:highlight w:val="none"/>
          <w:u w:val="single"/>
        </w:rPr>
        <w:t>4</w:t>
      </w:r>
      <w:r>
        <w:rPr>
          <w:rFonts w:hint="eastAsia" w:ascii="宋体" w:hAnsi="宋体" w:cs="宋体"/>
          <w:color w:val="auto"/>
          <w:szCs w:val="21"/>
          <w:highlight w:val="none"/>
          <w:u w:val="single"/>
        </w:rPr>
        <w:t>）本合同及委托人与第三方签订的与实施工程有关的其他合同。</w:t>
      </w:r>
    </w:p>
    <w:p w14:paraId="74C0A70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dstrike/>
          <w:color w:val="auto"/>
          <w:szCs w:val="21"/>
          <w:highlight w:val="none"/>
        </w:rPr>
      </w:pPr>
      <w:r>
        <w:rPr>
          <w:rFonts w:hint="eastAsia" w:ascii="宋体" w:hAnsi="宋体" w:cs="宋体"/>
          <w:color w:val="auto"/>
          <w:szCs w:val="21"/>
          <w:highlight w:val="none"/>
        </w:rPr>
        <w:t>2.2.2 相关服务依据包括：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B5F5A6">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2.3</w:t>
      </w:r>
      <w:r>
        <w:rPr>
          <w:rFonts w:hint="eastAsia" w:ascii="宋体" w:hAnsi="宋体" w:cs="宋体"/>
          <w:color w:val="auto"/>
          <w:kern w:val="0"/>
          <w:szCs w:val="21"/>
          <w:highlight w:val="none"/>
        </w:rPr>
        <w:t>项目监理机构和人员</w:t>
      </w:r>
    </w:p>
    <w:p w14:paraId="77A0E24B">
      <w:pPr>
        <w:keepNext w:val="0"/>
        <w:keepLines w:val="0"/>
        <w:pageBreakBefore w:val="0"/>
        <w:widowControl/>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p>
    <w:p w14:paraId="3C9B136A">
      <w:pPr>
        <w:keepNext w:val="0"/>
        <w:keepLines w:val="0"/>
        <w:pageBreakBefore w:val="0"/>
        <w:widowControl/>
        <w:kinsoku/>
        <w:wordWrap/>
        <w:overflowPunct/>
        <w:topLinePunct w:val="0"/>
        <w:autoSpaceDE/>
        <w:autoSpaceDN/>
        <w:bidi w:val="0"/>
        <w:spacing w:line="400" w:lineRule="exact"/>
        <w:ind w:left="-420" w:leftChars="-200" w:right="-313" w:rightChars="-149" w:firstLine="420" w:firstLineChars="200"/>
        <w:jc w:val="left"/>
        <w:textAlignment w:val="auto"/>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（1）项目负责人变更必须经发包人批准，并满足《关于进一步加强建筑施工现场项目负责人变更行为管理的通知》及滁州市其他相关规定要求。 </w:t>
      </w:r>
    </w:p>
    <w:p w14:paraId="10BB9E9A">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u w:val="single"/>
        </w:rPr>
        <w:t xml:space="preserve">（2）总监代表（如有）、监理部等关键岗位人员变更必须经发包人批准，变更后的总监代表、监理部等关键岗位人员必须符合本项目招标文件和投标承诺配备的同等条件人员。    </w:t>
      </w:r>
    </w:p>
    <w:p w14:paraId="4CD62C84">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kern w:val="0"/>
          <w:szCs w:val="21"/>
          <w:highlight w:val="none"/>
        </w:rPr>
        <w:t>履行职责</w:t>
      </w:r>
    </w:p>
    <w:p w14:paraId="55B3810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2.4.3对监理人的授权范围：</w:t>
      </w:r>
      <w:r>
        <w:rPr>
          <w:rFonts w:hint="eastAsia" w:ascii="宋体" w:hAnsi="宋体" w:cs="宋体"/>
          <w:b w:val="0"/>
          <w:bCs w:val="0"/>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cs="宋体"/>
          <w:b w:val="0"/>
          <w:bCs w:val="0"/>
          <w:color w:val="auto"/>
          <w:szCs w:val="21"/>
          <w:highlight w:val="none"/>
        </w:rPr>
        <w:t>。</w:t>
      </w:r>
    </w:p>
    <w:p w14:paraId="21FEC203">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outlineLvl w:val="0"/>
        <w:rPr>
          <w:rFonts w:hint="eastAsia" w:ascii="宋体" w:hAnsi="宋体" w:cs="宋体"/>
          <w:color w:val="auto"/>
          <w:szCs w:val="21"/>
          <w:highlight w:val="none"/>
        </w:rPr>
      </w:pPr>
      <w:bookmarkStart w:id="99" w:name="_Toc23904"/>
      <w:bookmarkStart w:id="100" w:name="_Toc32002"/>
      <w:bookmarkStart w:id="101" w:name="_Toc5124"/>
      <w:r>
        <w:rPr>
          <w:rFonts w:hint="eastAsia" w:ascii="宋体" w:hAnsi="宋体" w:cs="宋体"/>
          <w:color w:val="auto"/>
          <w:szCs w:val="21"/>
          <w:highlight w:val="none"/>
        </w:rPr>
        <w:t>在涉及工程延期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天内和（或）金额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万元内的变更，监理人不需请示委托人即可向承包人发布变更通知。</w:t>
      </w:r>
      <w:bookmarkEnd w:id="99"/>
      <w:bookmarkEnd w:id="100"/>
      <w:bookmarkEnd w:id="101"/>
    </w:p>
    <w:p w14:paraId="0BA9A06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2.4.4监理人有权要求承包人调换其人员</w:t>
      </w:r>
      <w:r>
        <w:rPr>
          <w:rFonts w:hint="eastAsia" w:ascii="宋体" w:hAnsi="宋体" w:cs="宋体"/>
          <w:color w:val="auto"/>
          <w:szCs w:val="21"/>
          <w:highlight w:val="none"/>
        </w:rPr>
        <w:t>的限制条件：</w:t>
      </w:r>
      <w:r>
        <w:rPr>
          <w:rFonts w:hint="eastAsia" w:ascii="宋体" w:hAnsi="宋体" w:cs="宋体"/>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均须建设单位书面同意</w:t>
      </w:r>
      <w:r>
        <w:rPr>
          <w:rFonts w:hint="eastAsia" w:ascii="宋体" w:hAnsi="宋体" w:cs="宋体"/>
          <w:color w:val="auto"/>
          <w:szCs w:val="21"/>
          <w:highlight w:val="none"/>
          <w:u w:val="single"/>
        </w:rPr>
        <w:t xml:space="preserve">   。    </w:t>
      </w:r>
    </w:p>
    <w:p w14:paraId="1B07D357">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14:paraId="42A617F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监理人应提交报告的种类(</w:t>
      </w:r>
      <w:r>
        <w:rPr>
          <w:rFonts w:hint="eastAsia" w:ascii="宋体" w:hAnsi="宋体" w:cs="宋体"/>
          <w:color w:val="auto"/>
          <w:kern w:val="0"/>
          <w:szCs w:val="21"/>
          <w:highlight w:val="none"/>
        </w:rPr>
        <w:t>包括监理规划、监理月报及约定的专项报告)</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hint="eastAsia" w:ascii="宋体" w:hAnsi="宋体" w:cs="宋体"/>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满足建设单位需求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01D41E">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2.7 使用委托人的财产</w:t>
      </w:r>
    </w:p>
    <w:p w14:paraId="47EDE12B">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附录B中由委托人无偿提供的房屋、设备的所有权属于：</w:t>
      </w:r>
      <w:r>
        <w:rPr>
          <w:rFonts w:hint="eastAsia" w:ascii="宋体" w:hAnsi="宋体" w:cs="宋体"/>
          <w:color w:val="auto"/>
          <w:szCs w:val="21"/>
          <w:highlight w:val="none"/>
          <w:u w:val="single"/>
        </w:rPr>
        <w:t xml:space="preserve">  委托人的财产     </w:t>
      </w:r>
      <w:r>
        <w:rPr>
          <w:rFonts w:hint="eastAsia" w:ascii="宋体" w:hAnsi="宋体" w:cs="宋体"/>
          <w:color w:val="auto"/>
          <w:szCs w:val="21"/>
          <w:highlight w:val="none"/>
        </w:rPr>
        <w:t>。</w:t>
      </w:r>
    </w:p>
    <w:p w14:paraId="0B923DF6">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监理人应在本合同终止后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天内移交委托人无偿提供的房屋、设备，移交的时间和方式为：</w:t>
      </w:r>
      <w:r>
        <w:rPr>
          <w:rFonts w:hint="eastAsia" w:ascii="宋体" w:hAnsi="宋体" w:cs="宋体"/>
          <w:color w:val="auto"/>
          <w:szCs w:val="21"/>
          <w:highlight w:val="none"/>
          <w:u w:val="single"/>
        </w:rPr>
        <w:t>委托人的财产</w:t>
      </w:r>
      <w:r>
        <w:rPr>
          <w:rFonts w:hint="eastAsia" w:ascii="宋体" w:hAnsi="宋体" w:cs="宋体"/>
          <w:color w:val="auto"/>
          <w:szCs w:val="21"/>
          <w:highlight w:val="none"/>
        </w:rPr>
        <w:t>。</w:t>
      </w:r>
    </w:p>
    <w:p w14:paraId="5720D6D5">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kern w:val="0"/>
          <w:szCs w:val="21"/>
          <w:highlight w:val="none"/>
        </w:rPr>
        <w:t xml:space="preserve">3. 委托人义务  </w:t>
      </w:r>
    </w:p>
    <w:p w14:paraId="46210FC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3.4 委托人代表</w:t>
      </w:r>
    </w:p>
    <w:p w14:paraId="6DE555A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委托人代表为：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00D1E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3.6 答复</w:t>
      </w:r>
    </w:p>
    <w:p w14:paraId="5794D525">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委托人同意在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天内，对监理人书面提交并要求做出决定的事宜给予书面答复。</w:t>
      </w:r>
    </w:p>
    <w:p w14:paraId="78F80CF9">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 违约责任</w:t>
      </w:r>
    </w:p>
    <w:p w14:paraId="2FEEB973">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4.1 监理人的违约责任</w:t>
      </w:r>
    </w:p>
    <w:p w14:paraId="7AC288D6">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4.1.1监理人赔偿金额按下列方法确定：</w:t>
      </w:r>
    </w:p>
    <w:p w14:paraId="42C34076">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14:paraId="4980569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4.2 委托人的违约责任</w:t>
      </w:r>
    </w:p>
    <w:p w14:paraId="3449C932">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4.2.3 委托人</w:t>
      </w:r>
      <w:r>
        <w:rPr>
          <w:rFonts w:hint="eastAsia" w:ascii="宋体" w:hAnsi="宋体" w:cs="宋体"/>
          <w:color w:val="auto"/>
          <w:kern w:val="0"/>
          <w:szCs w:val="21"/>
          <w:highlight w:val="none"/>
        </w:rPr>
        <w:t>逾期付款利息按下列方法确定：</w:t>
      </w:r>
    </w:p>
    <w:p w14:paraId="1A3D9DAD">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14:paraId="2D0269B4">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5. 支付</w:t>
      </w:r>
    </w:p>
    <w:p w14:paraId="7BE34C1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14:paraId="42EEAD8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币种为：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人民币 </w:t>
      </w:r>
      <w:r>
        <w:rPr>
          <w:rFonts w:hint="eastAsia" w:ascii="宋体" w:hAnsi="宋体" w:cs="宋体"/>
          <w:color w:val="auto"/>
          <w:szCs w:val="21"/>
          <w:highlight w:val="none"/>
        </w:rPr>
        <w:t>，比例为：</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rPr>
        <w:t>，汇率为：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073E5C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5.3 支付酬金</w:t>
      </w:r>
    </w:p>
    <w:p w14:paraId="047E2F78">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支付方式：按项目分别支付。竣工验收合格后付至对应项目监理费用（对应已完成合格工程量价款*中标费率）的80%，施工结算、资料归档及审计结束后付至对应项目监理费用（对应项目结算价*中标费率）的100%。</w:t>
      </w:r>
    </w:p>
    <w:p w14:paraId="2D98AA83">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u w:val="none"/>
        </w:rPr>
        <w:t>注：付款前需提供齐全有效的增值税专用发票。</w:t>
      </w:r>
    </w:p>
    <w:p w14:paraId="50A2712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6</w:t>
      </w:r>
      <w:r>
        <w:rPr>
          <w:rFonts w:hint="eastAsia" w:ascii="宋体" w:hAnsi="宋体" w:cs="宋体"/>
          <w:b/>
          <w:bCs/>
          <w:color w:val="auto"/>
          <w:szCs w:val="21"/>
          <w:highlight w:val="none"/>
        </w:rPr>
        <w:t>. 合同生效、变更、暂停、解除与终止</w:t>
      </w:r>
    </w:p>
    <w:p w14:paraId="72050A8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 生效</w:t>
      </w:r>
    </w:p>
    <w:p w14:paraId="34D77FCF">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本合同生效条件：</w:t>
      </w:r>
      <w:r>
        <w:rPr>
          <w:rFonts w:hint="eastAsia" w:ascii="宋体" w:hAnsi="宋体" w:cs="宋体"/>
          <w:color w:val="auto"/>
          <w:szCs w:val="21"/>
          <w:highlight w:val="none"/>
          <w:u w:val="single"/>
        </w:rPr>
        <w:t>委托人和</w:t>
      </w:r>
      <w:r>
        <w:rPr>
          <w:rFonts w:hint="eastAsia" w:ascii="宋体" w:hAnsi="宋体" w:eastAsia="宋体" w:cs="宋体"/>
          <w:color w:val="auto"/>
          <w:szCs w:val="21"/>
          <w:highlight w:val="none"/>
          <w:u w:val="single"/>
          <w:lang w:val="en-US" w:eastAsia="zh-CN"/>
        </w:rPr>
        <w:t>受托人</w:t>
      </w:r>
      <w:r>
        <w:rPr>
          <w:rFonts w:hint="eastAsia" w:ascii="宋体" w:hAnsi="宋体" w:eastAsia="宋体" w:cs="宋体"/>
          <w:color w:val="auto"/>
          <w:szCs w:val="21"/>
          <w:highlight w:val="none"/>
          <w:u w:val="single"/>
        </w:rPr>
        <w:t>的法定代</w:t>
      </w:r>
      <w:r>
        <w:rPr>
          <w:rFonts w:hint="eastAsia" w:ascii="宋体" w:hAnsi="宋体" w:cs="宋体"/>
          <w:color w:val="auto"/>
          <w:szCs w:val="21"/>
          <w:highlight w:val="none"/>
          <w:u w:val="single"/>
        </w:rPr>
        <w:t>表人或其授权代理人在协议书上签字并盖单位章后本合同生效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C92C6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 变更</w:t>
      </w:r>
    </w:p>
    <w:p w14:paraId="58C8CF5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6.2.2 除不可抗力外， 因非监理人原因导致本合同期限延长时，附加工作酬金按下列方法确定：</w:t>
      </w:r>
    </w:p>
    <w:p w14:paraId="13668146">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  。</w:t>
      </w:r>
    </w:p>
    <w:p w14:paraId="1D71738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default" w:ascii="宋体" w:hAnsi="宋体" w:cs="宋体"/>
          <w:color w:val="auto"/>
          <w:kern w:val="0"/>
          <w:szCs w:val="21"/>
          <w:highlight w:val="none"/>
          <w:u w:val="single"/>
          <w:lang w:val="en-US"/>
        </w:rPr>
      </w:pPr>
      <w:r>
        <w:rPr>
          <w:rFonts w:hint="eastAsia" w:ascii="宋体" w:hAnsi="宋体" w:cs="宋体"/>
          <w:color w:val="auto"/>
          <w:szCs w:val="21"/>
          <w:highlight w:val="none"/>
        </w:rPr>
        <w:t>6.2.3附加工作酬金按下列方法确定：</w:t>
      </w:r>
      <w:r>
        <w:rPr>
          <w:rFonts w:hint="eastAsia" w:ascii="宋体" w:hAnsi="宋体" w:cs="宋体"/>
          <w:color w:val="auto"/>
          <w:kern w:val="0"/>
          <w:szCs w:val="21"/>
          <w:highlight w:val="none"/>
          <w:u w:val="single"/>
          <w:lang w:val="en-US" w:eastAsia="zh-CN"/>
        </w:rPr>
        <w:t xml:space="preserve">/ 。 </w:t>
      </w:r>
    </w:p>
    <w:p w14:paraId="0B56596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szCs w:val="21"/>
          <w:highlight w:val="none"/>
        </w:rPr>
        <w:t>6.2.5 正常工作酬金增加额按下列方法确定：</w:t>
      </w:r>
      <w:r>
        <w:rPr>
          <w:rFonts w:hint="eastAsia" w:ascii="宋体" w:hAnsi="宋体" w:cs="宋体"/>
          <w:color w:val="auto"/>
          <w:kern w:val="0"/>
          <w:szCs w:val="21"/>
          <w:highlight w:val="none"/>
          <w:u w:val="single"/>
          <w:lang w:val="en-US" w:eastAsia="zh-CN"/>
        </w:rPr>
        <w:t>/ 。</w:t>
      </w:r>
    </w:p>
    <w:p w14:paraId="4A10742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因工程规模、监理范围的变化导致监理人的正常工作量减少时，按减少工作量的比例从协议书约定的正常工作酬金中扣减相同比例的酬金。</w:t>
      </w:r>
    </w:p>
    <w:p w14:paraId="56B6A932">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7. 争议解决</w:t>
      </w:r>
    </w:p>
    <w:p w14:paraId="657B8F5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7.2 </w:t>
      </w:r>
      <w:r>
        <w:rPr>
          <w:rFonts w:hint="eastAsia" w:ascii="宋体" w:hAnsi="宋体" w:cs="宋体"/>
          <w:bCs/>
          <w:color w:val="auto"/>
          <w:szCs w:val="21"/>
          <w:highlight w:val="none"/>
        </w:rPr>
        <w:t>调解</w:t>
      </w:r>
    </w:p>
    <w:p w14:paraId="7EE576E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本合同争议进行调解时，可提交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进行调解。</w:t>
      </w:r>
    </w:p>
    <w:p w14:paraId="57C78B27">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7.3 </w:t>
      </w:r>
      <w:r>
        <w:rPr>
          <w:rFonts w:hint="eastAsia" w:ascii="宋体" w:hAnsi="宋体" w:cs="宋体"/>
          <w:bCs/>
          <w:color w:val="auto"/>
          <w:szCs w:val="21"/>
          <w:highlight w:val="none"/>
        </w:rPr>
        <w:t>仲裁或诉讼</w:t>
      </w:r>
    </w:p>
    <w:p w14:paraId="19FDE1D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043DFBF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03B3F1C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14:paraId="6BEE2F3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8. 其他</w:t>
      </w:r>
    </w:p>
    <w:p w14:paraId="088D4C1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8.2 检测费用</w:t>
      </w:r>
    </w:p>
    <w:p w14:paraId="6AA8D683">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委托人应在检测工作完成后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天内支付检测费用。</w:t>
      </w:r>
    </w:p>
    <w:p w14:paraId="432908F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8.3 咨询费用</w:t>
      </w:r>
    </w:p>
    <w:p w14:paraId="334A2BD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委托人应在咨询工作完成后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天内支付咨询费用。</w:t>
      </w:r>
    </w:p>
    <w:p w14:paraId="18AC29F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8.4 奖励</w:t>
      </w:r>
    </w:p>
    <w:p w14:paraId="1A3D0BD1">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合理化建议的奖励金额按下列方法确定为：</w:t>
      </w:r>
    </w:p>
    <w:p w14:paraId="2DBE15D3">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奖励金额＝工程投资节省额×奖励金额的比率；</w:t>
      </w:r>
    </w:p>
    <w:p w14:paraId="326C9EE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奖励金额的比率为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B3981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8.6 保密</w:t>
      </w:r>
    </w:p>
    <w:p w14:paraId="714497B7">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0C3DED">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监理人申明的保密事项和期限：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A3087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outlineLvl w:val="0"/>
        <w:rPr>
          <w:rFonts w:hint="eastAsia" w:ascii="宋体" w:hAnsi="宋体" w:cs="宋体"/>
          <w:color w:val="auto"/>
          <w:szCs w:val="21"/>
          <w:highlight w:val="none"/>
          <w:u w:val="single"/>
        </w:rPr>
      </w:pPr>
      <w:bookmarkStart w:id="102" w:name="_Toc25154"/>
      <w:bookmarkStart w:id="103" w:name="_Toc5493"/>
      <w:r>
        <w:rPr>
          <w:rFonts w:hint="eastAsia" w:ascii="宋体" w:hAnsi="宋体" w:cs="宋体"/>
          <w:color w:val="auto"/>
          <w:szCs w:val="21"/>
          <w:highlight w:val="none"/>
        </w:rPr>
        <w:t>第三方申明的保密事项和期限：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2"/>
      <w:bookmarkEnd w:id="103"/>
    </w:p>
    <w:p w14:paraId="654365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outlineLvl w:val="0"/>
        <w:rPr>
          <w:rFonts w:hint="eastAsia" w:ascii="宋体" w:hAnsi="宋体" w:cs="宋体"/>
          <w:bCs/>
          <w:color w:val="auto"/>
          <w:szCs w:val="21"/>
          <w:highlight w:val="none"/>
        </w:rPr>
      </w:pPr>
      <w:bookmarkStart w:id="104" w:name="_Toc15769"/>
      <w:bookmarkStart w:id="105" w:name="_Toc25677"/>
      <w:r>
        <w:rPr>
          <w:rFonts w:hint="eastAsia" w:ascii="宋体" w:hAnsi="宋体" w:cs="宋体"/>
          <w:color w:val="auto"/>
          <w:szCs w:val="21"/>
          <w:highlight w:val="none"/>
        </w:rPr>
        <w:t>8.8</w:t>
      </w:r>
      <w:r>
        <w:rPr>
          <w:rFonts w:hint="eastAsia" w:ascii="宋体" w:hAnsi="宋体" w:cs="宋体"/>
          <w:bCs/>
          <w:color w:val="auto"/>
          <w:szCs w:val="21"/>
          <w:highlight w:val="none"/>
        </w:rPr>
        <w:t>著作权</w:t>
      </w:r>
      <w:bookmarkEnd w:id="104"/>
      <w:bookmarkEnd w:id="105"/>
    </w:p>
    <w:p w14:paraId="267738B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11EAC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rPr>
        <w:t>9.补充条款</w:t>
      </w:r>
    </w:p>
    <w:p w14:paraId="2CD66D0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9.1 人员配备要求</w:t>
      </w:r>
    </w:p>
    <w:p w14:paraId="18148A8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9.1.1 监理人员要求</w:t>
      </w:r>
      <w:r>
        <w:rPr>
          <w:rFonts w:hint="eastAsia" w:ascii="宋体" w:hAnsi="宋体" w:cs="宋体"/>
          <w:color w:val="auto"/>
          <w:szCs w:val="21"/>
          <w:highlight w:val="none"/>
          <w:lang w:eastAsia="zh-CN"/>
        </w:rPr>
        <w:t>：</w:t>
      </w:r>
    </w:p>
    <w:p w14:paraId="1627482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1.监理人员配备：</w:t>
      </w:r>
      <w:r>
        <w:rPr>
          <w:rFonts w:hint="eastAsia" w:ascii="宋体" w:hAnsi="宋体" w:eastAsia="宋体" w:cs="宋体"/>
          <w:color w:val="auto"/>
          <w:szCs w:val="21"/>
          <w:highlight w:val="none"/>
          <w:lang w:val="en-US" w:eastAsia="zh-CN"/>
        </w:rPr>
        <w:t>须满足安徽省住房和城乡建设厅 《建筑与市政工程项目管理人员职业标准》。</w:t>
      </w:r>
      <w:r>
        <w:rPr>
          <w:rFonts w:hint="eastAsia" w:ascii="宋体" w:hAnsi="宋体" w:cs="宋体"/>
          <w:color w:val="auto"/>
          <w:szCs w:val="21"/>
          <w:highlight w:val="none"/>
        </w:rPr>
        <w:t>受托人须单独设立监理部，产生所有费用由受托人自行承担。监理部实施电子考勤，并按期配合接受委托人检查。</w:t>
      </w:r>
    </w:p>
    <w:p w14:paraId="0AF1C9A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工程开工进场后（根据施工实际需要安排，按照经批准的人员进场），受托人必须按招标文件要求和投标承诺配备项目总监理工程师、专业监理工程师、监理员等监理部关键岗位人员，以受托人任命文件为准；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个工作日内向委托人提供所有本项目监理人员的证书（已下文明确取消的证书，须提供相关证明材料）及委托人为其缴纳的</w:t>
      </w:r>
      <w:r>
        <w:rPr>
          <w:rFonts w:hint="eastAsia" w:ascii="宋体" w:hAnsi="宋体" w:cs="宋体"/>
          <w:color w:val="auto"/>
          <w:szCs w:val="21"/>
          <w:highlight w:val="none"/>
          <w:u w:val="single"/>
          <w:lang w:val="en-US" w:eastAsia="zh-CN"/>
        </w:rPr>
        <w:t>投标前近3</w:t>
      </w:r>
      <w:r>
        <w:rPr>
          <w:rFonts w:hint="eastAsia" w:ascii="宋体" w:hAnsi="宋体" w:cs="宋体"/>
          <w:color w:val="auto"/>
          <w:szCs w:val="21"/>
          <w:highlight w:val="none"/>
        </w:rPr>
        <w:t>个月社保材料进行审核。</w:t>
      </w:r>
    </w:p>
    <w:p w14:paraId="285134B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未经委托人同意的，受托人不得变更监理人员。确需变更的应提前7日向委托人提出书面申请。委托人因受托人所派人员管理能力不善未能满足相关服务而要求更换人员的，受托人必须无条件更换，同时委托人将处予受托人一定的违约金。具体要求如下：</w:t>
      </w:r>
    </w:p>
    <w:p w14:paraId="4924995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（1）总监理工程师变更必须经委托人</w:t>
      </w:r>
      <w:r>
        <w:rPr>
          <w:rFonts w:hint="eastAsia" w:ascii="宋体" w:hAnsi="宋体" w:cs="宋体"/>
          <w:color w:val="auto"/>
          <w:szCs w:val="21"/>
          <w:highlight w:val="none"/>
          <w:lang w:eastAsia="zh-CN"/>
        </w:rPr>
        <w:t>、公管局及住建部门同意，</w:t>
      </w:r>
      <w:r>
        <w:rPr>
          <w:rFonts w:hint="eastAsia" w:ascii="宋体" w:hAnsi="宋体" w:cs="宋体"/>
          <w:color w:val="auto"/>
          <w:szCs w:val="21"/>
          <w:highlight w:val="none"/>
        </w:rPr>
        <w:t>总监除亡故、重大疾病、出国、辞职等原因外，原则上不得变更。其中①亡故的需提供公安部门开具的死亡证明；②重大疾病的需提供三甲及以上医院证明；③出国、辞职等原因提出变更的，需提供相关证明；上述②和③变更除需提供相关证明外，均须缴纳</w:t>
      </w:r>
      <w:bookmarkStart w:id="106" w:name="OLE_LINK12"/>
      <w:bookmarkStart w:id="107" w:name="OLE_LINK13"/>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元违约金，</w:t>
      </w:r>
      <w:bookmarkEnd w:id="106"/>
      <w:bookmarkEnd w:id="107"/>
      <w:r>
        <w:rPr>
          <w:rFonts w:hint="eastAsia" w:ascii="宋体" w:hAnsi="宋体" w:cs="宋体"/>
          <w:color w:val="auto"/>
          <w:szCs w:val="21"/>
          <w:highlight w:val="none"/>
        </w:rPr>
        <w:t>否则不得变更。更换后的总监理工程师的资格、业绩等不得低于更换前的要求；</w:t>
      </w:r>
    </w:p>
    <w:p w14:paraId="7037751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专业监理工程师变更必须经委托人批准，专业监理工程师除亡故、重大疾病、出国、辞职等原因外，原则上不得变更。其中①亡故的需提供公安部门开具的死亡证明；②重大疾病的需提供三甲及以上医院证明；③出国、辞职等原因提出变更的，需提供相关证明；上述②和③变更除需提供相关证明外，</w:t>
      </w:r>
      <w:bookmarkStart w:id="108" w:name="OLE_LINK15"/>
      <w:bookmarkStart w:id="109" w:name="OLE_LINK14"/>
      <w:r>
        <w:rPr>
          <w:rFonts w:hint="eastAsia" w:ascii="宋体" w:hAnsi="宋体" w:cs="宋体"/>
          <w:color w:val="auto"/>
          <w:szCs w:val="21"/>
          <w:highlight w:val="none"/>
        </w:rPr>
        <w:t>均须缴纳</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元/人/次违约金，</w:t>
      </w:r>
      <w:bookmarkStart w:id="110" w:name="OLE_LINK18"/>
      <w:bookmarkStart w:id="111" w:name="OLE_LINK19"/>
      <w:r>
        <w:rPr>
          <w:rFonts w:hint="eastAsia" w:ascii="宋体" w:hAnsi="宋体" w:cs="宋体"/>
          <w:color w:val="auto"/>
          <w:szCs w:val="21"/>
          <w:highlight w:val="none"/>
        </w:rPr>
        <w:t>否则不得变更。</w:t>
      </w:r>
      <w:bookmarkEnd w:id="108"/>
      <w:bookmarkEnd w:id="109"/>
      <w:bookmarkEnd w:id="110"/>
      <w:bookmarkEnd w:id="111"/>
      <w:bookmarkStart w:id="112" w:name="OLE_LINK21"/>
      <w:bookmarkStart w:id="113" w:name="OLE_LINK20"/>
      <w:r>
        <w:rPr>
          <w:rFonts w:hint="eastAsia" w:ascii="宋体" w:hAnsi="宋体" w:cs="宋体"/>
          <w:color w:val="auto"/>
          <w:szCs w:val="21"/>
          <w:highlight w:val="none"/>
        </w:rPr>
        <w:t>更换后的专业监理工程师的资格、业绩等不得低于更换前的要求。</w:t>
      </w:r>
    </w:p>
    <w:bookmarkEnd w:id="112"/>
    <w:bookmarkEnd w:id="113"/>
    <w:p w14:paraId="4EF9B53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（3）更换其他监理人员，需经委托人同意并办理变更调整书面手续，否则不得变更。更换后的监理人员的资格等不得低于更换前的要求。</w:t>
      </w:r>
    </w:p>
    <w:p w14:paraId="5652BCC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（4）未经委托人同意擅自更换总监理工程师或专业监理工程师、未按上述要求配备监理人员、配备监理人员与投标文件中监理人员不同的，委托人对受托人予以</w:t>
      </w:r>
      <w:bookmarkStart w:id="114" w:name="OLE_LINK17"/>
      <w:bookmarkStart w:id="115" w:name="OLE_LINK16"/>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元/人/次违约金</w:t>
      </w:r>
      <w:bookmarkEnd w:id="114"/>
      <w:bookmarkEnd w:id="115"/>
      <w:r>
        <w:rPr>
          <w:rFonts w:hint="eastAsia" w:ascii="宋体" w:hAnsi="宋体" w:cs="宋体"/>
          <w:color w:val="auto"/>
          <w:szCs w:val="21"/>
          <w:highlight w:val="none"/>
        </w:rPr>
        <w:t>处理，直至解除合同，并追究由此给委托人和相关人带来的一切损失，同时上报建设行政主管部门处理。</w:t>
      </w:r>
    </w:p>
    <w:p w14:paraId="4D569E5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4.拟派的总监理工程师在合同工期内每月在岗时间不得少于</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rPr>
        <w:t>天且每天在岗时间不得少于</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小时，每缺少一天（含在岗不足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元/人/次违约金；专业监理工程师和其他监理人员在合同工期内每月在岗时间不得少于</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天且每天在岗时间不得少于</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小时，专业监理工程师每缺少一天（含在岗不足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1000</w:t>
      </w:r>
      <w:r>
        <w:rPr>
          <w:rFonts w:hint="eastAsia" w:ascii="宋体" w:hAnsi="宋体" w:cs="宋体"/>
          <w:color w:val="auto"/>
          <w:szCs w:val="21"/>
          <w:highlight w:val="none"/>
        </w:rPr>
        <w:t>元/人/次违约金，其他监理人员每缺少一天（含在岗不足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元/人/次违约金。</w:t>
      </w:r>
    </w:p>
    <w:p w14:paraId="4E47B54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9.1.2 其他要求</w:t>
      </w:r>
    </w:p>
    <w:p w14:paraId="082E57B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派驻的监理人员年龄均不得超过60周岁，其中监理负责人（总监理工程师）的国家级注册监理工程师证书在受托人单位注册且在有效期内的可延至65周岁。受托人须确保监理负责人的国家注册监理工程师证书在项目整体服务周期内均有效。否则除以</w:t>
      </w:r>
      <w:r>
        <w:rPr>
          <w:rFonts w:hint="eastAsia" w:ascii="宋体" w:hAnsi="宋体" w:eastAsia="宋体" w:cs="宋体"/>
          <w:color w:val="auto"/>
          <w:szCs w:val="21"/>
          <w:highlight w:val="none"/>
          <w:lang w:val="en-US" w:eastAsia="zh-CN"/>
        </w:rPr>
        <w:t>5000</w:t>
      </w:r>
      <w:r>
        <w:rPr>
          <w:rFonts w:hint="eastAsia" w:ascii="宋体" w:hAnsi="宋体" w:eastAsia="宋体" w:cs="宋体"/>
          <w:color w:val="auto"/>
          <w:szCs w:val="21"/>
          <w:highlight w:val="none"/>
        </w:rPr>
        <w:t>元/人违约金。</w:t>
      </w:r>
    </w:p>
    <w:p w14:paraId="1FA026B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9.2、质量管理</w:t>
      </w:r>
    </w:p>
    <w:p w14:paraId="15C7A09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 受托人应当依照法律、法规以及有关技术标准、设计文件和建设工程承包合同，代表建设单位对施工质量实施监理，并对施工质量承担监理责任。</w:t>
      </w:r>
    </w:p>
    <w:p w14:paraId="069C5B0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9.2.2受托人必须严格按照施工图和国家现行施工、验收规范和工程质量检验评定标准及技术要求，按施工企业投标承诺质量标准采取旁站、巡视和平行检验等形式，对本工程实施全过程监理。被委托人检查未履行上述职责的处每次</w:t>
      </w:r>
      <w:r>
        <w:rPr>
          <w:rFonts w:hint="eastAsia" w:ascii="宋体" w:hAnsi="宋体" w:cs="宋体"/>
          <w:color w:val="auto"/>
          <w:szCs w:val="21"/>
          <w:highlight w:val="none"/>
          <w:u w:val="single"/>
          <w:lang w:val="en-US" w:eastAsia="zh-CN"/>
        </w:rPr>
        <w:t>5000</w:t>
      </w:r>
      <w:r>
        <w:rPr>
          <w:rFonts w:hint="eastAsia" w:ascii="宋体" w:hAnsi="宋体" w:cs="宋体"/>
          <w:color w:val="auto"/>
          <w:szCs w:val="21"/>
          <w:highlight w:val="none"/>
        </w:rPr>
        <w:t>元违约金扣除。</w:t>
      </w:r>
    </w:p>
    <w:p w14:paraId="2A0AE74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9.2.3工程监理单位与被监理工程的施工承包单位以及建筑材料、建筑构配件和设备供应单位有隶属关系或者其他利害关系承担该项建设工程的监理业务的，被查证属实的，根据情节情况处</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的违约金，同时报行业主管部门处理，降低资质等级或者吊销资质证书,有违法所得的予以没收。</w:t>
      </w:r>
    </w:p>
    <w:p w14:paraId="305B7C8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9.2.4对于不符合设计要求和合同约定及国家质量标准的材料、构配件、设备以及不符合规范和质量标准的工序、分部分项工程和不安全施工作业，受托人应立刻要求施工单位停止使用、停工整改及返工，否则受托人承担连带责任，委托人根据情节情况严重情况处</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w:t>
      </w:r>
    </w:p>
    <w:p w14:paraId="63A2E3A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9.2.5工程施工质量的报验工作由受托人监督承包人完成。包括材料抽检、分部分项查验、验收程序组织等未按照建设行业相关程序实施的不允许下一步施工，同时履行监理相应职责勒令并监督整改。未纠正而造成损失由受托人承担连带责任，委托人根据情节情况严重情况处</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的违约金扣除。</w:t>
      </w:r>
    </w:p>
    <w:p w14:paraId="0CD61D3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9.2.6监理人员在施工阶段对关键部位和关键工序的施工质量实施全过程跟班旁站，旁站时发现问题要及时予以纠正。当发现施工出现了安全隐患、工程质量出现的缺陷可能引发工程质量事故时，应先口头要求暂停施工并采取录相、摄影等手段予以记录，并立即向总监理工程师汇报，由总监理工程师签发《暂停施工令》，所发现问题及处理过程应记入监理日志。被委托人检查未履行上述职责的处每次</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违约金扣除。</w:t>
      </w:r>
    </w:p>
    <w:p w14:paraId="03FE4C5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施工中存在质量问题，应能够及时发现并立即安排处理和复查，质量问题不得隐瞒并私自处理；否则发现一次处罚</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元。经验收合格的工程，应不得再有质量问题。验收后仍存在质量相关问题的，根据情节严重情况处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元的违约金扣除。</w:t>
      </w:r>
    </w:p>
    <w:p w14:paraId="205D7B9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委托人在工程施工期间，不定期地组织有关部门对工程质量进行抽查，如发现已施工完成的工程中，材料、质量未达到质量标准且未被监理人员发现并纠正，视为监理失误，委托人将予以监理费的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%作为违约金处理。业主代表对发现的监理渎职现象，对受托人将予以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元/次的违约金，有重大损失的，按照有关规定移交司法部门处理。</w:t>
      </w:r>
    </w:p>
    <w:p w14:paraId="50995357">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9.2.7凡由于受托人责任而影响工程造价、工期和质量的，造成的质量问题、工期滞后和经济损失由受托人承担。有权从工程施工监理费用中扣减并追偿损失费用。</w:t>
      </w:r>
    </w:p>
    <w:p w14:paraId="4CCA487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9.2.8隐蔽工程隐蔽前由受托人监督承包人进行自检，自检合格书面通知委托人验收，委托人及受托人按监理大纲到现场进行验收，经委托人及受托人确认合格并办理签证后方可隐蔽；验收不合格，受托人要监督承包人在限定时间内修改后重新验收。</w:t>
      </w:r>
    </w:p>
    <w:p w14:paraId="0027C74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9.2.9受托人监督承包人负责工程的成品保护，认真做好记录，在办理工程中间交接的同时，向委托人提供交接清单。</w:t>
      </w:r>
    </w:p>
    <w:p w14:paraId="5D84AAF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9.2.10受托人的工作人员因调动工作、退休等原因离开该单位后，被发现在该单位工作期间违反国家有关建设工程质量管理规定的，造成重大工程质量事故的，仍应追究法律责任。</w:t>
      </w:r>
    </w:p>
    <w:p w14:paraId="0915C8C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9.2.11 中标监理费总价最终结合投标人员到位数量来结算。即：投标总价/服务期（月）/投标承诺人数=每个投标人员每月应得的费用，经现场考勤，少投入1人扣除1人应得费用（以委托人签字认可的考勤表为准）。中标后，如实际到岗人数不满足招标文件要求的，将按上述标准从监理费用中予以扣除（各专业监理可结合项目的实施阶段经委托人签字认可后分期到岗）。</w:t>
      </w:r>
    </w:p>
    <w:p w14:paraId="1297DCB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9.2.12 拟派的专业监理工程师施工现场必须按出勤要求分别配备除手机以外相关影像视频设备，对关键环节部位进行影控留档，每个月考核一次，每发现一名人员一次未佩带的予以500元/次违约金，三次以上未佩带的，将予以2000元/次的违约金。</w:t>
      </w:r>
    </w:p>
    <w:p w14:paraId="2C82E8D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9.3安全管理</w:t>
      </w:r>
    </w:p>
    <w:p w14:paraId="3578B3C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9.3.1受托人负责施工区域或受施工影响的区域的安全监督，配备专职的安全监理员每日巡查，每周上报安全监督处理意见或处罚意见，并督促施工单位组织落实，委托人巡查发现安全隐患的，但监理单位未反馈，未上报的，委托人有权给予</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元/次违约金；如产生较大安全事故或造成不良社会影响的，需承担由于监理措施不力造成的经济损失和责任，每出现一次给予受托人</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元违约金，直接从监理费用中扣除。</w:t>
      </w:r>
    </w:p>
    <w:p w14:paraId="49F6191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9.3.2发生重大工程质量事故隐藏不报、谎报或者拖延报告期限的，给予受托人处以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元的违约金，对直接负责的监理人员依法报送执法机关给予处分，情节严重的将吊销执业资格证书。</w:t>
      </w:r>
    </w:p>
    <w:p w14:paraId="181A53F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9.3.3因受托人没有按照相关法律法规履行职责，根据《生产安全事故报告和调查处理条例》规定，出现一般事故、较大事故、重大事故、特别重大事故，或出现国家现行对工程质量造成损失严重程度进行分类中重大质量事故之一的，扣除所有监理费用，并追究相应责任。出现国家现行对工程质量造成损失严重程度进行分类中严重质量事故、一般质量事故的，每次扣除总监理费用的</w:t>
      </w:r>
      <w:r>
        <w:rPr>
          <w:rFonts w:hint="eastAsia" w:ascii="宋体" w:hAnsi="Times New Roman" w:eastAsia="宋体" w:cs="Times New Roman"/>
          <w:b w:val="0"/>
          <w:bCs/>
          <w:color w:val="auto"/>
          <w:kern w:val="2"/>
          <w:sz w:val="21"/>
          <w:szCs w:val="20"/>
          <w:highlight w:val="none"/>
          <w:lang w:val="en-US" w:eastAsia="zh-CN" w:bidi="ar-SA"/>
        </w:rPr>
        <w:t>10%-50%</w:t>
      </w:r>
      <w:r>
        <w:rPr>
          <w:rFonts w:hint="eastAsia" w:ascii="宋体" w:hAnsi="宋体" w:cs="宋体"/>
          <w:color w:val="auto"/>
          <w:szCs w:val="21"/>
          <w:highlight w:val="none"/>
        </w:rPr>
        <w:t>，并追究相应责任。</w:t>
      </w:r>
    </w:p>
    <w:p w14:paraId="2FE8909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9.3.3安全文明和扬尘治理管理：</w:t>
      </w:r>
    </w:p>
    <w:p w14:paraId="61BCAEB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1.受托人应定期组织现场安全文明生产检查，对检查发现的问题应及时督促承包人整改，并将整改结果上报委托人。</w:t>
      </w:r>
    </w:p>
    <w:p w14:paraId="7C1A191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2.督促承包人严格执行大气污染防治措施，做好台账，若出现防治措施不到位，被巡查、检查发现的，按相关大气污染防治规定处罚。</w:t>
      </w:r>
    </w:p>
    <w:p w14:paraId="2022666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3.做好日常安全监护及督促，对发现下述情况，受托人不按照要求提出整改的，对受托人处罚     元/项。</w:t>
      </w:r>
    </w:p>
    <w:p w14:paraId="7117BEE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（1）工程标牌未设置，或设置位置不醒目，破损未及时修复的。</w:t>
      </w:r>
    </w:p>
    <w:p w14:paraId="21AB3E2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施工单位未建立安全生产责任制，未落实安全生产的组织保证体系，安全员缺岗或不到位；施工单位安全管理台帐未及时建立或不完善，未对施工作业人员进行安全生产教育或分部分项工程未进行安全技术交底，施工单位特种作业人员未持证上岗。</w:t>
      </w:r>
    </w:p>
    <w:p w14:paraId="1ACE4B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（3）施工现场消防设施未按要求配置，施工脚手架未按规范搭设、报验不及时及未能满足安全防护要求的，现场安全帽、安全网、安全带等未按要求佩带或配置的。</w:t>
      </w:r>
    </w:p>
    <w:p w14:paraId="0A45BC2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（4）施工现场扬尘、高空抛物或从高处倾倒物体、随意倾倒垃圾、损坏设施不及时修复的。</w:t>
      </w:r>
    </w:p>
    <w:p w14:paraId="0367C33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（5）外墙脚手架未保持整洁、美观，发生破损，钢管、扣件、栏杆颜色标识不清楚，围档及周边道路、工地出入口未保持清洁，绿化、广告、灯箱等发生破损未及时修复的。</w:t>
      </w:r>
    </w:p>
    <w:p w14:paraId="7368808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790F49E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（7）施工现场成品、半成品及原材料未按规定堆放的。</w:t>
      </w:r>
    </w:p>
    <w:p w14:paraId="4B4A89D3">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7B78247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（9）发现生活区、职工集体宿舍、食堂违规使用电器，电线私拉乱接及未配设防火设备的。</w:t>
      </w:r>
    </w:p>
    <w:p w14:paraId="1F3B950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其他规定</w:t>
      </w:r>
    </w:p>
    <w:p w14:paraId="0F9B90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.1受托人对承包人请款必须严格按照请款程序审核把关，发现不按规定给予请款资料确认的，每次处违约金</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w:t>
      </w:r>
    </w:p>
    <w:p w14:paraId="0DD0011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 总监理工程师必须参加委托人组织的各项工程例会，每缺席一次按</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元处以违约金，确有特殊情况且已向业主代表申请并确认的除外。对未按委托人要求按时履行前期手续的每次处违约金</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w:t>
      </w:r>
    </w:p>
    <w:p w14:paraId="0B6E3D5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 受托人未按要求健全日志、台账、会议</w:t>
      </w:r>
      <w:r>
        <w:rPr>
          <w:rFonts w:hint="eastAsia" w:ascii="宋体" w:hAnsi="宋体" w:cs="宋体"/>
          <w:color w:val="auto"/>
          <w:szCs w:val="21"/>
          <w:highlight w:val="none"/>
          <w:lang w:eastAsia="zh-CN"/>
        </w:rPr>
        <w:t>记</w:t>
      </w:r>
      <w:r>
        <w:rPr>
          <w:rFonts w:hint="eastAsia" w:ascii="宋体" w:hAnsi="宋体" w:cs="宋体"/>
          <w:color w:val="auto"/>
          <w:szCs w:val="21"/>
          <w:highlight w:val="none"/>
        </w:rPr>
        <w:t>录，安全资料不完整，处以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元/次的违约金；未按有关规定编制，与工程进度不同步，发现资料出具不及时、与工程实体不相符的，处以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元/次的违约金；工程资料不完善，伪造资料报告或伪造检验结论的，予以通报批评，并处以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元/次的违约金。</w:t>
      </w:r>
    </w:p>
    <w:p w14:paraId="4EC0F69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受托人自行解决餐食问题，不得与承包方一起就餐（或动用承包方人力、物力），必须做到独立就餐，费用自理，一经发现，委托人有权给予</w:t>
      </w:r>
      <w:r>
        <w:rPr>
          <w:rFonts w:hint="eastAsia" w:ascii="宋体" w:hAnsi="宋体" w:cs="宋体"/>
          <w:color w:val="auto"/>
          <w:szCs w:val="21"/>
          <w:highlight w:val="none"/>
          <w:u w:val="single"/>
          <w:lang w:val="en-US" w:eastAsia="zh-CN"/>
        </w:rPr>
        <w:t>1000</w:t>
      </w:r>
      <w:r>
        <w:rPr>
          <w:rFonts w:hint="eastAsia" w:ascii="宋体" w:hAnsi="宋体" w:cs="宋体"/>
          <w:color w:val="auto"/>
          <w:szCs w:val="21"/>
          <w:highlight w:val="none"/>
        </w:rPr>
        <w:t>元/次的违约金处理。</w:t>
      </w:r>
    </w:p>
    <w:p w14:paraId="0CF7012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受托人应对承包方日常工作人员作考勤工作，每月报送至委托人处，此项纳入考核内容，未报送或报送虚假考勤内容、无法反应真实考勤情况的，委托人有权给予</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元违约金处理。受托人每月按时报送监理日志至委托人处，必须如实反应施工现场情况，未报送的或发现资料虚假与工程实际施工现场情况不一样的，委托人有权给予</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元违约金处理。</w:t>
      </w:r>
    </w:p>
    <w:p w14:paraId="7679599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其他监理人员未持证上岗，处</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元/人次的违约金处理并责令改正。</w:t>
      </w:r>
    </w:p>
    <w:p w14:paraId="09DFA1F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监理人员在责任期内的所有保险由受托人承担，委托人概不负责。</w:t>
      </w:r>
    </w:p>
    <w:p w14:paraId="657F1E16">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受托人不得将罚款、差旅费及相关费用转嫁给施工单位；不得代替承包人整理相关施工资料及相关有偿服务；不得以监理费支付等为由拒绝履行监理服务，如有发现，委托人有权立即予以清退出场，终止合同，并另行委托同等资质的监理单位完善后续服务。</w:t>
      </w:r>
    </w:p>
    <w:p w14:paraId="51CA27F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本条款中所有违约金方式直接从监理费用中直接扣除。</w:t>
      </w:r>
    </w:p>
    <w:p w14:paraId="0D97CFC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本补充条款是专用条款的一部分，其解释顺序优先于专用条款的其他条款。</w:t>
      </w:r>
    </w:p>
    <w:p w14:paraId="3ACD674C">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cs="Times New Roman"/>
          <w:b/>
          <w:color w:val="auto"/>
          <w:sz w:val="32"/>
          <w:szCs w:val="32"/>
          <w:highlight w:val="none"/>
          <w:lang w:val="en-US" w:eastAsia="zh-CN"/>
        </w:rPr>
        <w:t>五</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0904FEAC">
      <w:pPr>
        <w:jc w:val="center"/>
        <w:rPr>
          <w:rFonts w:hint="eastAsia" w:ascii="宋体"/>
          <w:color w:val="auto"/>
          <w:szCs w:val="21"/>
          <w:highlight w:val="none"/>
        </w:rPr>
      </w:pPr>
      <w:r>
        <w:rPr>
          <w:rFonts w:hint="eastAsia"/>
          <w:b/>
          <w:color w:val="auto"/>
          <w:sz w:val="36"/>
          <w:szCs w:val="36"/>
          <w:highlight w:val="none"/>
        </w:rPr>
        <w:t>目   录</w:t>
      </w:r>
      <w:r>
        <w:rPr>
          <w:rFonts w:hint="eastAsia" w:ascii="宋体"/>
          <w:color w:val="auto"/>
          <w:szCs w:val="21"/>
          <w:highlight w:val="none"/>
        </w:rPr>
        <w:t xml:space="preserve">                                                                                                                                                                                                                                                                                                                                                                                                                                                                                                                                                                                                                                                                                                                                                                                                                                                                                                                                                                                                                                                                                                                                                                                                                                                                                                                                                                                                                                                                                                                                                                                                                                                                        </w:t>
      </w:r>
    </w:p>
    <w:p w14:paraId="14FF7D96">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 xml:space="preserve">（1）法定代表人身份证明及其有效身份证复印件（或法定代表人授权委托书及其有效身份证复印件）（格式见附件）；                                                                                                                                                                                                                                                                                                                                                                                                                                                                                                                                                                                                                                                                                                                                                                                                                                                                                                                                                                                                                                                                                                                                                                                                                                                                                                                                                                                                                                                                                                                                                                                                                                                                                        </w:t>
      </w:r>
    </w:p>
    <w:p w14:paraId="5C9EF2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（2）投标人有效的营业执照（或三证合一的有效证件）；</w:t>
      </w:r>
    </w:p>
    <w:p w14:paraId="378CCB0A">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3）投标人有效的资质证书；</w:t>
      </w:r>
    </w:p>
    <w:p w14:paraId="2E2ED65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4</w:t>
      </w:r>
      <w:r>
        <w:rPr>
          <w:rFonts w:hint="eastAsia" w:ascii="宋体" w:hAnsi="Times New Roman" w:eastAsia="宋体" w:cs="Times New Roman"/>
          <w:color w:val="auto"/>
          <w:szCs w:val="21"/>
          <w:highlight w:val="none"/>
          <w:lang w:eastAsia="zh-CN"/>
        </w:rPr>
        <w:t>）诚信投标承诺书（格式见附件）；</w:t>
      </w:r>
    </w:p>
    <w:p w14:paraId="2762BD6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）项目负责人有效身份证及证书；</w:t>
      </w:r>
    </w:p>
    <w:p w14:paraId="1FAB27B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6</w:t>
      </w:r>
      <w:r>
        <w:rPr>
          <w:rFonts w:hint="eastAsia" w:ascii="宋体" w:hAnsi="Times New Roman" w:eastAsia="宋体" w:cs="Times New Roman"/>
          <w:color w:val="auto"/>
          <w:szCs w:val="21"/>
          <w:highlight w:val="none"/>
          <w:lang w:eastAsia="zh-CN"/>
        </w:rPr>
        <w:t>）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3BAE97B">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7</w:t>
      </w:r>
      <w:r>
        <w:rPr>
          <w:rFonts w:hint="eastAsia" w:ascii="宋体" w:hAnsi="Times New Roman" w:eastAsia="宋体" w:cs="Times New Roman"/>
          <w:color w:val="auto"/>
          <w:szCs w:val="21"/>
          <w:highlight w:val="none"/>
          <w:lang w:eastAsia="zh-CN"/>
        </w:rPr>
        <w:t>）开标一览表（格式见附件）；</w:t>
      </w:r>
    </w:p>
    <w:p w14:paraId="0CC844CF">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lang w:eastAsia="zh-CN"/>
        </w:rPr>
        <w:t>）投标函（格式见附件）；</w:t>
      </w:r>
    </w:p>
    <w:p w14:paraId="4D675F0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9</w:t>
      </w:r>
      <w:r>
        <w:rPr>
          <w:rFonts w:hint="eastAsia" w:ascii="宋体" w:hAnsi="Times New Roman" w:eastAsia="宋体" w:cs="Times New Roman"/>
          <w:color w:val="auto"/>
          <w:szCs w:val="21"/>
          <w:highlight w:val="none"/>
          <w:lang w:eastAsia="zh-CN"/>
        </w:rPr>
        <w:t>）投标人认为需要提供的其他证明材料。</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3"/>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7680D3B">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116" w:name="_Toc449028950"/>
      <w:bookmarkStart w:id="117"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118" w:name="OLE_LINK133"/>
      <w:bookmarkStart w:id="119"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118"/>
      <w:bookmarkEnd w:id="119"/>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116"/>
    <w:bookmarkEnd w:id="117"/>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numberInDash"/>
          <w:cols w:space="0" w:num="1"/>
          <w:rtlGutter w:val="0"/>
          <w:docGrid w:type="lines" w:linePitch="312" w:charSpace="0"/>
        </w:sectPr>
      </w:pP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9"/>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lang w:val="en-US" w:eastAsia="zh-CN"/>
              </w:rPr>
              <w:t>报价</w:t>
            </w:r>
            <w:r>
              <w:rPr>
                <w:rFonts w:hint="eastAsia" w:ascii="宋体"/>
                <w:color w:val="auto"/>
                <w:sz w:val="24"/>
                <w:highlight w:val="none"/>
              </w:rPr>
              <w:t>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693A9231">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监理</w:t>
            </w:r>
            <w:r>
              <w:rPr>
                <w:rFonts w:hint="eastAsia" w:ascii="宋体" w:hAnsi="宋体" w:eastAsia="宋体" w:cs="宋体"/>
                <w:color w:val="auto"/>
                <w:sz w:val="24"/>
                <w:szCs w:val="24"/>
                <w:highlight w:val="none"/>
                <w:lang w:val="en-US" w:eastAsia="zh-CN"/>
              </w:rPr>
              <w:t>费率为：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2C4B948">
            <w:pPr>
              <w:pStyle w:val="23"/>
              <w:keepNext w:val="0"/>
              <w:keepLines w:val="0"/>
              <w:pageBreakBefore w:val="0"/>
              <w:widowControl w:val="0"/>
              <w:kinsoku/>
              <w:wordWrap/>
              <w:overflowPunct/>
              <w:topLinePunct w:val="0"/>
              <w:autoSpaceDE/>
              <w:autoSpaceDN/>
              <w:bidi w:val="0"/>
              <w:adjustRightInd/>
              <w:spacing w:line="720" w:lineRule="exact"/>
              <w:textAlignment w:val="auto"/>
              <w:rPr>
                <w:rFonts w:hint="default" w:ascii="宋体"/>
                <w:color w:val="auto"/>
                <w:sz w:val="24"/>
                <w:highlight w:val="none"/>
                <w:lang w:val="en-US" w:eastAsia="zh-CN"/>
              </w:rPr>
            </w:pPr>
            <w:r>
              <w:rPr>
                <w:rFonts w:hint="eastAsia" w:ascii="宋体" w:hAnsi="宋体" w:eastAsia="宋体" w:cs="宋体"/>
                <w:color w:val="auto"/>
                <w:sz w:val="24"/>
                <w:szCs w:val="24"/>
                <w:highlight w:val="none"/>
                <w:lang w:val="en-US" w:eastAsia="zh-CN"/>
              </w:rPr>
              <w:t>合同履行期限：响应招标文件要求</w:t>
            </w: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numberInDash"/>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1BF2BE95">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eastAsia="宋体" w:cs="宋体"/>
          <w:color w:val="auto"/>
          <w:spacing w:val="-1"/>
          <w:sz w:val="24"/>
          <w:szCs w:val="24"/>
          <w:highlight w:val="none"/>
        </w:rPr>
        <w:t>据此我方愿以</w:t>
      </w:r>
      <w:r>
        <w:rPr>
          <w:rFonts w:hint="eastAsia" w:ascii="宋体" w:hAnsi="宋体" w:eastAsia="宋体" w:cs="宋体"/>
          <w:color w:val="auto"/>
          <w:spacing w:val="-1"/>
          <w:sz w:val="24"/>
          <w:szCs w:val="24"/>
          <w:highlight w:val="none"/>
          <w:lang w:val="en-US" w:eastAsia="zh-CN"/>
        </w:rPr>
        <w:t>费</w:t>
      </w:r>
      <w:r>
        <w:rPr>
          <w:rFonts w:hint="eastAsia" w:ascii="宋体" w:hAnsi="宋体" w:eastAsia="宋体" w:cs="宋体"/>
          <w:color w:val="auto"/>
          <w:spacing w:val="-1"/>
          <w:sz w:val="24"/>
          <w:szCs w:val="24"/>
          <w:highlight w:val="none"/>
        </w:rPr>
        <w:t>率</w:t>
      </w:r>
      <w:r>
        <w:rPr>
          <w:rFonts w:hint="eastAsia" w:ascii="宋体" w:hAnsi="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为报价费率，作为本工程项目</w:t>
      </w:r>
      <w:r>
        <w:rPr>
          <w:rFonts w:hint="eastAsia" w:ascii="宋体" w:hAnsi="宋体" w:cs="宋体"/>
          <w:color w:val="auto"/>
          <w:sz w:val="24"/>
          <w:szCs w:val="24"/>
          <w:highlight w:val="none"/>
          <w:lang w:val="en-US" w:eastAsia="zh-CN"/>
        </w:rPr>
        <w:t>监理服务</w:t>
      </w:r>
      <w:r>
        <w:rPr>
          <w:rFonts w:hint="eastAsia" w:ascii="宋体" w:hAnsi="宋体" w:eastAsia="宋体" w:cs="宋体"/>
          <w:color w:val="auto"/>
          <w:sz w:val="24"/>
          <w:szCs w:val="24"/>
          <w:highlight w:val="none"/>
        </w:rPr>
        <w:t>工作所需的全部费用</w:t>
      </w:r>
      <w:r>
        <w:rPr>
          <w:rFonts w:hint="eastAsia" w:ascii="宋体" w:hAnsi="宋体" w:eastAsia="宋体" w:cs="宋体"/>
          <w:color w:val="auto"/>
          <w:sz w:val="24"/>
          <w:szCs w:val="24"/>
          <w:highlight w:val="none"/>
          <w:u w:val="single"/>
          <w:lang w:val="en-US" w:eastAsia="zh-CN"/>
        </w:rPr>
        <w:t>，项目负责人为            。</w:t>
      </w:r>
      <w:r>
        <w:rPr>
          <w:rFonts w:hint="eastAsia" w:ascii="宋体" w:hAnsi="宋体" w:eastAsia="宋体" w:cs="宋体"/>
          <w:color w:val="auto"/>
          <w:sz w:val="24"/>
          <w:szCs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2"/>
    <w:bookmarkEnd w:id="63"/>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120" w:name="_Toc449028957"/>
      <w:bookmarkStart w:id="121"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120"/>
      <w:bookmarkEnd w:id="121"/>
    </w:p>
    <w:p w14:paraId="5027823C">
      <w:pPr>
        <w:spacing w:line="440" w:lineRule="exact"/>
        <w:rPr>
          <w:rFonts w:hint="eastAsia" w:ascii="宋体"/>
          <w:color w:val="auto"/>
          <w:sz w:val="24"/>
          <w:highlight w:val="none"/>
          <w:u w:val="single"/>
        </w:rPr>
      </w:pPr>
    </w:p>
    <w:tbl>
      <w:tblPr>
        <w:tblStyle w:val="37"/>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rPr>
              <w:t>中新苏滁纳百川及宏禧科技10KV电源接入工程监理服务项目</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6"/>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86C6BF-6A51-4F48-BB11-3EDAFE01CB7F}"/>
  </w:font>
  <w:font w:name="黑体">
    <w:panose1 w:val="02010609060101010101"/>
    <w:charset w:val="86"/>
    <w:family w:val="auto"/>
    <w:pitch w:val="default"/>
    <w:sig w:usb0="800002BF" w:usb1="38CF7CFA" w:usb2="00000016" w:usb3="00000000" w:csb0="00040001" w:csb1="00000000"/>
    <w:embedRegular r:id="rId2" w:fontKey="{715E8B61-AA8C-474D-A32E-8BA2BAF462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224C4B41-A65D-40A0-A812-D9B5A30D4697}"/>
  </w:font>
  <w:font w:name="仿宋">
    <w:panose1 w:val="02010609060101010101"/>
    <w:charset w:val="86"/>
    <w:family w:val="modern"/>
    <w:pitch w:val="default"/>
    <w:sig w:usb0="800002BF" w:usb1="38CF7CFA" w:usb2="00000016" w:usb3="00000000" w:csb0="00040001" w:csb1="00000000"/>
    <w:embedRegular r:id="rId4" w:fontKey="{72A3465C-A2C2-4853-BB64-2365626ADD6E}"/>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9A58A728-4B69-4EF4-ADEF-077C0EF3B4C7}"/>
  </w:font>
  <w:font w:name="华文楷体">
    <w:altName w:val="宋体"/>
    <w:panose1 w:val="02010600040101010101"/>
    <w:charset w:val="86"/>
    <w:family w:val="auto"/>
    <w:pitch w:val="default"/>
    <w:sig w:usb0="00000000" w:usb1="00000000" w:usb2="00000000" w:usb3="00000000" w:csb0="0004009F" w:csb1="DFD70000"/>
    <w:embedRegular r:id="rId6" w:fontKey="{4DA6B1C2-FF6B-4947-994B-38D486BECC96}"/>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A17F">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FE26">
    <w:pPr>
      <w:pStyle w:val="23"/>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7FD4F3C1">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FED5">
    <w:pPr>
      <w:pStyle w:val="23"/>
      <w:framePr w:wrap="around" w:vAnchor="text" w:hAnchor="margin" w:xAlign="center" w:y="1"/>
      <w:tabs>
        <w:tab w:val="clear" w:pos="4153"/>
        <w:tab w:val="clear" w:pos="8306"/>
      </w:tabs>
      <w:rPr>
        <w:rStyle w:val="41"/>
        <w:rFonts w:hint="eastAsia"/>
      </w:rPr>
    </w:pPr>
  </w:p>
  <w:p w14:paraId="428CFC62">
    <w:pPr>
      <w:pStyle w:val="23"/>
      <w:tabs>
        <w:tab w:val="clear" w:pos="4153"/>
        <w:tab w:val="clear" w:pos="8306"/>
      </w:tabs>
      <w:rPr>
        <w:rFonts w:hint="eastAsia"/>
        <w:szCs w:val="21"/>
      </w:rPr>
    </w:pPr>
  </w:p>
  <w:p w14:paraId="07A45C70">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1BABA">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41BABA">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975DE">
                          <w:pPr>
                            <w:pStyle w:val="2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7975DE">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5FA8">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4A2A">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9"/>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2"/>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1BE7"/>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8C519F"/>
    <w:rsid w:val="01910A08"/>
    <w:rsid w:val="01A56261"/>
    <w:rsid w:val="01CE57B8"/>
    <w:rsid w:val="01F1538A"/>
    <w:rsid w:val="01F30A1B"/>
    <w:rsid w:val="0213141D"/>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834CBB"/>
    <w:rsid w:val="059302F0"/>
    <w:rsid w:val="059960DD"/>
    <w:rsid w:val="05B55DC4"/>
    <w:rsid w:val="05C23B25"/>
    <w:rsid w:val="05C56ED2"/>
    <w:rsid w:val="05E57574"/>
    <w:rsid w:val="05EB7E30"/>
    <w:rsid w:val="0600615C"/>
    <w:rsid w:val="060C4B01"/>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42561"/>
    <w:rsid w:val="073C599D"/>
    <w:rsid w:val="073E5575"/>
    <w:rsid w:val="074128B0"/>
    <w:rsid w:val="074A10F8"/>
    <w:rsid w:val="0761194E"/>
    <w:rsid w:val="076432D3"/>
    <w:rsid w:val="07702E6D"/>
    <w:rsid w:val="07745151"/>
    <w:rsid w:val="0781151E"/>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784016"/>
    <w:rsid w:val="0AA34B1B"/>
    <w:rsid w:val="0AAD7CD9"/>
    <w:rsid w:val="0AAE61EA"/>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B96A92"/>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EE4F60"/>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6C6BB2"/>
    <w:rsid w:val="127658D7"/>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3930BA"/>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4C626D"/>
    <w:rsid w:val="155212B7"/>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51CF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902A7"/>
    <w:rsid w:val="197E7B00"/>
    <w:rsid w:val="19933B34"/>
    <w:rsid w:val="199724DC"/>
    <w:rsid w:val="19C96DDB"/>
    <w:rsid w:val="19CF01B9"/>
    <w:rsid w:val="19DC46F7"/>
    <w:rsid w:val="19DE34A8"/>
    <w:rsid w:val="19E52623"/>
    <w:rsid w:val="19FA6457"/>
    <w:rsid w:val="1A0B2274"/>
    <w:rsid w:val="1A187AC0"/>
    <w:rsid w:val="1A393B90"/>
    <w:rsid w:val="1A431141"/>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50915"/>
    <w:rsid w:val="1C4C7B54"/>
    <w:rsid w:val="1C5E4FF3"/>
    <w:rsid w:val="1C6D30D8"/>
    <w:rsid w:val="1C7911F1"/>
    <w:rsid w:val="1C7B60E4"/>
    <w:rsid w:val="1C872CDB"/>
    <w:rsid w:val="1CCB47C0"/>
    <w:rsid w:val="1CE27F12"/>
    <w:rsid w:val="1CF3330B"/>
    <w:rsid w:val="1D0C2883"/>
    <w:rsid w:val="1D1D547D"/>
    <w:rsid w:val="1D3B1144"/>
    <w:rsid w:val="1D44297A"/>
    <w:rsid w:val="1D4E4561"/>
    <w:rsid w:val="1D703128"/>
    <w:rsid w:val="1D7C5FBA"/>
    <w:rsid w:val="1D81336E"/>
    <w:rsid w:val="1D8A4831"/>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13050"/>
    <w:rsid w:val="1F33134B"/>
    <w:rsid w:val="1F3431EF"/>
    <w:rsid w:val="1F412ACD"/>
    <w:rsid w:val="1F536EA5"/>
    <w:rsid w:val="1F6D61B8"/>
    <w:rsid w:val="1F896D6A"/>
    <w:rsid w:val="1FA51C58"/>
    <w:rsid w:val="1FA7649E"/>
    <w:rsid w:val="1FAD4807"/>
    <w:rsid w:val="1FB44E66"/>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17017"/>
    <w:rsid w:val="211A14D6"/>
    <w:rsid w:val="211F34E2"/>
    <w:rsid w:val="21505D92"/>
    <w:rsid w:val="21564CC5"/>
    <w:rsid w:val="215869F4"/>
    <w:rsid w:val="21725E20"/>
    <w:rsid w:val="217F21D3"/>
    <w:rsid w:val="21894835"/>
    <w:rsid w:val="219F6403"/>
    <w:rsid w:val="21A148C9"/>
    <w:rsid w:val="21A84B20"/>
    <w:rsid w:val="21BA145D"/>
    <w:rsid w:val="21D06ED2"/>
    <w:rsid w:val="21D547D9"/>
    <w:rsid w:val="21E36C06"/>
    <w:rsid w:val="21F841CB"/>
    <w:rsid w:val="22094970"/>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3442A"/>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05483"/>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8D3926"/>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3270A"/>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53CA7"/>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4548A"/>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0C0398"/>
    <w:rsid w:val="39180C1C"/>
    <w:rsid w:val="392A1B36"/>
    <w:rsid w:val="392A34F7"/>
    <w:rsid w:val="392A4E38"/>
    <w:rsid w:val="393A6E69"/>
    <w:rsid w:val="39675500"/>
    <w:rsid w:val="396B1563"/>
    <w:rsid w:val="39754190"/>
    <w:rsid w:val="39BF57BB"/>
    <w:rsid w:val="39CD2DB0"/>
    <w:rsid w:val="39D92970"/>
    <w:rsid w:val="39EB161F"/>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A52853"/>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46D08"/>
    <w:rsid w:val="3BC744EA"/>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C60FE9"/>
    <w:rsid w:val="3EC80F65"/>
    <w:rsid w:val="3ED35D96"/>
    <w:rsid w:val="3EE0310F"/>
    <w:rsid w:val="3F21764F"/>
    <w:rsid w:val="3F270382"/>
    <w:rsid w:val="3F4D34B9"/>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514EC"/>
    <w:rsid w:val="424B3CDF"/>
    <w:rsid w:val="424C228D"/>
    <w:rsid w:val="424E40FE"/>
    <w:rsid w:val="427E4A81"/>
    <w:rsid w:val="428C524B"/>
    <w:rsid w:val="42927D62"/>
    <w:rsid w:val="429338D8"/>
    <w:rsid w:val="429A5AFA"/>
    <w:rsid w:val="429B3874"/>
    <w:rsid w:val="429F5DD9"/>
    <w:rsid w:val="42AD499A"/>
    <w:rsid w:val="42B61086"/>
    <w:rsid w:val="42C26869"/>
    <w:rsid w:val="42DD6902"/>
    <w:rsid w:val="42ED02B3"/>
    <w:rsid w:val="42FE6FA4"/>
    <w:rsid w:val="43000F6E"/>
    <w:rsid w:val="43014CE6"/>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B14BBF"/>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978C9"/>
    <w:rsid w:val="46CE7995"/>
    <w:rsid w:val="46D7323F"/>
    <w:rsid w:val="46DC1387"/>
    <w:rsid w:val="46E0501A"/>
    <w:rsid w:val="46F87B6E"/>
    <w:rsid w:val="46FC1214"/>
    <w:rsid w:val="47021DBA"/>
    <w:rsid w:val="471F2FD5"/>
    <w:rsid w:val="4739206F"/>
    <w:rsid w:val="475D3DAD"/>
    <w:rsid w:val="47946129"/>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63E7D"/>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CE433F"/>
    <w:rsid w:val="4CD40D75"/>
    <w:rsid w:val="4CDE3815"/>
    <w:rsid w:val="4D012DED"/>
    <w:rsid w:val="4D0D2958"/>
    <w:rsid w:val="4D145493"/>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B25654"/>
    <w:rsid w:val="53C27B7A"/>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7749C"/>
    <w:rsid w:val="5B7A1772"/>
    <w:rsid w:val="5B7A6DEA"/>
    <w:rsid w:val="5B7E6A7C"/>
    <w:rsid w:val="5BA20303"/>
    <w:rsid w:val="5BB26726"/>
    <w:rsid w:val="5BB926FC"/>
    <w:rsid w:val="5BCF1086"/>
    <w:rsid w:val="5BF54320"/>
    <w:rsid w:val="5C0C22DA"/>
    <w:rsid w:val="5C1633F6"/>
    <w:rsid w:val="5C246971"/>
    <w:rsid w:val="5C4867F4"/>
    <w:rsid w:val="5C630938"/>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3E5C21"/>
    <w:rsid w:val="5E481D94"/>
    <w:rsid w:val="5E49652D"/>
    <w:rsid w:val="5E55621E"/>
    <w:rsid w:val="5E556A51"/>
    <w:rsid w:val="5E6C7060"/>
    <w:rsid w:val="5E79177D"/>
    <w:rsid w:val="5E8C5954"/>
    <w:rsid w:val="5EA7453C"/>
    <w:rsid w:val="5EAE0F71"/>
    <w:rsid w:val="5ED27BE1"/>
    <w:rsid w:val="5ED35BB4"/>
    <w:rsid w:val="5ED75612"/>
    <w:rsid w:val="5EFA0523"/>
    <w:rsid w:val="5F0A3E4D"/>
    <w:rsid w:val="5F1F1B33"/>
    <w:rsid w:val="5F2136D8"/>
    <w:rsid w:val="5F2D0AE0"/>
    <w:rsid w:val="5F432EF8"/>
    <w:rsid w:val="5F47659C"/>
    <w:rsid w:val="5F526256"/>
    <w:rsid w:val="5F555D46"/>
    <w:rsid w:val="5F7E529D"/>
    <w:rsid w:val="5F937007"/>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43825"/>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EB16E0"/>
    <w:rsid w:val="66F40793"/>
    <w:rsid w:val="6717038D"/>
    <w:rsid w:val="671706D3"/>
    <w:rsid w:val="671B5AC7"/>
    <w:rsid w:val="67274610"/>
    <w:rsid w:val="672F48CC"/>
    <w:rsid w:val="6730396A"/>
    <w:rsid w:val="67346B89"/>
    <w:rsid w:val="6751773B"/>
    <w:rsid w:val="6760172C"/>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815119"/>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1C3BBC"/>
    <w:rsid w:val="6B311795"/>
    <w:rsid w:val="6B4D0219"/>
    <w:rsid w:val="6B9D6AAA"/>
    <w:rsid w:val="6BA17867"/>
    <w:rsid w:val="6BA8544F"/>
    <w:rsid w:val="6BB141CE"/>
    <w:rsid w:val="6BBA58AE"/>
    <w:rsid w:val="6BBE4C73"/>
    <w:rsid w:val="6BD45513"/>
    <w:rsid w:val="6BEF0C80"/>
    <w:rsid w:val="6BF41DBA"/>
    <w:rsid w:val="6BF817E3"/>
    <w:rsid w:val="6C022DB1"/>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6625F0"/>
    <w:rsid w:val="6D737889"/>
    <w:rsid w:val="6D787B59"/>
    <w:rsid w:val="6D7F4662"/>
    <w:rsid w:val="6D832E39"/>
    <w:rsid w:val="6D8A7542"/>
    <w:rsid w:val="6D916E4E"/>
    <w:rsid w:val="6DA06D26"/>
    <w:rsid w:val="6DB3108B"/>
    <w:rsid w:val="6DBD5004"/>
    <w:rsid w:val="6DC63E68"/>
    <w:rsid w:val="6DCF4F15"/>
    <w:rsid w:val="6DD447A6"/>
    <w:rsid w:val="6DDB172E"/>
    <w:rsid w:val="6DEF4626"/>
    <w:rsid w:val="6DFE130D"/>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C656E1"/>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245AA"/>
    <w:rsid w:val="72686E3D"/>
    <w:rsid w:val="727A26CE"/>
    <w:rsid w:val="727E580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6EF6628"/>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4485C"/>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D81F8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0A7D18"/>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43DFE"/>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1"/>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4"/>
    <w:autoRedefine/>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next w:val="1"/>
    <w:link w:val="62"/>
    <w:qFormat/>
    <w:uiPriority w:val="99"/>
    <w:rPr>
      <w:rFonts w:ascii="宋体"/>
      <w:color w:val="000000"/>
      <w:szCs w:val="20"/>
      <w:u w:val="none" w:color="000000"/>
    </w:rPr>
  </w:style>
  <w:style w:type="paragraph" w:styleId="19">
    <w:name w:val="Date"/>
    <w:basedOn w:val="1"/>
    <w:next w:val="1"/>
    <w:link w:val="63"/>
    <w:autoRedefine/>
    <w:qFormat/>
    <w:uiPriority w:val="0"/>
    <w:rPr>
      <w:rFonts w:ascii="Arial" w:hAnsi="Arial" w:eastAsia="仿宋_GB2312"/>
      <w:color w:val="000000"/>
      <w:sz w:val="32"/>
      <w:szCs w:val="20"/>
      <w:u w:val="none" w:color="000000"/>
    </w:rPr>
  </w:style>
  <w:style w:type="paragraph" w:styleId="20">
    <w:name w:val="Body Text Indent 2"/>
    <w:basedOn w:val="1"/>
    <w:link w:val="64"/>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5"/>
    <w:autoRedefine/>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next w:val="14"/>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Body Text 2"/>
    <w:basedOn w:val="1"/>
    <w:qFormat/>
    <w:uiPriority w:val="0"/>
    <w:pPr>
      <w:spacing w:after="120" w:line="480" w:lineRule="auto"/>
    </w:pPr>
  </w:style>
  <w:style w:type="paragraph" w:styleId="30">
    <w:name w:val="Normal (Web)"/>
    <w:basedOn w:val="1"/>
    <w:next w:val="3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autoRedefine/>
    <w:qFormat/>
    <w:uiPriority w:val="0"/>
    <w:pPr>
      <w:ind w:left="240"/>
    </w:pPr>
    <w:rPr>
      <w:sz w:val="16"/>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4">
    <w:name w:val="annotation subject"/>
    <w:basedOn w:val="13"/>
    <w:next w:val="13"/>
    <w:link w:val="68"/>
    <w:qFormat/>
    <w:uiPriority w:val="0"/>
    <w:rPr>
      <w:b/>
      <w:bCs/>
    </w:rPr>
  </w:style>
  <w:style w:type="paragraph" w:styleId="35">
    <w:name w:val="Body Text First Indent"/>
    <w:basedOn w:val="14"/>
    <w:unhideWhenUsed/>
    <w:qFormat/>
    <w:uiPriority w:val="99"/>
    <w:pPr>
      <w:ind w:firstLine="420" w:firstLineChars="100"/>
    </w:pPr>
  </w:style>
  <w:style w:type="paragraph" w:styleId="36">
    <w:name w:val="Body Text First Indent 2"/>
    <w:basedOn w:val="15"/>
    <w:next w:val="1"/>
    <w:link w:val="55"/>
    <w:autoRedefine/>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autoRedefine/>
    <w:qFormat/>
    <w:uiPriority w:val="0"/>
  </w:style>
  <w:style w:type="character" w:styleId="42">
    <w:name w:val="FollowedHyperlink"/>
    <w:autoRedefine/>
    <w:qFormat/>
    <w:uiPriority w:val="0"/>
    <w:rPr>
      <w:color w:val="333333"/>
      <w:u w:val="none"/>
    </w:rPr>
  </w:style>
  <w:style w:type="character" w:styleId="43">
    <w:name w:val="Emphasis"/>
    <w:qFormat/>
    <w:uiPriority w:val="20"/>
    <w:rPr>
      <w:i/>
      <w:iCs/>
    </w:rPr>
  </w:style>
  <w:style w:type="character" w:styleId="44">
    <w:name w:val="HTML Definition"/>
    <w:qFormat/>
    <w:uiPriority w:val="0"/>
  </w:style>
  <w:style w:type="character" w:styleId="45">
    <w:name w:val="HTML Typewriter"/>
    <w:autoRedefine/>
    <w:qFormat/>
    <w:uiPriority w:val="0"/>
    <w:rPr>
      <w:rFonts w:ascii="monospace" w:hAnsi="monospace" w:eastAsia="monospace" w:cs="monospace"/>
      <w:sz w:val="20"/>
    </w:rPr>
  </w:style>
  <w:style w:type="character" w:styleId="46">
    <w:name w:val="HTML Acronym"/>
    <w:basedOn w:val="39"/>
    <w:autoRedefine/>
    <w:qFormat/>
    <w:uiPriority w:val="0"/>
  </w:style>
  <w:style w:type="character" w:styleId="47">
    <w:name w:val="HTML Variable"/>
    <w:qFormat/>
    <w:uiPriority w:val="0"/>
  </w:style>
  <w:style w:type="character" w:styleId="48">
    <w:name w:val="Hyperlink"/>
    <w:qFormat/>
    <w:uiPriority w:val="99"/>
    <w:rPr>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autoRedefin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character" w:customStyle="1" w:styleId="54">
    <w:name w:val="正文文本缩进 字符"/>
    <w:link w:val="15"/>
    <w:autoRedefine/>
    <w:qFormat/>
    <w:uiPriority w:val="0"/>
    <w:rPr>
      <w:kern w:val="2"/>
      <w:sz w:val="21"/>
      <w:szCs w:val="24"/>
    </w:rPr>
  </w:style>
  <w:style w:type="character" w:customStyle="1" w:styleId="55">
    <w:name w:val="正文文本首行缩进 2 字符"/>
    <w:link w:val="36"/>
    <w:autoRedefine/>
    <w:qFormat/>
    <w:uiPriority w:val="0"/>
  </w:style>
  <w:style w:type="character" w:customStyle="1" w:styleId="56">
    <w:name w:val="标题 1 字符"/>
    <w:link w:val="2"/>
    <w:autoRedefine/>
    <w:qFormat/>
    <w:uiPriority w:val="0"/>
    <w:rPr>
      <w:b/>
      <w:bCs/>
      <w:kern w:val="44"/>
      <w:sz w:val="44"/>
      <w:szCs w:val="44"/>
    </w:rPr>
  </w:style>
  <w:style w:type="character" w:customStyle="1" w:styleId="57">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8">
    <w:name w:val="标题 5 字符"/>
    <w:link w:val="6"/>
    <w:semiHidden/>
    <w:qFormat/>
    <w:uiPriority w:val="0"/>
    <w:rPr>
      <w:b/>
      <w:bCs/>
      <w:kern w:val="2"/>
      <w:sz w:val="28"/>
      <w:szCs w:val="28"/>
    </w:rPr>
  </w:style>
  <w:style w:type="character" w:customStyle="1" w:styleId="59">
    <w:name w:val="标题 6 字符"/>
    <w:link w:val="7"/>
    <w:semiHidden/>
    <w:qFormat/>
    <w:uiPriority w:val="0"/>
    <w:rPr>
      <w:rFonts w:ascii="Cambria" w:hAnsi="Cambria" w:eastAsia="宋体" w:cs="Times New Roman"/>
      <w:b/>
      <w:bCs/>
      <w:kern w:val="2"/>
      <w:sz w:val="24"/>
      <w:szCs w:val="24"/>
    </w:rPr>
  </w:style>
  <w:style w:type="character" w:customStyle="1" w:styleId="60">
    <w:name w:val="标题 7 字符"/>
    <w:link w:val="8"/>
    <w:semiHidden/>
    <w:qFormat/>
    <w:uiPriority w:val="0"/>
    <w:rPr>
      <w:b/>
      <w:bCs/>
      <w:kern w:val="2"/>
      <w:sz w:val="24"/>
      <w:szCs w:val="24"/>
    </w:rPr>
  </w:style>
  <w:style w:type="character" w:customStyle="1" w:styleId="61">
    <w:name w:val="批注文字 字符"/>
    <w:link w:val="13"/>
    <w:qFormat/>
    <w:uiPriority w:val="0"/>
    <w:rPr>
      <w:kern w:val="2"/>
      <w:sz w:val="21"/>
      <w:szCs w:val="24"/>
    </w:rPr>
  </w:style>
  <w:style w:type="character" w:customStyle="1" w:styleId="62">
    <w:name w:val="纯文本 字符"/>
    <w:link w:val="18"/>
    <w:qFormat/>
    <w:uiPriority w:val="99"/>
    <w:rPr>
      <w:rFonts w:ascii="宋体" w:eastAsia="宋体"/>
      <w:color w:val="000000"/>
      <w:kern w:val="2"/>
      <w:sz w:val="21"/>
      <w:u w:val="none" w:color="000000"/>
      <w:lang w:val="en-US" w:eastAsia="zh-CN" w:bidi="ar-SA"/>
    </w:rPr>
  </w:style>
  <w:style w:type="character" w:customStyle="1" w:styleId="63">
    <w:name w:val="日期 字符"/>
    <w:link w:val="19"/>
    <w:qFormat/>
    <w:uiPriority w:val="0"/>
    <w:rPr>
      <w:rFonts w:ascii="Arial" w:hAnsi="Arial" w:eastAsia="仿宋_GB2312"/>
      <w:color w:val="000000"/>
      <w:kern w:val="2"/>
      <w:sz w:val="32"/>
      <w:u w:val="none" w:color="000000"/>
    </w:rPr>
  </w:style>
  <w:style w:type="character" w:customStyle="1" w:styleId="64">
    <w:name w:val="正文文本缩进 2 字符"/>
    <w:link w:val="20"/>
    <w:autoRedefine/>
    <w:qFormat/>
    <w:uiPriority w:val="0"/>
    <w:rPr>
      <w:kern w:val="2"/>
      <w:sz w:val="21"/>
      <w:szCs w:val="24"/>
    </w:rPr>
  </w:style>
  <w:style w:type="character" w:customStyle="1" w:styleId="65">
    <w:name w:val="批注框文本 字符"/>
    <w:link w:val="22"/>
    <w:qFormat/>
    <w:uiPriority w:val="0"/>
    <w:rPr>
      <w:kern w:val="2"/>
      <w:sz w:val="18"/>
      <w:szCs w:val="18"/>
    </w:rPr>
  </w:style>
  <w:style w:type="character" w:customStyle="1" w:styleId="66">
    <w:name w:val="页脚 字符"/>
    <w:link w:val="23"/>
    <w:autoRedefine/>
    <w:qFormat/>
    <w:locked/>
    <w:uiPriority w:val="0"/>
    <w:rPr>
      <w:kern w:val="2"/>
      <w:sz w:val="18"/>
      <w:szCs w:val="18"/>
    </w:rPr>
  </w:style>
  <w:style w:type="character" w:customStyle="1" w:styleId="67">
    <w:name w:val="页眉 字符"/>
    <w:link w:val="24"/>
    <w:qFormat/>
    <w:locked/>
    <w:uiPriority w:val="0"/>
    <w:rPr>
      <w:kern w:val="2"/>
      <w:sz w:val="18"/>
      <w:szCs w:val="18"/>
    </w:rPr>
  </w:style>
  <w:style w:type="character" w:customStyle="1" w:styleId="68">
    <w:name w:val="批注主题 字符"/>
    <w:link w:val="34"/>
    <w:autoRedefine/>
    <w:qFormat/>
    <w:uiPriority w:val="0"/>
    <w:rPr>
      <w:b/>
      <w:bCs/>
      <w:kern w:val="2"/>
      <w:sz w:val="21"/>
      <w:szCs w:val="24"/>
    </w:rPr>
  </w:style>
  <w:style w:type="character" w:customStyle="1" w:styleId="69">
    <w:name w:val="font121"/>
    <w:autoRedefine/>
    <w:qFormat/>
    <w:uiPriority w:val="0"/>
    <w:rPr>
      <w:rFonts w:hint="eastAsia" w:ascii="宋体" w:hAnsi="宋体" w:eastAsia="宋体" w:cs="宋体"/>
      <w:color w:val="000000"/>
      <w:sz w:val="24"/>
      <w:szCs w:val="24"/>
      <w:u w:val="none"/>
    </w:rPr>
  </w:style>
  <w:style w:type="character" w:customStyle="1" w:styleId="70">
    <w:name w:val="font141"/>
    <w:qFormat/>
    <w:uiPriority w:val="0"/>
    <w:rPr>
      <w:rFonts w:ascii="Arial" w:hAnsi="Arial" w:cs="Arial"/>
      <w:color w:val="000000"/>
      <w:sz w:val="24"/>
      <w:szCs w:val="24"/>
      <w:u w:val="none"/>
    </w:rPr>
  </w:style>
  <w:style w:type="character" w:customStyle="1" w:styleId="71">
    <w:name w:val="_37aak"/>
    <w:autoRedefine/>
    <w:qFormat/>
    <w:uiPriority w:val="0"/>
  </w:style>
  <w:style w:type="character" w:customStyle="1" w:styleId="72">
    <w:name w:val="图表 Char"/>
    <w:link w:val="73"/>
    <w:qFormat/>
    <w:uiPriority w:val="0"/>
    <w:rPr>
      <w:kern w:val="2"/>
      <w:sz w:val="21"/>
      <w:szCs w:val="21"/>
    </w:rPr>
  </w:style>
  <w:style w:type="paragraph" w:customStyle="1" w:styleId="73">
    <w:name w:val="图表"/>
    <w:basedOn w:val="1"/>
    <w:next w:val="1"/>
    <w:link w:val="72"/>
    <w:autoRedefine/>
    <w:qFormat/>
    <w:uiPriority w:val="0"/>
    <w:pPr>
      <w:jc w:val="center"/>
    </w:pPr>
    <w:rPr>
      <w:szCs w:val="21"/>
    </w:rPr>
  </w:style>
  <w:style w:type="character" w:customStyle="1" w:styleId="74">
    <w:name w:val="font01"/>
    <w:qFormat/>
    <w:uiPriority w:val="0"/>
    <w:rPr>
      <w:rFonts w:hint="eastAsia" w:ascii="宋体" w:hAnsi="宋体" w:eastAsia="宋体" w:cs="宋体"/>
      <w:color w:val="000000"/>
      <w:sz w:val="22"/>
      <w:szCs w:val="22"/>
      <w:u w:val="none"/>
    </w:rPr>
  </w:style>
  <w:style w:type="character" w:customStyle="1" w:styleId="75">
    <w:name w:val="hover4"/>
    <w:autoRedefine/>
    <w:qFormat/>
    <w:uiPriority w:val="0"/>
    <w:rPr>
      <w:color w:val="2590EB"/>
      <w:shd w:val="clear" w:color="auto" w:fill="E9F4FD"/>
    </w:rPr>
  </w:style>
  <w:style w:type="character" w:customStyle="1" w:styleId="76">
    <w:name w:val="font101"/>
    <w:qFormat/>
    <w:uiPriority w:val="0"/>
    <w:rPr>
      <w:rFonts w:hint="eastAsia" w:ascii="宋体" w:hAnsi="宋体" w:eastAsia="宋体" w:cs="宋体"/>
      <w:color w:val="000000"/>
      <w:sz w:val="18"/>
      <w:szCs w:val="18"/>
      <w:u w:val="none"/>
    </w:rPr>
  </w:style>
  <w:style w:type="character" w:customStyle="1" w:styleId="77">
    <w:name w:val="font161"/>
    <w:qFormat/>
    <w:uiPriority w:val="0"/>
    <w:rPr>
      <w:rFonts w:hint="eastAsia" w:ascii="宋体" w:hAnsi="宋体" w:eastAsia="宋体" w:cs="宋体"/>
      <w:b/>
      <w:bCs/>
      <w:color w:val="333333"/>
      <w:sz w:val="27"/>
      <w:szCs w:val="27"/>
      <w:u w:val="none"/>
    </w:rPr>
  </w:style>
  <w:style w:type="character" w:customStyle="1" w:styleId="78">
    <w:name w:val="first-child"/>
    <w:qFormat/>
    <w:uiPriority w:val="0"/>
  </w:style>
  <w:style w:type="character" w:customStyle="1" w:styleId="79">
    <w:name w:val="【正文】 Char"/>
    <w:link w:val="80"/>
    <w:qFormat/>
    <w:uiPriority w:val="0"/>
    <w:rPr>
      <w:rFonts w:cs="DokChampa"/>
      <w:kern w:val="2"/>
      <w:sz w:val="24"/>
      <w:szCs w:val="22"/>
    </w:rPr>
  </w:style>
  <w:style w:type="paragraph" w:customStyle="1" w:styleId="80">
    <w:name w:val="【正文】"/>
    <w:basedOn w:val="1"/>
    <w:link w:val="79"/>
    <w:autoRedefine/>
    <w:qFormat/>
    <w:uiPriority w:val="0"/>
    <w:pPr>
      <w:spacing w:line="360" w:lineRule="auto"/>
      <w:ind w:firstLine="480" w:firstLineChars="200"/>
    </w:pPr>
    <w:rPr>
      <w:sz w:val="24"/>
      <w:szCs w:val="22"/>
    </w:rPr>
  </w:style>
  <w:style w:type="character" w:customStyle="1" w:styleId="81">
    <w:name w:val="font131"/>
    <w:qFormat/>
    <w:uiPriority w:val="0"/>
    <w:rPr>
      <w:rFonts w:ascii="仿宋" w:hAnsi="仿宋" w:eastAsia="仿宋" w:cs="仿宋"/>
      <w:color w:val="000000"/>
      <w:sz w:val="24"/>
      <w:szCs w:val="24"/>
      <w:u w:val="none"/>
    </w:rPr>
  </w:style>
  <w:style w:type="character" w:customStyle="1" w:styleId="82">
    <w:name w:val="font181"/>
    <w:qFormat/>
    <w:uiPriority w:val="0"/>
    <w:rPr>
      <w:rFonts w:hint="eastAsia" w:ascii="宋体" w:hAnsi="宋体" w:eastAsia="宋体" w:cs="宋体"/>
      <w:color w:val="1A66B3"/>
      <w:sz w:val="18"/>
      <w:szCs w:val="18"/>
      <w:u w:val="none"/>
    </w:rPr>
  </w:style>
  <w:style w:type="character" w:customStyle="1" w:styleId="83">
    <w:name w:val="hover3"/>
    <w:qFormat/>
    <w:uiPriority w:val="0"/>
  </w:style>
  <w:style w:type="character" w:customStyle="1" w:styleId="84">
    <w:name w:val="font112"/>
    <w:autoRedefine/>
    <w:qFormat/>
    <w:uiPriority w:val="0"/>
    <w:rPr>
      <w:rFonts w:ascii="Verdana" w:hAnsi="Verdana" w:cs="Verdana"/>
      <w:color w:val="000000"/>
      <w:sz w:val="18"/>
      <w:szCs w:val="18"/>
      <w:u w:val="none"/>
    </w:rPr>
  </w:style>
  <w:style w:type="character" w:customStyle="1" w:styleId="85">
    <w:name w:val="font81"/>
    <w:qFormat/>
    <w:uiPriority w:val="0"/>
    <w:rPr>
      <w:rFonts w:hint="default" w:ascii="Verdana" w:hAnsi="Verdana" w:cs="Verdana"/>
      <w:color w:val="000000"/>
      <w:sz w:val="18"/>
      <w:szCs w:val="18"/>
      <w:u w:val="none"/>
    </w:rPr>
  </w:style>
  <w:style w:type="character" w:customStyle="1" w:styleId="86">
    <w:name w:val="hover"/>
    <w:qFormat/>
    <w:uiPriority w:val="0"/>
    <w:rPr>
      <w:color w:val="2590EB"/>
      <w:shd w:val="clear" w:color="auto" w:fill="E9F4FD"/>
    </w:rPr>
  </w:style>
  <w:style w:type="character" w:customStyle="1" w:styleId="87">
    <w:name w:val="font41"/>
    <w:autoRedefine/>
    <w:qFormat/>
    <w:uiPriority w:val="0"/>
    <w:rPr>
      <w:rFonts w:hint="eastAsia" w:ascii="宋体" w:hAnsi="宋体" w:eastAsia="宋体" w:cs="宋体"/>
      <w:color w:val="000000"/>
      <w:sz w:val="22"/>
      <w:szCs w:val="22"/>
      <w:u w:val="none"/>
    </w:rPr>
  </w:style>
  <w:style w:type="character" w:customStyle="1" w:styleId="88">
    <w:name w:val="hover2"/>
    <w:qFormat/>
    <w:uiPriority w:val="0"/>
    <w:rPr>
      <w:color w:val="2590EB"/>
    </w:rPr>
  </w:style>
  <w:style w:type="character" w:customStyle="1" w:styleId="89">
    <w:name w:val="hover1"/>
    <w:qFormat/>
    <w:uiPriority w:val="0"/>
    <w:rPr>
      <w:color w:val="2590EB"/>
    </w:rPr>
  </w:style>
  <w:style w:type="character" w:customStyle="1" w:styleId="90">
    <w:name w:val="first-child1"/>
    <w:autoRedefine/>
    <w:qFormat/>
    <w:uiPriority w:val="0"/>
  </w:style>
  <w:style w:type="character" w:customStyle="1" w:styleId="91">
    <w:name w:val="selected"/>
    <w:qFormat/>
    <w:uiPriority w:val="0"/>
    <w:rPr>
      <w:shd w:val="clear" w:color="auto" w:fill="B00006"/>
    </w:rPr>
  </w:style>
  <w:style w:type="character" w:customStyle="1" w:styleId="92">
    <w:name w:val="gpa"/>
    <w:autoRedefine/>
    <w:qFormat/>
    <w:uiPriority w:val="0"/>
    <w:rPr>
      <w:rFonts w:ascii="Arial" w:hAnsi="Arial" w:cs="Arial"/>
      <w:sz w:val="15"/>
      <w:szCs w:val="15"/>
    </w:rPr>
  </w:style>
  <w:style w:type="character" w:customStyle="1" w:styleId="93">
    <w:name w:val="apple-converted-space"/>
    <w:qFormat/>
    <w:uiPriority w:val="0"/>
  </w:style>
  <w:style w:type="character" w:customStyle="1" w:styleId="94">
    <w:name w:val="列出段落 Char"/>
    <w:link w:val="95"/>
    <w:autoRedefine/>
    <w:qFormat/>
    <w:locked/>
    <w:uiPriority w:val="0"/>
    <w:rPr>
      <w:rFonts w:ascii="Calibri" w:hAnsi="Calibri" w:eastAsia="宋体"/>
      <w:kern w:val="2"/>
      <w:sz w:val="21"/>
      <w:szCs w:val="22"/>
      <w:lang w:val="en-US" w:eastAsia="zh-CN" w:bidi="ar-SA"/>
    </w:rPr>
  </w:style>
  <w:style w:type="paragraph" w:customStyle="1" w:styleId="95">
    <w:name w:val="List Paragraph1"/>
    <w:basedOn w:val="1"/>
    <w:link w:val="94"/>
    <w:qFormat/>
    <w:uiPriority w:val="0"/>
    <w:pPr>
      <w:spacing w:line="312" w:lineRule="auto"/>
      <w:ind w:firstLine="420" w:firstLineChars="200"/>
    </w:pPr>
    <w:rPr>
      <w:rFonts w:ascii="Calibri" w:hAnsi="Calibri"/>
      <w:szCs w:val="22"/>
    </w:rPr>
  </w:style>
  <w:style w:type="character" w:customStyle="1" w:styleId="96">
    <w:name w:val="displayarti"/>
    <w:qFormat/>
    <w:uiPriority w:val="0"/>
    <w:rPr>
      <w:color w:val="FFFFFF"/>
      <w:shd w:val="clear" w:color="auto" w:fill="A00000"/>
    </w:rPr>
  </w:style>
  <w:style w:type="character" w:customStyle="1" w:styleId="97">
    <w:name w:val="正文首行缩进 2 Char1"/>
    <w:autoRedefine/>
    <w:qFormat/>
    <w:uiPriority w:val="0"/>
  </w:style>
  <w:style w:type="character" w:customStyle="1" w:styleId="98">
    <w:name w:val="layui-this"/>
    <w:autoRedefine/>
    <w:qFormat/>
    <w:uiPriority w:val="0"/>
    <w:rPr>
      <w:bdr w:val="single" w:color="EEEEEE" w:sz="6" w:space="0"/>
      <w:shd w:val="clear" w:color="auto" w:fill="FFFFFF"/>
    </w:rPr>
  </w:style>
  <w:style w:type="character" w:customStyle="1" w:styleId="99">
    <w:name w:val="font151"/>
    <w:autoRedefine/>
    <w:qFormat/>
    <w:uiPriority w:val="0"/>
    <w:rPr>
      <w:rFonts w:hint="default" w:ascii="Verdana" w:hAnsi="Verdana" w:cs="Verdana"/>
      <w:b/>
      <w:bCs/>
      <w:color w:val="333333"/>
      <w:sz w:val="27"/>
      <w:szCs w:val="27"/>
      <w:u w:val="none"/>
    </w:rPr>
  </w:style>
  <w:style w:type="character" w:customStyle="1" w:styleId="100">
    <w:name w:val="font171"/>
    <w:autoRedefine/>
    <w:qFormat/>
    <w:uiPriority w:val="0"/>
    <w:rPr>
      <w:rFonts w:hint="eastAsia" w:ascii="宋体" w:hAnsi="宋体" w:eastAsia="宋体" w:cs="宋体"/>
      <w:color w:val="646464"/>
      <w:sz w:val="18"/>
      <w:szCs w:val="18"/>
      <w:u w:val="none"/>
    </w:rPr>
  </w:style>
  <w:style w:type="character" w:customStyle="1" w:styleId="101">
    <w:name w:val="hover7"/>
    <w:autoRedefine/>
    <w:qFormat/>
    <w:uiPriority w:val="0"/>
    <w:rPr>
      <w:color w:val="315EFB"/>
    </w:rPr>
  </w:style>
  <w:style w:type="paragraph" w:customStyle="1" w:styleId="102">
    <w:name w:val="列表2"/>
    <w:basedOn w:val="1"/>
    <w:next w:val="1"/>
    <w:qFormat/>
    <w:uiPriority w:val="0"/>
    <w:pPr>
      <w:numPr>
        <w:ilvl w:val="0"/>
        <w:numId w:val="5"/>
      </w:numPr>
      <w:spacing w:line="200" w:lineRule="atLeast"/>
    </w:pPr>
    <w:rPr>
      <w:rFonts w:eastAsia="仿宋"/>
      <w:sz w:val="28"/>
    </w:rPr>
  </w:style>
  <w:style w:type="paragraph" w:customStyle="1" w:styleId="103">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4">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5">
    <w:name w:val="Char"/>
    <w:basedOn w:val="1"/>
    <w:next w:val="1"/>
    <w:autoRedefine/>
    <w:qFormat/>
    <w:uiPriority w:val="0"/>
    <w:pPr>
      <w:widowControl/>
      <w:spacing w:line="360" w:lineRule="auto"/>
      <w:jc w:val="left"/>
    </w:pPr>
    <w:rPr>
      <w:kern w:val="0"/>
      <w:szCs w:val="20"/>
      <w:lang w:eastAsia="en-US"/>
    </w:rPr>
  </w:style>
  <w:style w:type="paragraph" w:customStyle="1" w:styleId="106">
    <w:name w:val="样式1"/>
    <w:basedOn w:val="1"/>
    <w:qFormat/>
    <w:uiPriority w:val="0"/>
    <w:pPr>
      <w:spacing w:line="360" w:lineRule="auto"/>
      <w:jc w:val="center"/>
    </w:pPr>
    <w:rPr>
      <w:rFonts w:ascii="Times New Roman" w:hAnsi="Times New Roman" w:cs="Times New Roman"/>
      <w:b/>
      <w:sz w:val="30"/>
      <w:szCs w:val="30"/>
    </w:rPr>
  </w:style>
  <w:style w:type="paragraph" w:customStyle="1" w:styleId="107">
    <w:name w:val=" Char Char Char Char"/>
    <w:basedOn w:val="1"/>
    <w:qFormat/>
    <w:uiPriority w:val="0"/>
    <w:rPr>
      <w:rFonts w:ascii="Tahoma" w:hAnsi="Tahoma"/>
      <w:sz w:val="24"/>
      <w:szCs w:val="20"/>
    </w:rPr>
  </w:style>
  <w:style w:type="paragraph" w:customStyle="1" w:styleId="108">
    <w:name w:val="_Style 4"/>
    <w:basedOn w:val="1"/>
    <w:qFormat/>
    <w:uiPriority w:val="34"/>
    <w:pPr>
      <w:adjustRightInd w:val="0"/>
      <w:ind w:firstLine="420" w:firstLineChars="200"/>
      <w:jc w:val="left"/>
      <w:textAlignment w:val="baseline"/>
    </w:pPr>
    <w:rPr>
      <w:kern w:val="0"/>
      <w:szCs w:val="20"/>
    </w:rPr>
  </w:style>
  <w:style w:type="paragraph" w:customStyle="1" w:styleId="109">
    <w:name w:val="列出段落2"/>
    <w:basedOn w:val="1"/>
    <w:autoRedefine/>
    <w:qFormat/>
    <w:uiPriority w:val="0"/>
    <w:pPr>
      <w:ind w:firstLine="420" w:firstLineChars="200"/>
    </w:pPr>
    <w:rPr>
      <w:rFonts w:ascii="Calibri" w:hAnsi="Calibri"/>
      <w:szCs w:val="22"/>
    </w:rPr>
  </w:style>
  <w:style w:type="paragraph" w:customStyle="1" w:styleId="110">
    <w:name w:val="列出段落11"/>
    <w:basedOn w:val="1"/>
    <w:qFormat/>
    <w:uiPriority w:val="0"/>
    <w:pPr>
      <w:spacing w:after="120" w:line="360" w:lineRule="auto"/>
      <w:ind w:firstLine="420" w:firstLineChars="200"/>
    </w:pPr>
    <w:rPr>
      <w:rFonts w:ascii="Calibri" w:hAnsi="Calibri"/>
      <w:szCs w:val="22"/>
    </w:rPr>
  </w:style>
  <w:style w:type="paragraph" w:customStyle="1" w:styleId="111">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2">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Table Paragraph"/>
    <w:basedOn w:val="1"/>
    <w:autoRedefine/>
    <w:qFormat/>
    <w:uiPriority w:val="1"/>
    <w:rPr>
      <w:rFonts w:ascii="宋体" w:hAnsi="宋体" w:eastAsia="宋体" w:cs="宋体"/>
      <w:lang w:val="zh-CN" w:eastAsia="zh-CN" w:bidi="zh-CN"/>
    </w:rPr>
  </w:style>
  <w:style w:type="paragraph" w:customStyle="1" w:styleId="114">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5">
    <w:name w:val="列出段落1"/>
    <w:basedOn w:val="1"/>
    <w:qFormat/>
    <w:uiPriority w:val="34"/>
    <w:pPr>
      <w:ind w:firstLine="420" w:firstLineChars="200"/>
    </w:pPr>
  </w:style>
  <w:style w:type="paragraph" w:customStyle="1" w:styleId="116">
    <w:name w:val="Char Char Char Char Char Char Char1 Char"/>
    <w:basedOn w:val="1"/>
    <w:qFormat/>
    <w:uiPriority w:val="0"/>
    <w:rPr>
      <w:rFonts w:ascii="Tahoma" w:hAnsi="Tahoma"/>
      <w:sz w:val="24"/>
      <w:szCs w:val="20"/>
    </w:rPr>
  </w:style>
  <w:style w:type="paragraph" w:styleId="117">
    <w:name w:val="List Paragraph"/>
    <w:basedOn w:val="1"/>
    <w:qFormat/>
    <w:uiPriority w:val="0"/>
    <w:pPr>
      <w:spacing w:line="360" w:lineRule="auto"/>
      <w:ind w:firstLine="420" w:firstLineChars="200"/>
    </w:pPr>
    <w:rPr>
      <w:rFonts w:ascii="宋体" w:hAnsi="宋体" w:cs="宋体"/>
      <w:sz w:val="24"/>
    </w:rPr>
  </w:style>
  <w:style w:type="paragraph" w:customStyle="1" w:styleId="118">
    <w:name w:val="List Paragraph2"/>
    <w:basedOn w:val="1"/>
    <w:autoRedefine/>
    <w:qFormat/>
    <w:uiPriority w:val="0"/>
    <w:pPr>
      <w:spacing w:line="360" w:lineRule="auto"/>
      <w:ind w:firstLine="420"/>
    </w:pPr>
    <w:rPr>
      <w:color w:val="000000"/>
      <w:sz w:val="24"/>
      <w:szCs w:val="21"/>
    </w:rPr>
  </w:style>
  <w:style w:type="paragraph" w:customStyle="1" w:styleId="119">
    <w:name w:val="（无样式）"/>
    <w:basedOn w:val="1"/>
    <w:qFormat/>
    <w:uiPriority w:val="0"/>
    <w:pPr>
      <w:widowControl/>
      <w:numPr>
        <w:ilvl w:val="0"/>
        <w:numId w:val="7"/>
      </w:numPr>
      <w:spacing w:line="360" w:lineRule="auto"/>
      <w:ind w:firstLine="0"/>
    </w:pPr>
    <w:rPr>
      <w:sz w:val="24"/>
      <w:szCs w:val="20"/>
    </w:rPr>
  </w:style>
  <w:style w:type="paragraph" w:customStyle="1" w:styleId="120">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1">
    <w:name w:val="正文缩进1"/>
    <w:basedOn w:val="1"/>
    <w:next w:val="12"/>
    <w:qFormat/>
    <w:uiPriority w:val="0"/>
    <w:pPr>
      <w:spacing w:line="360" w:lineRule="atLeast"/>
      <w:ind w:firstLine="482"/>
    </w:pPr>
    <w:rPr>
      <w:sz w:val="24"/>
    </w:rPr>
  </w:style>
  <w:style w:type="paragraph" w:customStyle="1" w:styleId="122">
    <w:name w:val="标题3-副本"/>
    <w:basedOn w:val="26"/>
    <w:qFormat/>
    <w:uiPriority w:val="0"/>
    <w:pPr>
      <w:numPr>
        <w:ilvl w:val="0"/>
        <w:numId w:val="0"/>
      </w:numPr>
      <w:ind w:left="840"/>
    </w:pPr>
  </w:style>
  <w:style w:type="paragraph" w:customStyle="1" w:styleId="123">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4">
    <w:name w:val="_Style 2"/>
    <w:basedOn w:val="1"/>
    <w:qFormat/>
    <w:uiPriority w:val="0"/>
  </w:style>
  <w:style w:type="paragraph" w:customStyle="1" w:styleId="125">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6">
    <w:name w:val="xl31"/>
    <w:basedOn w:val="1"/>
    <w:qFormat/>
    <w:uiPriority w:val="0"/>
    <w:pPr>
      <w:widowControl/>
      <w:spacing w:before="100" w:beforeAutospacing="1" w:after="100" w:afterAutospacing="1"/>
      <w:jc w:val="center"/>
    </w:pPr>
    <w:rPr>
      <w:b/>
      <w:bCs/>
      <w:kern w:val="0"/>
      <w:sz w:val="28"/>
      <w:szCs w:val="28"/>
    </w:rPr>
  </w:style>
  <w:style w:type="paragraph" w:customStyle="1" w:styleId="127">
    <w:name w:val=" Char"/>
    <w:basedOn w:val="1"/>
    <w:autoRedefine/>
    <w:qFormat/>
    <w:uiPriority w:val="0"/>
  </w:style>
  <w:style w:type="paragraph" w:customStyle="1" w:styleId="128">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9">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1">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2">
    <w:name w:val="num"/>
    <w:basedOn w:val="39"/>
    <w:autoRedefine/>
    <w:qFormat/>
    <w:uiPriority w:val="0"/>
    <w:rPr>
      <w:b/>
      <w:bCs/>
      <w:color w:val="FF7800"/>
    </w:rPr>
  </w:style>
  <w:style w:type="character" w:customStyle="1" w:styleId="133">
    <w:name w:val="a-desc"/>
    <w:basedOn w:val="39"/>
    <w:autoRedefine/>
    <w:qFormat/>
    <w:uiPriority w:val="0"/>
    <w:rPr>
      <w:color w:val="315EFB"/>
    </w:rPr>
  </w:style>
  <w:style w:type="character" w:customStyle="1" w:styleId="134">
    <w:name w:val="bg"/>
    <w:basedOn w:val="39"/>
    <w:autoRedefine/>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autoRedefine/>
    <w:qFormat/>
    <w:uiPriority w:val="0"/>
  </w:style>
  <w:style w:type="character" w:customStyle="1" w:styleId="138">
    <w:name w:val="del-btn"/>
    <w:basedOn w:val="39"/>
    <w:autoRedefine/>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autoRedefine/>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 w:type="paragraph" w:customStyle="1" w:styleId="1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2">
    <w:name w:val="room"/>
    <w:basedOn w:val="39"/>
    <w:qFormat/>
    <w:uiPriority w:val="0"/>
  </w:style>
  <w:style w:type="character" w:customStyle="1" w:styleId="153">
    <w:name w:val="time"/>
    <w:basedOn w:val="39"/>
    <w:qFormat/>
    <w:uiPriority w:val="0"/>
  </w:style>
  <w:style w:type="character" w:customStyle="1" w:styleId="154">
    <w:name w:val="layui-layer-tabnow"/>
    <w:basedOn w:val="39"/>
    <w:qFormat/>
    <w:uiPriority w:val="0"/>
    <w:rPr>
      <w:bdr w:val="single" w:color="CCCCCC" w:sz="6" w:space="0"/>
      <w:shd w:val="clear" w:fill="FFFFFF"/>
    </w:rPr>
  </w:style>
  <w:style w:type="character" w:customStyle="1" w:styleId="155">
    <w:name w:val="status"/>
    <w:basedOn w:val="39"/>
    <w:qFormat/>
    <w:uiPriority w:val="0"/>
    <w:rPr>
      <w:color w:val="0776DD"/>
    </w:rPr>
  </w:style>
  <w:style w:type="character" w:customStyle="1" w:styleId="156">
    <w:name w:val="timeaxis"/>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11851</Words>
  <Characters>13173</Characters>
  <Lines>358</Lines>
  <Paragraphs>100</Paragraphs>
  <TotalTime>1</TotalTime>
  <ScaleCrop>false</ScaleCrop>
  <LinksUpToDate>false</LinksUpToDate>
  <CharactersWithSpaces>13358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2026-05-29T05:00:33Z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