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bookmarkStart w:id="94" w:name="_GoBack"/>
      <w:bookmarkEnd w:id="94"/>
    </w:p>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滁州市建筑垃圾综合处置项目结算复核服务</w:t>
      </w: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6228E25F">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0000FF"/>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r>
        <w:rPr>
          <w:rFonts w:hint="eastAsia" w:ascii="宋体" w:hAnsi="宋体" w:eastAsia="宋体" w:cs="宋体"/>
          <w:color w:val="auto"/>
          <w:sz w:val="32"/>
          <w:highlight w:val="none"/>
          <w:u w:val="none"/>
          <w:lang w:val="en-US" w:eastAsia="zh-CN"/>
        </w:rPr>
        <w:t xml:space="preserve"> </w:t>
      </w:r>
      <w:r>
        <w:rPr>
          <w:rFonts w:hint="eastAsia" w:ascii="宋体" w:hAnsi="宋体" w:cs="宋体"/>
          <w:color w:val="auto"/>
          <w:sz w:val="32"/>
          <w:highlight w:val="none"/>
          <w:u w:val="none"/>
          <w:lang w:val="en-US" w:eastAsia="zh-CN"/>
        </w:rPr>
        <w:t xml:space="preserve">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64D585DB">
      <w:pPr>
        <w:pStyle w:val="44"/>
        <w:rPr>
          <w:rFonts w:hint="eastAsia" w:ascii="宋体" w:hAnsi="宋体" w:eastAsia="宋体" w:cs="宋体"/>
          <w:b/>
          <w:bCs/>
          <w:color w:val="auto"/>
          <w:sz w:val="32"/>
          <w:szCs w:val="32"/>
          <w:highlight w:val="none"/>
        </w:rPr>
      </w:pPr>
    </w:p>
    <w:p w14:paraId="603D8770">
      <w:pPr>
        <w:rPr>
          <w:rFonts w:hint="eastAsia" w:ascii="宋体" w:hAnsi="宋体" w:eastAsia="宋体" w:cs="宋体"/>
          <w:b/>
          <w:bCs/>
          <w:color w:val="auto"/>
          <w:sz w:val="32"/>
          <w:szCs w:val="32"/>
          <w:highlight w:val="none"/>
        </w:rPr>
      </w:pPr>
    </w:p>
    <w:p w14:paraId="74D998A0">
      <w:pPr>
        <w:rPr>
          <w:rFonts w:hint="eastAsia"/>
        </w:rPr>
      </w:pPr>
    </w:p>
    <w:p w14:paraId="684C5017">
      <w:pPr>
        <w:pStyle w:val="44"/>
        <w:rPr>
          <w:rFonts w:hint="eastAsia"/>
        </w:rPr>
      </w:pPr>
    </w:p>
    <w:p w14:paraId="156F6617">
      <w:pPr>
        <w:rPr>
          <w:rFonts w:hint="eastAsia"/>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44D60B52">
      <w:pPr>
        <w:wordWrap w:val="0"/>
        <w:spacing w:line="800" w:lineRule="exact"/>
        <w:ind w:right="480" w:firstLine="960" w:firstLineChars="300"/>
        <w:jc w:val="left"/>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滁州市皖能兴滁环境科技有限公司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5E2CC12C">
      <w:pPr>
        <w:spacing w:line="800" w:lineRule="exact"/>
        <w:jc w:val="center"/>
        <w:rPr>
          <w:rFonts w:hint="default" w:ascii="宋体" w:hAnsi="宋体" w:eastAsia="宋体" w:cs="宋体"/>
          <w:b/>
          <w:color w:val="auto"/>
          <w:spacing w:val="20"/>
          <w:sz w:val="32"/>
          <w:szCs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1</w:t>
      </w:r>
      <w:r>
        <w:rPr>
          <w:rFonts w:hint="eastAsia" w:ascii="宋体" w:hAnsi="宋体" w:eastAsia="宋体" w:cs="宋体"/>
          <w:color w:val="auto"/>
          <w:sz w:val="32"/>
          <w:highlight w:val="none"/>
        </w:rPr>
        <w:t>月</w:t>
      </w:r>
      <w:r>
        <w:rPr>
          <w:rFonts w:hint="eastAsia" w:ascii="宋体" w:hAnsi="宋体" w:cs="宋体"/>
          <w:color w:val="auto"/>
          <w:sz w:val="32"/>
          <w:highlight w:val="none"/>
          <w:u w:val="single"/>
          <w:lang w:val="en-US" w:eastAsia="zh-CN"/>
        </w:rPr>
        <w:t xml:space="preserve">   </w:t>
      </w:r>
      <w:r>
        <w:rPr>
          <w:rFonts w:hint="eastAsia" w:ascii="宋体" w:hAnsi="宋体" w:cs="宋体"/>
          <w:color w:val="auto"/>
          <w:sz w:val="32"/>
          <w:highlight w:val="none"/>
          <w:lang w:val="en-US" w:eastAsia="zh-CN"/>
        </w:rPr>
        <w:t>日</w:t>
      </w:r>
    </w:p>
    <w:p w14:paraId="489A0808">
      <w:pPr>
        <w:rPr>
          <w:rFonts w:hint="eastAsia" w:ascii="宋体" w:hAnsi="宋体" w:eastAsia="宋体" w:cs="宋体"/>
          <w:color w:val="auto"/>
          <w:highlight w:val="none"/>
        </w:rPr>
        <w:sectPr>
          <w:headerReference r:id="rId4" w:type="first"/>
          <w:footerReference r:id="rId6" w:type="first"/>
          <w:headerReference r:id="rId3" w:type="default"/>
          <w:footerReference r:id="rId5" w:type="default"/>
          <w:pgSz w:w="11906" w:h="16838"/>
          <w:pgMar w:top="1134" w:right="1106" w:bottom="1134" w:left="1259" w:header="680" w:footer="680" w:gutter="0"/>
          <w:cols w:space="0" w:num="1"/>
          <w:titlePg/>
          <w:docGrid w:type="lines" w:linePitch="318" w:charSpace="0"/>
        </w:sectPr>
      </w:pPr>
    </w:p>
    <w:p w14:paraId="37E7B1B0">
      <w:pPr>
        <w:jc w:val="center"/>
        <w:rPr>
          <w:rFonts w:hint="eastAsia" w:ascii="宋体" w:hAnsi="宋体" w:eastAsia="宋体" w:cs="宋体"/>
          <w:b/>
          <w:bCs/>
          <w:color w:val="auto"/>
          <w:sz w:val="48"/>
          <w:szCs w:val="48"/>
          <w:highlight w:val="none"/>
        </w:rPr>
      </w:pPr>
    </w:p>
    <w:p w14:paraId="35F77A08">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bCs w:val="0"/>
          <w:color w:val="auto"/>
          <w:szCs w:val="24"/>
          <w:highlight w:val="none"/>
        </w:rPr>
        <w:fldChar w:fldCharType="end"/>
      </w:r>
    </w:p>
    <w:p w14:paraId="4CD5E4E4">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hAnsi="宋体" w:eastAsia="宋体" w:cs="宋体"/>
          <w:color w:val="auto"/>
          <w:highlight w:val="none"/>
          <w:lang w:eastAsia="zh-CN"/>
        </w:rPr>
        <w:t>投标人须知</w:t>
      </w:r>
      <w:r>
        <w:rPr>
          <w:rFonts w:hint="eastAsia" w:ascii="宋体" w:hAnsi="宋体" w:eastAsia="宋体" w:cs="宋体"/>
          <w:color w:val="auto"/>
          <w:highlight w:val="none"/>
        </w:rPr>
        <w:tab/>
      </w:r>
      <w:r>
        <w:rPr>
          <w:rFonts w:hint="eastAsia" w:hAnsi="宋体" w:eastAsia="宋体" w:cs="宋体"/>
          <w:color w:val="auto"/>
          <w:highlight w:val="none"/>
          <w:lang w:val="en-US" w:eastAsia="zh-CN"/>
        </w:rPr>
        <w:t>6</w:t>
      </w:r>
      <w:r>
        <w:rPr>
          <w:rFonts w:hint="eastAsia" w:ascii="宋体" w:hAnsi="宋体" w:eastAsia="宋体" w:cs="宋体"/>
          <w:bCs w:val="0"/>
          <w:color w:val="auto"/>
          <w:szCs w:val="24"/>
          <w:highlight w:val="none"/>
        </w:rPr>
        <w:fldChar w:fldCharType="end"/>
      </w:r>
    </w:p>
    <w:p w14:paraId="37667979">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703F52F3">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E1D2DC7">
      <w:pPr>
        <w:pStyle w:val="2"/>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45495C10">
      <w:pPr>
        <w:rPr>
          <w:rFonts w:hint="eastAsia" w:ascii="宋体" w:hAnsi="宋体" w:eastAsia="宋体" w:cs="宋体"/>
          <w:color w:val="auto"/>
          <w:highlight w:val="none"/>
        </w:rPr>
        <w:sectPr>
          <w:footerReference r:id="rId8" w:type="first"/>
          <w:footerReference r:id="rId7"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6153588B">
      <w:pPr>
        <w:pStyle w:val="2"/>
        <w:pageBreakBefore w:val="0"/>
        <w:tabs>
          <w:tab w:val="left" w:pos="0"/>
          <w:tab w:val="left" w:pos="3165"/>
          <w:tab w:val="center" w:pos="4153"/>
        </w:tabs>
        <w:kinsoku/>
        <w:overflowPunct/>
        <w:topLinePunct w:val="0"/>
        <w:autoSpaceDE w:val="0"/>
        <w:autoSpaceDN w:val="0"/>
        <w:bidi w:val="0"/>
        <w:adjustRightInd w:val="0"/>
        <w:snapToGrid/>
        <w:spacing w:before="0" w:beforeLines="0" w:after="0" w:afterLines="0" w:line="240" w:lineRule="auto"/>
        <w:jc w:val="center"/>
        <w:textAlignment w:val="auto"/>
        <w:rPr>
          <w:rFonts w:hint="eastAsia" w:ascii="黑体" w:hAnsi="黑体" w:eastAsia="黑体" w:cs="黑体"/>
          <w:color w:val="auto"/>
          <w:highlight w:val="none"/>
          <w:lang w:eastAsia="zh-CN"/>
        </w:rPr>
      </w:pPr>
      <w:bookmarkStart w:id="0" w:name="_Toc14627"/>
      <w:bookmarkStart w:id="1" w:name="_Toc21262"/>
      <w:bookmarkStart w:id="2" w:name="_Toc16309"/>
      <w:r>
        <w:rPr>
          <w:rFonts w:hint="eastAsia" w:ascii="黑体" w:hAnsi="黑体" w:eastAsia="黑体" w:cs="黑体"/>
          <w:color w:val="auto"/>
          <w:highlight w:val="none"/>
          <w:lang w:val="en-US" w:eastAsia="zh-CN"/>
        </w:rPr>
        <w:t>A、滁州市建筑垃圾综合处置项目结算复核服务</w:t>
      </w:r>
      <w:r>
        <w:rPr>
          <w:rFonts w:hint="eastAsia" w:ascii="黑体" w:hAnsi="黑体" w:eastAsia="黑体" w:cs="黑体"/>
          <w:color w:val="auto"/>
          <w:highlight w:val="none"/>
          <w:lang w:eastAsia="zh-CN"/>
        </w:rPr>
        <w:t>招标公告</w:t>
      </w:r>
      <w:bookmarkEnd w:id="0"/>
      <w:bookmarkEnd w:id="1"/>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不见面开标</w:t>
      </w:r>
      <w:r>
        <w:rPr>
          <w:rFonts w:hint="eastAsia" w:ascii="黑体" w:hAnsi="黑体" w:eastAsia="黑体" w:cs="黑体"/>
          <w:color w:val="auto"/>
          <w:highlight w:val="none"/>
          <w:lang w:eastAsia="zh-CN"/>
        </w:rPr>
        <w:t>）</w:t>
      </w:r>
    </w:p>
    <w:p w14:paraId="0105351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3" w:name="_Toc28359002"/>
      <w:bookmarkStart w:id="4" w:name="_Toc31215"/>
      <w:bookmarkStart w:id="5" w:name="_Toc35393790"/>
      <w:bookmarkStart w:id="6" w:name="_Toc28359079"/>
      <w:bookmarkStart w:id="7" w:name="_Toc11704"/>
      <w:bookmarkStart w:id="8" w:name="_Toc23993"/>
      <w:bookmarkStart w:id="9" w:name="_Toc35393621"/>
      <w:bookmarkStart w:id="10" w:name="_Hlk24379207"/>
      <w:r>
        <w:rPr>
          <w:rFonts w:hint="eastAsia" w:ascii="黑体" w:hAnsi="黑体" w:eastAsia="黑体" w:cs="黑体"/>
          <w:b w:val="0"/>
          <w:color w:val="auto"/>
          <w:sz w:val="28"/>
          <w:szCs w:val="28"/>
          <w:highlight w:val="none"/>
        </w:rPr>
        <w:t>一、项目基本情况</w:t>
      </w:r>
      <w:bookmarkEnd w:id="3"/>
      <w:bookmarkEnd w:id="4"/>
      <w:bookmarkEnd w:id="5"/>
      <w:bookmarkEnd w:id="6"/>
      <w:bookmarkEnd w:id="7"/>
      <w:bookmarkEnd w:id="8"/>
      <w:bookmarkEnd w:id="9"/>
    </w:p>
    <w:bookmarkEnd w:id="10"/>
    <w:p w14:paraId="660E96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ascii="微软雅黑" w:hAnsi="微软雅黑" w:eastAsia="微软雅黑" w:cs="微软雅黑"/>
          <w:i w:val="0"/>
          <w:iCs w:val="0"/>
          <w:caps w:val="0"/>
          <w:color w:val="auto"/>
          <w:spacing w:val="0"/>
          <w:sz w:val="21"/>
          <w:szCs w:val="21"/>
          <w:highlight w:val="none"/>
        </w:rPr>
      </w:pPr>
      <w:bookmarkStart w:id="11" w:name="_Toc4879"/>
      <w:bookmarkStart w:id="12" w:name="_Toc28004"/>
      <w:bookmarkStart w:id="13" w:name="_Toc35393791"/>
      <w:bookmarkStart w:id="14" w:name="_Toc28359003"/>
      <w:bookmarkStart w:id="15" w:name="_Toc28359080"/>
      <w:bookmarkStart w:id="16" w:name="_Toc35393622"/>
      <w:r>
        <w:rPr>
          <w:rFonts w:ascii="仿宋" w:hAnsi="仿宋" w:eastAsia="仿宋" w:cs="仿宋"/>
          <w:i w:val="0"/>
          <w:iCs w:val="0"/>
          <w:caps w:val="0"/>
          <w:color w:val="auto"/>
          <w:spacing w:val="0"/>
          <w:kern w:val="0"/>
          <w:sz w:val="28"/>
          <w:szCs w:val="28"/>
          <w:highlight w:val="none"/>
          <w:shd w:val="clear" w:fill="FFFFFF"/>
          <w:lang w:val="en-US" w:eastAsia="zh-CN" w:bidi="ar"/>
        </w:rPr>
        <w:t>项目编</w:t>
      </w:r>
      <w:r>
        <w:rPr>
          <w:rFonts w:hint="eastAsia" w:ascii="仿宋" w:hAnsi="仿宋" w:eastAsia="仿宋" w:cs="仿宋"/>
          <w:i w:val="0"/>
          <w:iCs w:val="0"/>
          <w:caps w:val="0"/>
          <w:color w:val="auto"/>
          <w:spacing w:val="0"/>
          <w:kern w:val="0"/>
          <w:sz w:val="28"/>
          <w:szCs w:val="28"/>
          <w:highlight w:val="none"/>
          <w:shd w:val="clear" w:fill="FFFFFF"/>
          <w:lang w:val="en-US" w:eastAsia="zh-CN" w:bidi="ar"/>
        </w:rPr>
        <w:t xml:space="preserve">号：  </w:t>
      </w:r>
    </w:p>
    <w:p w14:paraId="1E27E1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项目名称：滁州市建筑垃圾综合处置项目结算复核服务</w:t>
      </w:r>
    </w:p>
    <w:p w14:paraId="1991B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预算金额：2万元</w:t>
      </w:r>
    </w:p>
    <w:p w14:paraId="739ED5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最高限价：本项目的最高限价为基本费5000元；审核成果费率2%（审核成果费率为不可竞争费率，固定不变），基本费由投标人自主报价，不得高于上述基本费最高限价，否则按无效标处理。（投标报价不可以填报0或负数，否则按无效标处理）</w:t>
      </w:r>
    </w:p>
    <w:p w14:paraId="569A28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采购需求：滁州市建筑垃圾综合处置项目结算复核服务，具体详见工程量清单和施工图纸及结算报告。本次招标需求为上述工程的结算复核服务。</w:t>
      </w:r>
    </w:p>
    <w:p w14:paraId="1042D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标段（包别）划分：1个标段</w:t>
      </w:r>
    </w:p>
    <w:p w14:paraId="53B76F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合同履行期限：</w:t>
      </w:r>
      <w:r>
        <w:rPr>
          <w:rFonts w:hint="eastAsia" w:ascii="仿宋" w:hAnsi="仿宋" w:eastAsia="仿宋" w:cs="仿宋"/>
          <w:i w:val="0"/>
          <w:iCs w:val="0"/>
          <w:caps w:val="0"/>
          <w:color w:val="0000FF"/>
          <w:spacing w:val="0"/>
          <w:kern w:val="0"/>
          <w:sz w:val="28"/>
          <w:szCs w:val="28"/>
          <w:highlight w:val="none"/>
          <w:shd w:val="clear" w:fill="FFFFFF"/>
          <w:lang w:val="en-US" w:eastAsia="zh-CN" w:bidi="ar"/>
        </w:rPr>
        <w:t>不高于20个日历天内完成。</w:t>
      </w:r>
    </w:p>
    <w:p w14:paraId="20F12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17" w:name="_Toc30013"/>
      <w:r>
        <w:rPr>
          <w:rFonts w:hint="eastAsia" w:ascii="黑体" w:hAnsi="黑体" w:eastAsia="黑体" w:cs="黑体"/>
          <w:b w:val="0"/>
          <w:color w:val="auto"/>
          <w:sz w:val="28"/>
          <w:szCs w:val="28"/>
          <w:highlight w:val="none"/>
        </w:rPr>
        <w:t>二、申请人的资格要求：</w:t>
      </w:r>
      <w:bookmarkEnd w:id="11"/>
      <w:bookmarkEnd w:id="12"/>
      <w:bookmarkEnd w:id="13"/>
      <w:bookmarkEnd w:id="14"/>
      <w:bookmarkEnd w:id="15"/>
      <w:bookmarkEnd w:id="16"/>
      <w:bookmarkEnd w:id="17"/>
    </w:p>
    <w:p w14:paraId="41B157C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投标人要求：具备独立承担民事责任能力，具有有效的营业执照或事业单位法人证书；</w:t>
      </w:r>
    </w:p>
    <w:p w14:paraId="2E536E7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bookmarkStart w:id="18" w:name="_Toc28359004"/>
      <w:bookmarkStart w:id="19" w:name="_Toc28359081"/>
      <w:r>
        <w:rPr>
          <w:rFonts w:hint="eastAsia" w:ascii="仿宋" w:hAnsi="仿宋" w:eastAsia="仿宋" w:cs="仿宋"/>
          <w:color w:val="auto"/>
          <w:sz w:val="28"/>
          <w:szCs w:val="28"/>
          <w:highlight w:val="none"/>
          <w:lang w:val="en-US" w:eastAsia="zh-CN"/>
        </w:rPr>
        <w:t>2.项目负责人要求：具有注册在投标单位的</w:t>
      </w:r>
      <w:r>
        <w:rPr>
          <w:rFonts w:hint="eastAsia" w:ascii="仿宋" w:hAnsi="仿宋" w:eastAsia="仿宋" w:cs="仿宋"/>
          <w:color w:val="auto"/>
          <w:sz w:val="28"/>
          <w:szCs w:val="28"/>
          <w:highlight w:val="none"/>
        </w:rPr>
        <w:t>土木建筑专业</w:t>
      </w:r>
      <w:r>
        <w:rPr>
          <w:rFonts w:hint="eastAsia" w:ascii="仿宋" w:hAnsi="仿宋" w:eastAsia="仿宋" w:cs="仿宋"/>
          <w:color w:val="auto"/>
          <w:sz w:val="28"/>
          <w:szCs w:val="28"/>
          <w:highlight w:val="none"/>
          <w:lang w:val="en-US" w:eastAsia="zh-CN"/>
        </w:rPr>
        <w:t>一级注册造价工程师（或原注册造价工程师）；</w:t>
      </w:r>
    </w:p>
    <w:p w14:paraId="171F54D0">
      <w:pPr>
        <w:pageBreakBefore w:val="0"/>
        <w:kinsoku/>
        <w:wordWrap/>
        <w:overflowPunct/>
        <w:topLinePunct w:val="0"/>
        <w:autoSpaceDE/>
        <w:autoSpaceDN/>
        <w:bidi w:val="0"/>
        <w:snapToGrid/>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其他</w:t>
      </w:r>
      <w:r>
        <w:rPr>
          <w:rFonts w:hint="eastAsia" w:ascii="仿宋" w:hAnsi="仿宋" w:eastAsia="仿宋" w:cs="仿宋"/>
          <w:color w:val="auto"/>
          <w:sz w:val="28"/>
          <w:szCs w:val="28"/>
          <w:highlight w:val="none"/>
        </w:rPr>
        <w:t>要求：项目组其他成员（不含项目负责人）要求：不少于2名注册在</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单位的二级及以上造价工程师（土木建筑专业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安装专业各</w:t>
      </w:r>
      <w:r>
        <w:rPr>
          <w:rFonts w:hint="eastAsia" w:ascii="仿宋" w:hAnsi="仿宋" w:eastAsia="仿宋" w:cs="仿宋"/>
          <w:color w:val="auto"/>
          <w:sz w:val="28"/>
          <w:szCs w:val="28"/>
          <w:highlight w:val="none"/>
        </w:rPr>
        <w:t>不少于</w:t>
      </w:r>
      <w:r>
        <w:rPr>
          <w:rFonts w:hint="eastAsia" w:ascii="仿宋" w:hAnsi="仿宋" w:eastAsia="仿宋" w:cs="仿宋"/>
          <w:color w:val="auto"/>
          <w:sz w:val="28"/>
          <w:szCs w:val="28"/>
          <w:highlight w:val="none"/>
          <w:lang w:val="en-US" w:eastAsia="zh-CN"/>
        </w:rPr>
        <w:t>1名</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2AEC28B0">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eastAsia="zh-CN"/>
        </w:rPr>
      </w:pPr>
      <w:bookmarkStart w:id="20" w:name="_Toc35393792"/>
      <w:bookmarkStart w:id="21" w:name="_Toc35393623"/>
      <w:bookmarkStart w:id="22" w:name="_Toc7189"/>
      <w:bookmarkStart w:id="23" w:name="_Toc28172"/>
      <w:bookmarkStart w:id="24" w:name="_Toc2689"/>
      <w:r>
        <w:rPr>
          <w:rFonts w:hint="eastAsia" w:ascii="黑体" w:hAnsi="黑体" w:eastAsia="黑体" w:cs="黑体"/>
          <w:b w:val="0"/>
          <w:color w:val="auto"/>
          <w:sz w:val="28"/>
          <w:szCs w:val="28"/>
          <w:highlight w:val="none"/>
        </w:rPr>
        <w:t>三、获取</w:t>
      </w:r>
      <w:bookmarkEnd w:id="18"/>
      <w:bookmarkEnd w:id="19"/>
      <w:bookmarkEnd w:id="20"/>
      <w:bookmarkEnd w:id="21"/>
      <w:bookmarkEnd w:id="22"/>
      <w:bookmarkEnd w:id="23"/>
      <w:bookmarkEnd w:id="24"/>
      <w:r>
        <w:rPr>
          <w:rFonts w:hint="eastAsia" w:ascii="黑体" w:hAnsi="黑体" w:eastAsia="黑体" w:cs="黑体"/>
          <w:b w:val="0"/>
          <w:color w:val="auto"/>
          <w:sz w:val="28"/>
          <w:szCs w:val="28"/>
          <w:highlight w:val="none"/>
          <w:lang w:eastAsia="zh-CN"/>
        </w:rPr>
        <w:t>招标文件</w:t>
      </w:r>
    </w:p>
    <w:p w14:paraId="42BFF7A7">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1、招标文件获取方式：</w:t>
      </w:r>
    </w:p>
    <w:p w14:paraId="7B7E7722">
      <w:pPr>
        <w:pageBreakBefore w:val="0"/>
        <w:kinsoku/>
        <w:overflowPunct/>
        <w:topLinePunct w:val="0"/>
        <w:autoSpaceDE/>
        <w:autoSpaceDN/>
        <w:bidi w:val="0"/>
        <w:spacing w:line="240" w:lineRule="auto"/>
        <w:ind w:firstLine="54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时间：</w:t>
      </w:r>
      <w:r>
        <w:rPr>
          <w:rFonts w:hint="eastAsia" w:ascii="仿宋" w:hAnsi="仿宋" w:eastAsia="仿宋" w:cs="仿宋"/>
          <w:i w:val="0"/>
          <w:iCs w:val="0"/>
          <w:caps w:val="0"/>
          <w:color w:val="auto"/>
          <w:spacing w:val="0"/>
          <w:sz w:val="28"/>
          <w:szCs w:val="28"/>
          <w:highlight w:val="none"/>
          <w:u w:val="none"/>
          <w:shd w:val="clear" w:fill="FFFFFF"/>
          <w:lang w:val="en-US" w:eastAsia="zh-CN"/>
        </w:rPr>
        <w:t xml:space="preserve">2026年1月 日 </w:t>
      </w:r>
      <w:r>
        <w:rPr>
          <w:rFonts w:hint="eastAsia" w:ascii="仿宋" w:hAnsi="仿宋" w:eastAsia="仿宋" w:cs="仿宋"/>
          <w:i w:val="0"/>
          <w:iCs w:val="0"/>
          <w:caps w:val="0"/>
          <w:color w:val="auto"/>
          <w:spacing w:val="0"/>
          <w:sz w:val="28"/>
          <w:szCs w:val="28"/>
          <w:highlight w:val="none"/>
          <w:u w:val="none"/>
          <w:shd w:val="clear" w:fill="FFFFFF"/>
        </w:rPr>
        <w:t>日至</w:t>
      </w:r>
      <w:r>
        <w:rPr>
          <w:rFonts w:hint="eastAsia" w:ascii="仿宋" w:hAnsi="仿宋" w:eastAsia="仿宋" w:cs="仿宋"/>
          <w:i w:val="0"/>
          <w:iCs w:val="0"/>
          <w:caps w:val="0"/>
          <w:color w:val="auto"/>
          <w:spacing w:val="0"/>
          <w:sz w:val="28"/>
          <w:szCs w:val="28"/>
          <w:highlight w:val="none"/>
          <w:u w:val="none"/>
          <w:shd w:val="clear" w:fill="FFFFFF"/>
          <w:lang w:val="en-US" w:eastAsia="zh-CN"/>
        </w:rPr>
        <w:t xml:space="preserve">2026年1月 日 </w:t>
      </w:r>
      <w:r>
        <w:rPr>
          <w:rFonts w:hint="eastAsia" w:ascii="仿宋" w:hAnsi="仿宋" w:eastAsia="仿宋" w:cs="仿宋"/>
          <w:i w:val="0"/>
          <w:iCs w:val="0"/>
          <w:caps w:val="0"/>
          <w:color w:val="auto"/>
          <w:spacing w:val="0"/>
          <w:sz w:val="28"/>
          <w:szCs w:val="28"/>
          <w:highlight w:val="none"/>
          <w:u w:val="none"/>
          <w:shd w:val="clear" w:fill="FFFFFF"/>
        </w:rPr>
        <w:t>日</w:t>
      </w:r>
      <w:r>
        <w:rPr>
          <w:rFonts w:hint="eastAsia" w:ascii="仿宋" w:hAnsi="仿宋" w:eastAsia="仿宋" w:cs="仿宋"/>
          <w:i w:val="0"/>
          <w:iCs w:val="0"/>
          <w:caps w:val="0"/>
          <w:color w:val="auto"/>
          <w:spacing w:val="0"/>
          <w:sz w:val="28"/>
          <w:szCs w:val="28"/>
          <w:highlight w:val="none"/>
          <w:u w:val="none"/>
          <w:shd w:val="clear" w:fill="FFFFFF"/>
          <w:lang w:val="en-US" w:eastAsia="zh-CN"/>
        </w:rPr>
        <w:t>15时00分。</w:t>
      </w:r>
    </w:p>
    <w:p w14:paraId="38975E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fill="FFFFFF"/>
          <w:lang w:val="en-US" w:eastAsia="zh-CN" w:bidi="ar"/>
        </w:rPr>
        <w:t>请于公告发布之日起从滁州市城投工程咨询管理有限公司官网（https://www.czctgczx.com/）下载。投标人自行承担因未按要求获取招标文件导致无法上传电子投标文件的风险。</w:t>
      </w:r>
    </w:p>
    <w:p w14:paraId="3C2AAA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22308A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（2）投标人登录新点电子交易平台【滁州专区】获取招标文件及其它资料（含澄清和补充说明等）。如在招标文件获取过程中遇到系统问题，请拨打技术支持服务热线 4009280095或者网站首页在线客服。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2、招标文件及相关资料售价：人民币0元/套（含清单控制价、图纸及澄清答疑文件）。</w:t>
      </w:r>
    </w:p>
    <w:p w14:paraId="09247A6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25" w:name="_Toc28359005"/>
      <w:bookmarkStart w:id="26" w:name="_Toc28359082"/>
      <w:bookmarkStart w:id="27" w:name="_Toc23486"/>
      <w:bookmarkStart w:id="28" w:name="_Toc35393624"/>
      <w:bookmarkStart w:id="29" w:name="_Toc35393793"/>
      <w:bookmarkStart w:id="30" w:name="_Toc19139"/>
      <w:bookmarkStart w:id="31" w:name="_Toc6135"/>
      <w:r>
        <w:rPr>
          <w:rFonts w:hint="eastAsia" w:ascii="黑体" w:hAnsi="黑体" w:eastAsia="黑体" w:cs="黑体"/>
          <w:b w:val="0"/>
          <w:color w:val="auto"/>
          <w:sz w:val="28"/>
          <w:szCs w:val="28"/>
          <w:highlight w:val="none"/>
        </w:rPr>
        <w:t>四、提交投标文件</w:t>
      </w:r>
      <w:bookmarkEnd w:id="25"/>
      <w:bookmarkEnd w:id="26"/>
      <w:r>
        <w:rPr>
          <w:rFonts w:hint="eastAsia" w:ascii="黑体" w:hAnsi="黑体" w:eastAsia="黑体" w:cs="黑体"/>
          <w:b w:val="0"/>
          <w:color w:val="auto"/>
          <w:sz w:val="28"/>
          <w:szCs w:val="28"/>
          <w:highlight w:val="none"/>
        </w:rPr>
        <w:t>截止时间、开标时间和地点</w:t>
      </w:r>
      <w:bookmarkEnd w:id="27"/>
      <w:bookmarkEnd w:id="28"/>
      <w:bookmarkEnd w:id="29"/>
      <w:bookmarkEnd w:id="30"/>
      <w:bookmarkEnd w:id="31"/>
    </w:p>
    <w:p w14:paraId="78DDBB26">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bookmarkStart w:id="32" w:name="_Toc1913"/>
      <w:bookmarkStart w:id="33" w:name="_Toc28359084"/>
      <w:bookmarkStart w:id="34" w:name="_Toc19623"/>
      <w:bookmarkStart w:id="35" w:name="_Toc35393625"/>
      <w:bookmarkStart w:id="36" w:name="_Toc35393794"/>
      <w:bookmarkStart w:id="37" w:name="_Toc5602"/>
      <w:bookmarkStart w:id="38" w:name="_Toc28359007"/>
      <w:r>
        <w:rPr>
          <w:rFonts w:hint="eastAsia" w:ascii="仿宋" w:hAnsi="仿宋" w:eastAsia="仿宋" w:cs="仿宋"/>
          <w:b w:val="0"/>
          <w:bCs w:val="0"/>
          <w:color w:val="auto"/>
          <w:sz w:val="28"/>
          <w:szCs w:val="28"/>
          <w:highlight w:val="none"/>
          <w:lang w:val="en-US" w:eastAsia="zh-CN"/>
        </w:rPr>
        <w:t>1、投标文件递交的截止时间为</w:t>
      </w:r>
      <w:r>
        <w:rPr>
          <w:rFonts w:hint="eastAsia" w:ascii="仿宋" w:hAnsi="仿宋" w:eastAsia="仿宋" w:cs="仿宋"/>
          <w:b w:val="0"/>
          <w:bCs w:val="0"/>
          <w:color w:val="auto"/>
          <w:sz w:val="28"/>
          <w:szCs w:val="28"/>
          <w:highlight w:val="none"/>
          <w:u w:val="single"/>
          <w:lang w:val="en-US" w:eastAsia="zh-CN"/>
        </w:rPr>
        <w:t xml:space="preserve">2026年1月 日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b w:val="0"/>
          <w:bCs w:val="0"/>
          <w:color w:val="auto"/>
          <w:sz w:val="28"/>
          <w:szCs w:val="28"/>
          <w:highlight w:val="none"/>
          <w:u w:val="single"/>
          <w:lang w:val="en-US" w:eastAsia="zh-CN"/>
        </w:rPr>
        <w:t>15</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u w:val="single"/>
          <w:lang w:val="en-US" w:eastAsia="zh-CN"/>
        </w:rPr>
        <w:t>00</w:t>
      </w:r>
      <w:r>
        <w:rPr>
          <w:rFonts w:hint="eastAsia" w:ascii="仿宋" w:hAnsi="仿宋" w:eastAsia="仿宋" w:cs="仿宋"/>
          <w:b w:val="0"/>
          <w:bCs w:val="0"/>
          <w:color w:val="auto"/>
          <w:sz w:val="28"/>
          <w:szCs w:val="28"/>
          <w:highlight w:val="none"/>
          <w:lang w:val="en-US" w:eastAsia="zh-CN"/>
        </w:rPr>
        <w:t>分；</w:t>
      </w:r>
    </w:p>
    <w:p w14:paraId="6EAC10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2、网上开标，投标人登录滁州市城投工程咨询有限公司不见面开标系统参与网上开标（网址：http://js.etrading.cn/EpointBidOpening/bidopeninghallaction/hall/login）。</w:t>
      </w:r>
    </w:p>
    <w:p w14:paraId="7B11CB74">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3、投标人应在投标截止时间之前，登录新点电子交易平台【滁州专区】上传投标文件。</w:t>
      </w:r>
    </w:p>
    <w:p w14:paraId="68E7038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4、投标人逾期上传投标文件的，电子系统不予受理。</w:t>
      </w:r>
    </w:p>
    <w:p w14:paraId="39276E8D">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rPr>
        <w:t>五、公告</w:t>
      </w:r>
      <w:bookmarkEnd w:id="32"/>
      <w:bookmarkEnd w:id="33"/>
      <w:bookmarkEnd w:id="34"/>
      <w:bookmarkEnd w:id="35"/>
      <w:bookmarkEnd w:id="36"/>
      <w:bookmarkEnd w:id="37"/>
      <w:bookmarkEnd w:id="38"/>
      <w:r>
        <w:rPr>
          <w:rFonts w:hint="eastAsia" w:ascii="黑体" w:hAnsi="黑体" w:eastAsia="黑体" w:cs="黑体"/>
          <w:b w:val="0"/>
          <w:color w:val="auto"/>
          <w:sz w:val="28"/>
          <w:szCs w:val="28"/>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自本公告发布之日起至投标截止时间止。</w:t>
      </w:r>
    </w:p>
    <w:p w14:paraId="4D51DD3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本次招标公告同时在中国招标公共服务平台（http://www.cebpubservice.com/）、安徽省招标投标信息网（www.ahtba.org.cn）、滁州市城投工程咨询管理有限公司（</w:t>
      </w:r>
      <w:r>
        <w:rPr>
          <w:rFonts w:hint="eastAsia" w:ascii="仿宋" w:hAnsi="仿宋" w:eastAsia="仿宋" w:cs="仿宋"/>
          <w:i w:val="0"/>
          <w:iCs w:val="0"/>
          <w:caps w:val="0"/>
          <w:color w:val="auto"/>
          <w:spacing w:val="0"/>
          <w:kern w:val="0"/>
          <w:sz w:val="28"/>
          <w:szCs w:val="28"/>
          <w:highlight w:val="none"/>
          <w:shd w:val="clear" w:fill="FFFFFF"/>
          <w:lang w:val="en-US" w:eastAsia="zh-CN" w:bidi="ar"/>
        </w:rPr>
        <w:t>https://www.czctgczx.com/</w:t>
      </w:r>
      <w:r>
        <w:rPr>
          <w:rFonts w:hint="eastAsia" w:ascii="仿宋" w:hAnsi="仿宋" w:eastAsia="仿宋" w:cs="仿宋"/>
          <w:b w:val="0"/>
          <w:bCs w:val="0"/>
          <w:color w:val="auto"/>
          <w:sz w:val="28"/>
          <w:szCs w:val="28"/>
          <w:highlight w:val="none"/>
          <w:lang w:val="en-US" w:eastAsia="zh-CN"/>
        </w:rPr>
        <w:t>）、滁州市兴滁矿业投资集团有限公司网站（http://www.xckytz.com/index.html）上发布</w:t>
      </w:r>
    </w:p>
    <w:p w14:paraId="25B232D4">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六、投标保证金金额及缴纳账户</w:t>
      </w:r>
    </w:p>
    <w:p w14:paraId="1B54B949">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是否要求投标人提交投标保证金：不要求。</w:t>
      </w:r>
    </w:p>
    <w:p w14:paraId="0369C8D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七</w:t>
      </w:r>
      <w:r>
        <w:rPr>
          <w:rFonts w:hint="eastAsia" w:ascii="黑体" w:hAnsi="黑体" w:eastAsia="黑体" w:cs="黑体"/>
          <w:b w:val="0"/>
          <w:color w:val="auto"/>
          <w:sz w:val="28"/>
          <w:szCs w:val="28"/>
          <w:highlight w:val="none"/>
        </w:rPr>
        <w:t>、对本次招标提出询问，请按以下方式联系</w:t>
      </w:r>
    </w:p>
    <w:p w14:paraId="63CC939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008F993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 xml:space="preserve"> 滁州市皖能兴滁环境科技有限公司 </w:t>
      </w:r>
      <w:r>
        <w:rPr>
          <w:rFonts w:hint="eastAsia" w:ascii="仿宋" w:hAnsi="仿宋" w:eastAsia="仿宋" w:cs="仿宋"/>
          <w:color w:val="auto"/>
          <w:sz w:val="28"/>
          <w:szCs w:val="28"/>
          <w:highlight w:val="none"/>
          <w:u w:val="single"/>
          <w:lang w:val="en-US" w:eastAsia="zh-CN"/>
        </w:rPr>
        <w:t xml:space="preserve">        </w:t>
      </w:r>
    </w:p>
    <w:p w14:paraId="2676EEB6">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w:t>
      </w:r>
      <w:r>
        <w:rPr>
          <w:rFonts w:hint="eastAsia" w:ascii="仿宋" w:hAnsi="仿宋" w:eastAsia="仿宋" w:cs="仿宋"/>
          <w:color w:val="auto"/>
          <w:sz w:val="28"/>
          <w:szCs w:val="28"/>
          <w:highlight w:val="none"/>
          <w:lang w:val="en-US" w:eastAsia="zh-CN"/>
        </w:rPr>
        <w:t>址：安徽省滁州市南谯区龙蟠街道中都大道1598号城投大厦713室</w:t>
      </w:r>
    </w:p>
    <w:p w14:paraId="00D6D65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bookmarkStart w:id="39" w:name="_Toc28359086"/>
      <w:bookmarkStart w:id="40" w:name="_Toc28359009"/>
      <w:r>
        <w:rPr>
          <w:rFonts w:hint="eastAsia" w:ascii="仿宋" w:hAnsi="仿宋" w:eastAsia="仿宋" w:cs="仿宋"/>
          <w:color w:val="auto"/>
          <w:sz w:val="28"/>
          <w:szCs w:val="28"/>
          <w:highlight w:val="none"/>
          <w:lang w:val="en-US" w:eastAsia="zh-CN"/>
        </w:rPr>
        <w:t>江玉龙  18130062551</w:t>
      </w:r>
    </w:p>
    <w:p w14:paraId="03EF201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39"/>
      <w:bookmarkEnd w:id="40"/>
    </w:p>
    <w:p w14:paraId="172B815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none"/>
          <w:lang w:val="en-US" w:eastAsia="zh-CN"/>
        </w:rPr>
      </w:pPr>
      <w:bookmarkStart w:id="41" w:name="_Toc28359087"/>
      <w:bookmarkStart w:id="42" w:name="_Toc28359010"/>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none"/>
          <w:lang w:val="en-US" w:eastAsia="zh-CN"/>
        </w:rPr>
        <w:t>滁州市城投工程咨询管理有限公司</w:t>
      </w:r>
    </w:p>
    <w:p w14:paraId="61DC66B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滁州市龙蟠大道109号房产商务大厦6楼605</w:t>
      </w:r>
    </w:p>
    <w:p w14:paraId="162E3C1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王芳 0550-3519519、18955055067</w:t>
      </w:r>
    </w:p>
    <w:bookmarkEnd w:id="41"/>
    <w:bookmarkEnd w:id="42"/>
    <w:p w14:paraId="70CCC2F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八</w:t>
      </w:r>
      <w:r>
        <w:rPr>
          <w:rFonts w:hint="eastAsia" w:ascii="黑体" w:hAnsi="黑体" w:eastAsia="黑体" w:cs="黑体"/>
          <w:b w:val="0"/>
          <w:color w:val="auto"/>
          <w:sz w:val="28"/>
          <w:szCs w:val="28"/>
          <w:highlight w:val="none"/>
        </w:rPr>
        <w:t>、</w:t>
      </w:r>
      <w:r>
        <w:rPr>
          <w:rFonts w:hint="eastAsia" w:ascii="黑体" w:hAnsi="黑体" w:eastAsia="黑体" w:cs="黑体"/>
          <w:b w:val="0"/>
          <w:color w:val="auto"/>
          <w:sz w:val="28"/>
          <w:szCs w:val="28"/>
          <w:highlight w:val="none"/>
          <w:lang w:val="en-US" w:eastAsia="zh-CN"/>
        </w:rPr>
        <w:t>重要提醒</w:t>
      </w:r>
    </w:p>
    <w:p w14:paraId="0668F3B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7A7007A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133A6AC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3.投标人登录新点电子交易平台【滁州专区】获取招标文件及其它资料（含澄清和补充说明等）。如在招标文件获取过程中遇到系统问题，请拨打技术支持服务热线4009280095或者网站首页在线客服。</w:t>
      </w:r>
    </w:p>
    <w:p w14:paraId="7D2A9F0E">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4.本项目采用不见面开标，投标人登录滁州市城投工程咨询有限公司不见面开标系统参与网上开标（网址：http://js.etrading.cn/EpointBidOpening/bidopeninghallaction/hall/login）。</w:t>
      </w:r>
    </w:p>
    <w:p w14:paraId="54D51535">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5.投标人应在投标截止时间之前，登录新点电子交易平台【滁州专区】上传投标文件。投标人逾期上传投标文件的，电子系统不予受理。</w:t>
      </w:r>
    </w:p>
    <w:p w14:paraId="10D1861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6.投标人的联系人电话(手机)、电子邮箱等通讯方式在开标过程中必须保持畅通，否则因上述原因造成的后果，责任自负。</w:t>
      </w:r>
    </w:p>
    <w:p w14:paraId="62483E0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1AD72DA">
      <w:pPr>
        <w:pageBreakBefore w:val="0"/>
        <w:kinsoku/>
        <w:overflowPunct/>
        <w:topLinePunct w:val="0"/>
        <w:autoSpaceDE/>
        <w:autoSpaceDN/>
        <w:bidi w:val="0"/>
        <w:spacing w:line="240" w:lineRule="auto"/>
        <w:ind w:firstLine="560" w:firstLineChars="200"/>
        <w:jc w:val="left"/>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 </w:t>
      </w:r>
      <w:r>
        <w:rPr>
          <w:rFonts w:hint="eastAsia" w:ascii="宋体" w:hAnsi="宋体" w:eastAsia="宋体" w:cs="宋体"/>
          <w:i w:val="0"/>
          <w:iCs w:val="0"/>
          <w:caps w:val="0"/>
          <w:color w:val="auto"/>
          <w:spacing w:val="0"/>
          <w:kern w:val="0"/>
          <w:sz w:val="21"/>
          <w:szCs w:val="21"/>
          <w:highlight w:val="none"/>
          <w:shd w:val="clear" w:fill="FFFFFF"/>
          <w:lang w:val="en-US" w:eastAsia="zh-CN" w:bidi="ar"/>
        </w:rPr>
        <w:t>  </w:t>
      </w:r>
    </w:p>
    <w:p w14:paraId="607C199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eastAsia="zh-CN"/>
        </w:rPr>
      </w:pPr>
      <w:bookmarkStart w:id="43"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3"/>
      <w:r>
        <w:rPr>
          <w:rFonts w:hint="eastAsia" w:ascii="宋体" w:hAnsi="宋体" w:eastAsia="宋体" w:cs="宋体"/>
          <w:color w:val="auto"/>
          <w:highlight w:val="none"/>
          <w:lang w:eastAsia="zh-CN"/>
        </w:rPr>
        <w:t>投标人须知</w:t>
      </w:r>
    </w:p>
    <w:p w14:paraId="11A55803">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2"/>
    </w:p>
    <w:tbl>
      <w:tblPr>
        <w:tblStyle w:val="45"/>
        <w:tblW w:w="9771" w:type="dxa"/>
        <w:tblInd w:w="-459" w:type="dxa"/>
        <w:tblLayout w:type="fixed"/>
        <w:tblCellMar>
          <w:top w:w="0" w:type="dxa"/>
          <w:left w:w="0" w:type="dxa"/>
          <w:bottom w:w="0" w:type="dxa"/>
          <w:right w:w="0" w:type="dxa"/>
        </w:tblCellMar>
      </w:tblPr>
      <w:tblGrid>
        <w:gridCol w:w="899"/>
        <w:gridCol w:w="1295"/>
        <w:gridCol w:w="7577"/>
      </w:tblGrid>
      <w:tr w14:paraId="78EF493F">
        <w:tblPrEx>
          <w:tblCellMar>
            <w:top w:w="0" w:type="dxa"/>
            <w:left w:w="0" w:type="dxa"/>
            <w:bottom w:w="0" w:type="dxa"/>
            <w:right w:w="0" w:type="dxa"/>
          </w:tblCellMar>
        </w:tblPrEx>
        <w:trPr>
          <w:trHeight w:val="580" w:hRule="atLeast"/>
        </w:trPr>
        <w:tc>
          <w:tcPr>
            <w:tcW w:w="899"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编号</w:t>
            </w:r>
          </w:p>
        </w:tc>
        <w:tc>
          <w:tcPr>
            <w:tcW w:w="1295"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7577"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说明与要求</w:t>
            </w:r>
          </w:p>
        </w:tc>
      </w:tr>
      <w:tr w14:paraId="726904A0">
        <w:tblPrEx>
          <w:tblCellMar>
            <w:top w:w="0" w:type="dxa"/>
            <w:left w:w="0" w:type="dxa"/>
            <w:bottom w:w="0" w:type="dxa"/>
            <w:right w:w="0" w:type="dxa"/>
          </w:tblCellMar>
        </w:tblPrEx>
        <w:trPr>
          <w:trHeight w:val="986" w:hRule="atLeast"/>
        </w:trPr>
        <w:tc>
          <w:tcPr>
            <w:tcW w:w="899"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95"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577"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滁州市建筑垃圾综合处置项目结算复核服务</w:t>
            </w:r>
          </w:p>
          <w:p w14:paraId="3D870AD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cs="宋体"/>
                <w:color w:val="auto"/>
                <w:kern w:val="0"/>
                <w:sz w:val="21"/>
                <w:szCs w:val="21"/>
                <w:highlight w:val="none"/>
                <w:lang w:val="en-US" w:eastAsia="zh-CN"/>
              </w:rPr>
              <w:t>滁州市建筑垃圾综合处置项目</w:t>
            </w:r>
            <w:r>
              <w:rPr>
                <w:rFonts w:hint="eastAsia" w:ascii="宋体" w:hAnsi="宋体" w:eastAsia="宋体" w:cs="宋体"/>
                <w:color w:val="auto"/>
                <w:kern w:val="0"/>
                <w:sz w:val="21"/>
                <w:szCs w:val="21"/>
                <w:highlight w:val="none"/>
                <w:lang w:val="en-US" w:eastAsia="zh-CN"/>
              </w:rPr>
              <w:t>工程，合同价款</w:t>
            </w:r>
            <w:r>
              <w:rPr>
                <w:rFonts w:hint="eastAsia" w:ascii="宋体" w:hAnsi="宋体" w:cs="宋体"/>
                <w:color w:val="auto"/>
                <w:kern w:val="0"/>
                <w:sz w:val="21"/>
                <w:szCs w:val="21"/>
                <w:highlight w:val="none"/>
                <w:lang w:val="en-US" w:eastAsia="zh-CN"/>
              </w:rPr>
              <w:t>48473106.21</w:t>
            </w:r>
            <w:r>
              <w:rPr>
                <w:rFonts w:hint="eastAsia" w:ascii="宋体" w:hAnsi="宋体" w:eastAsia="宋体" w:cs="宋体"/>
                <w:color w:val="auto"/>
                <w:kern w:val="0"/>
                <w:sz w:val="21"/>
                <w:szCs w:val="21"/>
                <w:highlight w:val="none"/>
                <w:lang w:val="en-US" w:eastAsia="zh-CN"/>
              </w:rPr>
              <w:t>元，服务费用约</w:t>
            </w:r>
            <w:r>
              <w:rPr>
                <w:rFonts w:hint="eastAsia" w:ascii="宋体" w:hAnsi="宋体" w:cs="宋体"/>
                <w:color w:val="auto"/>
                <w:kern w:val="0"/>
                <w:sz w:val="21"/>
                <w:szCs w:val="21"/>
                <w:highlight w:val="none"/>
                <w:lang w:val="en-US" w:eastAsia="zh-CN"/>
              </w:rPr>
              <w:t>2万元</w:t>
            </w:r>
            <w:r>
              <w:rPr>
                <w:rFonts w:hint="eastAsia" w:ascii="宋体" w:hAnsi="宋体" w:eastAsia="宋体" w:cs="宋体"/>
                <w:color w:val="auto"/>
                <w:kern w:val="0"/>
                <w:sz w:val="21"/>
                <w:szCs w:val="21"/>
                <w:highlight w:val="none"/>
                <w:lang w:val="en-US" w:eastAsia="zh-CN"/>
              </w:rPr>
              <w:t xml:space="preserve">。  </w:t>
            </w:r>
          </w:p>
        </w:tc>
      </w:tr>
      <w:tr w14:paraId="4047B0BA">
        <w:tblPrEx>
          <w:tblCellMar>
            <w:top w:w="0" w:type="dxa"/>
            <w:left w:w="0" w:type="dxa"/>
            <w:bottom w:w="0" w:type="dxa"/>
            <w:right w:w="0" w:type="dxa"/>
          </w:tblCellMar>
        </w:tblPrEx>
        <w:trPr>
          <w:trHeight w:val="255" w:hRule="atLeast"/>
        </w:trPr>
        <w:tc>
          <w:tcPr>
            <w:tcW w:w="899"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295"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577" w:type="dxa"/>
            <w:tcBorders>
              <w:top w:val="single" w:color="auto" w:sz="8" w:space="0"/>
              <w:left w:val="single" w:color="auto" w:sz="4" w:space="0"/>
              <w:bottom w:val="single" w:color="auto" w:sz="8" w:space="0"/>
              <w:right w:val="single" w:color="auto" w:sz="8" w:space="0"/>
            </w:tcBorders>
            <w:vAlign w:val="center"/>
          </w:tcPr>
          <w:p w14:paraId="2B02BB9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Cs w:val="21"/>
                <w:highlight w:val="none"/>
              </w:rPr>
            </w:pPr>
            <w:r>
              <w:rPr>
                <w:rFonts w:hint="eastAsia" w:ascii="宋体" w:hAnsi="宋体" w:cs="宋体"/>
                <w:color w:val="auto"/>
                <w:kern w:val="0"/>
                <w:sz w:val="21"/>
                <w:szCs w:val="21"/>
                <w:highlight w:val="none"/>
                <w:lang w:val="en-US" w:eastAsia="zh-CN"/>
              </w:rPr>
              <w:t>滁州市建筑垃圾综合处置项目结算复核服务</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Cs w:val="21"/>
                <w:highlight w:val="none"/>
              </w:rPr>
              <w:t>具体详见工程量清单和施工图纸及结算报告。</w:t>
            </w:r>
          </w:p>
          <w:p w14:paraId="0003F08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本次招标需求为上述工程的</w:t>
            </w:r>
            <w:r>
              <w:rPr>
                <w:rFonts w:hint="eastAsia" w:ascii="宋体" w:hAnsi="宋体" w:eastAsia="宋体" w:cs="宋体"/>
                <w:color w:val="auto"/>
                <w:kern w:val="0"/>
                <w:sz w:val="21"/>
                <w:szCs w:val="21"/>
                <w:highlight w:val="none"/>
                <w:lang w:eastAsia="zh-CN"/>
              </w:rPr>
              <w:t>结算复核服务。</w:t>
            </w:r>
          </w:p>
        </w:tc>
      </w:tr>
      <w:tr w14:paraId="597FACB0">
        <w:tblPrEx>
          <w:tblCellMar>
            <w:top w:w="0" w:type="dxa"/>
            <w:left w:w="0" w:type="dxa"/>
            <w:bottom w:w="0" w:type="dxa"/>
            <w:right w:w="0" w:type="dxa"/>
          </w:tblCellMar>
        </w:tblPrEx>
        <w:trPr>
          <w:trHeight w:val="315" w:hRule="atLeast"/>
        </w:trPr>
        <w:tc>
          <w:tcPr>
            <w:tcW w:w="899"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95"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577"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见招标公告</w:t>
            </w:r>
          </w:p>
        </w:tc>
      </w:tr>
      <w:tr w14:paraId="24784F21">
        <w:tblPrEx>
          <w:tblCellMar>
            <w:top w:w="0" w:type="dxa"/>
            <w:left w:w="0" w:type="dxa"/>
            <w:bottom w:w="0" w:type="dxa"/>
            <w:right w:w="0" w:type="dxa"/>
          </w:tblCellMar>
        </w:tblPrEx>
        <w:trPr>
          <w:trHeight w:val="425" w:hRule="atLeast"/>
        </w:trPr>
        <w:tc>
          <w:tcPr>
            <w:tcW w:w="899"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295"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577"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899"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295"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577"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899"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295"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577"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899"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295" w:type="dxa"/>
            <w:tcBorders>
              <w:top w:val="single" w:color="auto" w:sz="8" w:space="0"/>
              <w:left w:val="single" w:color="auto" w:sz="4" w:space="0"/>
              <w:bottom w:val="single" w:color="auto" w:sz="8" w:space="0"/>
              <w:right w:val="single" w:color="auto" w:sz="4" w:space="0"/>
            </w:tcBorders>
            <w:vAlign w:val="center"/>
          </w:tcPr>
          <w:p w14:paraId="396C664A">
            <w:pPr>
              <w:pStyle w:val="24"/>
              <w:spacing w:line="360" w:lineRule="exact"/>
              <w:jc w:val="center"/>
              <w:rPr>
                <w:rFonts w:hint="eastAsia" w:ascii="宋体" w:hAnsi="宋体" w:eastAsia="宋体" w:cs="宋体"/>
                <w:color w:val="auto"/>
                <w:kern w:val="0"/>
                <w:sz w:val="21"/>
                <w:szCs w:val="21"/>
                <w:highlight w:val="none"/>
              </w:rPr>
            </w:pPr>
            <w:r>
              <w:rPr>
                <w:rFonts w:hint="eastAsia"/>
                <w:color w:val="auto"/>
                <w:szCs w:val="21"/>
                <w:highlight w:val="none"/>
              </w:rPr>
              <w:t>招标方式</w:t>
            </w:r>
          </w:p>
        </w:tc>
        <w:tc>
          <w:tcPr>
            <w:tcW w:w="7577" w:type="dxa"/>
            <w:tcBorders>
              <w:top w:val="single" w:color="auto" w:sz="8" w:space="0"/>
              <w:left w:val="single" w:color="auto" w:sz="4" w:space="0"/>
              <w:bottom w:val="single" w:color="auto" w:sz="8" w:space="0"/>
              <w:right w:val="single" w:color="auto" w:sz="8" w:space="0"/>
            </w:tcBorders>
            <w:vAlign w:val="center"/>
          </w:tcPr>
          <w:p w14:paraId="59739CC9">
            <w:pPr>
              <w:pStyle w:val="24"/>
              <w:spacing w:line="360" w:lineRule="exact"/>
              <w:rPr>
                <w:rFonts w:hint="eastAsia" w:ascii="宋体" w:hAnsi="宋体" w:eastAsia="宋体" w:cs="宋体"/>
                <w:color w:val="auto"/>
                <w:kern w:val="0"/>
                <w:sz w:val="21"/>
                <w:szCs w:val="21"/>
                <w:highlight w:val="none"/>
              </w:rPr>
            </w:pPr>
            <w:r>
              <w:rPr>
                <w:rFonts w:hint="eastAsia" w:ascii="幼圆" w:hAnsi="宋体-18030" w:cs="宋体-18030"/>
                <w:bCs/>
                <w:color w:val="auto"/>
                <w:szCs w:val="21"/>
                <w:highlight w:val="none"/>
              </w:rPr>
              <w:t>公开</w:t>
            </w:r>
            <w:r>
              <w:rPr>
                <w:rFonts w:hint="eastAsia"/>
                <w:bCs/>
                <w:color w:val="auto"/>
                <w:szCs w:val="21"/>
                <w:highlight w:val="none"/>
              </w:rPr>
              <w:t>招标</w:t>
            </w:r>
            <w:r>
              <w:rPr>
                <w:rFonts w:hint="eastAsia" w:hAnsi="宋体"/>
                <w:bCs/>
                <w:color w:val="auto"/>
                <w:szCs w:val="21"/>
                <w:highlight w:val="none"/>
              </w:rPr>
              <w:t xml:space="preserve">(本项目采用网上电子招投标) </w:t>
            </w:r>
          </w:p>
        </w:tc>
      </w:tr>
      <w:tr w14:paraId="0DEE0E5F">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295"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577" w:type="dxa"/>
            <w:tcBorders>
              <w:top w:val="single" w:color="auto" w:sz="8" w:space="0"/>
              <w:left w:val="single" w:color="auto" w:sz="4" w:space="0"/>
              <w:bottom w:val="single" w:color="auto" w:sz="8" w:space="0"/>
              <w:right w:val="single" w:color="auto" w:sz="8" w:space="0"/>
            </w:tcBorders>
            <w:vAlign w:val="center"/>
          </w:tcPr>
          <w:p w14:paraId="5F73DE0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本项目的最高限价为基本费</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000元；审核成果费率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%（审核成果费率为不可竞争费率，固定不变），基本费由投标人自主报价，不得高于上述基本费最高限价，否则按无效标处理。（投标报价不可以填报0或负数，否则按无效标处理</w:t>
            </w:r>
            <w:r>
              <w:rPr>
                <w:rFonts w:hint="eastAsia" w:ascii="宋体" w:hAnsi="宋体" w:eastAsia="宋体" w:cs="宋体"/>
                <w:color w:val="auto"/>
                <w:sz w:val="21"/>
                <w:szCs w:val="21"/>
                <w:highlight w:val="none"/>
                <w:lang w:eastAsia="zh-CN"/>
              </w:rPr>
              <w:t>）</w:t>
            </w:r>
          </w:p>
          <w:p w14:paraId="6E7D94E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1279697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服务费计算方式为：基本费+审核成果费。其中，</w:t>
            </w:r>
            <w:r>
              <w:rPr>
                <w:rFonts w:hint="eastAsia" w:ascii="宋体" w:hAnsi="宋体" w:eastAsia="宋体" w:cs="宋体"/>
                <w:color w:val="auto"/>
                <w:sz w:val="21"/>
                <w:szCs w:val="21"/>
                <w:highlight w:val="none"/>
                <w:lang w:val="en-US" w:eastAsia="zh-CN"/>
              </w:rPr>
              <w:t>基本费由投标人自主报价</w:t>
            </w:r>
            <w:r>
              <w:rPr>
                <w:rFonts w:hint="eastAsia" w:ascii="宋体" w:hAnsi="宋体" w:eastAsia="宋体" w:cs="宋体"/>
                <w:color w:val="auto"/>
                <w:sz w:val="21"/>
                <w:szCs w:val="21"/>
                <w:highlight w:val="none"/>
              </w:rPr>
              <w:t>；审核成果费计算基数为独立核减金额。</w:t>
            </w:r>
          </w:p>
          <w:p w14:paraId="4BE9589F">
            <w:pPr>
              <w:rPr>
                <w:rFonts w:hint="eastAsia"/>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tc>
      </w:tr>
      <w:tr w14:paraId="689F356F">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295" w:type="dxa"/>
            <w:tcBorders>
              <w:top w:val="single" w:color="auto" w:sz="8" w:space="0"/>
              <w:left w:val="single" w:color="auto" w:sz="4" w:space="0"/>
              <w:bottom w:val="single" w:color="auto" w:sz="8" w:space="0"/>
              <w:right w:val="single" w:color="auto" w:sz="4" w:space="0"/>
            </w:tcBorders>
            <w:vAlign w:val="center"/>
          </w:tcPr>
          <w:p w14:paraId="2356DB8C">
            <w:pPr>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431ACE11">
            <w:pPr>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577"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2026年1月 日</w:t>
            </w:r>
            <w:r>
              <w:rPr>
                <w:rFonts w:hint="eastAsia" w:ascii="宋体" w:hAnsi="宋体" w:cs="宋体"/>
                <w:color w:val="auto"/>
                <w:spacing w:val="-4"/>
                <w:kern w:val="0"/>
                <w:sz w:val="21"/>
                <w:szCs w:val="21"/>
                <w:highlight w:val="none"/>
                <w:lang w:val="en-US" w:eastAsia="zh-CN"/>
              </w:rPr>
              <w:t>18</w:t>
            </w:r>
            <w:r>
              <w:rPr>
                <w:rFonts w:hint="eastAsia" w:ascii="宋体" w:hAnsi="宋体" w:eastAsia="宋体" w:cs="宋体"/>
                <w:color w:val="auto"/>
                <w:spacing w:val="-4"/>
                <w:kern w:val="0"/>
                <w:sz w:val="21"/>
                <w:szCs w:val="21"/>
                <w:highlight w:val="none"/>
                <w:u w:val="none"/>
              </w:rPr>
              <w:t>日</w:t>
            </w:r>
            <w:r>
              <w:rPr>
                <w:rFonts w:hint="eastAsia" w:ascii="宋体" w:hAnsi="宋体" w:cs="宋体"/>
                <w:color w:val="auto"/>
                <w:spacing w:val="-4"/>
                <w:kern w:val="0"/>
                <w:sz w:val="21"/>
                <w:szCs w:val="21"/>
                <w:highlight w:val="none"/>
                <w:u w:val="none"/>
                <w:lang w:val="en-US" w:eastAsia="zh-CN"/>
              </w:rPr>
              <w:t>8</w:t>
            </w:r>
            <w:r>
              <w:rPr>
                <w:rFonts w:hint="eastAsia" w:ascii="宋体" w:hAnsi="宋体" w:eastAsia="宋体" w:cs="宋体"/>
                <w:color w:val="auto"/>
                <w:spacing w:val="-4"/>
                <w:kern w:val="0"/>
                <w:sz w:val="21"/>
                <w:szCs w:val="21"/>
                <w:highlight w:val="none"/>
                <w:u w:val="none"/>
              </w:rPr>
              <w:t>时</w:t>
            </w:r>
            <w:r>
              <w:rPr>
                <w:rFonts w:hint="eastAsia" w:ascii="宋体" w:hAnsi="宋体" w:cs="宋体"/>
                <w:color w:val="auto"/>
                <w:spacing w:val="-4"/>
                <w:kern w:val="0"/>
                <w:sz w:val="21"/>
                <w:szCs w:val="21"/>
                <w:highlight w:val="none"/>
                <w:u w:val="none"/>
                <w:lang w:val="en-US" w:eastAsia="zh-CN"/>
              </w:rPr>
              <w:t>00分</w:t>
            </w:r>
            <w:r>
              <w:rPr>
                <w:rFonts w:hint="eastAsia" w:ascii="宋体" w:hAnsi="宋体" w:eastAsia="宋体" w:cs="宋体"/>
                <w:color w:val="auto"/>
                <w:spacing w:val="-4"/>
                <w:kern w:val="0"/>
                <w:sz w:val="21"/>
                <w:szCs w:val="21"/>
                <w:highlight w:val="none"/>
                <w:u w:val="none"/>
              </w:rPr>
              <w:t>前</w:t>
            </w:r>
            <w:r>
              <w:rPr>
                <w:rFonts w:hint="eastAsia" w:ascii="宋体" w:hAnsi="宋体" w:eastAsia="宋体" w:cs="宋体"/>
                <w:color w:val="auto"/>
                <w:kern w:val="0"/>
                <w:sz w:val="21"/>
                <w:szCs w:val="21"/>
                <w:highlight w:val="none"/>
                <w:u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u w:val="none"/>
              </w:rPr>
              <w:t>，招标人将在</w:t>
            </w:r>
            <w:r>
              <w:rPr>
                <w:rFonts w:hint="eastAsia" w:ascii="宋体" w:hAnsi="宋体" w:cs="宋体"/>
                <w:color w:val="auto"/>
                <w:spacing w:val="-4"/>
                <w:kern w:val="0"/>
                <w:sz w:val="21"/>
                <w:szCs w:val="21"/>
                <w:highlight w:val="none"/>
                <w:u w:val="none"/>
                <w:lang w:eastAsia="zh-CN"/>
              </w:rPr>
              <w:t>2026年1月 日</w:t>
            </w:r>
            <w:r>
              <w:rPr>
                <w:rFonts w:hint="eastAsia" w:ascii="宋体" w:hAnsi="宋体" w:cs="宋体"/>
                <w:color w:val="auto"/>
                <w:spacing w:val="-4"/>
                <w:kern w:val="0"/>
                <w:sz w:val="21"/>
                <w:szCs w:val="21"/>
                <w:highlight w:val="none"/>
                <w:u w:val="none"/>
                <w:lang w:val="en-US" w:eastAsia="zh-CN"/>
              </w:rPr>
              <w:t xml:space="preserve">19 </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cs="宋体"/>
                <w:color w:val="auto"/>
                <w:sz w:val="21"/>
                <w:szCs w:val="21"/>
                <w:highlight w:val="none"/>
                <w:lang w:eastAsia="zh-CN"/>
              </w:rPr>
              <w:t>、</w:t>
            </w:r>
            <w:r>
              <w:rPr>
                <w:rFonts w:hint="eastAsia" w:ascii="宋体" w:eastAsia="宋体" w:cs="宋体"/>
                <w:color w:val="auto"/>
                <w:sz w:val="21"/>
                <w:szCs w:val="21"/>
                <w:highlight w:val="none"/>
                <w:lang w:val="en-US" w:eastAsia="zh-CN" w:bidi="ar-SA"/>
              </w:rPr>
              <w:t>滁州市兴滁矿业投资集团有限公司网站（http://www.xckytz.com/index.html）</w:t>
            </w:r>
            <w:r>
              <w:rPr>
                <w:rFonts w:hint="eastAsia" w:ascii="宋体" w:hAnsi="宋体" w:eastAsia="宋体" w:cs="宋体"/>
                <w:color w:val="auto"/>
                <w:sz w:val="21"/>
                <w:szCs w:val="21"/>
                <w:highlight w:val="none"/>
                <w:lang w:val="en-US" w:eastAsia="zh-CN"/>
              </w:rPr>
              <w:t>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295" w:type="dxa"/>
            <w:tcBorders>
              <w:top w:val="single" w:color="auto" w:sz="8" w:space="0"/>
              <w:left w:val="single" w:color="auto" w:sz="4" w:space="0"/>
              <w:bottom w:val="single" w:color="auto" w:sz="8" w:space="0"/>
              <w:right w:val="single" w:color="auto" w:sz="4" w:space="0"/>
            </w:tcBorders>
            <w:vAlign w:val="center"/>
          </w:tcPr>
          <w:p w14:paraId="0B644D17">
            <w:pPr>
              <w:pStyle w:val="24"/>
              <w:spacing w:line="360" w:lineRule="exact"/>
              <w:jc w:val="left"/>
              <w:rPr>
                <w:rFonts w:hint="eastAsia" w:ascii="宋体" w:hAnsi="宋体" w:eastAsia="宋体" w:cs="宋体"/>
                <w:color w:val="auto"/>
                <w:sz w:val="21"/>
                <w:szCs w:val="21"/>
                <w:highlight w:val="none"/>
                <w:lang w:val="en-US" w:eastAsia="zh-CN"/>
              </w:rPr>
            </w:pPr>
            <w:r>
              <w:rPr>
                <w:color w:val="auto"/>
                <w:szCs w:val="21"/>
                <w:highlight w:val="none"/>
              </w:rPr>
              <w:t>投标有效期</w:t>
            </w:r>
          </w:p>
        </w:tc>
        <w:tc>
          <w:tcPr>
            <w:tcW w:w="7577" w:type="dxa"/>
            <w:tcBorders>
              <w:top w:val="single" w:color="auto" w:sz="8" w:space="0"/>
              <w:left w:val="single" w:color="auto" w:sz="4" w:space="0"/>
              <w:bottom w:val="single" w:color="auto" w:sz="8" w:space="0"/>
              <w:right w:val="single" w:color="auto" w:sz="8" w:space="0"/>
            </w:tcBorders>
            <w:vAlign w:val="center"/>
          </w:tcPr>
          <w:p w14:paraId="0CB8330D">
            <w:pPr>
              <w:pStyle w:val="24"/>
              <w:spacing w:line="360" w:lineRule="exact"/>
              <w:rPr>
                <w:rFonts w:hint="eastAsia" w:ascii="宋体" w:hAnsi="宋体" w:eastAsia="宋体" w:cs="宋体"/>
                <w:color w:val="auto"/>
                <w:sz w:val="21"/>
                <w:szCs w:val="21"/>
                <w:highlight w:val="none"/>
                <w:lang w:val="en-US" w:eastAsia="zh-CN"/>
              </w:rPr>
            </w:pPr>
            <w:r>
              <w:rPr>
                <w:rFonts w:hint="eastAsia"/>
                <w:color w:val="auto"/>
                <w:szCs w:val="21"/>
                <w:highlight w:val="none"/>
              </w:rPr>
              <w:t>投标有效期为</w:t>
            </w:r>
            <w:r>
              <w:rPr>
                <w:rFonts w:hint="eastAsia"/>
                <w:color w:val="auto"/>
                <w:szCs w:val="21"/>
                <w:highlight w:val="none"/>
                <w:u w:val="single"/>
                <w:lang w:val="en-US" w:eastAsia="zh-CN"/>
              </w:rPr>
              <w:t>60</w:t>
            </w:r>
            <w:r>
              <w:rPr>
                <w:rFonts w:hint="eastAsia"/>
                <w:color w:val="auto"/>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295" w:type="dxa"/>
            <w:tcBorders>
              <w:top w:val="single" w:color="auto" w:sz="8" w:space="0"/>
              <w:left w:val="single" w:color="auto" w:sz="4" w:space="0"/>
              <w:bottom w:val="single" w:color="auto" w:sz="8" w:space="0"/>
              <w:right w:val="single" w:color="auto" w:sz="4" w:space="0"/>
            </w:tcBorders>
            <w:vAlign w:val="center"/>
          </w:tcPr>
          <w:p w14:paraId="32269176">
            <w:pPr>
              <w:pStyle w:val="24"/>
              <w:spacing w:line="360" w:lineRule="exact"/>
              <w:jc w:val="left"/>
              <w:rPr>
                <w:rFonts w:hint="eastAsia" w:ascii="宋体" w:hAnsi="宋体" w:eastAsia="宋体" w:cs="宋体"/>
                <w:color w:val="auto"/>
                <w:sz w:val="21"/>
                <w:szCs w:val="21"/>
                <w:highlight w:val="none"/>
                <w:lang w:val="en-US" w:eastAsia="zh-CN"/>
              </w:rPr>
            </w:pPr>
            <w:r>
              <w:rPr>
                <w:rFonts w:hint="eastAsia"/>
                <w:color w:val="auto"/>
                <w:szCs w:val="21"/>
                <w:highlight w:val="none"/>
              </w:rPr>
              <w:t>投标文件</w:t>
            </w:r>
            <w:r>
              <w:rPr>
                <w:rFonts w:hint="eastAsia"/>
                <w:color w:val="auto"/>
                <w:szCs w:val="21"/>
                <w:highlight w:val="none"/>
                <w:lang w:val="en-US" w:eastAsia="zh-CN"/>
              </w:rPr>
              <w:t>递交</w:t>
            </w:r>
          </w:p>
        </w:tc>
        <w:tc>
          <w:tcPr>
            <w:tcW w:w="7577"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https://www.etrading.cn/BREpointSSO/login/oauth2login?regioncode=DQ_ChuZhou</w:t>
            </w:r>
            <w:r>
              <w:rPr>
                <w:rFonts w:hint="eastAsia" w:ascii="宋体" w:hAnsi="宋体" w:cs="宋体"/>
                <w:color w:val="auto"/>
                <w:szCs w:val="21"/>
                <w:highlight w:val="none"/>
                <w:lang w:eastAsia="zh-CN"/>
              </w:rPr>
              <w:t>）</w:t>
            </w:r>
            <w:r>
              <w:rPr>
                <w:rFonts w:hint="eastAsia" w:ascii="宋体" w:hAnsi="宋体" w:cs="宋体"/>
                <w:color w:val="auto"/>
                <w:szCs w:val="21"/>
                <w:highlight w:val="none"/>
              </w:rPr>
              <w:t>交易系统递交电子投标文件。</w:t>
            </w:r>
          </w:p>
          <w:p w14:paraId="6AD718D2">
            <w:pPr>
              <w:widowControl/>
              <w:spacing w:line="360" w:lineRule="exact"/>
              <w:ind w:firstLine="89" w:firstLineChars="42"/>
              <w:jc w:val="left"/>
              <w:rPr>
                <w:rFonts w:hint="eastAsia" w:ascii="宋体" w:hAnsi="宋体" w:eastAsia="宋体" w:cs="宋体"/>
                <w:color w:val="auto"/>
                <w:sz w:val="21"/>
                <w:szCs w:val="21"/>
                <w:highlight w:val="none"/>
                <w:lang w:val="en-US" w:eastAsia="zh-CN"/>
              </w:rPr>
            </w:pPr>
            <w:r>
              <w:rPr>
                <w:rFonts w:hint="eastAsia" w:ascii="宋体" w:hAnsi="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cs="宋体"/>
                <w:b/>
                <w:color w:val="auto"/>
                <w:kern w:val="0"/>
                <w:szCs w:val="21"/>
                <w:highlight w:val="none"/>
                <w:u w:val="single"/>
              </w:rPr>
              <w:t xml:space="preserve"> </w:t>
            </w:r>
            <w:r>
              <w:rPr>
                <w:rFonts w:ascii="宋体" w:hAnsi="宋体" w:cs="宋体"/>
                <w:b/>
                <w:color w:val="auto"/>
                <w:kern w:val="0"/>
                <w:szCs w:val="21"/>
                <w:highlight w:val="none"/>
                <w:u w:val="single"/>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295" w:type="dxa"/>
            <w:tcBorders>
              <w:top w:val="single" w:color="auto" w:sz="8" w:space="0"/>
              <w:left w:val="single" w:color="auto" w:sz="4" w:space="0"/>
              <w:bottom w:val="single" w:color="auto" w:sz="8" w:space="0"/>
              <w:right w:val="single" w:color="auto" w:sz="4" w:space="0"/>
            </w:tcBorders>
            <w:vAlign w:val="center"/>
          </w:tcPr>
          <w:p w14:paraId="6AF10602">
            <w:pPr>
              <w:spacing w:line="360" w:lineRule="exact"/>
              <w:jc w:val="left"/>
              <w:rPr>
                <w:rFonts w:hint="eastAsia"/>
                <w:color w:val="auto"/>
                <w:szCs w:val="21"/>
                <w:highlight w:val="none"/>
              </w:rPr>
            </w:pPr>
            <w:r>
              <w:rPr>
                <w:rFonts w:hint="eastAsia" w:ascii="宋体"/>
                <w:color w:val="auto"/>
                <w:szCs w:val="21"/>
                <w:highlight w:val="none"/>
              </w:rPr>
              <w:t>签字或盖章要求</w:t>
            </w:r>
          </w:p>
        </w:tc>
        <w:tc>
          <w:tcPr>
            <w:tcW w:w="7577" w:type="dxa"/>
            <w:tcBorders>
              <w:top w:val="single" w:color="auto" w:sz="8" w:space="0"/>
              <w:left w:val="single" w:color="auto" w:sz="4" w:space="0"/>
              <w:bottom w:val="single" w:color="auto" w:sz="8" w:space="0"/>
              <w:right w:val="single" w:color="auto" w:sz="8" w:space="0"/>
            </w:tcBorders>
            <w:vAlign w:val="center"/>
          </w:tcPr>
          <w:p w14:paraId="4FCD2EB5">
            <w:pPr>
              <w:pStyle w:val="44"/>
              <w:ind w:left="0" w:leftChars="0" w:firstLine="0" w:firstLineChars="0"/>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01C4E0A4">
            <w:pPr>
              <w:widowControl/>
              <w:spacing w:line="360" w:lineRule="exact"/>
              <w:ind w:firstLine="89" w:firstLineChars="42"/>
              <w:jc w:val="left"/>
              <w:rPr>
                <w:rFonts w:hint="eastAsia" w:ascii="宋体" w:hAnsi="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717" w:hRule="atLeast"/>
        </w:trPr>
        <w:tc>
          <w:tcPr>
            <w:tcW w:w="899"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13</w:t>
            </w:r>
          </w:p>
        </w:tc>
        <w:tc>
          <w:tcPr>
            <w:tcW w:w="1295" w:type="dxa"/>
            <w:tcBorders>
              <w:top w:val="single" w:color="auto" w:sz="8" w:space="0"/>
              <w:left w:val="single" w:color="auto" w:sz="4" w:space="0"/>
              <w:bottom w:val="single" w:color="auto" w:sz="8" w:space="0"/>
              <w:right w:val="single" w:color="auto" w:sz="4" w:space="0"/>
            </w:tcBorders>
            <w:vAlign w:val="center"/>
          </w:tcPr>
          <w:p w14:paraId="5C83C75F">
            <w:pPr>
              <w:spacing w:line="360" w:lineRule="exact"/>
              <w:jc w:val="left"/>
              <w:rPr>
                <w:rFonts w:hint="eastAsia" w:ascii="宋体" w:hAnsi="宋体" w:eastAsia="宋体" w:cs="宋体"/>
                <w:color w:val="auto"/>
                <w:kern w:val="0"/>
                <w:sz w:val="21"/>
                <w:szCs w:val="21"/>
                <w:highlight w:val="none"/>
              </w:rPr>
            </w:pPr>
            <w:r>
              <w:rPr>
                <w:rFonts w:hint="eastAsia" w:ascii="宋体"/>
                <w:color w:val="auto"/>
                <w:szCs w:val="21"/>
                <w:highlight w:val="none"/>
              </w:rPr>
              <w:t>投标文件提交截止时间</w:t>
            </w:r>
          </w:p>
        </w:tc>
        <w:tc>
          <w:tcPr>
            <w:tcW w:w="7577" w:type="dxa"/>
            <w:tcBorders>
              <w:top w:val="single" w:color="auto" w:sz="8" w:space="0"/>
              <w:left w:val="single" w:color="auto" w:sz="4" w:space="0"/>
              <w:bottom w:val="single" w:color="auto" w:sz="8" w:space="0"/>
              <w:right w:val="single" w:color="auto" w:sz="8" w:space="0"/>
            </w:tcBorders>
            <w:vAlign w:val="center"/>
          </w:tcPr>
          <w:p w14:paraId="4AACE522">
            <w:pPr>
              <w:spacing w:line="360" w:lineRule="exact"/>
              <w:rPr>
                <w:rFonts w:hint="eastAsia" w:ascii="宋体"/>
                <w:color w:val="auto"/>
                <w:szCs w:val="21"/>
                <w:highlight w:val="none"/>
              </w:rPr>
            </w:pPr>
            <w:r>
              <w:rPr>
                <w:rFonts w:hint="eastAsia" w:ascii="宋体"/>
                <w:color w:val="auto"/>
                <w:szCs w:val="21"/>
                <w:highlight w:val="none"/>
              </w:rPr>
              <w:t>网上递交投标文件截止时间：</w:t>
            </w:r>
            <w:r>
              <w:rPr>
                <w:rFonts w:hint="eastAsia" w:ascii="宋体"/>
                <w:b/>
                <w:bCs/>
                <w:color w:val="auto"/>
                <w:szCs w:val="21"/>
                <w:highlight w:val="none"/>
                <w:lang w:val="en-US" w:eastAsia="zh-CN"/>
              </w:rPr>
              <w:t xml:space="preserve">2026年1月 日 22 </w:t>
            </w:r>
            <w:r>
              <w:rPr>
                <w:rFonts w:hint="eastAsia" w:ascii="宋体"/>
                <w:b/>
                <w:bCs/>
                <w:color w:val="auto"/>
                <w:szCs w:val="21"/>
                <w:highlight w:val="none"/>
              </w:rPr>
              <w:t>日</w:t>
            </w:r>
            <w:r>
              <w:rPr>
                <w:rFonts w:hint="eastAsia" w:ascii="宋体"/>
                <w:b/>
                <w:bCs/>
                <w:color w:val="auto"/>
                <w:szCs w:val="21"/>
                <w:highlight w:val="none"/>
                <w:lang w:val="en-US" w:eastAsia="zh-CN"/>
              </w:rPr>
              <w:t>15</w:t>
            </w:r>
            <w:r>
              <w:rPr>
                <w:rFonts w:hint="eastAsia" w:ascii="宋体"/>
                <w:b/>
                <w:bCs/>
                <w:color w:val="auto"/>
                <w:szCs w:val="21"/>
                <w:highlight w:val="none"/>
              </w:rPr>
              <w:t>时</w:t>
            </w:r>
            <w:r>
              <w:rPr>
                <w:rFonts w:hint="eastAsia" w:ascii="宋体"/>
                <w:b/>
                <w:bCs/>
                <w:color w:val="auto"/>
                <w:szCs w:val="21"/>
                <w:highlight w:val="none"/>
                <w:lang w:val="en-US" w:eastAsia="zh-CN"/>
              </w:rPr>
              <w:t>00</w:t>
            </w:r>
            <w:r>
              <w:rPr>
                <w:rFonts w:hint="eastAsia" w:ascii="宋体"/>
                <w:b/>
                <w:bCs/>
                <w:color w:val="auto"/>
                <w:szCs w:val="21"/>
                <w:highlight w:val="none"/>
              </w:rPr>
              <w:t>分（北京时间）</w:t>
            </w:r>
          </w:p>
          <w:p w14:paraId="6FF010F2">
            <w:pPr>
              <w:spacing w:line="360" w:lineRule="exact"/>
              <w:rPr>
                <w:rFonts w:hint="eastAsia" w:ascii="黑体" w:eastAsia="黑体" w:cs="黑体"/>
                <w:bCs/>
                <w:color w:val="auto"/>
                <w:szCs w:val="21"/>
                <w:highlight w:val="none"/>
              </w:rPr>
            </w:pPr>
            <w:r>
              <w:rPr>
                <w:rFonts w:hint="eastAsia" w:ascii="宋体"/>
                <w:b/>
                <w:color w:val="auto"/>
                <w:szCs w:val="21"/>
                <w:highlight w:val="none"/>
              </w:rPr>
              <w:t>注：以投标人在投标截止时间前网上递交的电子投标文件为准，逾期提交的，投标文件将被拒绝。</w:t>
            </w:r>
          </w:p>
          <w:p w14:paraId="2D17B673">
            <w:pPr>
              <w:wordWrap w:val="0"/>
              <w:spacing w:line="360" w:lineRule="exact"/>
              <w:rPr>
                <w:rFonts w:hint="default"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1.解密程序开始后</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分钟内（以本项目网上招投标系统解密倒计时为准）。</w:t>
            </w:r>
          </w:p>
        </w:tc>
      </w:tr>
      <w:tr w14:paraId="39CAD765">
        <w:tblPrEx>
          <w:tblCellMar>
            <w:top w:w="0" w:type="dxa"/>
            <w:left w:w="0" w:type="dxa"/>
            <w:bottom w:w="0" w:type="dxa"/>
            <w:right w:w="0" w:type="dxa"/>
          </w:tblCellMar>
        </w:tblPrEx>
        <w:trPr>
          <w:trHeight w:val="466" w:hRule="atLeast"/>
        </w:trPr>
        <w:tc>
          <w:tcPr>
            <w:tcW w:w="899"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295" w:type="dxa"/>
            <w:tcBorders>
              <w:top w:val="single" w:color="auto" w:sz="8" w:space="0"/>
              <w:left w:val="single" w:color="auto" w:sz="4" w:space="0"/>
              <w:bottom w:val="single" w:color="auto" w:sz="8" w:space="0"/>
              <w:right w:val="single" w:color="auto" w:sz="4" w:space="0"/>
            </w:tcBorders>
            <w:vAlign w:val="center"/>
          </w:tcPr>
          <w:p w14:paraId="03D51B63">
            <w:pPr>
              <w:spacing w:line="360" w:lineRule="exact"/>
              <w:jc w:val="left"/>
              <w:rPr>
                <w:rFonts w:hint="eastAsia" w:ascii="宋体"/>
                <w:color w:val="auto"/>
                <w:szCs w:val="21"/>
                <w:highlight w:val="none"/>
              </w:rPr>
            </w:pPr>
            <w:r>
              <w:rPr>
                <w:rFonts w:hint="eastAsia" w:ascii="宋体"/>
                <w:color w:val="auto"/>
                <w:szCs w:val="21"/>
                <w:highlight w:val="none"/>
              </w:rPr>
              <w:t>是否退还投标文件</w:t>
            </w:r>
          </w:p>
        </w:tc>
        <w:tc>
          <w:tcPr>
            <w:tcW w:w="7577" w:type="dxa"/>
            <w:tcBorders>
              <w:top w:val="single" w:color="auto" w:sz="8" w:space="0"/>
              <w:left w:val="single" w:color="auto" w:sz="4" w:space="0"/>
              <w:bottom w:val="single" w:color="auto" w:sz="8" w:space="0"/>
              <w:right w:val="single" w:color="auto" w:sz="8" w:space="0"/>
            </w:tcBorders>
            <w:vAlign w:val="center"/>
          </w:tcPr>
          <w:p w14:paraId="626B5B3B">
            <w:pPr>
              <w:spacing w:line="360" w:lineRule="exact"/>
              <w:rPr>
                <w:rFonts w:hint="eastAsia" w:ascii="宋体" w:hAnsi="宋体" w:cs="宋体"/>
                <w:color w:val="auto"/>
                <w:szCs w:val="21"/>
                <w:highlight w:val="none"/>
              </w:rPr>
            </w:pPr>
            <w:r>
              <w:rPr>
                <w:rFonts w:hint="eastAsia"/>
                <w:color w:val="auto"/>
                <w:szCs w:val="21"/>
                <w:highlight w:val="none"/>
              </w:rPr>
              <w:t>否</w:t>
            </w:r>
          </w:p>
        </w:tc>
      </w:tr>
      <w:tr w14:paraId="266A8CA8">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15</w:t>
            </w:r>
          </w:p>
        </w:tc>
        <w:tc>
          <w:tcPr>
            <w:tcW w:w="1295" w:type="dxa"/>
            <w:tcBorders>
              <w:top w:val="single" w:color="auto" w:sz="8" w:space="0"/>
              <w:left w:val="single" w:color="auto" w:sz="4" w:space="0"/>
              <w:bottom w:val="single" w:color="auto" w:sz="8" w:space="0"/>
              <w:right w:val="single" w:color="auto" w:sz="4" w:space="0"/>
            </w:tcBorders>
            <w:vAlign w:val="center"/>
          </w:tcPr>
          <w:p w14:paraId="53C0A74C">
            <w:pPr>
              <w:spacing w:line="360" w:lineRule="exact"/>
              <w:jc w:val="left"/>
              <w:rPr>
                <w:rFonts w:hint="eastAsia" w:ascii="宋体" w:hAnsi="宋体" w:eastAsia="宋体" w:cs="宋体"/>
                <w:color w:val="auto"/>
                <w:kern w:val="0"/>
                <w:sz w:val="21"/>
                <w:szCs w:val="21"/>
                <w:highlight w:val="none"/>
                <w:lang w:val="en-US" w:eastAsia="zh-CN"/>
              </w:rPr>
            </w:pPr>
            <w:r>
              <w:rPr>
                <w:rFonts w:hint="eastAsia" w:ascii="宋体"/>
                <w:color w:val="auto"/>
                <w:szCs w:val="21"/>
                <w:highlight w:val="none"/>
              </w:rPr>
              <w:t>开标时间及地点</w:t>
            </w:r>
          </w:p>
        </w:tc>
        <w:tc>
          <w:tcPr>
            <w:tcW w:w="7577" w:type="dxa"/>
            <w:tcBorders>
              <w:top w:val="single" w:color="auto" w:sz="8" w:space="0"/>
              <w:left w:val="single" w:color="auto" w:sz="4" w:space="0"/>
              <w:bottom w:val="single" w:color="auto" w:sz="8" w:space="0"/>
              <w:right w:val="single" w:color="auto" w:sz="8" w:space="0"/>
            </w:tcBorders>
            <w:vAlign w:val="center"/>
          </w:tcPr>
          <w:p w14:paraId="18B45F6F">
            <w:pPr>
              <w:spacing w:line="360" w:lineRule="exact"/>
              <w:rPr>
                <w:rFonts w:hint="eastAsia"/>
                <w:color w:val="auto"/>
                <w:highlight w:val="none"/>
              </w:rPr>
            </w:pPr>
            <w:r>
              <w:rPr>
                <w:rFonts w:hint="eastAsia" w:ascii="ˎ̥" w:hAnsi="ˎ̥"/>
                <w:color w:val="auto"/>
                <w:highlight w:val="none"/>
              </w:rPr>
              <w:t>详见招标公告</w:t>
            </w:r>
          </w:p>
        </w:tc>
      </w:tr>
      <w:tr w14:paraId="076992A3">
        <w:tblPrEx>
          <w:tblCellMar>
            <w:top w:w="0" w:type="dxa"/>
            <w:left w:w="0" w:type="dxa"/>
            <w:bottom w:w="0" w:type="dxa"/>
            <w:right w:w="0" w:type="dxa"/>
          </w:tblCellMar>
        </w:tblPrEx>
        <w:trPr>
          <w:trHeight w:val="454" w:hRule="atLeast"/>
        </w:trPr>
        <w:tc>
          <w:tcPr>
            <w:tcW w:w="899"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16</w:t>
            </w:r>
          </w:p>
        </w:tc>
        <w:tc>
          <w:tcPr>
            <w:tcW w:w="1295" w:type="dxa"/>
            <w:tcBorders>
              <w:top w:val="single" w:color="auto" w:sz="8" w:space="0"/>
              <w:left w:val="single" w:color="auto" w:sz="4" w:space="0"/>
              <w:bottom w:val="single" w:color="auto" w:sz="8" w:space="0"/>
              <w:right w:val="single" w:color="auto" w:sz="4" w:space="0"/>
            </w:tcBorders>
            <w:vAlign w:val="center"/>
          </w:tcPr>
          <w:p w14:paraId="57F847A2">
            <w:pPr>
              <w:spacing w:line="360" w:lineRule="exact"/>
              <w:jc w:val="left"/>
              <w:rPr>
                <w:rFonts w:hint="eastAsia" w:ascii="宋体" w:hAnsi="宋体" w:eastAsia="宋体" w:cs="宋体"/>
                <w:color w:val="auto"/>
                <w:kern w:val="0"/>
                <w:sz w:val="21"/>
                <w:szCs w:val="21"/>
                <w:highlight w:val="none"/>
              </w:rPr>
            </w:pPr>
            <w:r>
              <w:rPr>
                <w:rFonts w:hint="eastAsia" w:ascii="宋体"/>
                <w:color w:val="auto"/>
                <w:szCs w:val="21"/>
                <w:highlight w:val="none"/>
              </w:rPr>
              <w:t>开标程序</w:t>
            </w:r>
          </w:p>
        </w:tc>
        <w:tc>
          <w:tcPr>
            <w:tcW w:w="7577" w:type="dxa"/>
            <w:tcBorders>
              <w:top w:val="single" w:color="auto" w:sz="8" w:space="0"/>
              <w:left w:val="single" w:color="auto" w:sz="4" w:space="0"/>
              <w:bottom w:val="single" w:color="auto" w:sz="8" w:space="0"/>
              <w:right w:val="single" w:color="auto" w:sz="8" w:space="0"/>
            </w:tcBorders>
            <w:vAlign w:val="center"/>
          </w:tcPr>
          <w:p w14:paraId="476CEA77">
            <w:pPr>
              <w:spacing w:line="360" w:lineRule="exact"/>
              <w:rPr>
                <w:rFonts w:hint="eastAsia"/>
                <w:color w:val="auto"/>
                <w:highlight w:val="none"/>
              </w:rPr>
            </w:pPr>
            <w:r>
              <w:rPr>
                <w:rFonts w:hint="eastAsia"/>
                <w:color w:val="auto"/>
                <w:szCs w:val="21"/>
                <w:highlight w:val="none"/>
              </w:rPr>
              <w:t>开标顺序：解密电子投标文件后，由</w:t>
            </w:r>
            <w:r>
              <w:rPr>
                <w:rFonts w:hint="eastAsia"/>
                <w:color w:val="auto"/>
                <w:szCs w:val="21"/>
                <w:highlight w:val="none"/>
                <w:lang w:eastAsia="zh-CN"/>
              </w:rPr>
              <w:t>评审小组</w:t>
            </w:r>
            <w:r>
              <w:rPr>
                <w:rFonts w:hint="eastAsia"/>
                <w:color w:val="auto"/>
                <w:szCs w:val="21"/>
                <w:highlight w:val="none"/>
              </w:rPr>
              <w:t>评审。</w:t>
            </w:r>
          </w:p>
        </w:tc>
      </w:tr>
      <w:tr w14:paraId="6EC3DC31">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17</w:t>
            </w:r>
          </w:p>
        </w:tc>
        <w:tc>
          <w:tcPr>
            <w:tcW w:w="1295" w:type="dxa"/>
            <w:tcBorders>
              <w:top w:val="single" w:color="auto" w:sz="8" w:space="0"/>
              <w:left w:val="single" w:color="auto" w:sz="4" w:space="0"/>
              <w:bottom w:val="single" w:color="auto" w:sz="8" w:space="0"/>
              <w:right w:val="single" w:color="auto" w:sz="4" w:space="0"/>
            </w:tcBorders>
            <w:vAlign w:val="center"/>
          </w:tcPr>
          <w:p w14:paraId="5CB513ED">
            <w:pPr>
              <w:pStyle w:val="24"/>
              <w:spacing w:line="360" w:lineRule="exact"/>
              <w:jc w:val="left"/>
              <w:rPr>
                <w:rFonts w:hint="eastAsia" w:ascii="宋体"/>
                <w:color w:val="auto"/>
                <w:szCs w:val="21"/>
                <w:highlight w:val="none"/>
              </w:rPr>
            </w:pPr>
            <w:r>
              <w:rPr>
                <w:rFonts w:hint="eastAsia"/>
                <w:color w:val="auto"/>
                <w:szCs w:val="21"/>
                <w:highlight w:val="none"/>
                <w:lang w:eastAsia="zh-CN"/>
              </w:rPr>
              <w:t>评审小组</w:t>
            </w:r>
            <w:r>
              <w:rPr>
                <w:rFonts w:hint="eastAsia"/>
                <w:color w:val="auto"/>
                <w:szCs w:val="21"/>
                <w:highlight w:val="none"/>
              </w:rPr>
              <w:t>的组建</w:t>
            </w:r>
          </w:p>
        </w:tc>
        <w:tc>
          <w:tcPr>
            <w:tcW w:w="7577"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autoSpaceDE/>
              <w:bidi w:val="0"/>
              <w:adjustRightInd/>
              <w:snapToGrid/>
              <w:spacing w:line="360" w:lineRule="exact"/>
              <w:outlineLvl w:val="9"/>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评审小组</w:t>
            </w:r>
            <w:r>
              <w:rPr>
                <w:rFonts w:hint="eastAsia" w:ascii="宋体" w:hAnsi="宋体" w:eastAsia="宋体" w:cs="宋体"/>
                <w:color w:val="auto"/>
                <w:sz w:val="21"/>
                <w:szCs w:val="21"/>
                <w:highlight w:val="none"/>
              </w:rPr>
              <w:t>由</w:t>
            </w:r>
            <w:r>
              <w:rPr>
                <w:rFonts w:hint="eastAsia"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4"/>
              <w:spacing w:line="360" w:lineRule="exact"/>
              <w:rPr>
                <w:rFonts w:hint="eastAsia"/>
                <w:color w:val="auto"/>
                <w:szCs w:val="21"/>
                <w:highlight w:val="none"/>
              </w:rPr>
            </w:pPr>
            <w:r>
              <w:rPr>
                <w:rFonts w:hint="eastAsia"/>
                <w:color w:val="auto"/>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18</w:t>
            </w:r>
          </w:p>
        </w:tc>
        <w:tc>
          <w:tcPr>
            <w:tcW w:w="1295" w:type="dxa"/>
            <w:tcBorders>
              <w:top w:val="single" w:color="auto" w:sz="8" w:space="0"/>
              <w:left w:val="single" w:color="auto" w:sz="4" w:space="0"/>
              <w:bottom w:val="single" w:color="auto" w:sz="8" w:space="0"/>
              <w:right w:val="single" w:color="auto" w:sz="4" w:space="0"/>
            </w:tcBorders>
            <w:vAlign w:val="center"/>
          </w:tcPr>
          <w:p w14:paraId="289798AF">
            <w:pPr>
              <w:pStyle w:val="24"/>
              <w:spacing w:line="360" w:lineRule="exact"/>
              <w:jc w:val="left"/>
              <w:rPr>
                <w:rFonts w:hint="eastAsia"/>
                <w:color w:val="auto"/>
                <w:szCs w:val="21"/>
                <w:highlight w:val="none"/>
              </w:rPr>
            </w:pPr>
            <w:r>
              <w:rPr>
                <w:rFonts w:hint="eastAsia"/>
                <w:color w:val="auto"/>
                <w:szCs w:val="21"/>
                <w:highlight w:val="none"/>
              </w:rPr>
              <w:t>是否授权</w:t>
            </w:r>
            <w:r>
              <w:rPr>
                <w:rFonts w:hint="eastAsia"/>
                <w:color w:val="auto"/>
                <w:szCs w:val="21"/>
                <w:highlight w:val="none"/>
                <w:lang w:eastAsia="zh-CN"/>
              </w:rPr>
              <w:t>评审小组</w:t>
            </w:r>
            <w:r>
              <w:rPr>
                <w:rFonts w:hint="eastAsia"/>
                <w:color w:val="auto"/>
                <w:szCs w:val="21"/>
                <w:highlight w:val="none"/>
              </w:rPr>
              <w:t>确定中标候选人</w:t>
            </w:r>
          </w:p>
        </w:tc>
        <w:tc>
          <w:tcPr>
            <w:tcW w:w="7577" w:type="dxa"/>
            <w:tcBorders>
              <w:top w:val="single" w:color="auto" w:sz="8" w:space="0"/>
              <w:left w:val="single" w:color="auto" w:sz="4" w:space="0"/>
              <w:bottom w:val="single" w:color="auto" w:sz="8" w:space="0"/>
              <w:right w:val="single" w:color="auto" w:sz="8" w:space="0"/>
            </w:tcBorders>
            <w:vAlign w:val="center"/>
          </w:tcPr>
          <w:p w14:paraId="50C3E122">
            <w:pPr>
              <w:pStyle w:val="24"/>
              <w:spacing w:line="360" w:lineRule="exact"/>
              <w:rPr>
                <w:rFonts w:hint="eastAsia"/>
                <w:color w:val="auto"/>
                <w:szCs w:val="21"/>
                <w:highlight w:val="none"/>
              </w:rPr>
            </w:pPr>
            <w:r>
              <w:rPr>
                <w:rFonts w:hint="eastAsia" w:hAnsi="宋体"/>
                <w:color w:val="auto"/>
                <w:szCs w:val="21"/>
                <w:highlight w:val="none"/>
              </w:rPr>
              <w:t>是，</w:t>
            </w:r>
            <w:r>
              <w:rPr>
                <w:rFonts w:hint="eastAsia" w:hAnsi="宋体"/>
                <w:color w:val="auto"/>
                <w:szCs w:val="21"/>
                <w:highlight w:val="none"/>
                <w:lang w:eastAsia="zh-CN"/>
              </w:rPr>
              <w:t>评审小组</w:t>
            </w:r>
            <w:r>
              <w:rPr>
                <w:rFonts w:hint="eastAsia" w:hAnsi="宋体"/>
                <w:color w:val="auto"/>
                <w:szCs w:val="21"/>
                <w:highlight w:val="none"/>
              </w:rPr>
              <w:t>推荐</w:t>
            </w:r>
            <w:r>
              <w:rPr>
                <w:rFonts w:hint="eastAsia" w:hAnsi="宋体"/>
                <w:color w:val="auto"/>
                <w:szCs w:val="21"/>
                <w:highlight w:val="none"/>
                <w:u w:val="single" w:color="auto"/>
              </w:rPr>
              <w:t xml:space="preserve"> </w:t>
            </w:r>
            <w:r>
              <w:rPr>
                <w:rFonts w:hint="eastAsia" w:hAnsi="宋体"/>
                <w:color w:val="auto"/>
                <w:szCs w:val="21"/>
                <w:highlight w:val="none"/>
                <w:u w:val="single" w:color="auto"/>
                <w:lang w:val="en-US" w:eastAsia="zh-CN"/>
              </w:rPr>
              <w:t>3</w:t>
            </w:r>
            <w:r>
              <w:rPr>
                <w:rFonts w:hint="eastAsia" w:hAnsi="宋体"/>
                <w:color w:val="auto"/>
                <w:szCs w:val="21"/>
                <w:highlight w:val="none"/>
                <w:u w:val="single" w:color="auto"/>
              </w:rPr>
              <w:t xml:space="preserve"> </w:t>
            </w:r>
            <w:r>
              <w:rPr>
                <w:rFonts w:hint="eastAsia" w:hAnsi="宋体"/>
                <w:color w:val="auto"/>
                <w:szCs w:val="21"/>
                <w:highlight w:val="none"/>
              </w:rPr>
              <w:t>名中标候选人。</w:t>
            </w:r>
          </w:p>
        </w:tc>
      </w:tr>
      <w:tr w14:paraId="191E86E8">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19</w:t>
            </w:r>
          </w:p>
        </w:tc>
        <w:tc>
          <w:tcPr>
            <w:tcW w:w="1295" w:type="dxa"/>
            <w:tcBorders>
              <w:top w:val="single" w:color="auto" w:sz="8" w:space="0"/>
              <w:left w:val="single" w:color="auto" w:sz="4" w:space="0"/>
              <w:bottom w:val="single" w:color="auto" w:sz="8" w:space="0"/>
              <w:right w:val="single" w:color="auto" w:sz="4" w:space="0"/>
            </w:tcBorders>
            <w:vAlign w:val="center"/>
          </w:tcPr>
          <w:p w14:paraId="77F75070">
            <w:pPr>
              <w:pStyle w:val="24"/>
              <w:spacing w:line="360" w:lineRule="exact"/>
              <w:jc w:val="left"/>
              <w:rPr>
                <w:rFonts w:hint="eastAsia"/>
                <w:color w:val="auto"/>
                <w:szCs w:val="21"/>
                <w:highlight w:val="none"/>
              </w:rPr>
            </w:pPr>
            <w:r>
              <w:rPr>
                <w:rFonts w:hint="eastAsia"/>
                <w:color w:val="auto"/>
                <w:szCs w:val="21"/>
                <w:highlight w:val="none"/>
              </w:rPr>
              <w:t>中标结果公告媒介</w:t>
            </w:r>
          </w:p>
        </w:tc>
        <w:tc>
          <w:tcPr>
            <w:tcW w:w="7577" w:type="dxa"/>
            <w:tcBorders>
              <w:top w:val="single" w:color="auto" w:sz="8" w:space="0"/>
              <w:left w:val="single" w:color="auto" w:sz="4" w:space="0"/>
              <w:bottom w:val="single" w:color="auto" w:sz="8" w:space="0"/>
              <w:right w:val="single" w:color="auto" w:sz="8" w:space="0"/>
            </w:tcBorders>
            <w:vAlign w:val="top"/>
          </w:tcPr>
          <w:p w14:paraId="2F0DB711">
            <w:pPr>
              <w:pStyle w:val="24"/>
              <w:wordWrap w:val="0"/>
              <w:spacing w:line="360" w:lineRule="exact"/>
              <w:rPr>
                <w:rFonts w:hint="eastAsia"/>
                <w:color w:val="auto"/>
                <w:szCs w:val="21"/>
                <w:highlight w:val="none"/>
              </w:rPr>
            </w:pP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hAnsi="宋体" w:cs="宋体"/>
                <w:color w:val="auto"/>
                <w:szCs w:val="21"/>
                <w:highlight w:val="none"/>
                <w:lang w:eastAsia="zh-CN"/>
              </w:rPr>
              <w:t>滁州市兴滁矿业投资集团有限公司网站（http://www.xckytz.com/index.html）</w:t>
            </w:r>
            <w:r>
              <w:rPr>
                <w:rFonts w:hint="eastAsia"/>
                <w:color w:val="auto"/>
                <w:spacing w:val="-4"/>
                <w:szCs w:val="21"/>
                <w:highlight w:val="none"/>
              </w:rPr>
              <w:t>等网站</w:t>
            </w:r>
          </w:p>
        </w:tc>
      </w:tr>
      <w:tr w14:paraId="6EA640C0">
        <w:tblPrEx>
          <w:tblCellMar>
            <w:top w:w="0" w:type="dxa"/>
            <w:left w:w="0" w:type="dxa"/>
            <w:bottom w:w="0" w:type="dxa"/>
            <w:right w:w="0" w:type="dxa"/>
          </w:tblCellMar>
        </w:tblPrEx>
        <w:trPr>
          <w:trHeight w:val="478" w:hRule="atLeast"/>
        </w:trPr>
        <w:tc>
          <w:tcPr>
            <w:tcW w:w="899"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20</w:t>
            </w:r>
          </w:p>
        </w:tc>
        <w:tc>
          <w:tcPr>
            <w:tcW w:w="1295" w:type="dxa"/>
            <w:tcBorders>
              <w:top w:val="single" w:color="auto" w:sz="8" w:space="0"/>
              <w:left w:val="single" w:color="auto" w:sz="4" w:space="0"/>
              <w:bottom w:val="single" w:color="auto" w:sz="8" w:space="0"/>
              <w:right w:val="single" w:color="auto" w:sz="4" w:space="0"/>
            </w:tcBorders>
            <w:vAlign w:val="center"/>
          </w:tcPr>
          <w:p w14:paraId="5C02703D">
            <w:pPr>
              <w:spacing w:line="360" w:lineRule="exact"/>
              <w:jc w:val="left"/>
              <w:rPr>
                <w:rFonts w:hint="eastAsia"/>
                <w:color w:val="auto"/>
                <w:szCs w:val="21"/>
                <w:highlight w:val="none"/>
              </w:rPr>
            </w:pPr>
            <w:r>
              <w:rPr>
                <w:rFonts w:hint="eastAsia" w:ascii="宋体"/>
                <w:color w:val="auto"/>
                <w:szCs w:val="21"/>
                <w:highlight w:val="none"/>
              </w:rPr>
              <w:t>履约担保</w:t>
            </w:r>
          </w:p>
        </w:tc>
        <w:tc>
          <w:tcPr>
            <w:tcW w:w="7577" w:type="dxa"/>
            <w:tcBorders>
              <w:top w:val="single" w:color="auto" w:sz="8" w:space="0"/>
              <w:left w:val="single" w:color="auto" w:sz="4" w:space="0"/>
              <w:bottom w:val="single" w:color="auto" w:sz="8" w:space="0"/>
              <w:right w:val="single" w:color="auto" w:sz="8" w:space="0"/>
            </w:tcBorders>
            <w:vAlign w:val="center"/>
          </w:tcPr>
          <w:p w14:paraId="492E7E00">
            <w:pPr>
              <w:widowControl/>
              <w:spacing w:line="360" w:lineRule="exact"/>
              <w:jc w:val="both"/>
              <w:rPr>
                <w:rFonts w:hint="eastAsia"/>
                <w:color w:val="auto"/>
                <w:szCs w:val="21"/>
                <w:highlight w:val="none"/>
              </w:rPr>
            </w:pPr>
            <w:r>
              <w:rPr>
                <w:rFonts w:hint="eastAsia"/>
                <w:color w:val="auto"/>
                <w:szCs w:val="21"/>
                <w:highlight w:val="none"/>
              </w:rPr>
              <w:t>是否收取履约担保：□收取，</w:t>
            </w:r>
            <w:r>
              <w:rPr>
                <w:rFonts w:hint="eastAsia"/>
                <w:color w:val="auto"/>
                <w:szCs w:val="21"/>
                <w:highlight w:val="none"/>
              </w:rPr>
              <w:sym w:font="Wingdings 2" w:char="0052"/>
            </w:r>
            <w:r>
              <w:rPr>
                <w:rFonts w:hint="eastAsia"/>
                <w:color w:val="auto"/>
                <w:szCs w:val="21"/>
                <w:highlight w:val="none"/>
              </w:rPr>
              <w:t>不收取</w:t>
            </w:r>
          </w:p>
        </w:tc>
      </w:tr>
      <w:tr w14:paraId="361F7F39">
        <w:tblPrEx>
          <w:tblCellMar>
            <w:top w:w="0" w:type="dxa"/>
            <w:left w:w="0" w:type="dxa"/>
            <w:bottom w:w="0" w:type="dxa"/>
            <w:right w:w="0" w:type="dxa"/>
          </w:tblCellMar>
        </w:tblPrEx>
        <w:trPr>
          <w:trHeight w:val="478" w:hRule="atLeast"/>
        </w:trPr>
        <w:tc>
          <w:tcPr>
            <w:tcW w:w="9771" w:type="dxa"/>
            <w:gridSpan w:val="3"/>
            <w:tcBorders>
              <w:top w:val="single" w:color="auto" w:sz="8" w:space="0"/>
              <w:left w:val="single" w:color="auto" w:sz="8" w:space="0"/>
              <w:bottom w:val="single" w:color="auto" w:sz="8" w:space="0"/>
              <w:right w:val="single" w:color="auto" w:sz="8" w:space="0"/>
            </w:tcBorders>
            <w:vAlign w:val="center"/>
          </w:tcPr>
          <w:p w14:paraId="4E9DEB7B">
            <w:pPr>
              <w:widowControl/>
              <w:spacing w:line="360" w:lineRule="exact"/>
              <w:jc w:val="center"/>
              <w:rPr>
                <w:rFonts w:hint="eastAsia"/>
                <w:color w:val="auto"/>
                <w:szCs w:val="21"/>
                <w:highlight w:val="none"/>
              </w:rPr>
            </w:pPr>
            <w:r>
              <w:rPr>
                <w:rFonts w:hint="eastAsia" w:ascii="宋体" w:hAnsi="宋体" w:eastAsia="宋体" w:cs="宋体"/>
                <w:b/>
                <w:bCs/>
                <w:color w:val="auto"/>
                <w:sz w:val="21"/>
                <w:szCs w:val="21"/>
                <w:highlight w:val="none"/>
              </w:rPr>
              <w:t>需要补充的其他内容</w:t>
            </w:r>
          </w:p>
        </w:tc>
      </w:tr>
      <w:tr w14:paraId="1140AE85">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741EEFE9">
            <w:pPr>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电子招标投标</w:t>
            </w:r>
          </w:p>
        </w:tc>
        <w:tc>
          <w:tcPr>
            <w:tcW w:w="7577" w:type="dxa"/>
            <w:tcBorders>
              <w:top w:val="single" w:color="auto" w:sz="8" w:space="0"/>
              <w:left w:val="single" w:color="auto" w:sz="4" w:space="0"/>
              <w:bottom w:val="single" w:color="auto" w:sz="8" w:space="0"/>
              <w:right w:val="single" w:color="auto" w:sz="8" w:space="0"/>
            </w:tcBorders>
            <w:vAlign w:val="center"/>
          </w:tcPr>
          <w:p w14:paraId="57193DD9">
            <w:pPr>
              <w:pageBreakBefore w:val="0"/>
              <w:kinsoku/>
              <w:overflowPunct/>
              <w:topLinePunct w:val="0"/>
              <w:autoSpaceDE/>
              <w:autoSpaceDN/>
              <w:bidi w:val="0"/>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53DD2192">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0E373B3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577" w:type="dxa"/>
            <w:tcBorders>
              <w:top w:val="single" w:color="auto" w:sz="8" w:space="0"/>
              <w:left w:val="single" w:color="auto" w:sz="4" w:space="0"/>
              <w:bottom w:val="single" w:color="auto" w:sz="8" w:space="0"/>
              <w:right w:val="single" w:color="auto" w:sz="8" w:space="0"/>
            </w:tcBorders>
            <w:vAlign w:val="center"/>
          </w:tcPr>
          <w:p w14:paraId="34C3139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本项目</w:t>
            </w:r>
            <w:r>
              <w:rPr>
                <w:rFonts w:hint="eastAsia" w:ascii="宋体" w:hAnsi="宋体" w:cs="宋体"/>
                <w:b/>
                <w:bCs/>
                <w:color w:val="auto"/>
                <w:kern w:val="0"/>
                <w:sz w:val="21"/>
                <w:szCs w:val="21"/>
                <w:highlight w:val="none"/>
                <w:lang w:val="en-US" w:eastAsia="zh-CN"/>
              </w:rPr>
              <w:t>施工单位、</w:t>
            </w:r>
            <w:r>
              <w:rPr>
                <w:rFonts w:hint="eastAsia" w:ascii="宋体" w:hAnsi="宋体" w:eastAsia="宋体" w:cs="宋体"/>
                <w:b/>
                <w:bCs/>
                <w:color w:val="auto"/>
                <w:kern w:val="0"/>
                <w:sz w:val="21"/>
                <w:szCs w:val="21"/>
                <w:highlight w:val="none"/>
                <w:lang w:val="en-US" w:eastAsia="zh-CN"/>
              </w:rPr>
              <w:t>招标代理单位、清单控制价编制单位、监理单位及项目跟踪审计不得参加投标。</w:t>
            </w:r>
          </w:p>
        </w:tc>
      </w:tr>
      <w:tr w14:paraId="6E099D79">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577"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出具审核报告，交付招标人初审确认，报经招标人备案审查通过后</w:t>
            </w:r>
            <w:r>
              <w:rPr>
                <w:rFonts w:hint="eastAsia" w:ascii="宋体" w:hAnsi="宋体" w:cs="宋体"/>
                <w:b/>
                <w:bCs/>
                <w:color w:val="auto"/>
                <w:kern w:val="0"/>
                <w:sz w:val="21"/>
                <w:szCs w:val="21"/>
                <w:highlight w:val="none"/>
                <w:lang w:val="en-US" w:eastAsia="zh-CN"/>
              </w:rPr>
              <w:t>（如需）</w:t>
            </w:r>
            <w:r>
              <w:rPr>
                <w:rFonts w:hint="eastAsia" w:ascii="宋体" w:hAnsi="宋体" w:eastAsia="宋体" w:cs="宋体"/>
                <w:b/>
                <w:bCs/>
                <w:color w:val="auto"/>
                <w:kern w:val="0"/>
                <w:sz w:val="21"/>
                <w:szCs w:val="21"/>
                <w:highlight w:val="none"/>
                <w:lang w:val="en-US" w:eastAsia="zh-CN"/>
              </w:rPr>
              <w:t>，按照招标人审查备案金额结算支付审计服务费用。</w:t>
            </w:r>
          </w:p>
        </w:tc>
      </w:tr>
      <w:tr w14:paraId="25B900FF">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招标代理费及专家评审费</w:t>
            </w:r>
          </w:p>
        </w:tc>
        <w:tc>
          <w:tcPr>
            <w:tcW w:w="7577" w:type="dxa"/>
            <w:tcBorders>
              <w:top w:val="single" w:color="auto" w:sz="8" w:space="0"/>
              <w:left w:val="single" w:color="auto" w:sz="4" w:space="0"/>
              <w:bottom w:val="single" w:color="auto" w:sz="8" w:space="0"/>
              <w:right w:val="single" w:color="auto" w:sz="8" w:space="0"/>
            </w:tcBorders>
            <w:vAlign w:val="center"/>
          </w:tcPr>
          <w:p w14:paraId="66536AB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auto"/>
                <w:kern w:val="0"/>
                <w:sz w:val="21"/>
                <w:szCs w:val="21"/>
                <w:highlight w:val="yellow"/>
                <w:lang w:val="en-US" w:eastAsia="zh-CN"/>
              </w:rPr>
            </w:pPr>
            <w:r>
              <w:rPr>
                <w:rFonts w:hint="eastAsia" w:ascii="宋体" w:hAnsi="宋体" w:cs="宋体"/>
                <w:color w:val="auto"/>
                <w:kern w:val="0"/>
                <w:sz w:val="21"/>
                <w:szCs w:val="21"/>
                <w:highlight w:val="yellow"/>
                <w:lang w:val="en-US" w:eastAsia="zh-CN"/>
              </w:rPr>
              <w:t>本项目招标代理服务费用1000元</w:t>
            </w:r>
            <w:r>
              <w:rPr>
                <w:rFonts w:hint="eastAsia" w:ascii="宋体" w:hAnsi="宋体" w:cs="宋体"/>
                <w:color w:val="auto"/>
                <w:kern w:val="0"/>
                <w:sz w:val="21"/>
                <w:szCs w:val="21"/>
                <w:highlight w:val="yellow"/>
                <w:lang w:val="en-US" w:eastAsia="zh-CN"/>
              </w:rPr>
              <w:t>；</w:t>
            </w:r>
          </w:p>
          <w:p w14:paraId="4DB8B07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auto"/>
                <w:kern w:val="0"/>
                <w:sz w:val="21"/>
                <w:szCs w:val="21"/>
                <w:highlight w:val="yellow"/>
                <w:lang w:val="en-US" w:eastAsia="zh-CN"/>
              </w:rPr>
            </w:pPr>
            <w:r>
              <w:rPr>
                <w:rFonts w:hint="eastAsia" w:ascii="宋体" w:hAnsi="宋体" w:cs="宋体"/>
                <w:color w:val="auto"/>
                <w:kern w:val="0"/>
                <w:sz w:val="21"/>
                <w:szCs w:val="21"/>
                <w:highlight w:val="yellow"/>
                <w:lang w:val="en-US" w:eastAsia="zh-CN"/>
              </w:rPr>
              <w:t>专家评审费</w:t>
            </w:r>
            <w:r>
              <w:rPr>
                <w:rFonts w:hint="eastAsia" w:ascii="宋体" w:hAnsi="宋体" w:cs="宋体"/>
                <w:color w:val="auto"/>
                <w:kern w:val="0"/>
                <w:sz w:val="21"/>
                <w:szCs w:val="21"/>
                <w:highlight w:val="yellow"/>
                <w:lang w:val="en-US" w:eastAsia="zh-CN"/>
              </w:rPr>
              <w:t>：0元；</w:t>
            </w:r>
          </w:p>
          <w:p w14:paraId="63D232A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招标代理费及专家评审费</w:t>
            </w:r>
            <w:r>
              <w:rPr>
                <w:rFonts w:hint="eastAsia" w:ascii="宋体" w:hAnsi="宋体" w:cs="宋体"/>
                <w:color w:val="auto"/>
                <w:kern w:val="0"/>
                <w:sz w:val="21"/>
                <w:szCs w:val="21"/>
                <w:highlight w:val="none"/>
                <w:lang w:val="en-US" w:eastAsia="zh-CN"/>
              </w:rPr>
              <w:t>均由中标单位在领取中标通知书前一次性支付给代理公司，请投标人在投标报价时综合考虑</w:t>
            </w:r>
            <w:r>
              <w:rPr>
                <w:rFonts w:hint="eastAsia" w:ascii="宋体" w:hAnsi="宋体" w:cs="宋体"/>
                <w:b w:val="0"/>
                <w:bCs w:val="0"/>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7DBB6D63">
            <w:pPr>
              <w:widowControl/>
              <w:spacing w:line="360" w:lineRule="auto"/>
              <w:jc w:val="left"/>
              <w:rPr>
                <w:rFonts w:hint="eastAsia" w:ascii="宋体" w:hAnsi="宋体" w:cs="宋体"/>
                <w:b/>
                <w:bCs/>
                <w:color w:val="auto"/>
                <w:kern w:val="0"/>
                <w:sz w:val="21"/>
                <w:szCs w:val="21"/>
                <w:highlight w:val="none"/>
                <w:lang w:val="en-US" w:eastAsia="zh-CN"/>
              </w:rPr>
            </w:pPr>
            <w:r>
              <w:rPr>
                <w:rFonts w:hint="eastAsia" w:ascii="宋体" w:hAnsi="宋体" w:cs="宋体"/>
                <w:color w:val="auto"/>
                <w:szCs w:val="21"/>
                <w:highlight w:val="none"/>
              </w:rPr>
              <w:t>评标过程中的澄清、说明或补正</w:t>
            </w:r>
          </w:p>
        </w:tc>
        <w:tc>
          <w:tcPr>
            <w:tcW w:w="7577"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通过</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系统将需要澄清、说明或补正的内容以询标函的形式发送给投标人，投标人应安排专人登录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系统并保持在线状态，以便及时接收</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rPr>
              <w:t>2</w:t>
            </w:r>
            <w:r>
              <w:rPr>
                <w:rFonts w:hint="eastAsia" w:ascii="宋体" w:hAnsi="宋体" w:cs="宋体"/>
                <w:color w:val="auto"/>
                <w:szCs w:val="21"/>
                <w:highlight w:val="none"/>
              </w:rPr>
              <w:t>）因投标人未登录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系统导致无法及时接收询标函（远程网上询标）或未在规定时间内按</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要求进行澄清、说明或补正内容的视同投标人放弃澄清、说明或补正内容的权利，</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可按对投标人不利的解释进行判定。</w:t>
            </w:r>
          </w:p>
        </w:tc>
      </w:tr>
      <w:tr w14:paraId="13ECDB9B">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06CCFD6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color w:val="auto"/>
                <w:highlight w:val="none"/>
                <w:lang w:val="en-US" w:eastAsia="zh-CN"/>
              </w:rPr>
              <w:t>投标软件下载</w:t>
            </w:r>
          </w:p>
        </w:tc>
        <w:tc>
          <w:tcPr>
            <w:tcW w:w="7577" w:type="dxa"/>
            <w:tcBorders>
              <w:top w:val="single" w:color="auto" w:sz="8" w:space="0"/>
              <w:left w:val="single" w:color="auto" w:sz="4" w:space="0"/>
              <w:bottom w:val="single" w:color="auto" w:sz="8" w:space="0"/>
              <w:right w:val="single" w:color="auto" w:sz="8" w:space="0"/>
            </w:tcBorders>
            <w:vAlign w:val="center"/>
          </w:tcPr>
          <w:p w14:paraId="77DF4F9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投标软件制作工具下载：</w:t>
            </w:r>
            <w:r>
              <w:rPr>
                <w:rFonts w:hint="eastAsia" w:ascii="宋体" w:hAnsi="宋体" w:cs="宋体"/>
                <w:color w:val="auto"/>
                <w:szCs w:val="21"/>
                <w:highlight w:val="none"/>
              </w:rPr>
              <w:t>https://download.bqpoint.com/download/downloaddetail.html?SourceFrom=Ztb&amp;ZtbSoftXiaQuCode=0128&amp;ZtbSoftType=tballinclusive</w:t>
            </w:r>
          </w:p>
        </w:tc>
      </w:tr>
    </w:tbl>
    <w:p w14:paraId="0B077E29">
      <w:pPr>
        <w:rPr>
          <w:rFonts w:hint="eastAsia" w:ascii="宋体" w:hAnsi="宋体" w:eastAsia="宋体" w:cs="宋体"/>
          <w:color w:val="auto"/>
          <w:highlight w:val="none"/>
        </w:rPr>
      </w:pPr>
    </w:p>
    <w:p w14:paraId="303FB650">
      <w:pPr>
        <w:spacing w:line="400" w:lineRule="exact"/>
        <w:jc w:val="center"/>
        <w:outlineLvl w:val="1"/>
        <w:rPr>
          <w:rFonts w:hint="eastAsia" w:ascii="宋体" w:hAnsi="宋体" w:eastAsia="宋体" w:cs="宋体"/>
          <w:b/>
          <w:bCs/>
          <w:color w:val="auto"/>
          <w:sz w:val="28"/>
          <w:highlight w:val="none"/>
        </w:rPr>
      </w:pPr>
      <w:bookmarkStart w:id="44" w:name="_Toc515"/>
      <w:bookmarkStart w:id="45" w:name="_Toc13663"/>
    </w:p>
    <w:p w14:paraId="2AA94A1B">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1.1</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rPr>
        <w:t>名称：</w:t>
      </w:r>
      <w:r>
        <w:rPr>
          <w:rFonts w:hint="eastAsia" w:ascii="宋体" w:hAnsi="宋体" w:cs="宋体"/>
          <w:color w:val="auto"/>
          <w:sz w:val="21"/>
          <w:szCs w:val="21"/>
          <w:highlight w:val="none"/>
          <w:u w:val="none"/>
          <w:lang w:val="en-US" w:eastAsia="zh-CN"/>
        </w:rPr>
        <w:t>滁州市建筑垃圾综合处置项目结算复核服务</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kern w:val="0"/>
          <w:sz w:val="21"/>
          <w:szCs w:val="21"/>
          <w:highlight w:val="none"/>
          <w:u w:val="none"/>
          <w:lang w:val="en-US" w:eastAsia="zh-CN"/>
        </w:rPr>
        <w:t>。</w:t>
      </w:r>
    </w:p>
    <w:p w14:paraId="3FC6757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服务需求</w:t>
      </w:r>
    </w:p>
    <w:p w14:paraId="5831824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2B98AD9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0330481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w:t>
      </w:r>
      <w:r>
        <w:rPr>
          <w:rFonts w:hint="eastAsia" w:ascii="宋体" w:hAnsi="宋体" w:cs="宋体"/>
          <w:color w:val="auto"/>
          <w:sz w:val="21"/>
          <w:szCs w:val="21"/>
          <w:highlight w:val="none"/>
          <w:lang w:val="en-US" w:eastAsia="zh-CN"/>
        </w:rPr>
        <w:t>费率</w:t>
      </w:r>
      <w:r>
        <w:rPr>
          <w:rFonts w:hint="eastAsia" w:ascii="宋体" w:hAnsi="宋体" w:eastAsia="宋体" w:cs="宋体"/>
          <w:color w:val="auto"/>
          <w:sz w:val="21"/>
          <w:szCs w:val="21"/>
          <w:highlight w:val="none"/>
        </w:rPr>
        <w:t>。</w:t>
      </w:r>
    </w:p>
    <w:p w14:paraId="74D9A58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1F7FF8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577796E7">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2B5113F0">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58FF222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5EB78DE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8D02FB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6A7ADDF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自筹</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3200D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ABC7BDB">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7FDA44C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DFAA1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3F418DB0">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69602B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eastAsia="宋体" w:cs="宋体"/>
          <w:color w:val="auto"/>
          <w:sz w:val="21"/>
          <w:szCs w:val="21"/>
          <w:highlight w:val="none"/>
          <w:u w:val="single"/>
          <w:lang w:val="en-US" w:eastAsia="zh-CN"/>
        </w:rPr>
        <w:t>费率</w:t>
      </w:r>
      <w:r>
        <w:rPr>
          <w:rFonts w:hint="eastAsia" w:ascii="宋体" w:hAnsi="宋体" w:eastAsia="宋体" w:cs="宋体"/>
          <w:color w:val="auto"/>
          <w:sz w:val="21"/>
          <w:szCs w:val="21"/>
          <w:highlight w:val="none"/>
        </w:rPr>
        <w:t>。</w:t>
      </w:r>
    </w:p>
    <w:p w14:paraId="446700B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最低评标价法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章评标办法）。</w:t>
      </w:r>
    </w:p>
    <w:p w14:paraId="13B7D934">
      <w:pPr>
        <w:spacing w:line="400" w:lineRule="exact"/>
        <w:jc w:val="center"/>
        <w:outlineLvl w:val="1"/>
        <w:rPr>
          <w:rFonts w:hint="eastAsia" w:ascii="宋体" w:hAnsi="宋体" w:eastAsia="宋体" w:cs="宋体"/>
          <w:b/>
          <w:bCs/>
          <w:color w:val="auto"/>
          <w:sz w:val="28"/>
          <w:highlight w:val="none"/>
        </w:rPr>
      </w:pPr>
      <w:bookmarkStart w:id="46" w:name="_Toc29988"/>
      <w:bookmarkStart w:id="47" w:name="_Toc17301"/>
    </w:p>
    <w:p w14:paraId="2DD47ABF">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ind w:left="0" w:leftChars="0" w:firstLine="0" w:firstLineChars="0"/>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兴滁矿业投资集团有限公司网站（http://www.xckytz.com/index.html）发布，但不指明澄清问题的来源。如果澄清内容影响投标文件编制的，将相应延长投标截止时间。</w:t>
      </w:r>
    </w:p>
    <w:p w14:paraId="182D12D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color w:val="auto"/>
          <w:szCs w:val="21"/>
          <w:highlight w:val="none"/>
          <w:lang w:val="en-US" w:eastAsia="zh-CN"/>
        </w:rPr>
        <w:t>滁州市兴滁矿业投资集团有限公司网站（http://www.xckytz.com/index.html）网站发布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44DD2048">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bookmarkStart w:id="48" w:name="_Toc24852"/>
      <w:bookmarkStart w:id="49" w:name="_Toc6831"/>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lang w:eastAsia="zh-CN"/>
        </w:rPr>
        <w:t>本项目的最高限价为基本费</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000元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审核成果费率</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（审核成果费率</w:t>
      </w:r>
      <w:r>
        <w:rPr>
          <w:rFonts w:hint="eastAsia" w:ascii="宋体" w:hAnsi="宋体" w:eastAsia="宋体" w:cs="宋体"/>
          <w:b/>
          <w:bCs/>
          <w:color w:val="auto"/>
          <w:sz w:val="21"/>
          <w:szCs w:val="21"/>
          <w:highlight w:val="none"/>
          <w:lang w:val="en-US" w:eastAsia="zh-CN"/>
        </w:rPr>
        <w:t>为不可竞争费率，</w:t>
      </w:r>
      <w:r>
        <w:rPr>
          <w:rFonts w:hint="eastAsia" w:ascii="宋体" w:hAnsi="宋体" w:eastAsia="宋体" w:cs="宋体"/>
          <w:b/>
          <w:bCs/>
          <w:color w:val="auto"/>
          <w:sz w:val="21"/>
          <w:szCs w:val="21"/>
          <w:highlight w:val="none"/>
        </w:rPr>
        <w:t>固定不变）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基本费由投标人自主报价，</w:t>
      </w:r>
      <w:r>
        <w:rPr>
          <w:rFonts w:hint="eastAsia" w:ascii="宋体" w:hAnsi="宋体" w:eastAsia="宋体" w:cs="宋体"/>
          <w:b/>
          <w:bCs/>
          <w:color w:val="auto"/>
          <w:sz w:val="21"/>
          <w:szCs w:val="21"/>
          <w:highlight w:val="none"/>
        </w:rPr>
        <w:t>不得高于上述基本费最高限价，否则按无效标处理。</w:t>
      </w:r>
    </w:p>
    <w:p w14:paraId="2404275F">
      <w:pPr>
        <w:spacing w:line="400" w:lineRule="exact"/>
        <w:jc w:val="center"/>
        <w:outlineLvl w:val="1"/>
        <w:rPr>
          <w:rFonts w:hint="eastAsia" w:ascii="宋体" w:hAnsi="宋体" w:eastAsia="宋体" w:cs="宋体"/>
          <w:b/>
          <w:bCs/>
          <w:color w:val="auto"/>
          <w:sz w:val="28"/>
          <w:highlight w:val="none"/>
        </w:rPr>
      </w:pPr>
    </w:p>
    <w:p w14:paraId="344A8BB9">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57A651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2342D3F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4CE763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6520942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01A2C04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项目组其他成员（不含项目负责人）要求：</w:t>
      </w:r>
      <w:r>
        <w:rPr>
          <w:rFonts w:hint="eastAsia" w:ascii="宋体" w:hAnsi="宋体" w:cs="宋体"/>
          <w:color w:val="auto"/>
          <w:kern w:val="0"/>
          <w:sz w:val="21"/>
          <w:szCs w:val="21"/>
          <w:highlight w:val="none"/>
          <w:lang w:eastAsia="zh-CN"/>
        </w:rPr>
        <w:t>不少于2名注册在投标单位的二级及以上造价工程师（土木建筑专业、</w:t>
      </w:r>
      <w:r>
        <w:rPr>
          <w:rFonts w:hint="eastAsia" w:ascii="宋体" w:hAnsi="宋体" w:cs="宋体"/>
          <w:color w:val="auto"/>
          <w:kern w:val="0"/>
          <w:sz w:val="21"/>
          <w:szCs w:val="21"/>
          <w:highlight w:val="none"/>
          <w:lang w:val="en-US" w:eastAsia="zh-CN"/>
        </w:rPr>
        <w:t>安装专业各</w:t>
      </w:r>
      <w:r>
        <w:rPr>
          <w:rFonts w:hint="eastAsia" w:ascii="宋体" w:hAnsi="宋体" w:cs="宋体"/>
          <w:color w:val="auto"/>
          <w:kern w:val="0"/>
          <w:sz w:val="21"/>
          <w:szCs w:val="21"/>
          <w:highlight w:val="none"/>
          <w:lang w:eastAsia="zh-CN"/>
        </w:rPr>
        <w:t>不少于1名）</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 </w:t>
      </w:r>
    </w:p>
    <w:p w14:paraId="7457CE7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）承诺书：投标人对所提供的上述材料作出承诺，若投标人存在弄虚作假，提供虚假资料的，若中标，则取消中标资格。（承诺书格式自拟并注明开标日期，加盖投标单位公章）</w:t>
      </w:r>
    </w:p>
    <w:p w14:paraId="3F0F7B4A">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单位为其缴纳的投标前近三个月内任意一月的养老保险证明（含官网在线打印件，证明文件两个月内有效），或投标人提供承诺已为上述人员缴纳养老保险证明的承诺书（格式自拟）。</w:t>
      </w:r>
    </w:p>
    <w:p w14:paraId="1D000F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3DC867D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072124E9">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5E5DC0DE">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投标人在投标文件编制、签章、上传过程中如有任何操作的疑问请及时联系技术支持，电话：400928009-5（工作日）或者网站首页在线客服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1045953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506A6FC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6355F856">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5B87B75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r>
        <w:rPr>
          <w:rFonts w:hint="eastAsia" w:ascii="宋体" w:hAnsi="宋体" w:cs="宋体"/>
          <w:color w:val="auto"/>
          <w:szCs w:val="21"/>
          <w:highlight w:val="none"/>
        </w:rPr>
        <w:t>。</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65D00B00">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r>
        <w:rPr>
          <w:rFonts w:hint="eastAsia" w:ascii="宋体" w:hAnsi="宋体" w:cs="宋体"/>
          <w:color w:val="auto"/>
          <w:kern w:val="0"/>
          <w:szCs w:val="21"/>
          <w:highlight w:val="none"/>
          <w:lang w:eastAsia="zh-CN"/>
        </w:rPr>
        <w:t>。</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50" w:name="_Toc13407"/>
      <w:bookmarkStart w:id="51" w:name="_Toc27519"/>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投标文件的提交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2" w:name="_Toc18173"/>
      <w:bookmarkStart w:id="53" w:name="_Toc24005"/>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（5）开标结束。 </w:t>
      </w:r>
    </w:p>
    <w:p w14:paraId="01DEFBCB">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多标包项目按照标段顺序按以上程序依次开标。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03615267">
      <w:pPr>
        <w:spacing w:line="440" w:lineRule="exact"/>
        <w:jc w:val="left"/>
        <w:rPr>
          <w:rFonts w:hint="eastAsia" w:ascii="宋体" w:hAnsi="宋体" w:cs="宋体"/>
          <w:color w:val="auto"/>
          <w:sz w:val="21"/>
          <w:szCs w:val="21"/>
          <w:highlight w:val="none"/>
          <w:lang w:val="en-US" w:eastAsia="zh-CN"/>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评审小组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.1 </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.2 </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.4 </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应自觉接受有关监督管理部门的现场监督，</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6CDAF2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0C36E7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2A6BC2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27.6.1 </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应当编制书面评标报告,所有成员应签字确认。对评标结论持有异议的</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成员可以书面方式阐述其不同意见和理由。</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w:t>
      </w:r>
      <w:r>
        <w:rPr>
          <w:rFonts w:hint="eastAsia" w:ascii="宋体" w:hAnsi="宋体" w:cs="宋体"/>
          <w:b/>
          <w:bCs/>
          <w:color w:val="auto"/>
          <w:szCs w:val="21"/>
          <w:highlight w:val="none"/>
          <w:lang w:val="en-US" w:eastAsia="zh-CN"/>
        </w:rPr>
        <w:t>滁州市兴滁矿业投资集团有限公司网站（http://www.xckytz.com/index.html）</w:t>
      </w:r>
      <w:r>
        <w:rPr>
          <w:rFonts w:hint="eastAsia" w:ascii="宋体" w:hAnsi="宋体" w:eastAsia="宋体" w:cs="宋体"/>
          <w:b/>
          <w:bCs/>
          <w:color w:val="auto"/>
          <w:szCs w:val="21"/>
          <w:highlight w:val="none"/>
          <w:lang w:val="en-US" w:eastAsia="zh-CN"/>
        </w:rPr>
        <w:t>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3E76CB44">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634B4A8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推荐的中标候选人确定中标人，</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推荐中标候选人的人数见投标人须知前附表。</w:t>
      </w:r>
    </w:p>
    <w:p w14:paraId="1F099C5C">
      <w:pPr>
        <w:pStyle w:val="15"/>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w:t>
      </w:r>
      <w:r>
        <w:rPr>
          <w:rFonts w:hint="eastAsia" w:ascii="宋体" w:hAnsi="宋体" w:cs="宋体"/>
          <w:color w:val="auto"/>
          <w:szCs w:val="21"/>
          <w:highlight w:val="none"/>
          <w:lang w:val="en-US" w:eastAsia="zh-CN"/>
        </w:rPr>
        <w:t>滁州市兴滁矿业投资集团有限公司网站（http://www.xckytz.com/index.html）</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网站上公告。</w:t>
      </w:r>
    </w:p>
    <w:p w14:paraId="002F848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166F485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w:t>
      </w:r>
      <w:r>
        <w:rPr>
          <w:rFonts w:hint="eastAsia" w:ascii="宋体" w:hAnsi="宋体" w:cs="宋体"/>
          <w:color w:val="auto"/>
          <w:kern w:val="10"/>
          <w:szCs w:val="21"/>
          <w:highlight w:val="none"/>
          <w:lang w:eastAsia="zh-CN"/>
        </w:rPr>
        <w:t>评审小组</w:t>
      </w:r>
      <w:r>
        <w:rPr>
          <w:rFonts w:hint="eastAsia" w:ascii="宋体" w:hAnsi="宋体" w:eastAsia="宋体" w:cs="宋体"/>
          <w:color w:val="auto"/>
          <w:kern w:val="10"/>
          <w:szCs w:val="21"/>
          <w:highlight w:val="none"/>
        </w:rPr>
        <w:t>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4" w:name="_Toc22926"/>
      <w:bookmarkStart w:id="55" w:name="_Toc21491"/>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1589_WPSOffice_Level1"/>
      <w:bookmarkStart w:id="57"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w:t>
      </w:r>
      <w:r>
        <w:rPr>
          <w:rFonts w:hint="eastAsia" w:ascii="宋体" w:hAnsi="宋体" w:cs="宋体"/>
          <w:color w:val="auto"/>
          <w:kern w:val="10"/>
          <w:sz w:val="21"/>
          <w:szCs w:val="21"/>
          <w:highlight w:val="none"/>
          <w:lang w:eastAsia="zh-CN"/>
        </w:rPr>
        <w:t>评审小组</w:t>
      </w:r>
      <w:r>
        <w:rPr>
          <w:rFonts w:hint="eastAsia" w:ascii="宋体" w:hAnsi="宋体" w:eastAsia="宋体" w:cs="宋体"/>
          <w:color w:val="auto"/>
          <w:kern w:val="10"/>
          <w:sz w:val="21"/>
          <w:szCs w:val="21"/>
          <w:highlight w:val="none"/>
        </w:rPr>
        <w:t>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对</w:t>
      </w:r>
      <w:r>
        <w:rPr>
          <w:rFonts w:hint="eastAsia" w:ascii="宋体" w:hAnsi="宋体" w:cs="宋体"/>
          <w:b/>
          <w:color w:val="auto"/>
          <w:sz w:val="21"/>
          <w:szCs w:val="21"/>
          <w:highlight w:val="none"/>
          <w:lang w:eastAsia="zh-CN"/>
        </w:rPr>
        <w:t>评审小组</w:t>
      </w:r>
      <w:r>
        <w:rPr>
          <w:rFonts w:hint="eastAsia" w:ascii="宋体" w:hAnsi="宋体" w:eastAsia="宋体" w:cs="宋体"/>
          <w:b/>
          <w:color w:val="auto"/>
          <w:sz w:val="21"/>
          <w:szCs w:val="21"/>
          <w:highlight w:val="none"/>
        </w:rPr>
        <w:t xml:space="preserve">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w:t>
      </w:r>
      <w:r>
        <w:rPr>
          <w:rFonts w:hint="eastAsia" w:ascii="宋体" w:hAnsi="宋体" w:cs="宋体"/>
          <w:color w:val="auto"/>
          <w:kern w:val="10"/>
          <w:sz w:val="21"/>
          <w:szCs w:val="21"/>
          <w:highlight w:val="none"/>
          <w:lang w:eastAsia="zh-CN"/>
        </w:rPr>
        <w:t>评审小组</w:t>
      </w:r>
      <w:r>
        <w:rPr>
          <w:rFonts w:hint="eastAsia" w:ascii="宋体" w:hAnsi="宋体" w:eastAsia="宋体" w:cs="宋体"/>
          <w:color w:val="auto"/>
          <w:kern w:val="10"/>
          <w:sz w:val="21"/>
          <w:szCs w:val="21"/>
          <w:highlight w:val="none"/>
        </w:rPr>
        <w:t>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w:t>
      </w:r>
      <w:r>
        <w:rPr>
          <w:rFonts w:hint="eastAsia" w:ascii="宋体" w:hAnsi="宋体" w:cs="宋体"/>
          <w:color w:val="auto"/>
          <w:kern w:val="10"/>
          <w:sz w:val="21"/>
          <w:szCs w:val="21"/>
          <w:highlight w:val="none"/>
          <w:lang w:eastAsia="zh-CN"/>
        </w:rPr>
        <w:t>评审小组</w:t>
      </w:r>
      <w:r>
        <w:rPr>
          <w:rFonts w:hint="eastAsia" w:ascii="宋体" w:hAnsi="宋体" w:eastAsia="宋体" w:cs="宋体"/>
          <w:color w:val="auto"/>
          <w:kern w:val="10"/>
          <w:sz w:val="21"/>
          <w:szCs w:val="21"/>
          <w:highlight w:val="none"/>
        </w:rPr>
        <w:t>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32EDDA19">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r>
        <w:rPr>
          <w:rFonts w:hint="eastAsia" w:ascii="宋体" w:hAnsi="宋体" w:eastAsia="宋体" w:cs="宋体"/>
          <w:color w:val="auto"/>
          <w:highlight w:val="none"/>
          <w:lang w:val="en-US" w:eastAsia="zh-CN"/>
        </w:rPr>
        <w:t>第二章 评标办法</w:t>
      </w:r>
      <w:bookmarkEnd w:id="59"/>
    </w:p>
    <w:p w14:paraId="7245248D">
      <w:pPr>
        <w:spacing w:before="156" w:beforeLines="50" w:after="156" w:afterLines="50" w:line="440" w:lineRule="exact"/>
        <w:jc w:val="center"/>
        <w:outlineLvl w:val="1"/>
        <w:rPr>
          <w:rFonts w:hint="eastAsia" w:ascii="宋体"/>
          <w:b/>
          <w:color w:val="auto"/>
          <w:sz w:val="28"/>
          <w:szCs w:val="28"/>
          <w:highlight w:val="none"/>
        </w:rPr>
      </w:pPr>
      <w:bookmarkStart w:id="60" w:name="_Toc18110"/>
      <w:bookmarkStart w:id="61" w:name="_Toc362983801"/>
      <w:bookmarkStart w:id="62" w:name="_Toc58430317"/>
      <w:bookmarkStart w:id="63" w:name="_Toc5093"/>
      <w:bookmarkStart w:id="64" w:name="_Toc14942"/>
      <w:bookmarkStart w:id="65" w:name="_Toc449028877"/>
      <w:bookmarkStart w:id="66" w:name="_Toc267320058"/>
      <w:bookmarkStart w:id="67" w:name="_Toc3848"/>
      <w:r>
        <w:rPr>
          <w:rFonts w:hint="eastAsia" w:ascii="宋体"/>
          <w:b/>
          <w:color w:val="auto"/>
          <w:sz w:val="28"/>
          <w:szCs w:val="28"/>
          <w:highlight w:val="none"/>
        </w:rPr>
        <w:t>一、总则</w:t>
      </w:r>
      <w:bookmarkEnd w:id="60"/>
      <w:bookmarkEnd w:id="61"/>
      <w:bookmarkEnd w:id="62"/>
      <w:bookmarkEnd w:id="63"/>
      <w:bookmarkEnd w:id="64"/>
      <w:bookmarkEnd w:id="65"/>
    </w:p>
    <w:p w14:paraId="17F0CF74">
      <w:pPr>
        <w:spacing w:line="440" w:lineRule="exact"/>
        <w:ind w:firstLine="316" w:firstLineChars="150"/>
        <w:jc w:val="left"/>
        <w:rPr>
          <w:rFonts w:hint="eastAsia" w:ascii="宋体" w:eastAsia="宋体"/>
          <w:b/>
          <w:color w:val="auto"/>
          <w:szCs w:val="21"/>
          <w:highlight w:val="none"/>
          <w:lang w:eastAsia="zh-CN"/>
        </w:rPr>
      </w:pPr>
      <w:r>
        <w:rPr>
          <w:rFonts w:hint="eastAsia" w:ascii="宋体"/>
          <w:b/>
          <w:color w:val="auto"/>
          <w:szCs w:val="21"/>
          <w:highlight w:val="none"/>
        </w:rPr>
        <w:t xml:space="preserve"> 1. 本次评标采用</w:t>
      </w:r>
      <w:r>
        <w:rPr>
          <w:rFonts w:hint="eastAsia" w:ascii="宋体"/>
          <w:b/>
          <w:color w:val="auto"/>
          <w:szCs w:val="21"/>
          <w:highlight w:val="none"/>
          <w:lang w:eastAsia="zh-CN"/>
        </w:rPr>
        <w:t>最低评标价法</w:t>
      </w:r>
    </w:p>
    <w:p w14:paraId="389C16F0">
      <w:pPr>
        <w:spacing w:line="440" w:lineRule="exact"/>
        <w:ind w:firstLine="420" w:firstLineChars="200"/>
        <w:jc w:val="left"/>
        <w:rPr>
          <w:rFonts w:hint="eastAsia" w:ascii="宋体"/>
          <w:color w:val="auto"/>
          <w:szCs w:val="21"/>
          <w:highlight w:val="none"/>
          <w:lang w:eastAsia="zh-CN"/>
        </w:rPr>
      </w:pPr>
      <w:r>
        <w:rPr>
          <w:rFonts w:hint="eastAsia" w:ascii="宋体"/>
          <w:color w:val="auto"/>
          <w:szCs w:val="21"/>
          <w:highlight w:val="none"/>
        </w:rPr>
        <w:t>1.1</w:t>
      </w:r>
      <w:r>
        <w:rPr>
          <w:rFonts w:hint="eastAsia" w:ascii="宋体"/>
          <w:color w:val="auto"/>
          <w:szCs w:val="21"/>
          <w:highlight w:val="none"/>
          <w:lang w:eastAsia="zh-CN"/>
        </w:rPr>
        <w:t>最低评标价法，是指投标文件满足招标文件全部实质性要求且投标报价由低到高的供应商为中标候选人的评标方法。</w:t>
      </w:r>
    </w:p>
    <w:p w14:paraId="123CF29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lang w:eastAsia="zh-CN"/>
        </w:rPr>
        <w:t>1.2最低评标价法一般适用于标准定制商品及通用服务项目的项目评审</w:t>
      </w:r>
      <w:r>
        <w:rPr>
          <w:rFonts w:hint="eastAsia" w:ascii="宋体"/>
          <w:color w:val="auto"/>
          <w:szCs w:val="21"/>
          <w:highlight w:val="none"/>
        </w:rPr>
        <w:t>。</w:t>
      </w:r>
    </w:p>
    <w:p w14:paraId="66AD4E3F">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79D8BED5">
      <w:pPr>
        <w:spacing w:line="440" w:lineRule="exact"/>
        <w:ind w:firstLine="420" w:firstLineChars="200"/>
        <w:rPr>
          <w:rFonts w:hint="eastAsia" w:ascii="宋体"/>
          <w:color w:val="auto"/>
          <w:szCs w:val="21"/>
          <w:highlight w:val="none"/>
        </w:rPr>
      </w:pPr>
      <w:r>
        <w:rPr>
          <w:rFonts w:hint="eastAsia" w:ascii="宋体"/>
          <w:color w:val="auto"/>
          <w:szCs w:val="21"/>
          <w:highlight w:val="none"/>
        </w:rPr>
        <w:t>2.1投标文件的初审</w:t>
      </w:r>
    </w:p>
    <w:p w14:paraId="67CC8E6C">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4260FEA4">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03C8A994">
      <w:pPr>
        <w:spacing w:line="440" w:lineRule="exact"/>
        <w:ind w:firstLine="420" w:firstLineChars="200"/>
        <w:rPr>
          <w:rFonts w:hint="eastAsia" w:ascii="宋体"/>
          <w:color w:val="auto"/>
          <w:szCs w:val="21"/>
          <w:highlight w:val="none"/>
        </w:rPr>
      </w:pPr>
      <w:r>
        <w:rPr>
          <w:rFonts w:hint="eastAsia" w:ascii="宋体"/>
          <w:color w:val="auto"/>
          <w:szCs w:val="21"/>
          <w:highlight w:val="none"/>
        </w:rPr>
        <w:t>2.2投标文件的澄清</w:t>
      </w:r>
    </w:p>
    <w:p w14:paraId="42443457">
      <w:pPr>
        <w:spacing w:line="440" w:lineRule="exact"/>
        <w:ind w:firstLine="420" w:firstLineChars="200"/>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2.2.1在评标过程中，评审小组认为需要，可要求投标人对投标文件中的有关问题进行澄清或提供补充说明及有关资料，投标人应做出答复。答复中不得变更价格、服务期限、自报质量等实质性内容。</w:t>
      </w:r>
    </w:p>
    <w:p w14:paraId="705F47A2">
      <w:pPr>
        <w:spacing w:line="440" w:lineRule="exact"/>
        <w:ind w:firstLine="422" w:firstLineChars="200"/>
        <w:rPr>
          <w:rFonts w:hint="eastAsia" w:ascii="宋体"/>
          <w:color w:val="auto"/>
          <w:szCs w:val="21"/>
          <w:highlight w:val="none"/>
        </w:rPr>
      </w:pPr>
      <w:r>
        <w:rPr>
          <w:rFonts w:hint="eastAsia" w:ascii="宋体" w:hAnsi="宋体" w:cs="宋体"/>
          <w:b/>
          <w:bCs/>
          <w:color w:val="auto"/>
          <w:szCs w:val="21"/>
          <w:highlight w:val="none"/>
        </w:rPr>
        <w:t>本项目采用远程开标，</w:t>
      </w:r>
      <w:r>
        <w:rPr>
          <w:rFonts w:hint="eastAsia" w:ascii="宋体" w:hAnsi="宋体" w:cs="宋体"/>
          <w:b/>
          <w:bCs/>
          <w:color w:val="auto"/>
          <w:szCs w:val="21"/>
          <w:highlight w:val="none"/>
          <w:lang w:val="en-US" w:eastAsia="zh-CN"/>
        </w:rPr>
        <w:t>各投标人认真学习《新点电子交易平台投标人操作手册》，务必掌握远程解密方法和在线回复询标方法</w:t>
      </w:r>
      <w:r>
        <w:rPr>
          <w:rFonts w:hint="eastAsia" w:ascii="宋体" w:hAnsi="宋体" w:cs="宋体"/>
          <w:b/>
          <w:bCs/>
          <w:color w:val="auto"/>
          <w:szCs w:val="21"/>
          <w:highlight w:val="none"/>
        </w:rPr>
        <w:t>。</w:t>
      </w:r>
    </w:p>
    <w:p w14:paraId="4922E86C">
      <w:pPr>
        <w:spacing w:line="440" w:lineRule="exact"/>
        <w:ind w:firstLine="420" w:firstLineChars="200"/>
        <w:rPr>
          <w:rFonts w:hint="eastAsia" w:ascii="宋体"/>
          <w:color w:val="auto"/>
          <w:szCs w:val="21"/>
          <w:highlight w:val="none"/>
        </w:rPr>
      </w:pPr>
      <w:r>
        <w:rPr>
          <w:rFonts w:hint="eastAsia" w:ascii="宋体"/>
          <w:color w:val="auto"/>
          <w:szCs w:val="21"/>
          <w:highlight w:val="none"/>
        </w:rPr>
        <w:t>2.2.2答复须经投标人法定代理人或其授权委托代理人的签字或印鉴，签字或盖印鉴的答复将视为投标文件的组成部分。投标截止时间后，投标人对投标报价或其它实质性内容修正的函件和增加的任何优惠条件，一律不得作为评标、定标的依据。</w:t>
      </w:r>
    </w:p>
    <w:p w14:paraId="10671C5B">
      <w:pPr>
        <w:spacing w:line="440" w:lineRule="exact"/>
        <w:ind w:firstLine="420" w:firstLineChars="200"/>
        <w:rPr>
          <w:rFonts w:hint="eastAsia" w:ascii="宋体"/>
          <w:color w:val="auto"/>
          <w:szCs w:val="21"/>
          <w:highlight w:val="none"/>
        </w:rPr>
      </w:pPr>
      <w:r>
        <w:rPr>
          <w:rFonts w:hint="eastAsia" w:ascii="宋体"/>
          <w:color w:val="auto"/>
          <w:szCs w:val="21"/>
          <w:highlight w:val="none"/>
        </w:rPr>
        <w:t>2.2.3招标人不接受投标人主动提出的澄清。</w:t>
      </w:r>
    </w:p>
    <w:p w14:paraId="128F0A2D">
      <w:pPr>
        <w:spacing w:line="440" w:lineRule="exact"/>
        <w:ind w:firstLine="420" w:firstLineChars="200"/>
        <w:rPr>
          <w:rFonts w:hint="eastAsia" w:ascii="宋体"/>
          <w:color w:val="auto"/>
          <w:szCs w:val="21"/>
          <w:highlight w:val="none"/>
        </w:rPr>
      </w:pPr>
      <w:r>
        <w:rPr>
          <w:rFonts w:hint="eastAsia" w:ascii="宋体"/>
          <w:color w:val="auto"/>
          <w:szCs w:val="21"/>
          <w:highlight w:val="none"/>
        </w:rPr>
        <w:t>2.3比较与评价</w:t>
      </w:r>
    </w:p>
    <w:p w14:paraId="505795EB">
      <w:pPr>
        <w:spacing w:line="440" w:lineRule="exact"/>
        <w:ind w:firstLine="420" w:firstLineChars="200"/>
        <w:jc w:val="left"/>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3.1按招标文件中规定的评标方法和标准，对资格性检查和符合性检查合格的投标文件进行资信、商务和技术评估，综合比较与评价。</w:t>
      </w:r>
    </w:p>
    <w:p w14:paraId="369B253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    2.4推荐中标候选人名单</w:t>
      </w:r>
    </w:p>
    <w:p w14:paraId="6C9E2ECE">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53942E3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2.5在投标文件的审查、澄清、评价和比较以及授予合同过程中，投标人对</w:t>
      </w:r>
      <w:r>
        <w:rPr>
          <w:rFonts w:hint="eastAsia" w:ascii="宋体"/>
          <w:color w:val="auto"/>
          <w:szCs w:val="21"/>
          <w:highlight w:val="none"/>
          <w:lang w:eastAsia="zh-CN"/>
        </w:rPr>
        <w:t>招标人</w:t>
      </w:r>
      <w:r>
        <w:rPr>
          <w:rFonts w:hint="eastAsia" w:ascii="宋体"/>
          <w:color w:val="auto"/>
          <w:szCs w:val="21"/>
          <w:highlight w:val="none"/>
        </w:rPr>
        <w:t>和</w:t>
      </w:r>
      <w:r>
        <w:rPr>
          <w:rFonts w:hint="eastAsia" w:ascii="宋体"/>
          <w:color w:val="auto"/>
          <w:szCs w:val="21"/>
          <w:highlight w:val="none"/>
          <w:lang w:eastAsia="zh-CN"/>
        </w:rPr>
        <w:t>评审小组</w:t>
      </w:r>
      <w:r>
        <w:rPr>
          <w:rFonts w:hint="eastAsia" w:ascii="宋体"/>
          <w:color w:val="auto"/>
          <w:szCs w:val="21"/>
          <w:highlight w:val="none"/>
        </w:rPr>
        <w:t>成员施加影响的任何行为，都将导致取消其中标资格。</w:t>
      </w:r>
    </w:p>
    <w:p w14:paraId="51A10D32">
      <w:pPr>
        <w:spacing w:before="156" w:beforeLines="50" w:after="156" w:afterLines="50" w:line="440" w:lineRule="exact"/>
        <w:jc w:val="center"/>
        <w:outlineLvl w:val="1"/>
        <w:rPr>
          <w:rFonts w:hint="eastAsia" w:ascii="宋体"/>
          <w:b/>
          <w:color w:val="auto"/>
          <w:sz w:val="28"/>
          <w:szCs w:val="28"/>
          <w:highlight w:val="none"/>
        </w:rPr>
      </w:pPr>
      <w:bookmarkStart w:id="68" w:name="_Toc58430318"/>
      <w:bookmarkStart w:id="69" w:name="_Toc7627"/>
      <w:bookmarkStart w:id="70" w:name="_Toc13523"/>
      <w:bookmarkStart w:id="71" w:name="_Toc362983802"/>
      <w:bookmarkStart w:id="72" w:name="_Toc13994"/>
      <w:bookmarkStart w:id="73" w:name="_Toc449028878"/>
      <w:r>
        <w:rPr>
          <w:rFonts w:hint="eastAsia" w:ascii="宋体"/>
          <w:b/>
          <w:color w:val="auto"/>
          <w:sz w:val="28"/>
          <w:szCs w:val="28"/>
          <w:highlight w:val="none"/>
        </w:rPr>
        <w:t>二、投标文件初审</w:t>
      </w:r>
      <w:bookmarkEnd w:id="68"/>
      <w:bookmarkEnd w:id="69"/>
      <w:bookmarkEnd w:id="70"/>
      <w:bookmarkEnd w:id="71"/>
      <w:bookmarkEnd w:id="72"/>
      <w:bookmarkEnd w:id="73"/>
    </w:p>
    <w:p w14:paraId="02304B2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385D87BE">
      <w:pPr>
        <w:spacing w:line="440" w:lineRule="exact"/>
        <w:ind w:firstLine="308" w:firstLineChars="147"/>
        <w:jc w:val="left"/>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45"/>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515C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2FF2F75">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1F207E51">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35C49F1E">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2F34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7E8F31A4">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64625E71">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0D269AF2">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34A7075B">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68D4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6C96A2DC">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13E7FD73">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23777710">
            <w:pPr>
              <w:spacing w:line="32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326" w:type="dxa"/>
            <w:noWrap w:val="0"/>
            <w:vAlign w:val="center"/>
          </w:tcPr>
          <w:p w14:paraId="5D2F40D4">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3A47463B">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566E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0EDD6CB2">
            <w:pPr>
              <w:spacing w:line="320" w:lineRule="exact"/>
              <w:jc w:val="center"/>
              <w:rPr>
                <w:rFonts w:hint="eastAsia" w:ascii="宋体" w:hAnsi="宋体"/>
                <w:color w:val="auto"/>
                <w:szCs w:val="21"/>
                <w:highlight w:val="none"/>
              </w:rPr>
            </w:pPr>
          </w:p>
        </w:tc>
        <w:tc>
          <w:tcPr>
            <w:tcW w:w="1235" w:type="dxa"/>
            <w:vMerge w:val="continue"/>
            <w:noWrap w:val="0"/>
            <w:vAlign w:val="center"/>
          </w:tcPr>
          <w:p w14:paraId="69646BF2">
            <w:pPr>
              <w:spacing w:line="320" w:lineRule="exact"/>
              <w:rPr>
                <w:rFonts w:hint="eastAsia" w:ascii="宋体" w:hAnsi="宋体"/>
                <w:color w:val="auto"/>
                <w:szCs w:val="21"/>
                <w:highlight w:val="none"/>
              </w:rPr>
            </w:pPr>
          </w:p>
        </w:tc>
        <w:tc>
          <w:tcPr>
            <w:tcW w:w="5296" w:type="dxa"/>
            <w:noWrap w:val="0"/>
            <w:vAlign w:val="center"/>
          </w:tcPr>
          <w:p w14:paraId="46143C7C">
            <w:pPr>
              <w:spacing w:line="360" w:lineRule="exact"/>
              <w:jc w:val="both"/>
              <w:rPr>
                <w:rFonts w:hint="eastAsia" w:ascii="宋体" w:hAnsi="宋体" w:cs="宋体"/>
                <w:b/>
                <w:color w:val="auto"/>
                <w:szCs w:val="21"/>
                <w:highlight w:val="none"/>
              </w:rPr>
            </w:pPr>
            <w:r>
              <w:rPr>
                <w:rFonts w:hint="eastAsia"/>
                <w:color w:val="auto"/>
                <w:highlight w:val="none"/>
              </w:rPr>
              <w:t>（3）</w:t>
            </w:r>
            <w:r>
              <w:rPr>
                <w:rFonts w:hint="eastAsia" w:ascii="宋体" w:hAnsi="宋体" w:cs="宋体"/>
                <w:color w:val="auto"/>
                <w:sz w:val="21"/>
                <w:szCs w:val="21"/>
                <w:highlight w:val="none"/>
                <w:lang w:val="en-US" w:eastAsia="zh-CN"/>
              </w:rPr>
              <w:t>项目人员配备表</w:t>
            </w:r>
          </w:p>
        </w:tc>
        <w:tc>
          <w:tcPr>
            <w:tcW w:w="2326" w:type="dxa"/>
            <w:noWrap w:val="0"/>
            <w:vAlign w:val="center"/>
          </w:tcPr>
          <w:p w14:paraId="48736EE3">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23F3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72347D18">
            <w:pPr>
              <w:spacing w:line="320" w:lineRule="exact"/>
              <w:jc w:val="center"/>
              <w:rPr>
                <w:rFonts w:hint="eastAsia" w:ascii="宋体" w:hAnsi="宋体"/>
                <w:color w:val="auto"/>
                <w:szCs w:val="21"/>
                <w:highlight w:val="none"/>
              </w:rPr>
            </w:pPr>
          </w:p>
        </w:tc>
        <w:tc>
          <w:tcPr>
            <w:tcW w:w="1235" w:type="dxa"/>
            <w:vMerge w:val="continue"/>
            <w:noWrap w:val="0"/>
            <w:vAlign w:val="center"/>
          </w:tcPr>
          <w:p w14:paraId="416C2039">
            <w:pPr>
              <w:spacing w:line="320" w:lineRule="exact"/>
              <w:rPr>
                <w:rFonts w:hint="eastAsia" w:ascii="宋体" w:hAnsi="宋体"/>
                <w:color w:val="auto"/>
                <w:szCs w:val="21"/>
                <w:highlight w:val="none"/>
              </w:rPr>
            </w:pPr>
          </w:p>
        </w:tc>
        <w:tc>
          <w:tcPr>
            <w:tcW w:w="5296" w:type="dxa"/>
            <w:noWrap w:val="0"/>
            <w:vAlign w:val="center"/>
          </w:tcPr>
          <w:p w14:paraId="2CD8C7BA">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326" w:type="dxa"/>
            <w:noWrap w:val="0"/>
            <w:vAlign w:val="center"/>
          </w:tcPr>
          <w:p w14:paraId="0B9D51B4">
            <w:pPr>
              <w:spacing w:line="360" w:lineRule="exact"/>
              <w:jc w:val="both"/>
              <w:rPr>
                <w:rFonts w:hint="eastAsia"/>
                <w:color w:val="auto"/>
                <w:highlight w:val="none"/>
              </w:rPr>
            </w:pPr>
            <w:r>
              <w:rPr>
                <w:rFonts w:hint="eastAsia"/>
                <w:color w:val="auto"/>
                <w:highlight w:val="none"/>
              </w:rPr>
              <w:t>检验电子标书</w:t>
            </w:r>
          </w:p>
        </w:tc>
      </w:tr>
      <w:tr w14:paraId="50D8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59358F3">
            <w:pPr>
              <w:spacing w:line="320" w:lineRule="exact"/>
              <w:jc w:val="center"/>
              <w:rPr>
                <w:rFonts w:hint="eastAsia" w:ascii="宋体" w:hAnsi="宋体"/>
                <w:color w:val="auto"/>
                <w:szCs w:val="21"/>
                <w:highlight w:val="none"/>
              </w:rPr>
            </w:pPr>
          </w:p>
        </w:tc>
        <w:tc>
          <w:tcPr>
            <w:tcW w:w="1235" w:type="dxa"/>
            <w:vMerge w:val="continue"/>
            <w:noWrap w:val="0"/>
            <w:vAlign w:val="center"/>
          </w:tcPr>
          <w:p w14:paraId="4FB3FF72">
            <w:pPr>
              <w:spacing w:line="320" w:lineRule="exact"/>
              <w:rPr>
                <w:rFonts w:hint="eastAsia" w:ascii="宋体" w:hAnsi="宋体"/>
                <w:color w:val="auto"/>
                <w:szCs w:val="21"/>
                <w:highlight w:val="none"/>
              </w:rPr>
            </w:pPr>
          </w:p>
        </w:tc>
        <w:tc>
          <w:tcPr>
            <w:tcW w:w="5296" w:type="dxa"/>
            <w:noWrap w:val="0"/>
            <w:vAlign w:val="center"/>
          </w:tcPr>
          <w:p w14:paraId="77D6DAB5">
            <w:pPr>
              <w:spacing w:line="360" w:lineRule="exact"/>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不少于2名注册在投标单位的二级及以上造价工程师（土木建筑专业、</w:t>
            </w:r>
            <w:r>
              <w:rPr>
                <w:rFonts w:hint="eastAsia" w:ascii="宋体" w:hAnsi="宋体" w:cs="宋体"/>
                <w:color w:val="auto"/>
                <w:sz w:val="21"/>
                <w:szCs w:val="21"/>
                <w:highlight w:val="none"/>
                <w:lang w:val="en-US" w:eastAsia="zh-CN"/>
              </w:rPr>
              <w:t>安装专业各</w:t>
            </w:r>
            <w:r>
              <w:rPr>
                <w:rFonts w:hint="eastAsia" w:ascii="宋体" w:hAnsi="宋体" w:cs="宋体"/>
                <w:color w:val="auto"/>
                <w:sz w:val="21"/>
                <w:szCs w:val="21"/>
                <w:highlight w:val="none"/>
                <w:lang w:eastAsia="zh-CN"/>
              </w:rPr>
              <w:t>不少于1名）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p>
        </w:tc>
        <w:tc>
          <w:tcPr>
            <w:tcW w:w="2326" w:type="dxa"/>
            <w:noWrap w:val="0"/>
            <w:vAlign w:val="center"/>
          </w:tcPr>
          <w:p w14:paraId="0A330C9A">
            <w:pPr>
              <w:spacing w:line="360" w:lineRule="exact"/>
              <w:jc w:val="both"/>
              <w:rPr>
                <w:rFonts w:hint="eastAsia"/>
                <w:color w:val="auto"/>
                <w:highlight w:val="none"/>
              </w:rPr>
            </w:pPr>
            <w:r>
              <w:rPr>
                <w:rFonts w:hint="eastAsia"/>
                <w:color w:val="auto"/>
                <w:highlight w:val="none"/>
              </w:rPr>
              <w:t>检验电子标书</w:t>
            </w:r>
          </w:p>
        </w:tc>
      </w:tr>
      <w:tr w14:paraId="227C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25" w:type="dxa"/>
            <w:vMerge w:val="continue"/>
            <w:noWrap w:val="0"/>
            <w:vAlign w:val="center"/>
          </w:tcPr>
          <w:p w14:paraId="5F8BA51D">
            <w:pPr>
              <w:spacing w:line="320" w:lineRule="exact"/>
              <w:jc w:val="center"/>
              <w:rPr>
                <w:rFonts w:hint="eastAsia" w:ascii="宋体" w:hAnsi="宋体"/>
                <w:color w:val="auto"/>
                <w:szCs w:val="21"/>
                <w:highlight w:val="none"/>
              </w:rPr>
            </w:pPr>
          </w:p>
        </w:tc>
        <w:tc>
          <w:tcPr>
            <w:tcW w:w="1235" w:type="dxa"/>
            <w:vMerge w:val="continue"/>
            <w:noWrap w:val="0"/>
            <w:vAlign w:val="center"/>
          </w:tcPr>
          <w:p w14:paraId="6BCAF7D7">
            <w:pPr>
              <w:spacing w:line="320" w:lineRule="exact"/>
              <w:rPr>
                <w:rFonts w:hint="eastAsia" w:ascii="宋体" w:hAnsi="宋体"/>
                <w:color w:val="auto"/>
                <w:szCs w:val="21"/>
                <w:highlight w:val="none"/>
              </w:rPr>
            </w:pPr>
          </w:p>
        </w:tc>
        <w:tc>
          <w:tcPr>
            <w:tcW w:w="5296" w:type="dxa"/>
            <w:noWrap w:val="0"/>
            <w:vAlign w:val="center"/>
          </w:tcPr>
          <w:p w14:paraId="3EFE6D34">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（6）承诺书：投标人对所提供的上述材料作出承诺，若投标人存在弄虚作假，提供虚假资料的，若中标，则取消中标资格</w:t>
            </w:r>
          </w:p>
        </w:tc>
        <w:tc>
          <w:tcPr>
            <w:tcW w:w="2326" w:type="dxa"/>
            <w:noWrap w:val="0"/>
            <w:vAlign w:val="center"/>
          </w:tcPr>
          <w:p w14:paraId="48FC58EA">
            <w:pPr>
              <w:spacing w:line="360" w:lineRule="exact"/>
              <w:jc w:val="both"/>
              <w:rPr>
                <w:rFonts w:hint="eastAsia"/>
                <w:color w:val="auto"/>
                <w:highlight w:val="none"/>
              </w:rPr>
            </w:pPr>
            <w:r>
              <w:rPr>
                <w:rFonts w:hint="eastAsia"/>
                <w:color w:val="auto"/>
                <w:highlight w:val="none"/>
              </w:rPr>
              <w:t>检验电子标书</w:t>
            </w:r>
          </w:p>
        </w:tc>
      </w:tr>
      <w:tr w14:paraId="4B69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7B3DA801">
            <w:pPr>
              <w:spacing w:line="320" w:lineRule="exact"/>
              <w:jc w:val="center"/>
              <w:rPr>
                <w:rFonts w:hint="eastAsia" w:ascii="宋体" w:hAnsi="宋体"/>
                <w:color w:val="auto"/>
                <w:szCs w:val="21"/>
                <w:highlight w:val="none"/>
              </w:rPr>
            </w:pPr>
          </w:p>
        </w:tc>
        <w:tc>
          <w:tcPr>
            <w:tcW w:w="1235" w:type="dxa"/>
            <w:vMerge w:val="continue"/>
            <w:noWrap w:val="0"/>
            <w:vAlign w:val="center"/>
          </w:tcPr>
          <w:p w14:paraId="02CCF772">
            <w:pPr>
              <w:spacing w:line="320" w:lineRule="exact"/>
              <w:rPr>
                <w:rFonts w:hint="eastAsia" w:ascii="宋体" w:hAnsi="宋体"/>
                <w:color w:val="auto"/>
                <w:szCs w:val="21"/>
                <w:highlight w:val="none"/>
              </w:rPr>
            </w:pPr>
          </w:p>
        </w:tc>
        <w:tc>
          <w:tcPr>
            <w:tcW w:w="5296" w:type="dxa"/>
            <w:noWrap w:val="0"/>
            <w:vAlign w:val="center"/>
          </w:tcPr>
          <w:p w14:paraId="217105C4">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单位为其缴纳的投标前近三个月内任意一月的养老保险证明</w:t>
            </w:r>
          </w:p>
        </w:tc>
        <w:tc>
          <w:tcPr>
            <w:tcW w:w="2326" w:type="dxa"/>
            <w:noWrap w:val="0"/>
            <w:vAlign w:val="center"/>
          </w:tcPr>
          <w:p w14:paraId="65BA521E">
            <w:pPr>
              <w:spacing w:line="360" w:lineRule="exact"/>
              <w:jc w:val="both"/>
              <w:rPr>
                <w:rFonts w:hint="eastAsia"/>
                <w:color w:val="auto"/>
                <w:highlight w:val="none"/>
              </w:rPr>
            </w:pPr>
            <w:r>
              <w:rPr>
                <w:rFonts w:hint="eastAsia"/>
                <w:color w:val="auto"/>
                <w:highlight w:val="none"/>
              </w:rPr>
              <w:t>检验电子标书</w:t>
            </w:r>
          </w:p>
        </w:tc>
      </w:tr>
      <w:tr w14:paraId="2EE3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vMerge w:val="continue"/>
            <w:noWrap w:val="0"/>
            <w:vAlign w:val="center"/>
          </w:tcPr>
          <w:p w14:paraId="1D100F81">
            <w:pPr>
              <w:spacing w:line="320" w:lineRule="exact"/>
              <w:jc w:val="center"/>
              <w:rPr>
                <w:rFonts w:hint="eastAsia" w:ascii="宋体" w:hAnsi="宋体"/>
                <w:color w:val="auto"/>
                <w:szCs w:val="21"/>
                <w:highlight w:val="none"/>
              </w:rPr>
            </w:pPr>
          </w:p>
        </w:tc>
        <w:tc>
          <w:tcPr>
            <w:tcW w:w="1235" w:type="dxa"/>
            <w:vMerge w:val="continue"/>
            <w:noWrap w:val="0"/>
            <w:vAlign w:val="center"/>
          </w:tcPr>
          <w:p w14:paraId="493ED68D">
            <w:pPr>
              <w:spacing w:line="320" w:lineRule="exact"/>
              <w:rPr>
                <w:rFonts w:hint="eastAsia" w:ascii="宋体" w:hAnsi="宋体"/>
                <w:color w:val="auto"/>
                <w:szCs w:val="21"/>
                <w:highlight w:val="none"/>
              </w:rPr>
            </w:pPr>
          </w:p>
        </w:tc>
        <w:tc>
          <w:tcPr>
            <w:tcW w:w="5296" w:type="dxa"/>
            <w:noWrap w:val="0"/>
            <w:vAlign w:val="center"/>
          </w:tcPr>
          <w:p w14:paraId="2A828E42">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）投标函</w:t>
            </w:r>
          </w:p>
        </w:tc>
        <w:tc>
          <w:tcPr>
            <w:tcW w:w="2326" w:type="dxa"/>
            <w:noWrap w:val="0"/>
            <w:vAlign w:val="center"/>
          </w:tcPr>
          <w:p w14:paraId="137B6314">
            <w:pPr>
              <w:spacing w:line="360" w:lineRule="exact"/>
              <w:jc w:val="both"/>
              <w:rPr>
                <w:rFonts w:hint="eastAsia"/>
                <w:color w:val="auto"/>
                <w:highlight w:val="none"/>
              </w:rPr>
            </w:pPr>
            <w:r>
              <w:rPr>
                <w:rFonts w:hint="eastAsia"/>
                <w:color w:val="auto"/>
                <w:highlight w:val="none"/>
              </w:rPr>
              <w:t>格式见附件，检验电子标书</w:t>
            </w:r>
          </w:p>
        </w:tc>
      </w:tr>
    </w:tbl>
    <w:p w14:paraId="02A879CF">
      <w:pPr>
        <w:spacing w:line="440" w:lineRule="exact"/>
        <w:ind w:right="-164" w:rightChars="-78" w:firstLine="508" w:firstLineChars="241"/>
        <w:jc w:val="left"/>
        <w:rPr>
          <w:rFonts w:hint="eastAsia" w:ascii="宋体" w:hAnsi="宋体" w:cs="宋体"/>
          <w:b/>
          <w:color w:val="auto"/>
          <w:szCs w:val="21"/>
          <w:highlight w:val="none"/>
        </w:rPr>
      </w:pPr>
      <w:r>
        <w:rPr>
          <w:rFonts w:hint="eastAsia" w:ascii="宋体" w:hAnsi="宋体" w:cs="宋体"/>
          <w:b/>
          <w:color w:val="auto"/>
          <w:szCs w:val="21"/>
          <w:highlight w:val="none"/>
        </w:rPr>
        <w:t>3.2如评标专家在检验电子投标文件过程中，如果由于投标人自身原因导致评标专家无法查看并检验电子投标文件中相关资料的，否决其投标。即使投标人将原件携带至现场的，同样按否决投标处理。</w:t>
      </w:r>
    </w:p>
    <w:p w14:paraId="450CB160">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1452D9B0">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4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0C5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noWrap w:val="0"/>
            <w:vAlign w:val="center"/>
          </w:tcPr>
          <w:p w14:paraId="13CD5DF5">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noWrap w:val="0"/>
            <w:vAlign w:val="center"/>
          </w:tcPr>
          <w:p w14:paraId="79A75E30">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noWrap w:val="0"/>
            <w:vAlign w:val="center"/>
          </w:tcPr>
          <w:p w14:paraId="3DF464E8">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1573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noWrap w:val="0"/>
            <w:vAlign w:val="center"/>
          </w:tcPr>
          <w:p w14:paraId="670E85A3">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noWrap w:val="0"/>
            <w:vAlign w:val="center"/>
          </w:tcPr>
          <w:p w14:paraId="11120531">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48B14413">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noWrap w:val="0"/>
            <w:vAlign w:val="center"/>
          </w:tcPr>
          <w:p w14:paraId="44CB2748">
            <w:pPr>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zh-CN"/>
              </w:rPr>
              <w:t>签字、盖章符合要求。</w:t>
            </w:r>
          </w:p>
        </w:tc>
      </w:tr>
      <w:tr w14:paraId="79CD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noWrap w:val="0"/>
            <w:vAlign w:val="center"/>
          </w:tcPr>
          <w:p w14:paraId="326AC950">
            <w:pPr>
              <w:spacing w:line="440" w:lineRule="exact"/>
              <w:jc w:val="left"/>
              <w:rPr>
                <w:rFonts w:hint="eastAsia" w:ascii="宋体" w:hAnsi="宋体" w:cs="宋体"/>
                <w:color w:val="auto"/>
                <w:szCs w:val="21"/>
                <w:highlight w:val="none"/>
              </w:rPr>
            </w:pPr>
          </w:p>
        </w:tc>
        <w:tc>
          <w:tcPr>
            <w:tcW w:w="1318" w:type="dxa"/>
            <w:vMerge w:val="continue"/>
            <w:noWrap w:val="0"/>
            <w:vAlign w:val="center"/>
          </w:tcPr>
          <w:p w14:paraId="14E91E02">
            <w:pPr>
              <w:spacing w:line="440" w:lineRule="exact"/>
              <w:jc w:val="left"/>
              <w:rPr>
                <w:rFonts w:hint="eastAsia" w:ascii="宋体" w:hAnsi="宋体" w:cs="宋体"/>
                <w:color w:val="auto"/>
                <w:szCs w:val="21"/>
                <w:highlight w:val="none"/>
              </w:rPr>
            </w:pPr>
          </w:p>
        </w:tc>
        <w:tc>
          <w:tcPr>
            <w:tcW w:w="2931" w:type="dxa"/>
            <w:noWrap w:val="0"/>
            <w:vAlign w:val="center"/>
          </w:tcPr>
          <w:p w14:paraId="2FA97D21">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noWrap w:val="0"/>
            <w:vAlign w:val="center"/>
          </w:tcPr>
          <w:p w14:paraId="20B37BE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6F3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noWrap w:val="0"/>
            <w:vAlign w:val="center"/>
          </w:tcPr>
          <w:p w14:paraId="55D491B2">
            <w:pPr>
              <w:spacing w:line="440" w:lineRule="exact"/>
              <w:jc w:val="left"/>
              <w:rPr>
                <w:rFonts w:hint="eastAsia" w:ascii="宋体" w:hAnsi="宋体" w:cs="宋体"/>
                <w:color w:val="auto"/>
                <w:szCs w:val="21"/>
                <w:highlight w:val="none"/>
              </w:rPr>
            </w:pPr>
          </w:p>
        </w:tc>
        <w:tc>
          <w:tcPr>
            <w:tcW w:w="1318" w:type="dxa"/>
            <w:vMerge w:val="continue"/>
            <w:noWrap w:val="0"/>
            <w:vAlign w:val="center"/>
          </w:tcPr>
          <w:p w14:paraId="155E394F">
            <w:pPr>
              <w:spacing w:line="440" w:lineRule="exact"/>
              <w:jc w:val="left"/>
              <w:rPr>
                <w:rFonts w:hint="eastAsia" w:ascii="宋体" w:hAnsi="宋体" w:cs="宋体"/>
                <w:color w:val="auto"/>
                <w:szCs w:val="21"/>
                <w:highlight w:val="none"/>
              </w:rPr>
            </w:pPr>
          </w:p>
        </w:tc>
        <w:tc>
          <w:tcPr>
            <w:tcW w:w="2931" w:type="dxa"/>
            <w:noWrap w:val="0"/>
            <w:vAlign w:val="center"/>
          </w:tcPr>
          <w:p w14:paraId="72926A92">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noWrap w:val="0"/>
            <w:vAlign w:val="center"/>
          </w:tcPr>
          <w:p w14:paraId="1EA1522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5494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noWrap w:val="0"/>
            <w:vAlign w:val="center"/>
          </w:tcPr>
          <w:p w14:paraId="669C593F">
            <w:pPr>
              <w:spacing w:line="440" w:lineRule="exact"/>
              <w:jc w:val="left"/>
              <w:rPr>
                <w:rFonts w:hint="eastAsia" w:ascii="宋体" w:hAnsi="宋体" w:cs="宋体"/>
                <w:color w:val="auto"/>
                <w:szCs w:val="21"/>
                <w:highlight w:val="none"/>
              </w:rPr>
            </w:pPr>
          </w:p>
        </w:tc>
        <w:tc>
          <w:tcPr>
            <w:tcW w:w="1318" w:type="dxa"/>
            <w:vMerge w:val="continue"/>
            <w:noWrap w:val="0"/>
            <w:vAlign w:val="center"/>
          </w:tcPr>
          <w:p w14:paraId="21F9BAF9">
            <w:pPr>
              <w:spacing w:line="440" w:lineRule="exact"/>
              <w:jc w:val="left"/>
              <w:rPr>
                <w:rFonts w:hint="eastAsia" w:ascii="宋体" w:hAnsi="宋体" w:cs="宋体"/>
                <w:color w:val="auto"/>
                <w:szCs w:val="21"/>
                <w:highlight w:val="none"/>
              </w:rPr>
            </w:pPr>
          </w:p>
        </w:tc>
        <w:tc>
          <w:tcPr>
            <w:tcW w:w="2931" w:type="dxa"/>
            <w:noWrap w:val="0"/>
            <w:vAlign w:val="center"/>
          </w:tcPr>
          <w:p w14:paraId="520FC387">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noWrap w:val="0"/>
            <w:vAlign w:val="center"/>
          </w:tcPr>
          <w:p w14:paraId="2826D5FA">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0B24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noWrap w:val="0"/>
            <w:vAlign w:val="center"/>
          </w:tcPr>
          <w:p w14:paraId="0607CD5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noWrap w:val="0"/>
            <w:vAlign w:val="center"/>
          </w:tcPr>
          <w:p w14:paraId="72448660">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7D51B0E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noWrap w:val="0"/>
            <w:vAlign w:val="center"/>
          </w:tcPr>
          <w:p w14:paraId="40DAEC7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1A0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noWrap w:val="0"/>
            <w:vAlign w:val="center"/>
          </w:tcPr>
          <w:p w14:paraId="755EA156">
            <w:pPr>
              <w:spacing w:line="440" w:lineRule="exact"/>
              <w:jc w:val="left"/>
              <w:rPr>
                <w:rFonts w:hint="eastAsia" w:ascii="宋体" w:hAnsi="宋体" w:cs="宋体"/>
                <w:color w:val="auto"/>
                <w:szCs w:val="21"/>
                <w:highlight w:val="none"/>
              </w:rPr>
            </w:pPr>
          </w:p>
        </w:tc>
        <w:tc>
          <w:tcPr>
            <w:tcW w:w="1318" w:type="dxa"/>
            <w:vMerge w:val="continue"/>
            <w:noWrap w:val="0"/>
            <w:vAlign w:val="center"/>
          </w:tcPr>
          <w:p w14:paraId="0E4174D2">
            <w:pPr>
              <w:spacing w:line="440" w:lineRule="exact"/>
              <w:jc w:val="left"/>
              <w:rPr>
                <w:rFonts w:hint="eastAsia" w:ascii="宋体" w:hAnsi="宋体" w:cs="宋体"/>
                <w:color w:val="auto"/>
                <w:szCs w:val="21"/>
                <w:highlight w:val="none"/>
              </w:rPr>
            </w:pPr>
          </w:p>
        </w:tc>
        <w:tc>
          <w:tcPr>
            <w:tcW w:w="2931" w:type="dxa"/>
            <w:noWrap w:val="0"/>
            <w:vAlign w:val="center"/>
          </w:tcPr>
          <w:p w14:paraId="43A5C2E4">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noWrap w:val="0"/>
            <w:vAlign w:val="center"/>
          </w:tcPr>
          <w:p w14:paraId="2D6E2658">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7DD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noWrap w:val="0"/>
            <w:vAlign w:val="center"/>
          </w:tcPr>
          <w:p w14:paraId="033A77F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noWrap w:val="0"/>
            <w:vAlign w:val="center"/>
          </w:tcPr>
          <w:p w14:paraId="714F5A78">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54854AD5">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noWrap w:val="0"/>
            <w:vAlign w:val="center"/>
          </w:tcPr>
          <w:p w14:paraId="2BF9CA90">
            <w:pPr>
              <w:spacing w:line="440" w:lineRule="exact"/>
              <w:jc w:val="left"/>
              <w:rPr>
                <w:color w:val="auto"/>
                <w:highlight w:val="none"/>
              </w:rPr>
            </w:pPr>
            <w:r>
              <w:rPr>
                <w:rFonts w:hint="eastAsia"/>
                <w:color w:val="auto"/>
                <w:highlight w:val="none"/>
              </w:rPr>
              <w:t>完全响应或优于招标文件要求</w:t>
            </w:r>
          </w:p>
        </w:tc>
      </w:tr>
      <w:tr w14:paraId="2751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noWrap w:val="0"/>
            <w:vAlign w:val="center"/>
          </w:tcPr>
          <w:p w14:paraId="7B966C54">
            <w:pPr>
              <w:spacing w:line="440" w:lineRule="exact"/>
              <w:jc w:val="left"/>
              <w:rPr>
                <w:rFonts w:hint="eastAsia" w:ascii="宋体" w:hAnsi="宋体" w:cs="宋体"/>
                <w:color w:val="auto"/>
                <w:szCs w:val="21"/>
                <w:highlight w:val="none"/>
              </w:rPr>
            </w:pPr>
          </w:p>
        </w:tc>
        <w:tc>
          <w:tcPr>
            <w:tcW w:w="1318" w:type="dxa"/>
            <w:vMerge w:val="continue"/>
            <w:noWrap w:val="0"/>
            <w:vAlign w:val="center"/>
          </w:tcPr>
          <w:p w14:paraId="37A5CCA0">
            <w:pPr>
              <w:spacing w:line="440" w:lineRule="exact"/>
              <w:jc w:val="left"/>
              <w:rPr>
                <w:rFonts w:hint="eastAsia" w:ascii="宋体" w:hAnsi="宋体" w:cs="宋体"/>
                <w:color w:val="auto"/>
                <w:szCs w:val="21"/>
                <w:highlight w:val="none"/>
              </w:rPr>
            </w:pPr>
          </w:p>
        </w:tc>
        <w:tc>
          <w:tcPr>
            <w:tcW w:w="2931" w:type="dxa"/>
            <w:noWrap w:val="0"/>
            <w:vAlign w:val="center"/>
          </w:tcPr>
          <w:p w14:paraId="6A3AB13F">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lang w:val="zh-CN"/>
              </w:rPr>
              <w:t>期、售后服务、技术培训等）</w:t>
            </w:r>
          </w:p>
        </w:tc>
        <w:tc>
          <w:tcPr>
            <w:tcW w:w="4691" w:type="dxa"/>
            <w:noWrap w:val="0"/>
            <w:vAlign w:val="center"/>
          </w:tcPr>
          <w:p w14:paraId="1A2418B1">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完全响应或优于招标文件要求。</w:t>
            </w:r>
          </w:p>
        </w:tc>
      </w:tr>
    </w:tbl>
    <w:p w14:paraId="64A3A607">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4FBA313A">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判定投标文件的响应性只根据投标文件本身的内容，而不寻求外部的证据，但投标有不真实不正确的内容时除外。</w:t>
      </w:r>
    </w:p>
    <w:p w14:paraId="282DBBA9">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将予以拒绝，投标人不得通过修正或撤销不符合要求的偏离或保留，而使其投标成为实质上响应的投标。</w:t>
      </w:r>
    </w:p>
    <w:p w14:paraId="51F11B45">
      <w:pPr>
        <w:spacing w:line="440" w:lineRule="exact"/>
        <w:ind w:right="36" w:rightChars="17"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7EFA69AE">
      <w:pPr>
        <w:spacing w:line="440" w:lineRule="exact"/>
        <w:ind w:right="36" w:rightChars="17" w:firstLine="508" w:firstLineChars="241"/>
        <w:jc w:val="left"/>
        <w:rPr>
          <w:rFonts w:hint="eastAsia" w:ascii="宋体" w:hAnsi="宋体" w:cs="宋体"/>
          <w:color w:val="auto"/>
          <w:szCs w:val="21"/>
          <w:highlight w:val="none"/>
        </w:rPr>
      </w:pPr>
      <w:r>
        <w:rPr>
          <w:rFonts w:hint="eastAsia" w:ascii="宋体" w:hAnsi="宋体" w:cs="宋体"/>
          <w:b/>
          <w:color w:val="auto"/>
          <w:szCs w:val="21"/>
          <w:highlight w:val="none"/>
        </w:rPr>
        <w:t>温馨提示：1.投标文件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0FDE45C7">
      <w:pPr>
        <w:spacing w:before="156" w:beforeLines="50" w:after="156" w:afterLines="50" w:line="440" w:lineRule="exact"/>
        <w:jc w:val="center"/>
        <w:outlineLvl w:val="1"/>
        <w:rPr>
          <w:rFonts w:hint="eastAsia" w:ascii="宋体"/>
          <w:b/>
          <w:color w:val="auto"/>
          <w:sz w:val="28"/>
          <w:szCs w:val="28"/>
          <w:highlight w:val="none"/>
        </w:rPr>
      </w:pPr>
      <w:bookmarkStart w:id="74" w:name="_Toc22565"/>
      <w:bookmarkStart w:id="75" w:name="_Toc26695"/>
      <w:bookmarkStart w:id="76" w:name="_Toc449028879"/>
      <w:bookmarkStart w:id="77" w:name="_Toc362983803"/>
      <w:bookmarkStart w:id="78" w:name="_Toc17546"/>
      <w:bookmarkStart w:id="79" w:name="_Toc58430319"/>
      <w:r>
        <w:rPr>
          <w:rFonts w:hint="eastAsia" w:ascii="宋体"/>
          <w:b/>
          <w:color w:val="auto"/>
          <w:sz w:val="28"/>
          <w:szCs w:val="28"/>
          <w:highlight w:val="none"/>
        </w:rPr>
        <w:t>三、投标文件的澄清和补正</w:t>
      </w:r>
      <w:bookmarkEnd w:id="74"/>
      <w:bookmarkEnd w:id="75"/>
      <w:bookmarkEnd w:id="76"/>
      <w:bookmarkEnd w:id="77"/>
      <w:bookmarkEnd w:id="78"/>
      <w:bookmarkEnd w:id="79"/>
    </w:p>
    <w:p w14:paraId="7E8629AC">
      <w:pPr>
        <w:spacing w:line="440" w:lineRule="exact"/>
        <w:ind w:right="36" w:rightChars="17"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05C1BF7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5.2本项目采用远程开标，投标人的澄清、说明或者补正应当在系统进行，但不得超出投标文件的范围或者改变投标文件的实质性内容。</w:t>
      </w:r>
      <w:r>
        <w:rPr>
          <w:rFonts w:hint="eastAsia" w:ascii="宋体" w:hAnsi="宋体" w:cs="宋体"/>
          <w:b/>
          <w:bCs/>
          <w:color w:val="auto"/>
          <w:szCs w:val="21"/>
          <w:highlight w:val="none"/>
        </w:rPr>
        <w:t>各投标人认真学习《新点电子交易平台投标人操作手册》，务必掌握远程解密方法和在线回复询标方法。</w:t>
      </w:r>
    </w:p>
    <w:p w14:paraId="1D1A1AF3">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5.3评委会修正错误的原则：</w:t>
      </w:r>
    </w:p>
    <w:p w14:paraId="45E0841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1D86ABD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w:t>
      </w:r>
    </w:p>
    <w:p w14:paraId="64F359C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5.4评委会将按上述修正错误的方法调整投标文件中的投标报价，调整后的价格应对投标人具有约束力。无论投标人是接受或是拒绝调整后的价格，都应当由投标人在系统中确认。</w:t>
      </w:r>
      <w:r>
        <w:rPr>
          <w:rFonts w:hint="eastAsia" w:ascii="宋体" w:hAnsi="宋体" w:cs="宋体"/>
          <w:b/>
          <w:bCs/>
          <w:color w:val="auto"/>
          <w:szCs w:val="21"/>
          <w:highlight w:val="none"/>
        </w:rPr>
        <w:t>投标人拒绝对投标文件出现的错漏按上述原则进行修正、澄清、说明，</w:t>
      </w:r>
      <w:r>
        <w:rPr>
          <w:rFonts w:hint="eastAsia" w:ascii="宋体" w:hAnsi="宋体" w:cs="宋体"/>
          <w:b/>
          <w:bCs/>
          <w:color w:val="auto"/>
          <w:szCs w:val="21"/>
          <w:highlight w:val="none"/>
          <w:lang w:eastAsia="zh-CN"/>
        </w:rPr>
        <w:t>评审小组</w:t>
      </w:r>
      <w:r>
        <w:rPr>
          <w:rFonts w:hint="eastAsia" w:ascii="宋体" w:hAnsi="宋体" w:cs="宋体"/>
          <w:b/>
          <w:bCs/>
          <w:color w:val="auto"/>
          <w:szCs w:val="21"/>
          <w:highlight w:val="none"/>
        </w:rPr>
        <w:t>应当否决其投标。</w:t>
      </w:r>
    </w:p>
    <w:p w14:paraId="24259D03">
      <w:pPr>
        <w:spacing w:before="156" w:beforeLines="50" w:after="156" w:afterLines="50" w:line="440" w:lineRule="exact"/>
        <w:jc w:val="center"/>
        <w:outlineLvl w:val="1"/>
        <w:rPr>
          <w:rFonts w:hint="eastAsia" w:ascii="宋体"/>
          <w:b/>
          <w:color w:val="auto"/>
          <w:sz w:val="28"/>
          <w:szCs w:val="28"/>
          <w:highlight w:val="none"/>
        </w:rPr>
      </w:pPr>
      <w:bookmarkStart w:id="80" w:name="_Toc20880"/>
      <w:bookmarkStart w:id="81" w:name="_Toc4189"/>
      <w:bookmarkStart w:id="82" w:name="_Toc29316"/>
      <w:bookmarkStart w:id="83" w:name="_Toc58430320"/>
      <w:bookmarkStart w:id="84" w:name="_Toc449028880"/>
      <w:r>
        <w:rPr>
          <w:rFonts w:hint="eastAsia" w:ascii="宋体"/>
          <w:b/>
          <w:color w:val="auto"/>
          <w:sz w:val="28"/>
          <w:szCs w:val="28"/>
          <w:highlight w:val="none"/>
        </w:rPr>
        <w:t>四、比较与评价</w:t>
      </w:r>
      <w:bookmarkEnd w:id="80"/>
      <w:bookmarkEnd w:id="81"/>
      <w:bookmarkEnd w:id="82"/>
      <w:bookmarkEnd w:id="83"/>
      <w:bookmarkEnd w:id="84"/>
    </w:p>
    <w:p w14:paraId="558A79B8">
      <w:pPr>
        <w:spacing w:line="440" w:lineRule="exact"/>
        <w:ind w:right="36" w:rightChars="17" w:firstLine="417" w:firstLineChars="198"/>
        <w:jc w:val="left"/>
        <w:rPr>
          <w:rFonts w:hint="eastAsia" w:ascii="宋体" w:hAnsi="宋体" w:cs="宋体"/>
          <w:b/>
          <w:color w:val="auto"/>
          <w:szCs w:val="21"/>
          <w:highlight w:val="none"/>
        </w:rPr>
      </w:pPr>
      <w:r>
        <w:rPr>
          <w:rFonts w:hint="eastAsia" w:ascii="宋体" w:hAnsi="宋体" w:cs="宋体"/>
          <w:b/>
          <w:color w:val="auto"/>
          <w:szCs w:val="21"/>
          <w:highlight w:val="none"/>
        </w:rPr>
        <w:t>6.</w:t>
      </w:r>
      <w:bookmarkStart w:id="85" w:name="_Toc362983805"/>
      <w:r>
        <w:rPr>
          <w:rFonts w:hint="eastAsia" w:ascii="宋体" w:hAnsi="宋体" w:cs="宋体"/>
          <w:b/>
          <w:color w:val="auto"/>
          <w:szCs w:val="21"/>
          <w:highlight w:val="none"/>
        </w:rPr>
        <w:t xml:space="preserve"> 详细评审即按本章规定的评审方法和标准，</w:t>
      </w:r>
      <w:r>
        <w:rPr>
          <w:rFonts w:hint="eastAsia" w:ascii="宋体" w:hAnsi="宋体" w:cs="宋体"/>
          <w:b/>
          <w:color w:val="auto"/>
          <w:szCs w:val="21"/>
          <w:highlight w:val="none"/>
          <w:lang w:val="en-US" w:eastAsia="zh-CN"/>
        </w:rPr>
        <w:t>评审</w:t>
      </w:r>
      <w:r>
        <w:rPr>
          <w:rFonts w:hint="eastAsia" w:ascii="宋体" w:hAnsi="宋体" w:cs="宋体"/>
          <w:b/>
          <w:color w:val="auto"/>
          <w:szCs w:val="21"/>
          <w:highlight w:val="none"/>
        </w:rPr>
        <w:t>小组将对通过初审的</w:t>
      </w: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文件，进行综合比较与评价。</w:t>
      </w:r>
    </w:p>
    <w:p w14:paraId="0F556B95">
      <w:pPr>
        <w:keepNext w:val="0"/>
        <w:keepLines w:val="0"/>
        <w:widowControl w:val="0"/>
        <w:suppressLineNumbers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6.1</w:t>
      </w:r>
      <w:r>
        <w:rPr>
          <w:rFonts w:hint="eastAsia" w:ascii="宋体" w:hAnsi="宋体" w:eastAsia="宋体" w:cs="宋体"/>
          <w:b/>
          <w:bCs/>
          <w:color w:val="auto"/>
          <w:kern w:val="2"/>
          <w:sz w:val="21"/>
          <w:szCs w:val="21"/>
          <w:highlight w:val="none"/>
          <w:lang w:val="en-US" w:eastAsia="zh-CN" w:bidi="ar"/>
        </w:rPr>
        <w:t>商务标评审</w:t>
      </w:r>
    </w:p>
    <w:p w14:paraId="3EEBE0B1">
      <w:pPr>
        <w:spacing w:line="440" w:lineRule="exact"/>
        <w:ind w:right="36" w:rightChars="17" w:firstLine="403" w:firstLineChars="19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6.1.1</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审查投标文件，投标报价有错误的，需调整或修正投标文件的投标报价。</w:t>
      </w:r>
    </w:p>
    <w:p w14:paraId="3D13DCE9">
      <w:pPr>
        <w:spacing w:line="44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6.1.2</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按修正后的投标报价由低到高顺序排序，确定中标候选人。</w:t>
      </w:r>
    </w:p>
    <w:p w14:paraId="754D8CCD">
      <w:pPr>
        <w:keepNext w:val="0"/>
        <w:keepLines w:val="0"/>
        <w:widowControl w:val="0"/>
        <w:suppressLineNumbers w:val="0"/>
        <w:spacing w:before="0" w:beforeAutospacing="0" w:after="0" w:afterAutospacing="0" w:line="440" w:lineRule="exact"/>
        <w:ind w:left="0" w:right="569" w:rightChars="271" w:firstLine="422" w:firstLineChars="200"/>
        <w:jc w:val="left"/>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 xml:space="preserve"> </w:t>
      </w:r>
      <w:bookmarkStart w:id="86" w:name="_Toc449028881"/>
    </w:p>
    <w:p w14:paraId="4FB838DF">
      <w:pPr>
        <w:spacing w:before="156" w:beforeLines="50" w:after="156" w:afterLines="50" w:line="440" w:lineRule="exact"/>
        <w:jc w:val="center"/>
        <w:outlineLvl w:val="1"/>
        <w:rPr>
          <w:rFonts w:hint="eastAsia" w:ascii="宋体"/>
          <w:b/>
          <w:color w:val="auto"/>
          <w:sz w:val="28"/>
          <w:szCs w:val="28"/>
          <w:highlight w:val="none"/>
        </w:rPr>
      </w:pPr>
      <w:bookmarkStart w:id="87" w:name="_Toc28499"/>
      <w:bookmarkStart w:id="88" w:name="_Toc311"/>
      <w:bookmarkStart w:id="89" w:name="_Toc2490"/>
      <w:bookmarkStart w:id="90" w:name="_Toc58430321"/>
      <w:r>
        <w:rPr>
          <w:rFonts w:hint="eastAsia" w:ascii="宋体"/>
          <w:b/>
          <w:color w:val="auto"/>
          <w:sz w:val="28"/>
          <w:szCs w:val="28"/>
          <w:highlight w:val="none"/>
        </w:rPr>
        <w:t>五、推荐中标候选人</w:t>
      </w:r>
      <w:bookmarkEnd w:id="85"/>
      <w:bookmarkEnd w:id="86"/>
      <w:bookmarkEnd w:id="87"/>
      <w:bookmarkEnd w:id="88"/>
      <w:bookmarkEnd w:id="89"/>
      <w:bookmarkEnd w:id="90"/>
    </w:p>
    <w:bookmarkEnd w:id="66"/>
    <w:p w14:paraId="50996806">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根据第二章投标人须知及前附表的规定数量推荐中标候选人，并标明排序。</w:t>
      </w:r>
    </w:p>
    <w:p w14:paraId="00869387">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7.1如出现报价相同情况，则由招标人</w:t>
      </w:r>
      <w:r>
        <w:rPr>
          <w:rFonts w:hint="eastAsia" w:ascii="宋体" w:hAnsi="宋体" w:cs="宋体"/>
          <w:color w:val="auto"/>
          <w:szCs w:val="21"/>
          <w:highlight w:val="none"/>
          <w:lang w:val="en-US" w:eastAsia="zh-CN"/>
        </w:rPr>
        <w:t>或评审小组组长</w:t>
      </w:r>
      <w:r>
        <w:rPr>
          <w:rFonts w:hint="eastAsia" w:ascii="宋体" w:hAnsi="宋体" w:cs="宋体"/>
          <w:color w:val="auto"/>
          <w:szCs w:val="21"/>
          <w:highlight w:val="none"/>
        </w:rPr>
        <w:t>现场抽签确定中标候选人排名顺序。</w:t>
      </w:r>
    </w:p>
    <w:p w14:paraId="72E0EDA4">
      <w:pPr>
        <w:snapToGrid w:val="0"/>
        <w:spacing w:line="440" w:lineRule="exact"/>
        <w:ind w:right="-212" w:rightChars="-10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8.无效投标条款</w:t>
      </w:r>
    </w:p>
    <w:p w14:paraId="76612BDC">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34F8812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）未在</w:t>
      </w:r>
      <w:r>
        <w:rPr>
          <w:rFonts w:hint="eastAsia" w:ascii="宋体" w:hAnsi="宋体" w:cs="宋体"/>
          <w:b w:val="0"/>
          <w:bCs/>
          <w:color w:val="auto"/>
          <w:szCs w:val="21"/>
          <w:highlight w:val="none"/>
          <w:lang w:val="en-US" w:eastAsia="zh-CN"/>
        </w:rPr>
        <w:t>投</w:t>
      </w:r>
      <w:r>
        <w:rPr>
          <w:rFonts w:hint="eastAsia" w:ascii="宋体" w:hAnsi="宋体" w:cs="宋体"/>
          <w:b w:val="0"/>
          <w:bCs/>
          <w:color w:val="auto"/>
          <w:szCs w:val="21"/>
          <w:highlight w:val="none"/>
          <w:lang w:eastAsia="zh-CN"/>
        </w:rPr>
        <w:t>标截止时间前通过网上招标投标系统递交有效电子投标文件的，开标系统不予接收，投标将被拒绝。</w:t>
      </w:r>
    </w:p>
    <w:p w14:paraId="1F3F0B1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lang w:eastAsia="zh-CN"/>
        </w:rPr>
        <w:t>0 分钟，否则投标文件将被拒绝。</w:t>
      </w:r>
    </w:p>
    <w:p w14:paraId="7749140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8.2 投标人有下列情形之一的,资格审查后其投标作无效投标处理：</w:t>
      </w:r>
    </w:p>
    <w:p w14:paraId="6993ABB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(1)投标人为本项目提供招标代理服务的；</w:t>
      </w:r>
    </w:p>
    <w:p w14:paraId="2E6B57A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(2)投标人与在本项目代理机构存在相互任职或工作的；</w:t>
      </w:r>
    </w:p>
    <w:p w14:paraId="5BEAC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(3)评标专家无法查看并检验电子投标文件中相关资料的；</w:t>
      </w:r>
    </w:p>
    <w:p w14:paraId="18C42C8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(4)联合体投标未提交联合体协议的；</w:t>
      </w:r>
    </w:p>
    <w:p w14:paraId="7F4E5610">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(5)被暂停营业的；</w:t>
      </w:r>
    </w:p>
    <w:p w14:paraId="25AECD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(6)被暂停或取消投标资格的；</w:t>
      </w:r>
    </w:p>
    <w:p w14:paraId="781981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(7)财产被接管或冻结的；</w:t>
      </w:r>
    </w:p>
    <w:p w14:paraId="7C61E44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(8)投标人单位负责人为同一人或者存在</w:t>
      </w:r>
      <w:r>
        <w:rPr>
          <w:rFonts w:hint="eastAsia" w:ascii="宋体" w:hAnsi="宋体" w:cs="宋体"/>
          <w:b w:val="0"/>
          <w:bCs/>
          <w:color w:val="auto"/>
          <w:szCs w:val="21"/>
          <w:highlight w:val="none"/>
          <w:lang w:val="en-US" w:eastAsia="zh-CN"/>
        </w:rPr>
        <w:t>直接</w:t>
      </w:r>
      <w:r>
        <w:rPr>
          <w:rFonts w:hint="eastAsia" w:ascii="宋体" w:hAnsi="宋体" w:cs="宋体"/>
          <w:b w:val="0"/>
          <w:bCs/>
          <w:color w:val="auto"/>
          <w:szCs w:val="21"/>
          <w:highlight w:val="none"/>
          <w:lang w:eastAsia="zh-CN"/>
        </w:rPr>
        <w:t>控股、管理关系的不同单位的；</w:t>
      </w:r>
    </w:p>
    <w:p w14:paraId="442CF7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(9)保证金不按第二章“投标人须知”及其前附表要求提交投标保证金的；</w:t>
      </w:r>
    </w:p>
    <w:p w14:paraId="12B10D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(10)投标人基本资格条件和特定资格条件中有一项及以上不符合要求的；</w:t>
      </w:r>
    </w:p>
    <w:p w14:paraId="54D79DE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(11)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44D91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(12)投标人单方面出现其他投标人材料的；</w:t>
      </w:r>
    </w:p>
    <w:p w14:paraId="19C5B2A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(13)其它情形，经评审小组委提出按无效投标处理；</w:t>
      </w:r>
    </w:p>
    <w:p w14:paraId="6468618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(14)招标文件规定的其它无效投标情形。</w:t>
      </w:r>
    </w:p>
    <w:p w14:paraId="3EB3330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8.3 投标人有下列情形之一的,符合性审查后其投标按无效投标处理：</w:t>
      </w:r>
    </w:p>
    <w:p w14:paraId="19BCE02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(1)投标文件签字、盖章不全，经评审小组一致认定对开评标内容有实质性影响的；</w:t>
      </w:r>
    </w:p>
    <w:p w14:paraId="0B696E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0E826A3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276E37E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7C8C015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C1D5E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(6)不按评审小组要求澄清、说明或补正的，或者评审小组根据招标文件的规定对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4C82C76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（7）其它情形，经评审小组委提出按无效投标处理的；</w:t>
      </w:r>
    </w:p>
    <w:p w14:paraId="2839DA2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（8）投标文件含有招标人不能接受的附加条件的；</w:t>
      </w:r>
    </w:p>
    <w:p w14:paraId="33AD27D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（9）招标文件规定的其它无效投标情形。</w:t>
      </w:r>
    </w:p>
    <w:p w14:paraId="42F3C8B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8.4 投标人有下列情形之一的, 详细评审后其投标按无效投标处理：</w:t>
      </w:r>
    </w:p>
    <w:p w14:paraId="3CD7F37A">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(1)投标产品不符合必须强制执行的国家标准的；</w:t>
      </w:r>
    </w:p>
    <w:p w14:paraId="644B418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(2)投标人有串通投标、弄虚作假、行贿等违法行为；</w:t>
      </w:r>
    </w:p>
    <w:p w14:paraId="569920A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(3)投标文件含有违反国家法律、法规的内容，或附有招标人不能接受的条件的；</w:t>
      </w:r>
    </w:p>
    <w:p w14:paraId="6CBEE9D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（4）报价明显低于其他投标人，且不能证明报价合理性的投标无效；</w:t>
      </w:r>
    </w:p>
    <w:p w14:paraId="7F5ED60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（5）拒不确认评审小组评审修正的投标无效；</w:t>
      </w:r>
    </w:p>
    <w:p w14:paraId="2ABA647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（6）其它情形，经评审小组委提出按无效投标处理的；</w:t>
      </w:r>
    </w:p>
    <w:p w14:paraId="2CF9DD45">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b w:val="0"/>
          <w:bCs/>
          <w:color w:val="auto"/>
          <w:szCs w:val="21"/>
          <w:highlight w:val="none"/>
          <w:lang w:eastAsia="zh-CN"/>
        </w:rPr>
        <w:t>（7）招标文件规定的其它无效投标情形</w:t>
      </w:r>
      <w:r>
        <w:rPr>
          <w:rFonts w:hint="eastAsia" w:ascii="宋体" w:hAnsi="宋体" w:cs="宋体"/>
          <w:color w:val="auto"/>
          <w:szCs w:val="21"/>
          <w:highlight w:val="none"/>
        </w:rPr>
        <w:t>。</w:t>
      </w:r>
    </w:p>
    <w:p w14:paraId="79D4181F">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第三章 合同条款</w:t>
      </w:r>
      <w:bookmarkEnd w:id="56"/>
      <w:bookmarkEnd w:id="57"/>
      <w:bookmarkEnd w:id="67"/>
    </w:p>
    <w:p w14:paraId="209DF1AC">
      <w:pPr>
        <w:rPr>
          <w:rFonts w:hint="eastAsia" w:ascii="宋体" w:hAnsi="宋体" w:eastAsia="宋体" w:cs="宋体"/>
          <w:color w:val="auto"/>
          <w:highlight w:val="none"/>
        </w:rPr>
      </w:pPr>
    </w:p>
    <w:p w14:paraId="693D8329">
      <w:pPr>
        <w:spacing w:line="360" w:lineRule="auto"/>
        <w:jc w:val="center"/>
        <w:rPr>
          <w:rFonts w:hint="eastAsia" w:ascii="宋体" w:hAnsi="宋体" w:eastAsia="宋体" w:cs="宋体"/>
          <w:color w:val="auto"/>
          <w:w w:val="90"/>
          <w:sz w:val="72"/>
          <w:szCs w:val="52"/>
          <w:highlight w:val="none"/>
        </w:rPr>
      </w:pPr>
      <w:r>
        <w:rPr>
          <w:rFonts w:hint="eastAsia" w:ascii="宋体" w:hAnsi="宋体" w:eastAsia="宋体" w:cs="宋体"/>
          <w:color w:val="auto"/>
          <w:w w:val="90"/>
          <w:sz w:val="72"/>
          <w:szCs w:val="52"/>
          <w:highlight w:val="none"/>
        </w:rPr>
        <w:t>建设工程造价咨询合同</w:t>
      </w:r>
    </w:p>
    <w:p w14:paraId="189065E5">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（结算审计复核）</w:t>
      </w:r>
    </w:p>
    <w:p w14:paraId="4EA17EE1">
      <w:pPr>
        <w:jc w:val="center"/>
        <w:rPr>
          <w:rFonts w:hint="eastAsia" w:ascii="宋体" w:hAnsi="宋体" w:eastAsia="宋体" w:cs="宋体"/>
          <w:color w:val="auto"/>
          <w:sz w:val="72"/>
          <w:szCs w:val="72"/>
          <w:highlight w:val="none"/>
        </w:rPr>
      </w:pPr>
    </w:p>
    <w:p w14:paraId="1B2783B7">
      <w:pPr>
        <w:jc w:val="center"/>
        <w:rPr>
          <w:rFonts w:hint="eastAsia" w:ascii="宋体" w:hAnsi="宋体" w:eastAsia="宋体" w:cs="宋体"/>
          <w:color w:val="auto"/>
          <w:sz w:val="72"/>
          <w:szCs w:val="72"/>
          <w:highlight w:val="none"/>
        </w:rPr>
      </w:pPr>
    </w:p>
    <w:p w14:paraId="759B9A9B">
      <w:pPr>
        <w:jc w:val="center"/>
        <w:rPr>
          <w:rFonts w:hint="eastAsia" w:ascii="宋体" w:hAnsi="宋体" w:eastAsia="宋体" w:cs="宋体"/>
          <w:color w:val="auto"/>
          <w:sz w:val="72"/>
          <w:szCs w:val="72"/>
          <w:highlight w:val="none"/>
        </w:rPr>
      </w:pPr>
    </w:p>
    <w:p w14:paraId="16FD3861">
      <w:pPr>
        <w:pStyle w:val="44"/>
        <w:rPr>
          <w:rFonts w:hint="eastAsia" w:ascii="宋体" w:hAnsi="宋体" w:eastAsia="宋体" w:cs="宋体"/>
          <w:color w:val="auto"/>
          <w:highlight w:val="none"/>
        </w:rPr>
      </w:pPr>
    </w:p>
    <w:p w14:paraId="13EB1CA0">
      <w:pPr>
        <w:rPr>
          <w:rFonts w:hint="eastAsia" w:ascii="宋体" w:hAnsi="宋体" w:eastAsia="宋体" w:cs="宋体"/>
          <w:color w:val="auto"/>
          <w:highlight w:val="none"/>
        </w:rPr>
      </w:pPr>
    </w:p>
    <w:p w14:paraId="72C77FA6">
      <w:pPr>
        <w:spacing w:line="240" w:lineRule="exact"/>
        <w:jc w:val="center"/>
        <w:rPr>
          <w:rFonts w:hint="eastAsia" w:ascii="宋体" w:hAnsi="宋体" w:eastAsia="宋体" w:cs="宋体"/>
          <w:color w:val="auto"/>
          <w:sz w:val="72"/>
          <w:szCs w:val="72"/>
          <w:highlight w:val="none"/>
        </w:rPr>
      </w:pPr>
    </w:p>
    <w:p w14:paraId="13C424BC">
      <w:pPr>
        <w:spacing w:line="240" w:lineRule="exact"/>
        <w:jc w:val="center"/>
        <w:rPr>
          <w:rFonts w:hint="eastAsia" w:ascii="宋体" w:hAnsi="宋体" w:eastAsia="宋体" w:cs="宋体"/>
          <w:color w:val="auto"/>
          <w:sz w:val="72"/>
          <w:szCs w:val="72"/>
          <w:highlight w:val="none"/>
        </w:rPr>
      </w:pPr>
    </w:p>
    <w:p w14:paraId="6BD46474">
      <w:pPr>
        <w:spacing w:line="800" w:lineRule="exact"/>
        <w:rPr>
          <w:rFonts w:hint="eastAsia" w:ascii="宋体" w:hAnsi="宋体" w:eastAsia="宋体" w:cs="宋体"/>
          <w:color w:val="auto"/>
          <w:sz w:val="36"/>
          <w:szCs w:val="30"/>
          <w:highlight w:val="none"/>
          <w:u w:val="single"/>
        </w:rPr>
      </w:pPr>
      <w:r>
        <w:rPr>
          <w:rFonts w:hint="eastAsia" w:ascii="宋体" w:hAnsi="宋体" w:eastAsia="宋体" w:cs="宋体"/>
          <w:color w:val="auto"/>
          <w:sz w:val="36"/>
          <w:szCs w:val="30"/>
          <w:highlight w:val="none"/>
        </w:rPr>
        <w:t>委托单位</w:t>
      </w:r>
      <w:r>
        <w:rPr>
          <w:rFonts w:hint="eastAsia" w:ascii="宋体" w:hAnsi="宋体" w:eastAsia="宋体" w:cs="宋体"/>
          <w:color w:val="auto"/>
          <w:sz w:val="36"/>
          <w:szCs w:val="30"/>
          <w:highlight w:val="none"/>
          <w:lang w:val="en-US" w:eastAsia="zh-CN"/>
        </w:rPr>
        <w:t>：</w:t>
      </w:r>
      <w:r>
        <w:rPr>
          <w:rFonts w:hint="eastAsia" w:ascii="宋体" w:hAnsi="宋体" w:cs="宋体"/>
          <w:color w:val="auto"/>
          <w:sz w:val="36"/>
          <w:szCs w:val="30"/>
          <w:highlight w:val="none"/>
          <w:lang w:val="en-US" w:eastAsia="zh-CN"/>
        </w:rPr>
        <w:t xml:space="preserve"> 滁州市皖能兴滁环境科技有限公司</w:t>
      </w:r>
      <w:r>
        <w:rPr>
          <w:rFonts w:hint="eastAsia" w:ascii="宋体" w:hAnsi="宋体" w:eastAsia="宋体" w:cs="宋体"/>
          <w:color w:val="auto"/>
          <w:sz w:val="36"/>
          <w:szCs w:val="30"/>
          <w:highlight w:val="none"/>
          <w:lang w:val="en-US" w:eastAsia="zh-CN"/>
        </w:rPr>
        <w:t xml:space="preserve"> </w:t>
      </w:r>
    </w:p>
    <w:p w14:paraId="008F8D69">
      <w:pPr>
        <w:spacing w:line="800" w:lineRule="exact"/>
        <w:rPr>
          <w:rFonts w:hint="eastAsia" w:ascii="宋体" w:hAnsi="宋体" w:eastAsia="宋体" w:cs="宋体"/>
          <w:color w:val="auto"/>
          <w:sz w:val="36"/>
          <w:szCs w:val="30"/>
          <w:highlight w:val="none"/>
          <w:u w:val="single"/>
          <w:lang w:eastAsia="zh-CN"/>
        </w:rPr>
      </w:pPr>
      <w:r>
        <w:rPr>
          <w:rFonts w:hint="eastAsia" w:ascii="宋体" w:hAnsi="宋体" w:eastAsia="宋体" w:cs="宋体"/>
          <w:color w:val="auto"/>
          <w:sz w:val="36"/>
          <w:szCs w:val="30"/>
          <w:highlight w:val="none"/>
        </w:rPr>
        <w:t>工程名称：</w:t>
      </w:r>
      <w:r>
        <w:rPr>
          <w:rFonts w:hint="eastAsia" w:ascii="宋体" w:hAnsi="宋体" w:cs="宋体"/>
          <w:color w:val="auto"/>
          <w:sz w:val="36"/>
          <w:szCs w:val="30"/>
          <w:highlight w:val="none"/>
          <w:lang w:val="en-US" w:eastAsia="zh-CN"/>
        </w:rPr>
        <w:t>滁州市建筑垃圾综合处置项目结算复核服务</w:t>
      </w:r>
    </w:p>
    <w:p w14:paraId="0EB3D2B5">
      <w:pPr>
        <w:spacing w:line="800" w:lineRule="exact"/>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签订时间：</w:t>
      </w:r>
      <w:r>
        <w:rPr>
          <w:rFonts w:hint="eastAsia" w:ascii="宋体" w:hAnsi="宋体" w:eastAsia="宋体" w:cs="宋体"/>
          <w:color w:val="auto"/>
          <w:sz w:val="36"/>
          <w:szCs w:val="30"/>
          <w:highlight w:val="none"/>
          <w:u w:val="single"/>
        </w:rPr>
        <w:t xml:space="preserve"> </w:t>
      </w:r>
      <w:r>
        <w:rPr>
          <w:rFonts w:hint="eastAsia" w:ascii="宋体" w:hAnsi="宋体" w:cs="宋体"/>
          <w:color w:val="auto"/>
          <w:sz w:val="36"/>
          <w:szCs w:val="30"/>
          <w:highlight w:val="none"/>
          <w:u w:val="single"/>
          <w:lang w:val="en-US" w:eastAsia="zh-CN"/>
        </w:rPr>
        <w:t xml:space="preserve">    </w:t>
      </w:r>
      <w:r>
        <w:rPr>
          <w:rFonts w:hint="eastAsia" w:ascii="宋体" w:hAnsi="宋体" w:eastAsia="宋体" w:cs="宋体"/>
          <w:color w:val="auto"/>
          <w:sz w:val="36"/>
          <w:szCs w:val="30"/>
          <w:highlight w:val="none"/>
        </w:rPr>
        <w:t>年</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月</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日</w:t>
      </w:r>
    </w:p>
    <w:p w14:paraId="10A6F23C">
      <w:pPr>
        <w:pStyle w:val="44"/>
        <w:rPr>
          <w:rFonts w:hint="eastAsia" w:ascii="宋体" w:hAnsi="宋体" w:eastAsia="宋体" w:cs="宋体"/>
          <w:color w:val="auto"/>
          <w:highlight w:val="none"/>
        </w:rPr>
      </w:pPr>
    </w:p>
    <w:p w14:paraId="563F2715">
      <w:pPr>
        <w:pStyle w:val="44"/>
        <w:rPr>
          <w:rFonts w:hint="eastAsia" w:ascii="宋体" w:hAnsi="宋体" w:eastAsia="宋体" w:cs="宋体"/>
          <w:color w:val="auto"/>
          <w:highlight w:val="none"/>
        </w:rPr>
      </w:pPr>
    </w:p>
    <w:p w14:paraId="1E562EAA">
      <w:pPr>
        <w:pStyle w:val="2"/>
        <w:keepNext/>
        <w:keepLines/>
        <w:pageBreakBefore/>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结算审计复核委托协议</w:t>
      </w:r>
    </w:p>
    <w:p w14:paraId="15C5F011">
      <w:pPr>
        <w:adjustRightInd w:val="0"/>
        <w:snapToGrid w:val="0"/>
        <w:jc w:val="left"/>
        <w:rPr>
          <w:rFonts w:hint="eastAsia" w:ascii="宋体" w:hAnsi="宋体" w:eastAsia="宋体" w:cs="宋体"/>
          <w:color w:val="auto"/>
          <w:sz w:val="18"/>
          <w:szCs w:val="18"/>
          <w:highlight w:val="none"/>
        </w:rPr>
      </w:pPr>
    </w:p>
    <w:p w14:paraId="3F2FCB2A">
      <w:pPr>
        <w:adjustRightInd w:val="0"/>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委托人（全称）：</w:t>
      </w:r>
      <w:r>
        <w:rPr>
          <w:rFonts w:hint="eastAsia" w:ascii="宋体" w:hAnsi="宋体" w:cs="宋体"/>
          <w:color w:val="auto"/>
          <w:sz w:val="28"/>
          <w:szCs w:val="28"/>
          <w:highlight w:val="none"/>
          <w:lang w:val="en-US" w:eastAsia="zh-CN"/>
        </w:rPr>
        <w:t xml:space="preserve"> 滁州市皖能兴滁环境科技有限公司</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4AC18DA2">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受托人（全称）：</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402B6BA">
      <w:pPr>
        <w:ind w:firstLine="560" w:firstLineChars="200"/>
        <w:rPr>
          <w:rFonts w:hint="eastAsia" w:ascii="宋体" w:hAnsi="宋体" w:eastAsia="宋体" w:cs="宋体"/>
          <w:color w:val="auto"/>
          <w:sz w:val="28"/>
          <w:szCs w:val="28"/>
          <w:highlight w:val="none"/>
        </w:rPr>
      </w:pPr>
    </w:p>
    <w:p w14:paraId="374D1E89">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为保证滁州市政府投资项目审计工作质量和效率，依据《中华人民共和国</w:t>
      </w:r>
      <w:r>
        <w:rPr>
          <w:rFonts w:hint="eastAsia" w:ascii="宋体" w:hAnsi="宋体" w:eastAsia="宋体" w:cs="宋体"/>
          <w:color w:val="auto"/>
          <w:sz w:val="28"/>
          <w:szCs w:val="28"/>
          <w:highlight w:val="none"/>
          <w:lang w:eastAsia="zh-CN"/>
        </w:rPr>
        <w:t>民法典</w:t>
      </w:r>
      <w:r>
        <w:rPr>
          <w:rFonts w:hint="eastAsia" w:ascii="宋体" w:hAnsi="宋体" w:eastAsia="宋体" w:cs="宋体"/>
          <w:color w:val="auto"/>
          <w:sz w:val="28"/>
          <w:szCs w:val="28"/>
          <w:highlight w:val="none"/>
        </w:rPr>
        <w:t>》等有关法律规定，遵循平等、自愿、公平和诚实信用的原则，双方就</w:t>
      </w:r>
      <w:r>
        <w:rPr>
          <w:rFonts w:hint="eastAsia" w:ascii="宋体" w:hAnsi="宋体" w:cs="宋体"/>
          <w:color w:val="auto"/>
          <w:sz w:val="28"/>
          <w:szCs w:val="28"/>
          <w:highlight w:val="none"/>
          <w:u w:val="single"/>
          <w:lang w:val="en-US" w:eastAsia="zh-CN"/>
        </w:rPr>
        <w:t xml:space="preserve"> 滁州市建筑垃圾综合处置项目结算复核服务 </w:t>
      </w:r>
      <w:r>
        <w:rPr>
          <w:rFonts w:hint="eastAsia" w:ascii="宋体" w:hAnsi="宋体" w:eastAsia="宋体" w:cs="宋体"/>
          <w:color w:val="auto"/>
          <w:sz w:val="28"/>
          <w:szCs w:val="28"/>
          <w:highlight w:val="none"/>
        </w:rPr>
        <w:t>及有关事项协商一致，共同达成如下协议：</w:t>
      </w:r>
    </w:p>
    <w:p w14:paraId="1D6BB49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一、项目概况</w:t>
      </w:r>
    </w:p>
    <w:p w14:paraId="2CE4B9EA">
      <w:pPr>
        <w:ind w:firstLine="560" w:firstLineChars="20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bCs/>
          <w:color w:val="auto"/>
          <w:sz w:val="28"/>
          <w:szCs w:val="28"/>
          <w:highlight w:val="none"/>
        </w:rPr>
        <w:t>1、项目名称</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滁州市建筑垃圾综合处置项目结算复核服务</w:t>
      </w:r>
    </w:p>
    <w:p w14:paraId="1BD8E276">
      <w:pPr>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2、项目造价</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p>
    <w:p w14:paraId="2B2B4ABA">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3、委托内容：</w:t>
      </w:r>
      <w:r>
        <w:rPr>
          <w:rFonts w:hint="default" w:ascii="宋体" w:hAnsi="宋体" w:eastAsia="宋体" w:cs="宋体"/>
          <w:color w:val="auto"/>
          <w:sz w:val="28"/>
          <w:szCs w:val="28"/>
          <w:highlight w:val="none"/>
        </w:rPr>
        <w:t>①</w:t>
      </w:r>
      <w:r>
        <w:rPr>
          <w:rFonts w:hint="eastAsia" w:ascii="宋体" w:hAnsi="宋体" w:eastAsia="宋体" w:cs="宋体"/>
          <w:color w:val="auto"/>
          <w:sz w:val="28"/>
          <w:szCs w:val="28"/>
          <w:highlight w:val="none"/>
        </w:rPr>
        <w:t>成立项目结算造价审核组，编制审核实施方案，确定审核目标、重点环节及应对措施；</w:t>
      </w:r>
      <w:r>
        <w:rPr>
          <w:rFonts w:hint="default" w:ascii="宋体" w:hAnsi="宋体" w:eastAsia="宋体" w:cs="宋体"/>
          <w:color w:val="auto"/>
          <w:sz w:val="28"/>
          <w:szCs w:val="28"/>
          <w:highlight w:val="none"/>
        </w:rPr>
        <w:t>②</w:t>
      </w:r>
      <w:r>
        <w:rPr>
          <w:rFonts w:hint="eastAsia" w:ascii="宋体" w:hAnsi="宋体" w:eastAsia="宋体" w:cs="宋体"/>
          <w:color w:val="auto"/>
          <w:sz w:val="28"/>
          <w:szCs w:val="28"/>
          <w:highlight w:val="none"/>
        </w:rPr>
        <w:t>审核项目相关资料（地勘报告及设计图纸、工程量清单及控制价、招标投标文件、施工合同、承包人工程结算、设计变更、经济签证、会议纪要，竣工验收报告等），核实并确认项目工程量价，及时出具结算造价审核报告；</w:t>
      </w:r>
      <w:r>
        <w:rPr>
          <w:rFonts w:hint="default" w:ascii="宋体" w:hAnsi="宋体" w:eastAsia="宋体" w:cs="宋体"/>
          <w:color w:val="auto"/>
          <w:sz w:val="28"/>
          <w:szCs w:val="28"/>
          <w:highlight w:val="none"/>
        </w:rPr>
        <w:t>③</w:t>
      </w:r>
      <w:r>
        <w:rPr>
          <w:rFonts w:hint="eastAsia" w:ascii="宋体" w:hAnsi="宋体" w:eastAsia="宋体" w:cs="宋体"/>
          <w:color w:val="auto"/>
          <w:sz w:val="28"/>
          <w:szCs w:val="28"/>
          <w:highlight w:val="none"/>
        </w:rPr>
        <w:t>其他与项目结算造价审核相关的工作。</w:t>
      </w:r>
    </w:p>
    <w:p w14:paraId="753C4C6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二、项目结算复核人员配备</w:t>
      </w:r>
    </w:p>
    <w:p w14:paraId="173EB782">
      <w:pPr>
        <w:pageBreakBefore w:val="0"/>
        <w:kinsoku/>
        <w:wordWrap/>
        <w:overflowPunct/>
        <w:topLinePunct w:val="0"/>
        <w:autoSpaceDE/>
        <w:autoSpaceDN/>
        <w:bidi w:val="0"/>
        <w:snapToGrid/>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宋体" w:hAnsi="宋体" w:eastAsia="宋体" w:cs="宋体"/>
          <w:color w:val="auto"/>
          <w:sz w:val="28"/>
          <w:szCs w:val="28"/>
          <w:highlight w:val="none"/>
        </w:rPr>
        <w:t>项目组成人员要求：企业拟派的项目负责人：注册造价工程师（或一级造价师）1名；项目组成人员：</w:t>
      </w:r>
      <w:r>
        <w:rPr>
          <w:rFonts w:hint="eastAsia" w:ascii="宋体" w:hAnsi="宋体" w:cs="宋体"/>
          <w:color w:val="auto"/>
          <w:sz w:val="28"/>
          <w:szCs w:val="28"/>
          <w:highlight w:val="none"/>
          <w:lang w:eastAsia="zh-CN"/>
        </w:rPr>
        <w:t>不少于2名注册在投标单位的二级及以上造价工程师（土木建筑专业、</w:t>
      </w:r>
      <w:r>
        <w:rPr>
          <w:rFonts w:hint="eastAsia" w:ascii="宋体" w:hAnsi="宋体" w:cs="宋体"/>
          <w:color w:val="auto"/>
          <w:sz w:val="28"/>
          <w:szCs w:val="28"/>
          <w:highlight w:val="none"/>
          <w:lang w:val="en-US" w:eastAsia="zh-CN"/>
        </w:rPr>
        <w:t>安装专业</w:t>
      </w:r>
      <w:r>
        <w:rPr>
          <w:rFonts w:hint="eastAsia" w:ascii="宋体" w:hAnsi="宋体" w:cs="宋体"/>
          <w:color w:val="auto"/>
          <w:sz w:val="28"/>
          <w:szCs w:val="28"/>
          <w:highlight w:val="none"/>
          <w:lang w:eastAsia="zh-CN"/>
        </w:rPr>
        <w:t>不少于1名）</w:t>
      </w:r>
      <w:r>
        <w:rPr>
          <w:rFonts w:hint="eastAsia" w:ascii="宋体" w:hAnsi="宋体" w:eastAsia="宋体" w:cs="宋体"/>
          <w:color w:val="auto"/>
          <w:sz w:val="28"/>
          <w:szCs w:val="28"/>
          <w:highlight w:val="none"/>
          <w:lang w:eastAsia="zh-CN"/>
        </w:rPr>
        <w:t>。</w:t>
      </w:r>
    </w:p>
    <w:p w14:paraId="5377CF51">
      <w:pPr>
        <w:widowControl/>
        <w:ind w:left="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本项目结算复核人员为：</w:t>
      </w:r>
    </w:p>
    <w:p w14:paraId="1C039C48">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5CA34A8E">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56CB6631">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02BBEC5A">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三、咨询期限</w:t>
      </w:r>
    </w:p>
    <w:p w14:paraId="1EC3B369">
      <w:pPr>
        <w:spacing w:line="58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1、计划开始日期：</w:t>
      </w:r>
      <w:r>
        <w:rPr>
          <w:rFonts w:hint="eastAsia" w:ascii="宋体" w:hAnsi="宋体" w:eastAsia="宋体" w:cs="宋体"/>
          <w:bCs/>
          <w:color w:val="auto"/>
          <w:sz w:val="28"/>
          <w:szCs w:val="28"/>
          <w:highlight w:val="none"/>
          <w:u w:val="single"/>
        </w:rPr>
        <w:t xml:space="preserve">  </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6317D9E1">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2、计划结束日期：</w:t>
      </w:r>
      <w:r>
        <w:rPr>
          <w:rFonts w:hint="eastAsia" w:ascii="宋体" w:hAnsi="宋体" w:eastAsia="宋体" w:cs="宋体"/>
          <w:bCs/>
          <w:color w:val="auto"/>
          <w:sz w:val="28"/>
          <w:szCs w:val="28"/>
          <w:highlight w:val="none"/>
          <w:u w:val="single"/>
        </w:rPr>
        <w:t xml:space="preserve"> </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47AB2734">
      <w:pPr>
        <w:pStyle w:val="44"/>
        <w:ind w:left="0" w:leftChars="0" w:firstLine="600"/>
        <w:rPr>
          <w:rFonts w:hint="eastAsia" w:ascii="宋体" w:hAnsi="宋体" w:eastAsia="宋体" w:cs="宋体"/>
          <w:bCs/>
          <w:color w:val="0000FF"/>
          <w:sz w:val="28"/>
          <w:szCs w:val="28"/>
          <w:highlight w:val="none"/>
        </w:rPr>
      </w:pPr>
      <w:r>
        <w:rPr>
          <w:rFonts w:hint="eastAsia" w:ascii="宋体" w:hAnsi="宋体" w:eastAsia="宋体" w:cs="宋体"/>
          <w:bCs/>
          <w:color w:val="auto"/>
          <w:sz w:val="28"/>
          <w:szCs w:val="28"/>
          <w:highlight w:val="none"/>
        </w:rPr>
        <w:t>3、结算复核时限要求：</w:t>
      </w:r>
      <w:r>
        <w:rPr>
          <w:rFonts w:hint="eastAsia" w:ascii="宋体" w:hAnsi="宋体" w:eastAsia="宋体" w:cs="宋体"/>
          <w:bCs/>
          <w:color w:val="0000FF"/>
          <w:sz w:val="28"/>
          <w:szCs w:val="28"/>
          <w:highlight w:val="none"/>
          <w:lang w:val="en-US" w:eastAsia="zh-CN"/>
        </w:rPr>
        <w:t>不高于20个日历天内完成。</w:t>
      </w:r>
    </w:p>
    <w:p w14:paraId="4F62E30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四、质量标准</w:t>
      </w:r>
    </w:p>
    <w:p w14:paraId="0F7A1B9D">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工程造价咨询成果文件质量符合</w:t>
      </w:r>
      <w:r>
        <w:rPr>
          <w:rFonts w:hint="eastAsia" w:ascii="宋体" w:hAnsi="宋体" w:eastAsia="宋体" w:cs="宋体"/>
          <w:color w:val="auto"/>
          <w:sz w:val="28"/>
          <w:szCs w:val="28"/>
          <w:highlight w:val="none"/>
          <w:u w:val="single"/>
        </w:rPr>
        <w:t xml:space="preserve">《建设工程造价咨询成果文件质量标准》（CECA/GC7-2012)要求 </w:t>
      </w:r>
      <w:r>
        <w:rPr>
          <w:rFonts w:hint="eastAsia" w:ascii="宋体" w:hAnsi="宋体" w:eastAsia="宋体" w:cs="宋体"/>
          <w:color w:val="auto"/>
          <w:sz w:val="28"/>
          <w:szCs w:val="28"/>
          <w:highlight w:val="none"/>
        </w:rPr>
        <w:t>标准。</w:t>
      </w:r>
    </w:p>
    <w:p w14:paraId="38C6105E">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五、咨询酬金 </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16E935B5">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523A42F4">
            <w:pPr>
              <w:keepNext w:val="0"/>
              <w:keepLines w:val="0"/>
              <w:pageBreakBefore w:val="0"/>
              <w:widowControl/>
              <w:kinsoku/>
              <w:wordWrap/>
              <w:overflowPunct/>
              <w:topLinePunct w:val="0"/>
              <w:autoSpaceDE/>
              <w:autoSpaceDN/>
              <w:bidi w:val="0"/>
              <w:adjustRightInd/>
              <w:spacing w:line="600" w:lineRule="exact"/>
              <w:ind w:left="0" w:left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23FE40FA">
            <w:pPr>
              <w:keepNext w:val="0"/>
              <w:keepLines w:val="0"/>
              <w:pageBreakBefore w:val="0"/>
              <w:widowControl/>
              <w:kinsoku/>
              <w:wordWrap/>
              <w:overflowPunct/>
              <w:topLinePunct w:val="0"/>
              <w:autoSpaceDE/>
              <w:autoSpaceDN/>
              <w:bidi w:val="0"/>
              <w:adjustRightInd/>
              <w:spacing w:line="600" w:lineRule="exac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基本费</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元</w:t>
            </w:r>
            <w:r>
              <w:rPr>
                <w:rFonts w:hint="eastAsia" w:ascii="宋体" w:hAnsi="宋体" w:eastAsia="宋体" w:cs="宋体"/>
                <w:color w:val="auto"/>
                <w:kern w:val="0"/>
                <w:sz w:val="28"/>
                <w:szCs w:val="28"/>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590C5C6B">
            <w:pPr>
              <w:keepNext w:val="0"/>
              <w:keepLines w:val="0"/>
              <w:pageBreakBefore w:val="0"/>
              <w:widowControl/>
              <w:kinsoku/>
              <w:wordWrap/>
              <w:overflowPunct/>
              <w:topLinePunct w:val="0"/>
              <w:autoSpaceDE/>
              <w:autoSpaceDN/>
              <w:bidi w:val="0"/>
              <w:adjustRightInd/>
              <w:spacing w:line="600" w:lineRule="exact"/>
              <w:ind w:left="0" w:leftChars="0"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审核成果费</w:t>
            </w:r>
            <w:r>
              <w:rPr>
                <w:rFonts w:hint="eastAsia" w:ascii="宋体" w:hAnsi="宋体" w:eastAsia="宋体" w:cs="宋体"/>
                <w:color w:val="auto"/>
                <w:kern w:val="0"/>
                <w:sz w:val="28"/>
                <w:szCs w:val="28"/>
                <w:highlight w:val="none"/>
                <w:lang w:val="en-US" w:eastAsia="zh-CN"/>
              </w:rPr>
              <w:t>率</w:t>
            </w:r>
          </w:p>
        </w:tc>
      </w:tr>
      <w:tr w14:paraId="34E8C629">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7B208A5F">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280" w:type="dxa"/>
            <w:tcBorders>
              <w:top w:val="nil"/>
              <w:left w:val="nil"/>
              <w:bottom w:val="single" w:color="auto" w:sz="4" w:space="0"/>
              <w:right w:val="single" w:color="auto" w:sz="4" w:space="0"/>
            </w:tcBorders>
            <w:noWrap w:val="0"/>
            <w:vAlign w:val="center"/>
          </w:tcPr>
          <w:p w14:paraId="7CA39D9C">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340" w:type="dxa"/>
            <w:tcBorders>
              <w:top w:val="nil"/>
              <w:left w:val="nil"/>
              <w:bottom w:val="single" w:color="auto" w:sz="4" w:space="0"/>
              <w:right w:val="single" w:color="auto" w:sz="4" w:space="0"/>
            </w:tcBorders>
            <w:noWrap w:val="0"/>
            <w:vAlign w:val="center"/>
          </w:tcPr>
          <w:p w14:paraId="1A2FC574">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b/>
                <w:bCs/>
                <w:color w:val="auto"/>
                <w:kern w:val="0"/>
                <w:sz w:val="28"/>
                <w:szCs w:val="28"/>
                <w:highlight w:val="none"/>
              </w:rPr>
            </w:pPr>
            <w:r>
              <w:rPr>
                <w:rFonts w:hint="eastAsia" w:ascii="宋体" w:hAnsi="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p>
        </w:tc>
      </w:tr>
    </w:tbl>
    <w:p w14:paraId="624E8826">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eastAsia="zh-CN"/>
        </w:rPr>
        <w:t>服务</w:t>
      </w:r>
      <w:r>
        <w:rPr>
          <w:rFonts w:hint="eastAsia" w:ascii="宋体" w:hAnsi="宋体" w:eastAsia="宋体" w:cs="宋体"/>
          <w:color w:val="auto"/>
          <w:sz w:val="28"/>
          <w:szCs w:val="28"/>
          <w:highlight w:val="none"/>
        </w:rPr>
        <w:t>费计算方式为：基本费+审核成果费。其中，审核成果费计算基数为</w:t>
      </w:r>
      <w:r>
        <w:rPr>
          <w:rFonts w:hint="eastAsia" w:ascii="宋体" w:hAnsi="宋体" w:eastAsia="宋体" w:cs="宋体"/>
          <w:color w:val="auto"/>
          <w:sz w:val="28"/>
          <w:szCs w:val="28"/>
          <w:highlight w:val="none"/>
          <w:lang w:eastAsia="zh-CN"/>
        </w:rPr>
        <w:t>独立</w:t>
      </w:r>
      <w:r>
        <w:rPr>
          <w:rFonts w:hint="eastAsia" w:ascii="宋体" w:hAnsi="宋体" w:eastAsia="宋体" w:cs="宋体"/>
          <w:color w:val="auto"/>
          <w:sz w:val="28"/>
          <w:szCs w:val="28"/>
          <w:highlight w:val="none"/>
        </w:rPr>
        <w:t>核减金额。</w:t>
      </w:r>
    </w:p>
    <w:p w14:paraId="0D0615D3">
      <w:pPr>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付款方式：出具审核报告，交付招标人初审确认，报经招标人备案审查通过后（如需），按照招标人审查备案金额结算支付审计服务费用。</w:t>
      </w:r>
    </w:p>
    <w:p w14:paraId="16DD103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六、造价审核工作考核</w:t>
      </w:r>
    </w:p>
    <w:p w14:paraId="74000414">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经核实，乙方有下列情形之一的，甲方可对乙方警告、通报、扣减审核服务费用、终止审核委托协议、限制投标、有限期或无限期禁止从事</w:t>
      </w:r>
      <w:r>
        <w:rPr>
          <w:rFonts w:hint="eastAsia" w:ascii="宋体" w:hAnsi="宋体" w:eastAsia="宋体" w:cs="宋体"/>
          <w:color w:val="auto"/>
          <w:sz w:val="28"/>
          <w:szCs w:val="28"/>
          <w:highlight w:val="none"/>
          <w:lang w:val="en-US" w:eastAsia="zh-CN"/>
        </w:rPr>
        <w:t>本单位</w:t>
      </w:r>
      <w:r>
        <w:rPr>
          <w:rFonts w:hint="eastAsia" w:ascii="宋体" w:hAnsi="宋体" w:eastAsia="宋体" w:cs="宋体"/>
          <w:color w:val="auto"/>
          <w:sz w:val="28"/>
          <w:szCs w:val="28"/>
          <w:highlight w:val="none"/>
        </w:rPr>
        <w:t>审核工作：</w:t>
      </w:r>
    </w:p>
    <w:p w14:paraId="4FB7F439">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1．工程结算造价审核报告存在重大失误或质量低劣</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误差3%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p w14:paraId="4872FEFA">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2．因自身工作错误或过失造成重大损失；</w:t>
      </w:r>
    </w:p>
    <w:p w14:paraId="06977ACB">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3．未经允许私自向施工单位透露审核情况或信息；</w:t>
      </w:r>
    </w:p>
    <w:p w14:paraId="6F2DA0CA">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4．向相关单位或个人索要财物等谋取不正当利益；</w:t>
      </w:r>
    </w:p>
    <w:p w14:paraId="2D479955">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5．单独或与其他各方串通舞弊、弄虚作假虚增；</w:t>
      </w:r>
    </w:p>
    <w:p w14:paraId="328CDA68">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6．结算造价审核时限</w:t>
      </w:r>
      <w:r>
        <w:rPr>
          <w:rFonts w:hint="eastAsia" w:ascii="宋体" w:hAnsi="宋体" w:eastAsia="宋体" w:cs="宋体"/>
          <w:color w:val="auto"/>
          <w:sz w:val="28"/>
          <w:szCs w:val="28"/>
          <w:highlight w:val="none"/>
          <w:lang w:val="en-US" w:eastAsia="zh-CN"/>
        </w:rPr>
        <w:t>不符合相关规定；</w:t>
      </w:r>
    </w:p>
    <w:p w14:paraId="1FBFFF98">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．其他违反法律法规和政策的行为。</w:t>
      </w:r>
    </w:p>
    <w:p w14:paraId="7FC98EB8">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 xml:space="preserve">甲乙双方的权利与义务 </w:t>
      </w:r>
    </w:p>
    <w:p w14:paraId="7691968B">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（一）甲方权利和义务</w:t>
      </w:r>
    </w:p>
    <w:p w14:paraId="3760B95D">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1．甲方有权对乙方的审核项目实施监督，对乙方审核工作程序、质量和效率等进行检查考核，考核结果作为奖惩和参与政府投资项目结算造价审核工作的重要依据；</w:t>
      </w:r>
    </w:p>
    <w:p w14:paraId="50FCE18B">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2．项目结算造价审核过程中，甲方如发现乙方所派审核人员不符合要求或不能胜任岗位工作职责的，甲方有权要求乙方及时调换，或视情况给予相应的处理、处罚；</w:t>
      </w:r>
    </w:p>
    <w:p w14:paraId="58AFEC8A">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3．甲方保证乙方结算造价审核服务费用的按时到位。</w:t>
      </w:r>
    </w:p>
    <w:p w14:paraId="2EA7FDF6">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（二）乙方权利和义务</w:t>
      </w:r>
    </w:p>
    <w:p w14:paraId="028EF4D3">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1．乙方在完成审核任务后，有权及时取得结算造价审核服务费用；</w:t>
      </w:r>
    </w:p>
    <w:p w14:paraId="1AE09AF5">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2．乙方须依照甲方工作要求及行业准则、规范，按时、保质、保量完成所承担的审核任务；</w:t>
      </w:r>
    </w:p>
    <w:p w14:paraId="6CE9253D">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3．乙方必须对结算造价审核人员进行廉政教育，如发现有违反廉洁自律规定的行为，应立即更换人员，并对其严肃处理。同时，甲方可根据性质及情节，扣减相应审核服务费用。</w:t>
      </w:r>
    </w:p>
    <w:p w14:paraId="04EBCAFB">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九、</w:t>
      </w:r>
      <w:r>
        <w:rPr>
          <w:rFonts w:hint="eastAsia" w:ascii="宋体" w:hAnsi="宋体" w:eastAsia="宋体" w:cs="宋体"/>
          <w:color w:val="auto"/>
          <w:sz w:val="28"/>
          <w:szCs w:val="28"/>
          <w:highlight w:val="none"/>
        </w:rPr>
        <w:t>签订地点</w:t>
      </w:r>
    </w:p>
    <w:p w14:paraId="6F935966">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滁州市皖能兴滁环境科技有限公司</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签订。</w:t>
      </w:r>
    </w:p>
    <w:p w14:paraId="630D3FCC">
      <w:pPr>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十</w:t>
      </w:r>
      <w:r>
        <w:rPr>
          <w:rFonts w:hint="eastAsia" w:ascii="宋体" w:hAnsi="宋体" w:eastAsia="宋体" w:cs="宋体"/>
          <w:color w:val="auto"/>
          <w:sz w:val="28"/>
          <w:szCs w:val="28"/>
          <w:highlight w:val="none"/>
        </w:rPr>
        <w:t>、补充协议</w:t>
      </w:r>
    </w:p>
    <w:p w14:paraId="6022A71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合同未尽事宜，合同当事人另行签订补充协议，补充协议是合同的组成部分。</w:t>
      </w:r>
    </w:p>
    <w:p w14:paraId="7A2EF4F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一</w:t>
      </w:r>
      <w:r>
        <w:rPr>
          <w:rFonts w:hint="eastAsia" w:ascii="宋体" w:hAnsi="宋体" w:eastAsia="宋体" w:cs="宋体"/>
          <w:color w:val="auto"/>
          <w:sz w:val="28"/>
          <w:szCs w:val="28"/>
          <w:highlight w:val="none"/>
        </w:rPr>
        <w:t>、合同生效</w:t>
      </w:r>
    </w:p>
    <w:p w14:paraId="371632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本合同自</w:t>
      </w:r>
      <w:r>
        <w:rPr>
          <w:rFonts w:hint="eastAsia" w:ascii="宋体" w:hAnsi="宋体" w:eastAsia="宋体" w:cs="宋体"/>
          <w:color w:val="auto"/>
          <w:sz w:val="28"/>
          <w:szCs w:val="28"/>
          <w:highlight w:val="none"/>
          <w:u w:val="single"/>
        </w:rPr>
        <w:t xml:space="preserve">   签订之日起   </w:t>
      </w:r>
      <w:r>
        <w:rPr>
          <w:rFonts w:hint="eastAsia" w:ascii="宋体" w:hAnsi="宋体" w:eastAsia="宋体" w:cs="宋体"/>
          <w:color w:val="auto"/>
          <w:sz w:val="28"/>
          <w:szCs w:val="28"/>
          <w:highlight w:val="none"/>
        </w:rPr>
        <w:t>生效。</w:t>
      </w:r>
    </w:p>
    <w:p w14:paraId="793F14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二</w:t>
      </w:r>
      <w:r>
        <w:rPr>
          <w:rFonts w:hint="eastAsia" w:ascii="宋体" w:hAnsi="宋体" w:eastAsia="宋体" w:cs="宋体"/>
          <w:color w:val="auto"/>
          <w:sz w:val="28"/>
          <w:szCs w:val="28"/>
          <w:highlight w:val="none"/>
        </w:rPr>
        <w:t>、合同份数</w:t>
      </w:r>
    </w:p>
    <w:p w14:paraId="5B85F39B">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本合同一式</w:t>
      </w:r>
      <w:r>
        <w:rPr>
          <w:rFonts w:hint="eastAsia" w:ascii="宋体" w:hAnsi="宋体" w:eastAsia="宋体" w:cs="宋体"/>
          <w:color w:val="auto"/>
          <w:sz w:val="28"/>
          <w:szCs w:val="28"/>
          <w:highlight w:val="none"/>
          <w:u w:val="single"/>
        </w:rPr>
        <w:t xml:space="preserve">  肆  </w:t>
      </w:r>
      <w:r>
        <w:rPr>
          <w:rFonts w:hint="eastAsia" w:ascii="宋体" w:hAnsi="宋体" w:eastAsia="宋体" w:cs="宋体"/>
          <w:color w:val="auto"/>
          <w:sz w:val="28"/>
          <w:szCs w:val="28"/>
          <w:highlight w:val="none"/>
        </w:rPr>
        <w:t>份，均具有同等法律效力，委托人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份，咨询人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w:t>
      </w:r>
    </w:p>
    <w:p w14:paraId="5B7D3CE4">
      <w:pPr>
        <w:rPr>
          <w:rFonts w:hint="eastAsia" w:ascii="宋体" w:hAnsi="宋体" w:eastAsia="宋体" w:cs="宋体"/>
          <w:color w:val="auto"/>
          <w:sz w:val="28"/>
          <w:szCs w:val="28"/>
          <w:highlight w:val="none"/>
        </w:rPr>
      </w:pPr>
    </w:p>
    <w:p w14:paraId="09E878C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委托人：  (公章)                受托人：  (公章)         </w:t>
      </w:r>
    </w:p>
    <w:p w14:paraId="30A72844">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法定代表人或其委托代理人：     法定代表人或其委托代理人：</w:t>
      </w:r>
    </w:p>
    <w:p w14:paraId="035B405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                       （签字）</w:t>
      </w:r>
    </w:p>
    <w:p w14:paraId="6734B7DB">
      <w:pPr>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                      年  月  日</w:t>
      </w:r>
    </w:p>
    <w:p w14:paraId="6BCD3E8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91" w:name="_Toc30675"/>
      <w:r>
        <w:rPr>
          <w:rFonts w:hint="eastAsia" w:ascii="宋体" w:hAnsi="宋体" w:eastAsia="宋体" w:cs="宋体"/>
          <w:color w:val="auto"/>
          <w:highlight w:val="none"/>
          <w:lang w:val="en-US" w:eastAsia="zh-CN"/>
        </w:rPr>
        <w:t>第四章 投标文件格式</w:t>
      </w:r>
      <w:bookmarkEnd w:id="91"/>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55E370B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34728B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453C4DA0">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35D0292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1D61128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不少于2名注册在投标单位的二级及以上造价工程师（土木建筑专业、</w:t>
      </w:r>
      <w:r>
        <w:rPr>
          <w:rFonts w:hint="eastAsia" w:ascii="宋体" w:hAnsi="宋体" w:cs="宋体"/>
          <w:color w:val="auto"/>
          <w:sz w:val="21"/>
          <w:szCs w:val="21"/>
          <w:highlight w:val="none"/>
          <w:lang w:val="en-US" w:eastAsia="zh-CN"/>
        </w:rPr>
        <w:t>安装专业各</w:t>
      </w:r>
      <w:r>
        <w:rPr>
          <w:rFonts w:hint="eastAsia" w:ascii="宋体" w:hAnsi="宋体" w:cs="宋体"/>
          <w:color w:val="auto"/>
          <w:sz w:val="21"/>
          <w:szCs w:val="21"/>
          <w:highlight w:val="none"/>
          <w:lang w:eastAsia="zh-CN"/>
        </w:rPr>
        <w:t>不少于1名）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21D2185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）承诺书：投标人对所提供的上述材料作出承诺，若投标人存在弄虚作假，提供虚假资料的，若中标，则取消中标资格。（承诺书格式自拟并注明开标日期，加盖投标单位公章）</w:t>
      </w:r>
    </w:p>
    <w:p w14:paraId="6040CF70">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单位为其缴纳的投标前近三个月内任意一月的养老保险证明（含官网在线打印件，证明文件两个月内有效），或投标人提供承诺已为上述人员缴纳养老保险证明的承诺书（格式自拟）。</w:t>
      </w:r>
    </w:p>
    <w:p w14:paraId="6D0DA0B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）投标人认为需要提供的其他材料。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keepNext w:val="0"/>
        <w:keepLines w:val="0"/>
        <w:pageBreakBefore w:val="0"/>
        <w:widowControl/>
        <w:kinsoku/>
        <w:wordWrap/>
        <w:overflowPunct/>
        <w:topLinePunct w:val="0"/>
        <w:autoSpaceDE/>
        <w:autoSpaceDN/>
        <w:bidi w:val="0"/>
        <w:adjustRightInd/>
        <w:snapToGrid/>
        <w:spacing w:beforeLines="100" w:after="157" w:afterLines="50" w:line="480" w:lineRule="exact"/>
        <w:ind w:firstLine="180" w:firstLineChars="75"/>
        <w:textAlignment w:val="baseline"/>
        <w:rPr>
          <w:rFonts w:hint="eastAsia" w:ascii="宋体" w:hAnsi="宋体" w:eastAsia="宋体" w:cs="宋体"/>
          <w:b/>
          <w:color w:val="auto"/>
          <w:sz w:val="24"/>
          <w:szCs w:val="24"/>
          <w:highlight w:val="none"/>
        </w:rPr>
      </w:pPr>
      <w:bookmarkStart w:id="92"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92"/>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（签章）</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038BD489">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709E0413">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w:t>
      </w:r>
      <w:r>
        <w:rPr>
          <w:rFonts w:hint="eastAsia" w:ascii="宋体" w:hAnsi="宋体" w:eastAsia="宋体" w:cs="宋体"/>
          <w:b/>
          <w:bCs/>
          <w:color w:val="auto"/>
          <w:szCs w:val="21"/>
          <w:highlight w:val="none"/>
        </w:rPr>
        <w:t>基本费</w:t>
      </w:r>
    </w:p>
    <w:p w14:paraId="73B46545">
      <w:pPr>
        <w:spacing w:line="360" w:lineRule="auto"/>
        <w:rPr>
          <w:rFonts w:hint="eastAsia" w:ascii="宋体" w:hAnsi="宋体" w:eastAsia="宋体" w:cs="宋体"/>
          <w:color w:val="auto"/>
          <w:szCs w:val="21"/>
          <w:highlight w:val="none"/>
          <w:u w:val="single"/>
        </w:rPr>
      </w:pP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none"/>
          <w:lang w:val="en-US" w:eastAsia="zh-CN"/>
        </w:rPr>
        <w:t>元</w:t>
      </w:r>
      <w:r>
        <w:rPr>
          <w:rFonts w:hint="eastAsia" w:ascii="宋体" w:hAnsi="宋体" w:eastAsia="宋体" w:cs="宋体"/>
          <w:b/>
          <w:bCs/>
          <w:color w:val="auto"/>
          <w:szCs w:val="21"/>
          <w:highlight w:val="none"/>
        </w:rPr>
        <w:t>，审核成果费率</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日历天完成</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（签章）</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718D3FE">
      <w:pPr>
        <w:pStyle w:val="2"/>
        <w:spacing w:before="0" w:after="0"/>
        <w:rPr>
          <w:rFonts w:hint="eastAsia" w:ascii="宋体" w:hAnsi="宋体" w:eastAsia="宋体" w:cs="宋体"/>
          <w:color w:val="auto"/>
          <w:highlight w:val="none"/>
          <w:lang w:val="en-US" w:eastAsia="zh-CN"/>
        </w:rPr>
      </w:pPr>
      <w:bookmarkStart w:id="93" w:name="_Toc31498"/>
      <w:r>
        <w:rPr>
          <w:rFonts w:hint="eastAsia" w:ascii="宋体" w:hAnsi="宋体" w:eastAsia="宋体" w:cs="宋体"/>
          <w:color w:val="auto"/>
          <w:highlight w:val="none"/>
          <w:lang w:val="en-US" w:eastAsia="zh-CN"/>
        </w:rPr>
        <w:t>第五章 招标单位、招标代理机构对本招标文件的确认</w:t>
      </w:r>
      <w:bookmarkEnd w:id="93"/>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滁州市建筑垃圾综合处置项目结算复核服务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cs="宋体"/>
                <w:color w:val="auto"/>
                <w:sz w:val="28"/>
                <w:szCs w:val="28"/>
                <w:highlight w:val="none"/>
                <w:lang w:val="en-US" w:eastAsia="zh-CN"/>
              </w:rPr>
              <w:t xml:space="preserve"> 滁州市皖能兴滁环境科技有限公司</w:t>
            </w:r>
            <w:r>
              <w:rPr>
                <w:rFonts w:hint="eastAsia" w:ascii="宋体" w:hAnsi="宋体" w:eastAsia="宋体" w:cs="宋体"/>
                <w:color w:val="auto"/>
                <w:sz w:val="28"/>
                <w:szCs w:val="28"/>
                <w:highlight w:val="none"/>
                <w:lang w:val="en-US" w:eastAsia="zh-CN"/>
              </w:rPr>
              <w:t xml:space="preserve"> </w:t>
            </w:r>
          </w:p>
          <w:p w14:paraId="3463F686">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 xml:space="preserve">江玉龙 </w:t>
            </w:r>
            <w:r>
              <w:rPr>
                <w:rFonts w:hint="eastAsia" w:ascii="宋体" w:hAnsi="宋体" w:cs="宋体"/>
                <w:color w:val="auto"/>
                <w:sz w:val="28"/>
                <w:szCs w:val="28"/>
                <w:highlight w:val="none"/>
                <w:lang w:val="en-US" w:eastAsia="zh-CN"/>
              </w:rPr>
              <w:t xml:space="preserve">  </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eastAsia="zh-CN"/>
              </w:rPr>
              <w:t>18130062551</w:t>
            </w:r>
            <w:r>
              <w:rPr>
                <w:rFonts w:hint="eastAsia" w:ascii="宋体" w:hAnsi="宋体" w:cs="宋体"/>
                <w:color w:val="auto"/>
                <w:sz w:val="28"/>
                <w:szCs w:val="28"/>
                <w:highlight w:val="none"/>
                <w:lang w:val="en-US" w:eastAsia="zh-CN"/>
              </w:rPr>
              <w:t xml:space="preserve">  </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33C2043A">
            <w:pPr>
              <w:ind w:firstLine="5320" w:firstLineChars="19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2026年1月 日</w:t>
            </w:r>
            <w:r>
              <w:rPr>
                <w:rFonts w:hint="eastAsia" w:ascii="宋体" w:hAnsi="宋体" w:cs="宋体"/>
                <w:color w:val="auto"/>
                <w:sz w:val="28"/>
                <w:szCs w:val="28"/>
                <w:highlight w:val="none"/>
                <w:lang w:val="en-US" w:eastAsia="zh-CN"/>
              </w:rPr>
              <w:t xml:space="preserve"> </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王芳</w:t>
            </w:r>
          </w:p>
          <w:p w14:paraId="3E3D785F">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lang w:eastAsia="zh-CN"/>
              </w:rPr>
              <w:t>0550-35195</w:t>
            </w:r>
            <w:r>
              <w:rPr>
                <w:rFonts w:hint="eastAsia" w:ascii="宋体" w:hAnsi="宋体" w:cs="宋体"/>
                <w:color w:val="auto"/>
                <w:sz w:val="28"/>
                <w:szCs w:val="28"/>
                <w:highlight w:val="none"/>
                <w:lang w:val="en-US" w:eastAsia="zh-CN"/>
              </w:rPr>
              <w:t>19</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189</w:t>
            </w:r>
            <w:r>
              <w:rPr>
                <w:rFonts w:hint="eastAsia" w:ascii="宋体" w:hAnsi="宋体" w:cs="宋体"/>
                <w:color w:val="auto"/>
                <w:sz w:val="28"/>
                <w:szCs w:val="28"/>
                <w:highlight w:val="none"/>
                <w:lang w:val="en-US" w:eastAsia="zh-CN"/>
              </w:rPr>
              <w:t>55055067</w:t>
            </w:r>
          </w:p>
          <w:p w14:paraId="497AA04E">
            <w:pPr>
              <w:rPr>
                <w:rFonts w:hint="eastAsia" w:ascii="宋体" w:hAnsi="宋体" w:eastAsia="宋体" w:cs="宋体"/>
                <w:color w:val="auto"/>
                <w:sz w:val="28"/>
                <w:szCs w:val="28"/>
                <w:highlight w:val="none"/>
              </w:rPr>
            </w:pPr>
          </w:p>
          <w:p w14:paraId="60AF574C">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2026年1月 日</w:t>
            </w:r>
            <w:r>
              <w:rPr>
                <w:rFonts w:hint="eastAsia" w:ascii="宋体" w:hAnsi="宋体" w:cs="宋体"/>
                <w:color w:val="auto"/>
                <w:sz w:val="28"/>
                <w:szCs w:val="28"/>
                <w:highlight w:val="none"/>
                <w:lang w:val="en-US" w:eastAsia="zh-CN"/>
              </w:rPr>
              <w:t xml:space="preserve"> </w:t>
            </w:r>
          </w:p>
        </w:tc>
      </w:tr>
    </w:tbl>
    <w:p w14:paraId="5ACA329B">
      <w:pPr>
        <w:pStyle w:val="17"/>
        <w:jc w:val="left"/>
        <w:rPr>
          <w:rFonts w:hint="eastAsia" w:ascii="宋体" w:hAnsi="宋体" w:eastAsia="宋体" w:cs="宋体"/>
          <w:color w:val="auto"/>
          <w:kern w:val="0"/>
          <w:sz w:val="24"/>
          <w:szCs w:val="24"/>
          <w:highlight w:val="none"/>
        </w:rPr>
      </w:pPr>
    </w:p>
    <w:sectPr>
      <w:headerReference r:id="rId9" w:type="default"/>
      <w:footerReference r:id="rId10"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5762">
    <w:pPr>
      <w:pStyle w:val="29"/>
      <w:rPr>
        <w:rStyle w:val="49"/>
      </w:rPr>
    </w:pPr>
  </w:p>
  <w:p w14:paraId="27617CD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B8F2946"/>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2B8F2946"/>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60B7">
    <w:pPr>
      <w:pStyle w:val="29"/>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75FB2">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475FB2">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FC55">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6091">
    <w:pPr>
      <w:pStyle w:val="3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3C4E17"/>
    <w:rsid w:val="02860CE1"/>
    <w:rsid w:val="028D0613"/>
    <w:rsid w:val="02A06DF6"/>
    <w:rsid w:val="02AD40CA"/>
    <w:rsid w:val="03311B51"/>
    <w:rsid w:val="035607B0"/>
    <w:rsid w:val="035A0B08"/>
    <w:rsid w:val="03BE185C"/>
    <w:rsid w:val="03DD3435"/>
    <w:rsid w:val="04880F3B"/>
    <w:rsid w:val="04BB1052"/>
    <w:rsid w:val="054C2D3C"/>
    <w:rsid w:val="058F191A"/>
    <w:rsid w:val="064047AA"/>
    <w:rsid w:val="06C45FAC"/>
    <w:rsid w:val="07023E8A"/>
    <w:rsid w:val="073060B3"/>
    <w:rsid w:val="073F34F8"/>
    <w:rsid w:val="08891FDF"/>
    <w:rsid w:val="08E35620"/>
    <w:rsid w:val="08EE1782"/>
    <w:rsid w:val="090A7EB1"/>
    <w:rsid w:val="090B57DF"/>
    <w:rsid w:val="094625ED"/>
    <w:rsid w:val="098C0FAE"/>
    <w:rsid w:val="0A1370D9"/>
    <w:rsid w:val="0A426CE3"/>
    <w:rsid w:val="0A780385"/>
    <w:rsid w:val="0A783487"/>
    <w:rsid w:val="0A920A74"/>
    <w:rsid w:val="0B1A05CF"/>
    <w:rsid w:val="0B3B4932"/>
    <w:rsid w:val="0B8A5AE2"/>
    <w:rsid w:val="0BB27EF8"/>
    <w:rsid w:val="0C30371E"/>
    <w:rsid w:val="0C47209B"/>
    <w:rsid w:val="0CDE4AF1"/>
    <w:rsid w:val="0CEC2F96"/>
    <w:rsid w:val="0D2F7233"/>
    <w:rsid w:val="0DB0649C"/>
    <w:rsid w:val="0E2234E7"/>
    <w:rsid w:val="0E832759"/>
    <w:rsid w:val="0ECF7747"/>
    <w:rsid w:val="0F9D46EF"/>
    <w:rsid w:val="101E4CF5"/>
    <w:rsid w:val="116855E7"/>
    <w:rsid w:val="124026B6"/>
    <w:rsid w:val="12C329EB"/>
    <w:rsid w:val="12F86086"/>
    <w:rsid w:val="137A735A"/>
    <w:rsid w:val="13B24508"/>
    <w:rsid w:val="13E54BBD"/>
    <w:rsid w:val="152F63E2"/>
    <w:rsid w:val="158272E5"/>
    <w:rsid w:val="15D60886"/>
    <w:rsid w:val="16A220B2"/>
    <w:rsid w:val="16AB249D"/>
    <w:rsid w:val="16E538DC"/>
    <w:rsid w:val="17153410"/>
    <w:rsid w:val="17350891"/>
    <w:rsid w:val="18242B05"/>
    <w:rsid w:val="1830529B"/>
    <w:rsid w:val="1838722E"/>
    <w:rsid w:val="18B826B7"/>
    <w:rsid w:val="18C179CD"/>
    <w:rsid w:val="19475149"/>
    <w:rsid w:val="1A1E40F3"/>
    <w:rsid w:val="1AB70978"/>
    <w:rsid w:val="1AF847D0"/>
    <w:rsid w:val="1C136BB6"/>
    <w:rsid w:val="1C4B5EA8"/>
    <w:rsid w:val="1C607002"/>
    <w:rsid w:val="1E1554ED"/>
    <w:rsid w:val="1E66223E"/>
    <w:rsid w:val="1FB45248"/>
    <w:rsid w:val="207B6E01"/>
    <w:rsid w:val="211B1C44"/>
    <w:rsid w:val="216D3D4D"/>
    <w:rsid w:val="21F200C1"/>
    <w:rsid w:val="224A075F"/>
    <w:rsid w:val="22E66E8E"/>
    <w:rsid w:val="23816BA4"/>
    <w:rsid w:val="23B802A0"/>
    <w:rsid w:val="240A1852"/>
    <w:rsid w:val="25E4098B"/>
    <w:rsid w:val="26252182"/>
    <w:rsid w:val="265122FF"/>
    <w:rsid w:val="265E174C"/>
    <w:rsid w:val="2686038F"/>
    <w:rsid w:val="26EF5515"/>
    <w:rsid w:val="27680144"/>
    <w:rsid w:val="279462AC"/>
    <w:rsid w:val="280B1528"/>
    <w:rsid w:val="28C72B2B"/>
    <w:rsid w:val="29E75E0C"/>
    <w:rsid w:val="29F23E8A"/>
    <w:rsid w:val="2A241E9E"/>
    <w:rsid w:val="2A750617"/>
    <w:rsid w:val="2B367DA6"/>
    <w:rsid w:val="2C7D3C0D"/>
    <w:rsid w:val="2C874AAF"/>
    <w:rsid w:val="2C8E66A6"/>
    <w:rsid w:val="2CAF5168"/>
    <w:rsid w:val="2CBB47F9"/>
    <w:rsid w:val="2D4A1910"/>
    <w:rsid w:val="2DFF7667"/>
    <w:rsid w:val="2EB70AC1"/>
    <w:rsid w:val="2EFD1D1D"/>
    <w:rsid w:val="2F3A186E"/>
    <w:rsid w:val="2FB22BE1"/>
    <w:rsid w:val="2FE563D7"/>
    <w:rsid w:val="31FB42D0"/>
    <w:rsid w:val="32852601"/>
    <w:rsid w:val="32D3700E"/>
    <w:rsid w:val="32F07192"/>
    <w:rsid w:val="332433C5"/>
    <w:rsid w:val="3376156C"/>
    <w:rsid w:val="33DB598F"/>
    <w:rsid w:val="348E387D"/>
    <w:rsid w:val="356D0CEC"/>
    <w:rsid w:val="35A46FAE"/>
    <w:rsid w:val="37026723"/>
    <w:rsid w:val="37526B7E"/>
    <w:rsid w:val="37691FF5"/>
    <w:rsid w:val="385F78F9"/>
    <w:rsid w:val="398960D8"/>
    <w:rsid w:val="39E8421F"/>
    <w:rsid w:val="39ED3014"/>
    <w:rsid w:val="3A066436"/>
    <w:rsid w:val="3A2516BB"/>
    <w:rsid w:val="3B3C635C"/>
    <w:rsid w:val="3CCB04A6"/>
    <w:rsid w:val="3CD37326"/>
    <w:rsid w:val="3E7850FA"/>
    <w:rsid w:val="3ED8605A"/>
    <w:rsid w:val="3EED354E"/>
    <w:rsid w:val="3F0700D1"/>
    <w:rsid w:val="3F1410DB"/>
    <w:rsid w:val="3F173AB4"/>
    <w:rsid w:val="3F7A539C"/>
    <w:rsid w:val="3F7F07F1"/>
    <w:rsid w:val="3FB112F9"/>
    <w:rsid w:val="3FB5783A"/>
    <w:rsid w:val="408338D7"/>
    <w:rsid w:val="41510996"/>
    <w:rsid w:val="42147451"/>
    <w:rsid w:val="43727992"/>
    <w:rsid w:val="43881670"/>
    <w:rsid w:val="43E82525"/>
    <w:rsid w:val="443A5860"/>
    <w:rsid w:val="44592EA6"/>
    <w:rsid w:val="44A8055A"/>
    <w:rsid w:val="44F7334E"/>
    <w:rsid w:val="459969F6"/>
    <w:rsid w:val="45AF30FD"/>
    <w:rsid w:val="46420BB9"/>
    <w:rsid w:val="465B3014"/>
    <w:rsid w:val="472F5293"/>
    <w:rsid w:val="473A07C7"/>
    <w:rsid w:val="478C5DE6"/>
    <w:rsid w:val="47DB0FE0"/>
    <w:rsid w:val="47EB386F"/>
    <w:rsid w:val="485A4022"/>
    <w:rsid w:val="48986B3F"/>
    <w:rsid w:val="491212BA"/>
    <w:rsid w:val="494476DB"/>
    <w:rsid w:val="49B66251"/>
    <w:rsid w:val="49EB1754"/>
    <w:rsid w:val="4A125037"/>
    <w:rsid w:val="4AB455FC"/>
    <w:rsid w:val="4B4C6831"/>
    <w:rsid w:val="4BB93099"/>
    <w:rsid w:val="4C296191"/>
    <w:rsid w:val="4C354398"/>
    <w:rsid w:val="4CA21C4A"/>
    <w:rsid w:val="4D6D2BF0"/>
    <w:rsid w:val="4D91336F"/>
    <w:rsid w:val="4E0D50F2"/>
    <w:rsid w:val="4E87606B"/>
    <w:rsid w:val="4ED1777D"/>
    <w:rsid w:val="4F443F90"/>
    <w:rsid w:val="4F627A2B"/>
    <w:rsid w:val="4F8A1859"/>
    <w:rsid w:val="4FCD4721"/>
    <w:rsid w:val="502D24E4"/>
    <w:rsid w:val="504773D5"/>
    <w:rsid w:val="50EC70D4"/>
    <w:rsid w:val="511E5BAD"/>
    <w:rsid w:val="513918A9"/>
    <w:rsid w:val="517F3DD4"/>
    <w:rsid w:val="51BC2AE8"/>
    <w:rsid w:val="52244348"/>
    <w:rsid w:val="52CE5689"/>
    <w:rsid w:val="5349001D"/>
    <w:rsid w:val="55370EE6"/>
    <w:rsid w:val="55423EBF"/>
    <w:rsid w:val="558A3D0F"/>
    <w:rsid w:val="559A68B9"/>
    <w:rsid w:val="55A179C6"/>
    <w:rsid w:val="55FD2E92"/>
    <w:rsid w:val="56576B7B"/>
    <w:rsid w:val="569E5C28"/>
    <w:rsid w:val="56B17EF3"/>
    <w:rsid w:val="57313D11"/>
    <w:rsid w:val="578D69F6"/>
    <w:rsid w:val="58311B26"/>
    <w:rsid w:val="59254E33"/>
    <w:rsid w:val="597E4543"/>
    <w:rsid w:val="599A4762"/>
    <w:rsid w:val="59B94A33"/>
    <w:rsid w:val="59C42C57"/>
    <w:rsid w:val="59F47B78"/>
    <w:rsid w:val="5AD10688"/>
    <w:rsid w:val="5AFB2C32"/>
    <w:rsid w:val="5B2F036B"/>
    <w:rsid w:val="5B5877E2"/>
    <w:rsid w:val="5BA9771F"/>
    <w:rsid w:val="5BAC7A1D"/>
    <w:rsid w:val="5BAE0EF6"/>
    <w:rsid w:val="5BE3458F"/>
    <w:rsid w:val="5DC22821"/>
    <w:rsid w:val="5DD0286D"/>
    <w:rsid w:val="5E923D48"/>
    <w:rsid w:val="5EEA0F2A"/>
    <w:rsid w:val="5F9D1CA2"/>
    <w:rsid w:val="5FD300DB"/>
    <w:rsid w:val="5FE25B93"/>
    <w:rsid w:val="603F3AE9"/>
    <w:rsid w:val="608C59E7"/>
    <w:rsid w:val="61051B53"/>
    <w:rsid w:val="61095D5D"/>
    <w:rsid w:val="6116111C"/>
    <w:rsid w:val="61284751"/>
    <w:rsid w:val="627347A8"/>
    <w:rsid w:val="629F458E"/>
    <w:rsid w:val="638B599F"/>
    <w:rsid w:val="64F222D0"/>
    <w:rsid w:val="655541D3"/>
    <w:rsid w:val="65594766"/>
    <w:rsid w:val="65AE22F3"/>
    <w:rsid w:val="65C12033"/>
    <w:rsid w:val="65CF358A"/>
    <w:rsid w:val="66465782"/>
    <w:rsid w:val="66AF6E4C"/>
    <w:rsid w:val="66B17601"/>
    <w:rsid w:val="670A4733"/>
    <w:rsid w:val="67DE5EA5"/>
    <w:rsid w:val="68E615DD"/>
    <w:rsid w:val="6907286A"/>
    <w:rsid w:val="6908397B"/>
    <w:rsid w:val="6A16299D"/>
    <w:rsid w:val="6A405153"/>
    <w:rsid w:val="6B9E6885"/>
    <w:rsid w:val="6C6554D7"/>
    <w:rsid w:val="6CC00CAD"/>
    <w:rsid w:val="6D0B604A"/>
    <w:rsid w:val="6DAC05BE"/>
    <w:rsid w:val="6E2337BB"/>
    <w:rsid w:val="6E802F39"/>
    <w:rsid w:val="6F5F3A74"/>
    <w:rsid w:val="6F8373FF"/>
    <w:rsid w:val="6FDE7145"/>
    <w:rsid w:val="701268B7"/>
    <w:rsid w:val="7025059A"/>
    <w:rsid w:val="702E0619"/>
    <w:rsid w:val="708446DD"/>
    <w:rsid w:val="713E6246"/>
    <w:rsid w:val="725809D6"/>
    <w:rsid w:val="73840989"/>
    <w:rsid w:val="73875405"/>
    <w:rsid w:val="73B74532"/>
    <w:rsid w:val="73F850C4"/>
    <w:rsid w:val="7409698D"/>
    <w:rsid w:val="74425F26"/>
    <w:rsid w:val="74CC7CBB"/>
    <w:rsid w:val="75847F67"/>
    <w:rsid w:val="76814B62"/>
    <w:rsid w:val="76D62696"/>
    <w:rsid w:val="774E2667"/>
    <w:rsid w:val="77910BE3"/>
    <w:rsid w:val="77B265EF"/>
    <w:rsid w:val="78270463"/>
    <w:rsid w:val="788D7EA7"/>
    <w:rsid w:val="78EA3B59"/>
    <w:rsid w:val="79524811"/>
    <w:rsid w:val="7B2726C7"/>
    <w:rsid w:val="7B360113"/>
    <w:rsid w:val="7B4E2E8F"/>
    <w:rsid w:val="7C016BE2"/>
    <w:rsid w:val="7C8660BD"/>
    <w:rsid w:val="7C8B13A0"/>
    <w:rsid w:val="7C934347"/>
    <w:rsid w:val="7CA05978"/>
    <w:rsid w:val="7DE12E77"/>
    <w:rsid w:val="7E58440E"/>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qFormat/>
    <w:uiPriority w:val="99"/>
    <w:pPr>
      <w:adjustRightInd w:val="0"/>
      <w:spacing w:line="360" w:lineRule="atLeast"/>
      <w:ind w:firstLine="482"/>
      <w:textAlignment w:val="baseline"/>
    </w:pPr>
    <w:rPr>
      <w:kern w:val="0"/>
      <w:sz w:val="24"/>
      <w:szCs w:val="24"/>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3"/>
    <w:semiHidden/>
    <w:qFormat/>
    <w:uiPriority w:val="99"/>
    <w:pPr>
      <w:shd w:val="clear" w:color="auto" w:fill="000080"/>
    </w:pPr>
    <w:rPr>
      <w:kern w:val="0"/>
      <w:sz w:val="20"/>
      <w:szCs w:val="20"/>
      <w:shd w:val="clear" w:color="auto" w:fill="000080"/>
    </w:rPr>
  </w:style>
  <w:style w:type="paragraph" w:styleId="15">
    <w:name w:val="annotation text"/>
    <w:basedOn w:val="1"/>
    <w:link w:val="74"/>
    <w:semiHidden/>
    <w:qFormat/>
    <w:uiPriority w:val="99"/>
    <w:pPr>
      <w:jc w:val="left"/>
    </w:pPr>
  </w:style>
  <w:style w:type="paragraph" w:styleId="16">
    <w:name w:val="Body Text 3"/>
    <w:basedOn w:val="1"/>
    <w:link w:val="75"/>
    <w:qFormat/>
    <w:uiPriority w:val="99"/>
    <w:rPr>
      <w:rFonts w:ascii="宋体" w:cs="宋体"/>
      <w:sz w:val="24"/>
      <w:szCs w:val="24"/>
    </w:rPr>
  </w:style>
  <w:style w:type="paragraph" w:styleId="17">
    <w:name w:val="Body Text"/>
    <w:basedOn w:val="1"/>
    <w:link w:val="76"/>
    <w:qFormat/>
    <w:uiPriority w:val="99"/>
    <w:pPr>
      <w:jc w:val="center"/>
    </w:pPr>
    <w:rPr>
      <w:b/>
      <w:bCs/>
      <w:sz w:val="44"/>
      <w:szCs w:val="4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next w:val="11"/>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5"/>
    <w:next w:val="15"/>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2"/>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3"/>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4"/>
    <w:qFormat/>
    <w:locked/>
    <w:uiPriority w:val="99"/>
    <w:rPr>
      <w:rFonts w:eastAsia="宋体" w:cs="Times New Roman"/>
      <w:b/>
      <w:bCs/>
      <w:kern w:val="2"/>
      <w:sz w:val="32"/>
      <w:szCs w:val="32"/>
      <w:lang w:val="en-US" w:eastAsia="zh-CN"/>
    </w:rPr>
  </w:style>
  <w:style w:type="character" w:customStyle="1" w:styleId="67">
    <w:name w:val="Heading 4 Char"/>
    <w:basedOn w:val="47"/>
    <w:link w:val="5"/>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6"/>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7"/>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8"/>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9"/>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0"/>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4"/>
    <w:qFormat/>
    <w:locked/>
    <w:uiPriority w:val="99"/>
    <w:rPr>
      <w:rFonts w:cs="Times New Roman"/>
      <w:sz w:val="24"/>
      <w:szCs w:val="24"/>
      <w:shd w:val="clear" w:color="auto" w:fill="000080"/>
    </w:rPr>
  </w:style>
  <w:style w:type="character" w:customStyle="1" w:styleId="74">
    <w:name w:val="Comment Text Char"/>
    <w:basedOn w:val="47"/>
    <w:link w:val="15"/>
    <w:qFormat/>
    <w:locked/>
    <w:uiPriority w:val="99"/>
    <w:rPr>
      <w:rFonts w:cs="Times New Roman"/>
      <w:kern w:val="2"/>
      <w:sz w:val="22"/>
      <w:szCs w:val="22"/>
    </w:rPr>
  </w:style>
  <w:style w:type="character" w:customStyle="1" w:styleId="75">
    <w:name w:val="Body Text 3 Char"/>
    <w:basedOn w:val="47"/>
    <w:link w:val="16"/>
    <w:semiHidden/>
    <w:qFormat/>
    <w:locked/>
    <w:uiPriority w:val="99"/>
    <w:rPr>
      <w:rFonts w:cs="Times New Roman"/>
      <w:sz w:val="16"/>
      <w:szCs w:val="16"/>
    </w:rPr>
  </w:style>
  <w:style w:type="character" w:customStyle="1" w:styleId="76">
    <w:name w:val="Body Text Char"/>
    <w:basedOn w:val="47"/>
    <w:link w:val="17"/>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3"/>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4"/>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4"/>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4"/>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qFormat/>
    <w:uiPriority w:val="99"/>
    <w:pPr>
      <w:spacing w:line="413" w:lineRule="auto"/>
    </w:pPr>
  </w:style>
  <w:style w:type="paragraph" w:customStyle="1" w:styleId="134">
    <w:name w:val="TOC 标题1"/>
    <w:basedOn w:val="2"/>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time"/>
    <w:basedOn w:val="47"/>
    <w:qFormat/>
    <w:uiPriority w:val="0"/>
  </w:style>
  <w:style w:type="character" w:customStyle="1" w:styleId="159">
    <w:name w:val="status"/>
    <w:basedOn w:val="47"/>
    <w:qFormat/>
    <w:uiPriority w:val="0"/>
    <w:rPr>
      <w:color w:val="0776DD"/>
    </w:rPr>
  </w:style>
  <w:style w:type="character" w:customStyle="1" w:styleId="160">
    <w:name w:val="room"/>
    <w:basedOn w:val="47"/>
    <w:qFormat/>
    <w:uiPriority w:val="0"/>
  </w:style>
  <w:style w:type="character" w:customStyle="1" w:styleId="161">
    <w:name w:val="timeaxis"/>
    <w:basedOn w:val="47"/>
    <w:qFormat/>
    <w:uiPriority w:val="0"/>
  </w:style>
  <w:style w:type="character" w:customStyle="1" w:styleId="162">
    <w:name w:val="first-child"/>
    <w:basedOn w:val="47"/>
    <w:qFormat/>
    <w:uiPriority w:val="0"/>
  </w:style>
  <w:style w:type="character" w:customStyle="1" w:styleId="163">
    <w:name w:val="layui-layer-tabnow"/>
    <w:basedOn w:val="47"/>
    <w:qFormat/>
    <w:uiPriority w:val="0"/>
    <w:rPr>
      <w:bdr w:val="single" w:color="CCCCCC" w:sz="6" w:space="0"/>
      <w:shd w:val="clear" w:fill="FFFFFF"/>
    </w:rPr>
  </w:style>
  <w:style w:type="character" w:customStyle="1" w:styleId="164">
    <w:name w:val="layui-this"/>
    <w:basedOn w:val="4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35</Pages>
  <Words>5574</Words>
  <Characters>6753</Characters>
  <Lines>0</Lines>
  <Paragraphs>0</Paragraphs>
  <TotalTime>7</TotalTime>
  <ScaleCrop>false</ScaleCrop>
  <LinksUpToDate>false</LinksUpToDate>
  <CharactersWithSpaces>6865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朱启</cp:lastModifiedBy>
  <cp:lastPrinted>2025-11-20T06:51:00Z</cp:lastPrinted>
  <dcterms:modified xsi:type="dcterms:W3CDTF">2026-01-28T07:14:08Z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B86E153A21C14D478B1FEA31789100E0_13</vt:lpwstr>
  </property>
  <property fmtid="{D5CDD505-2E9C-101B-9397-08002B2CF9AE}" pid="4" name="KSOTemplateDocerSaveRecord">
    <vt:lpwstr>eyJoZGlkIjoiZTQ4OTM2MTIyODI3Njc5MTE5MDBiNjA4NzIzYTUzZmEiLCJ1c2VySWQiOiI3MDAwNjg2OTUifQ==</vt:lpwstr>
  </property>
</Properties>
</file>