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4046B">
      <w:pPr>
        <w:pStyle w:val="7"/>
        <w:spacing w:line="480" w:lineRule="auto"/>
        <w:ind w:firstLine="643"/>
        <w:jc w:val="center"/>
        <w:rPr>
          <w:rFonts w:hint="default" w:asciiTheme="minorEastAsia" w:hAnsiTheme="minorEastAsia" w:eastAsiaTheme="minorEastAsia" w:cstheme="minorEastAsia"/>
          <w:b/>
          <w:bCs/>
          <w:sz w:val="32"/>
          <w:szCs w:val="32"/>
          <w:lang w:val="en-US" w:eastAsia="zh-CN"/>
        </w:rPr>
      </w:pPr>
      <w:r>
        <w:rPr>
          <w:rFonts w:hint="eastAsia" w:asciiTheme="minorEastAsia" w:hAnsiTheme="minorEastAsia" w:cstheme="minorEastAsia"/>
          <w:b/>
          <w:bCs/>
          <w:sz w:val="32"/>
          <w:szCs w:val="32"/>
        </w:rPr>
        <w:t>关于</w:t>
      </w:r>
      <w:r>
        <w:rPr>
          <w:rFonts w:hint="eastAsia" w:asciiTheme="minorEastAsia" w:hAnsiTheme="minorEastAsia" w:cstheme="minorEastAsia"/>
          <w:b/>
          <w:bCs/>
          <w:sz w:val="32"/>
          <w:szCs w:val="32"/>
          <w:lang w:eastAsia="zh-CN"/>
        </w:rPr>
        <w:t>滁州工投中都科技产业园</w:t>
      </w:r>
      <w:bookmarkStart w:id="0" w:name="_GoBack"/>
      <w:bookmarkEnd w:id="0"/>
      <w:r>
        <w:rPr>
          <w:rFonts w:hint="eastAsia" w:asciiTheme="minorEastAsia" w:hAnsiTheme="minorEastAsia" w:cstheme="minorEastAsia"/>
          <w:b/>
          <w:bCs/>
          <w:sz w:val="32"/>
          <w:szCs w:val="32"/>
          <w:lang w:eastAsia="zh-CN"/>
        </w:rPr>
        <w:t>（一期）屋面光伏项目EPC项目</w:t>
      </w:r>
      <w:r>
        <w:rPr>
          <w:rFonts w:hint="eastAsia" w:asciiTheme="minorEastAsia" w:hAnsiTheme="minorEastAsia" w:cstheme="minorEastAsia"/>
          <w:b/>
          <w:bCs/>
          <w:sz w:val="32"/>
          <w:szCs w:val="32"/>
        </w:rPr>
        <w:t>的</w:t>
      </w:r>
      <w:r>
        <w:rPr>
          <w:rFonts w:hint="eastAsia" w:asciiTheme="minorEastAsia" w:hAnsiTheme="minorEastAsia" w:cstheme="minorEastAsia"/>
          <w:b/>
          <w:bCs/>
          <w:sz w:val="32"/>
          <w:szCs w:val="32"/>
          <w:lang w:val="en-US" w:eastAsia="zh-CN"/>
        </w:rPr>
        <w:t>答疑2</w:t>
      </w:r>
    </w:p>
    <w:p w14:paraId="7221270B">
      <w:pPr>
        <w:pStyle w:val="7"/>
        <w:spacing w:line="480" w:lineRule="auto"/>
        <w:ind w:firstLine="562"/>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 xml:space="preserve">项目编号：czsjgc202609-003 </w:t>
      </w:r>
    </w:p>
    <w:p w14:paraId="47BA1BE2">
      <w:pPr>
        <w:pStyle w:val="7"/>
        <w:spacing w:line="480" w:lineRule="auto"/>
        <w:ind w:firstLine="480"/>
        <w:rPr>
          <w:rFonts w:asciiTheme="minorEastAsia" w:hAnsiTheme="minorEastAsia" w:cstheme="minorEastAsia"/>
          <w:sz w:val="24"/>
        </w:rPr>
      </w:pPr>
      <w:r>
        <w:rPr>
          <w:rFonts w:hint="eastAsia" w:asciiTheme="minorEastAsia" w:hAnsiTheme="minorEastAsia" w:cstheme="minorEastAsia"/>
          <w:sz w:val="24"/>
        </w:rPr>
        <w:t>各潜在投标人：</w:t>
      </w:r>
    </w:p>
    <w:p w14:paraId="10ACDF61">
      <w:pPr>
        <w:pStyle w:val="7"/>
        <w:spacing w:line="480" w:lineRule="auto"/>
        <w:ind w:firstLine="480"/>
        <w:rPr>
          <w:rFonts w:asciiTheme="minorEastAsia" w:hAnsiTheme="minorEastAsia" w:cstheme="minorEastAsia"/>
          <w:sz w:val="24"/>
        </w:rPr>
      </w:pPr>
      <w:r>
        <w:rPr>
          <w:rFonts w:hint="eastAsia" w:asciiTheme="minorEastAsia" w:hAnsiTheme="minorEastAsia" w:cstheme="minorEastAsia"/>
          <w:sz w:val="24"/>
        </w:rPr>
        <w:t>现对“</w:t>
      </w:r>
      <w:r>
        <w:rPr>
          <w:rFonts w:hint="eastAsia" w:asciiTheme="minorEastAsia" w:hAnsiTheme="minorEastAsia" w:cstheme="minorEastAsia"/>
          <w:sz w:val="24"/>
          <w:lang w:eastAsia="zh-CN"/>
        </w:rPr>
        <w:t>滁州工投中都科技产业园（一期）屋面光伏项目EPC项目</w:t>
      </w:r>
      <w:r>
        <w:rPr>
          <w:rFonts w:hint="eastAsia" w:asciiTheme="minorEastAsia" w:hAnsiTheme="minorEastAsia" w:cstheme="minorEastAsia"/>
          <w:sz w:val="24"/>
        </w:rPr>
        <w:t>”作如下</w:t>
      </w:r>
      <w:r>
        <w:rPr>
          <w:rFonts w:hint="eastAsia" w:asciiTheme="minorEastAsia" w:hAnsiTheme="minorEastAsia" w:cstheme="minorEastAsia"/>
          <w:sz w:val="24"/>
          <w:lang w:val="en-US" w:eastAsia="zh-CN"/>
        </w:rPr>
        <w:t>答疑2</w:t>
      </w:r>
      <w:r>
        <w:rPr>
          <w:rFonts w:hint="eastAsia" w:asciiTheme="minorEastAsia" w:hAnsiTheme="minorEastAsia" w:cstheme="minorEastAsia"/>
          <w:sz w:val="24"/>
        </w:rPr>
        <w:t>：</w:t>
      </w:r>
    </w:p>
    <w:p w14:paraId="1A75AB95">
      <w:pPr>
        <w:pStyle w:val="7"/>
        <w:spacing w:line="480" w:lineRule="auto"/>
        <w:ind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cstheme="minorEastAsia"/>
          <w:sz w:val="24"/>
        </w:rPr>
        <w:t>一、请明确并网电力设备指定元器件品牌具体是哪些？</w:t>
      </w:r>
    </w:p>
    <w:p w14:paraId="36A653D0">
      <w:pPr>
        <w:pStyle w:val="7"/>
        <w:numPr>
          <w:ilvl w:val="0"/>
          <w:numId w:val="0"/>
        </w:numPr>
        <w:spacing w:line="480" w:lineRule="auto"/>
        <w:ind w:firstLine="482" w:firstLineChars="200"/>
        <w:rPr>
          <w:rFonts w:hint="default" w:asciiTheme="minorEastAsia" w:hAnsiTheme="minorEastAsia" w:cstheme="minorEastAsia"/>
          <w:b/>
          <w:bCs/>
          <w:sz w:val="24"/>
          <w:lang w:val="en-US" w:eastAsia="zh-CN"/>
        </w:rPr>
      </w:pPr>
      <w:r>
        <w:rPr>
          <w:rFonts w:hint="eastAsia" w:asciiTheme="minorEastAsia" w:hAnsiTheme="minorEastAsia" w:cstheme="minorEastAsia"/>
          <w:b/>
          <w:bCs/>
          <w:sz w:val="24"/>
          <w:lang w:val="en-US" w:eastAsia="zh-CN"/>
        </w:rPr>
        <w:t>回复：</w:t>
      </w:r>
      <w:r>
        <w:rPr>
          <w:rFonts w:hint="eastAsia" w:asciiTheme="minorEastAsia" w:hAnsiTheme="minorEastAsia" w:cstheme="minorEastAsia"/>
          <w:b w:val="0"/>
          <w:bCs w:val="0"/>
          <w:sz w:val="24"/>
          <w:lang w:val="en-US" w:eastAsia="zh-CN"/>
        </w:rPr>
        <w:t>并网电力设施涵盖内容较多，元器件选型应满足国标及图纸设计要求，对于招标人推荐品牌的材料、设备，投标人可选用推荐品牌或不低于推荐品牌技术性能指标的其他品牌。</w:t>
      </w:r>
    </w:p>
    <w:p w14:paraId="74B2DA94">
      <w:pPr>
        <w:pStyle w:val="7"/>
        <w:spacing w:line="480" w:lineRule="auto"/>
        <w:ind w:firstLine="480" w:firstLineChars="200"/>
        <w:rPr>
          <w:rFonts w:hint="eastAsia" w:asciiTheme="minorEastAsia" w:hAnsiTheme="minorEastAsia" w:eastAsiaTheme="minorEastAsia" w:cstheme="minorEastAsia"/>
          <w:b w:val="0"/>
          <w:bCs w:val="0"/>
          <w:sz w:val="24"/>
          <w:lang w:eastAsia="zh-CN"/>
        </w:rPr>
      </w:pPr>
      <w:r>
        <w:rPr>
          <w:rFonts w:hint="eastAsia" w:asciiTheme="minorEastAsia" w:hAnsiTheme="minorEastAsia" w:cstheme="minorEastAsia"/>
          <w:b w:val="0"/>
          <w:bCs w:val="0"/>
          <w:sz w:val="24"/>
          <w:lang w:val="en-US" w:eastAsia="zh-CN"/>
        </w:rPr>
        <w:t>二、</w:t>
      </w:r>
      <w:r>
        <w:rPr>
          <w:rFonts w:hint="eastAsia" w:asciiTheme="minorEastAsia" w:hAnsiTheme="minorEastAsia" w:cstheme="minorEastAsia"/>
          <w:b w:val="0"/>
          <w:bCs w:val="0"/>
          <w:sz w:val="24"/>
        </w:rPr>
        <w:t>请明确预制舱尺寸，一次舱部分和二次舱部分各占多少？</w:t>
      </w:r>
    </w:p>
    <w:p w14:paraId="799FB8E5">
      <w:pPr>
        <w:pStyle w:val="7"/>
        <w:spacing w:line="480" w:lineRule="auto"/>
        <w:ind w:firstLine="482" w:firstLineChars="200"/>
        <w:rPr>
          <w:rFonts w:hint="default" w:asciiTheme="minorEastAsia" w:hAnsiTheme="minorEastAsia" w:cstheme="minorEastAsia"/>
          <w:b w:val="0"/>
          <w:bCs w:val="0"/>
          <w:sz w:val="24"/>
          <w:lang w:val="en-US" w:eastAsia="zh-CN"/>
        </w:rPr>
      </w:pPr>
      <w:r>
        <w:rPr>
          <w:rFonts w:hint="eastAsia" w:asciiTheme="minorEastAsia" w:hAnsiTheme="minorEastAsia" w:cstheme="minorEastAsia"/>
          <w:b/>
          <w:bCs/>
          <w:sz w:val="24"/>
          <w:lang w:val="en-US" w:eastAsia="zh-CN"/>
        </w:rPr>
        <w:t>回复：</w:t>
      </w:r>
      <w:r>
        <w:rPr>
          <w:rFonts w:hint="eastAsia" w:asciiTheme="minorEastAsia" w:hAnsiTheme="minorEastAsia" w:cstheme="minorEastAsia"/>
          <w:b w:val="0"/>
          <w:bCs w:val="0"/>
          <w:sz w:val="24"/>
          <w:lang w:val="en-US" w:eastAsia="zh-CN"/>
        </w:rPr>
        <w:t xml:space="preserve"> 本项目为EPC项目招标，设计部分属于招标范围，具体根据实际设计为准。</w:t>
      </w:r>
    </w:p>
    <w:p w14:paraId="0821D974">
      <w:pPr>
        <w:pStyle w:val="7"/>
        <w:tabs>
          <w:tab w:val="left" w:pos="5040"/>
        </w:tabs>
        <w:spacing w:line="480" w:lineRule="auto"/>
        <w:ind w:firstLine="480" w:firstLineChars="200"/>
        <w:rPr>
          <w:rFonts w:hint="default" w:asciiTheme="minorEastAsia" w:hAnsiTheme="minorEastAsia" w:cstheme="minorEastAsia"/>
          <w:b w:val="0"/>
          <w:bCs w:val="0"/>
          <w:sz w:val="24"/>
          <w:lang w:val="en-US" w:eastAsia="zh-CN"/>
        </w:rPr>
      </w:pPr>
      <w:r>
        <w:rPr>
          <w:rFonts w:hint="eastAsia" w:asciiTheme="minorEastAsia" w:hAnsiTheme="minorEastAsia" w:cstheme="minorEastAsia"/>
          <w:b w:val="0"/>
          <w:bCs w:val="0"/>
          <w:sz w:val="24"/>
          <w:lang w:val="en-US" w:eastAsia="zh-CN"/>
        </w:rPr>
        <w:t>三、请明确舱体视频、火灾、门禁和环控等辅助系统的供货范围？</w:t>
      </w:r>
    </w:p>
    <w:p w14:paraId="4C1514F3">
      <w:pPr>
        <w:pStyle w:val="7"/>
        <w:spacing w:line="480" w:lineRule="auto"/>
        <w:ind w:firstLine="482" w:firstLineChars="200"/>
        <w:rPr>
          <w:rFonts w:hint="default" w:asciiTheme="minorEastAsia" w:hAnsiTheme="minorEastAsia" w:cstheme="minorEastAsia"/>
          <w:b w:val="0"/>
          <w:bCs w:val="0"/>
          <w:sz w:val="24"/>
          <w:lang w:val="en-US" w:eastAsia="zh-CN"/>
        </w:rPr>
      </w:pPr>
      <w:r>
        <w:rPr>
          <w:rFonts w:hint="eastAsia" w:asciiTheme="minorEastAsia" w:hAnsiTheme="minorEastAsia" w:cstheme="minorEastAsia"/>
          <w:b/>
          <w:bCs/>
          <w:sz w:val="24"/>
          <w:lang w:val="en-US" w:eastAsia="zh-CN"/>
        </w:rPr>
        <w:t>回复：</w:t>
      </w:r>
      <w:r>
        <w:rPr>
          <w:rFonts w:hint="eastAsia" w:asciiTheme="minorEastAsia" w:hAnsiTheme="minorEastAsia" w:cstheme="minorEastAsia"/>
          <w:b w:val="0"/>
          <w:bCs w:val="0"/>
          <w:sz w:val="24"/>
          <w:lang w:val="en-US" w:eastAsia="zh-CN"/>
        </w:rPr>
        <w:t>本项目为EPC项目招标，设计部分属于招标范围，具体根据实际设计为准。</w:t>
      </w:r>
    </w:p>
    <w:p w14:paraId="255CCA13">
      <w:pPr>
        <w:pStyle w:val="7"/>
        <w:spacing w:line="480" w:lineRule="auto"/>
        <w:ind w:firstLine="480" w:firstLineChars="200"/>
        <w:rPr>
          <w:rFonts w:hint="eastAsia" w:asciiTheme="minorEastAsia" w:hAnsiTheme="minorEastAsia" w:cstheme="minorEastAsia"/>
          <w:b w:val="0"/>
          <w:bCs w:val="0"/>
          <w:sz w:val="24"/>
          <w:lang w:val="en-US" w:eastAsia="zh-CN"/>
        </w:rPr>
      </w:pPr>
      <w:r>
        <w:rPr>
          <w:rFonts w:hint="eastAsia" w:asciiTheme="minorEastAsia" w:hAnsiTheme="minorEastAsia" w:cstheme="minorEastAsia"/>
          <w:b w:val="0"/>
          <w:bCs w:val="0"/>
          <w:sz w:val="24"/>
          <w:lang w:val="en-US" w:eastAsia="zh-CN"/>
        </w:rPr>
        <w:t>四、可行性研究报告中关于650Wp单晶单面组件重量参数为32.5Kg，此重量为单晶双面组件重量，请明确是否以单晶单面650Wp组件报价为准？</w:t>
      </w:r>
    </w:p>
    <w:p w14:paraId="2A8A2B0C">
      <w:pPr>
        <w:pStyle w:val="7"/>
        <w:spacing w:line="480" w:lineRule="auto"/>
        <w:ind w:firstLine="482" w:firstLineChars="200"/>
        <w:rPr>
          <w:rFonts w:hint="eastAsia" w:asciiTheme="minorEastAsia" w:hAnsiTheme="minorEastAsia" w:cstheme="minorEastAsia"/>
          <w:b w:val="0"/>
          <w:bCs w:val="0"/>
          <w:sz w:val="24"/>
          <w:lang w:val="en-US" w:eastAsia="zh-CN"/>
        </w:rPr>
      </w:pPr>
      <w:r>
        <w:rPr>
          <w:rFonts w:hint="eastAsia" w:asciiTheme="minorEastAsia" w:hAnsiTheme="minorEastAsia" w:cstheme="minorEastAsia"/>
          <w:b/>
          <w:bCs/>
          <w:sz w:val="24"/>
          <w:lang w:val="en-US" w:eastAsia="zh-CN"/>
        </w:rPr>
        <w:t>回复：</w:t>
      </w:r>
      <w:r>
        <w:rPr>
          <w:rFonts w:hint="eastAsia" w:asciiTheme="minorEastAsia" w:hAnsiTheme="minorEastAsia" w:cstheme="minorEastAsia"/>
          <w:b w:val="0"/>
          <w:bCs w:val="0"/>
          <w:sz w:val="24"/>
          <w:lang w:val="en-US" w:eastAsia="zh-CN"/>
        </w:rPr>
        <w:t>本项目为EPC项目，组件选型等包含在设计中，具体以项目实际为准，且本项目合同价格形式为固定单价合同（含税），请综合考虑报价。</w:t>
      </w:r>
    </w:p>
    <w:p w14:paraId="0DF194C3">
      <w:pPr>
        <w:pStyle w:val="7"/>
        <w:spacing w:line="480" w:lineRule="auto"/>
        <w:ind w:firstLine="480" w:firstLineChars="200"/>
        <w:rPr>
          <w:rFonts w:hint="eastAsia" w:asciiTheme="minorEastAsia" w:hAnsiTheme="minorEastAsia" w:cstheme="minorEastAsia"/>
          <w:b w:val="0"/>
          <w:bCs w:val="0"/>
          <w:sz w:val="24"/>
          <w:lang w:val="en-US" w:eastAsia="zh-CN"/>
        </w:rPr>
      </w:pPr>
      <w:r>
        <w:rPr>
          <w:rFonts w:hint="eastAsia" w:asciiTheme="minorEastAsia" w:hAnsiTheme="minorEastAsia" w:cstheme="minorEastAsia"/>
          <w:b w:val="0"/>
          <w:bCs w:val="0"/>
          <w:sz w:val="24"/>
          <w:lang w:val="en-US" w:eastAsia="zh-CN"/>
        </w:rPr>
        <w:t>五、招标文件要求每提供1个电气试验或登高作业或电焊特种作业证书得1分 1、本项目屋面光伏EPC现场高空作业工作内容边界明确，项目实施过程中的高空作业仅为光伏电气安装作业以及焊接与热切割作业，不存在独立于电工、电焊本职之外的其他高处作业工序。项目全部高空作业场景均属于电工、电焊人员从事本职工作范畴。2、按照应急管理部 20260601新版《特种作业目录》培训考核设定逻辑：高压电工培训考核科目已包含登高安全用具使用、登杆作业等高处作业相关技能；焊接与热切割作业考核同样包含本职场景下高处作业相关内容。法规层面本意：电工、电焊人员在开展自身本职作业时，不需要重复持有高处作业特种作业证。该规定不是“部分涵盖高处作业”，而是针对该类岗位本职工作场景免除重复取证。3、原答疑回复理解存在偏差：原回复认为“从事本职工作时”仅为局部限定、不能涵盖高处作业全部内容。但本项目现实工况并没有其它类型高处作业，全部高空作业就是电工、电焊的本职工作，并不存在需要独立高处作业证的其他作业场景。如果此种工况下仍然强制要求单独提供高处作业证作为得分条件，实质上形成变相重复取证的计分门槛，与新版《特种作业目录》的立法导向相冲突。 综上，在本项目屋面光伏EPC项目工况条件下，人员持有合法有效的高压电工证（电工作业）、电焊（焊接与热切割作业）特种作业证书，项目现场高空作业属于其本职工作范围，应当满足招标文件该条评分项要求，应予以计分。</w:t>
      </w:r>
    </w:p>
    <w:p w14:paraId="132B344F">
      <w:pPr>
        <w:pStyle w:val="7"/>
        <w:spacing w:line="480" w:lineRule="auto"/>
        <w:ind w:firstLine="482" w:firstLineChars="200"/>
        <w:rPr>
          <w:rFonts w:hint="default" w:asciiTheme="minorEastAsia" w:hAnsiTheme="minorEastAsia" w:cstheme="minorEastAsia"/>
          <w:b/>
          <w:bCs/>
          <w:sz w:val="24"/>
          <w:lang w:val="en-US"/>
        </w:rPr>
      </w:pPr>
      <w:r>
        <w:rPr>
          <w:rFonts w:hint="eastAsia" w:asciiTheme="minorEastAsia" w:hAnsiTheme="minorEastAsia" w:cstheme="minorEastAsia"/>
          <w:b/>
          <w:bCs/>
          <w:sz w:val="24"/>
          <w:lang w:val="en-US" w:eastAsia="zh-CN"/>
        </w:rPr>
        <w:t>回复：</w:t>
      </w:r>
      <w:r>
        <w:rPr>
          <w:rFonts w:hint="eastAsia" w:asciiTheme="minorEastAsia" w:hAnsiTheme="minorEastAsia" w:cstheme="minorEastAsia"/>
          <w:b w:val="0"/>
          <w:bCs w:val="0"/>
          <w:sz w:val="24"/>
          <w:lang w:val="en-US" w:eastAsia="zh-CN"/>
        </w:rPr>
        <w:t>电工、电焊主要涉及电工作业，项目施工过程中，涉及物料搬运等非电工作业。同时，本项目投运后运维工作涉及高处作业，包含清洁等内容。因此，本项目存在需要独立高处作业的其他作业场景且招标文件约定每提供1个电气试验或登高作业或电焊特种作业证书得1分，并非只设置登高作业证书。故本项不调整。</w:t>
      </w:r>
    </w:p>
    <w:p w14:paraId="1A3C6592">
      <w:pPr>
        <w:pStyle w:val="7"/>
        <w:spacing w:line="480" w:lineRule="auto"/>
        <w:ind w:firstLine="482" w:firstLineChars="200"/>
        <w:rPr>
          <w:rFonts w:asciiTheme="minorEastAsia" w:hAnsiTheme="minorEastAsia" w:cstheme="minorEastAsia"/>
          <w:sz w:val="24"/>
        </w:rPr>
      </w:pPr>
      <w:r>
        <w:rPr>
          <w:rFonts w:hint="eastAsia" w:asciiTheme="minorEastAsia" w:hAnsiTheme="minorEastAsia" w:cstheme="minorEastAsia"/>
          <w:b/>
          <w:bCs/>
          <w:sz w:val="24"/>
        </w:rPr>
        <w:t>注：此</w:t>
      </w:r>
      <w:r>
        <w:rPr>
          <w:rFonts w:hint="eastAsia" w:asciiTheme="minorEastAsia" w:hAnsiTheme="minorEastAsia" w:cstheme="minorEastAsia"/>
          <w:b/>
          <w:bCs/>
          <w:sz w:val="24"/>
          <w:lang w:val="en-US" w:eastAsia="zh-CN"/>
        </w:rPr>
        <w:t>答疑2</w:t>
      </w:r>
      <w:r>
        <w:rPr>
          <w:rFonts w:hint="eastAsia" w:asciiTheme="minorEastAsia" w:hAnsiTheme="minorEastAsia" w:cstheme="minorEastAsia"/>
          <w:b/>
          <w:bCs/>
          <w:sz w:val="24"/>
        </w:rPr>
        <w:t>视同招标文件的组成部分，与招标文件具有同等法律效力。请各潜在投标人及时查看下载。如因投标人不及时查看，造成后果由投标人自行承担</w:t>
      </w:r>
      <w:r>
        <w:rPr>
          <w:rFonts w:hint="eastAsia" w:asciiTheme="minorEastAsia" w:hAnsiTheme="minorEastAsia" w:cstheme="minorEastAsia"/>
          <w:b/>
          <w:bCs/>
          <w:sz w:val="24"/>
          <w:lang w:eastAsia="zh-CN"/>
        </w:rPr>
        <w:t>。</w:t>
      </w:r>
      <w:r>
        <w:rPr>
          <w:rFonts w:hint="eastAsia" w:asciiTheme="minorEastAsia" w:hAnsiTheme="minorEastAsia" w:cstheme="minorEastAsia"/>
          <w:b/>
          <w:bCs/>
          <w:sz w:val="24"/>
        </w:rPr>
        <w:t>　</w:t>
      </w:r>
    </w:p>
    <w:p w14:paraId="3945348D">
      <w:pPr>
        <w:pStyle w:val="7"/>
        <w:spacing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　招标人名称：滁州工投中都科技产业园有限公司</w:t>
      </w:r>
    </w:p>
    <w:p w14:paraId="7DCEEF0A">
      <w:pPr>
        <w:pStyle w:val="7"/>
        <w:spacing w:line="360" w:lineRule="auto"/>
        <w:ind w:firstLine="480"/>
        <w:rPr>
          <w:rFonts w:asciiTheme="minorEastAsia" w:hAnsiTheme="minorEastAsia" w:cstheme="minorEastAsia"/>
          <w:sz w:val="24"/>
        </w:rPr>
      </w:pPr>
      <w:r>
        <w:rPr>
          <w:rFonts w:hint="eastAsia" w:asciiTheme="minorEastAsia" w:hAnsiTheme="minorEastAsia" w:cstheme="minorEastAsia"/>
          <w:sz w:val="24"/>
        </w:rPr>
        <w:t>　地址：滁州市凤阳县琉璃岗路与凤翔大道交口</w:t>
      </w:r>
    </w:p>
    <w:p w14:paraId="21635B27">
      <w:pPr>
        <w:pStyle w:val="7"/>
        <w:spacing w:line="360" w:lineRule="auto"/>
        <w:ind w:firstLine="480"/>
        <w:rPr>
          <w:rFonts w:asciiTheme="minorEastAsia" w:hAnsiTheme="minorEastAsia" w:cstheme="minorEastAsia"/>
          <w:sz w:val="24"/>
        </w:rPr>
      </w:pPr>
      <w:r>
        <w:rPr>
          <w:rFonts w:hint="eastAsia" w:asciiTheme="minorEastAsia" w:hAnsiTheme="minorEastAsia" w:cstheme="minorEastAsia"/>
          <w:sz w:val="24"/>
        </w:rPr>
        <w:t>　联系人：</w:t>
      </w:r>
      <w:r>
        <w:rPr>
          <w:rFonts w:hint="eastAsia" w:asciiTheme="minorEastAsia" w:hAnsiTheme="minorEastAsia" w:cstheme="minorEastAsia"/>
          <w:sz w:val="24"/>
          <w:lang w:val="en-US" w:eastAsia="zh-CN"/>
        </w:rPr>
        <w:t>蒋工、刘工</w:t>
      </w:r>
    </w:p>
    <w:p w14:paraId="560B0DFF">
      <w:pPr>
        <w:pStyle w:val="7"/>
        <w:spacing w:line="360" w:lineRule="auto"/>
        <w:ind w:firstLine="480"/>
        <w:rPr>
          <w:rFonts w:asciiTheme="minorEastAsia" w:hAnsiTheme="minorEastAsia" w:cstheme="minorEastAsia"/>
          <w:sz w:val="24"/>
        </w:rPr>
      </w:pPr>
      <w:r>
        <w:rPr>
          <w:rFonts w:hint="eastAsia" w:asciiTheme="minorEastAsia" w:hAnsiTheme="minorEastAsia" w:cstheme="minorEastAsia"/>
          <w:sz w:val="24"/>
        </w:rPr>
        <w:t xml:space="preserve">　联系方式：0550-3018125、19355030932                               </w:t>
      </w:r>
    </w:p>
    <w:p w14:paraId="55686F28">
      <w:pPr>
        <w:pStyle w:val="7"/>
        <w:spacing w:line="360" w:lineRule="auto"/>
        <w:ind w:firstLine="480"/>
        <w:rPr>
          <w:rFonts w:asciiTheme="minorEastAsia" w:hAnsiTheme="minorEastAsia" w:cstheme="minorEastAsia"/>
          <w:sz w:val="24"/>
        </w:rPr>
      </w:pPr>
      <w:r>
        <w:rPr>
          <w:rFonts w:hint="eastAsia" w:asciiTheme="minorEastAsia" w:hAnsiTheme="minorEastAsia" w:cstheme="minorEastAsia"/>
          <w:sz w:val="24"/>
        </w:rPr>
        <w:t>　招标代理机构名称：滁州市城投工程咨询管理有限公司</w:t>
      </w:r>
    </w:p>
    <w:p w14:paraId="0E8035F3">
      <w:pPr>
        <w:pStyle w:val="7"/>
        <w:spacing w:line="360" w:lineRule="auto"/>
        <w:ind w:firstLine="480"/>
        <w:rPr>
          <w:rFonts w:asciiTheme="minorEastAsia" w:hAnsiTheme="minorEastAsia" w:cstheme="minorEastAsia"/>
          <w:sz w:val="24"/>
        </w:rPr>
      </w:pPr>
      <w:r>
        <w:rPr>
          <w:rFonts w:hint="eastAsia" w:asciiTheme="minorEastAsia" w:hAnsiTheme="minorEastAsia" w:cstheme="minorEastAsia"/>
          <w:sz w:val="24"/>
        </w:rPr>
        <w:t xml:space="preserve">　地址：滁州市龙蟠大道109号房产商务大厦6楼605室 </w:t>
      </w:r>
    </w:p>
    <w:p w14:paraId="43BA64A2">
      <w:pPr>
        <w:pStyle w:val="7"/>
        <w:spacing w:line="360" w:lineRule="auto"/>
        <w:ind w:firstLine="480"/>
        <w:rPr>
          <w:rFonts w:asciiTheme="minorEastAsia" w:hAnsiTheme="minorEastAsia" w:cstheme="minorEastAsia"/>
          <w:sz w:val="24"/>
        </w:rPr>
      </w:pPr>
      <w:r>
        <w:rPr>
          <w:rFonts w:hint="eastAsia" w:asciiTheme="minorEastAsia" w:hAnsiTheme="minorEastAsia" w:cstheme="minorEastAsia"/>
          <w:sz w:val="24"/>
        </w:rPr>
        <w:t>　联系人：曹思敏</w:t>
      </w:r>
    </w:p>
    <w:p w14:paraId="7B17088A">
      <w:pPr>
        <w:pStyle w:val="7"/>
        <w:spacing w:line="360" w:lineRule="auto"/>
        <w:ind w:firstLine="480"/>
        <w:rPr>
          <w:rFonts w:asciiTheme="minorEastAsia" w:hAnsiTheme="minorEastAsia" w:cstheme="minorEastAsia"/>
          <w:sz w:val="24"/>
        </w:rPr>
      </w:pPr>
      <w:r>
        <w:rPr>
          <w:rFonts w:hint="eastAsia" w:asciiTheme="minorEastAsia" w:hAnsiTheme="minorEastAsia" w:cstheme="minorEastAsia"/>
          <w:sz w:val="24"/>
        </w:rPr>
        <w:t>　联系方式：0550-3519516、18712012204  </w:t>
      </w:r>
    </w:p>
    <w:p w14:paraId="63254BCE">
      <w:pPr>
        <w:pStyle w:val="7"/>
        <w:spacing w:line="360" w:lineRule="auto"/>
        <w:ind w:firstLine="480" w:firstLineChars="200"/>
      </w:pPr>
      <w:r>
        <w:rPr>
          <w:rFonts w:hint="eastAsia" w:asciiTheme="minorEastAsia" w:hAnsiTheme="minorEastAsia" w:cstheme="minorEastAsia"/>
          <w:sz w:val="24"/>
        </w:rPr>
        <w:t>　202</w:t>
      </w:r>
      <w:r>
        <w:rPr>
          <w:rFonts w:hint="eastAsia" w:asciiTheme="minorEastAsia" w:hAnsiTheme="minorEastAsia" w:cstheme="minorEastAsia"/>
          <w:sz w:val="24"/>
          <w:lang w:val="en-US" w:eastAsia="zh-CN"/>
        </w:rPr>
        <w:t>6</w:t>
      </w:r>
      <w:r>
        <w:rPr>
          <w:rFonts w:hint="eastAsia" w:asciiTheme="minorEastAsia" w:hAnsiTheme="minorEastAsia" w:cstheme="minorEastAsia"/>
          <w:sz w:val="24"/>
        </w:rPr>
        <w:t>年</w:t>
      </w:r>
      <w:r>
        <w:rPr>
          <w:rFonts w:hint="eastAsia" w:asciiTheme="minorEastAsia" w:hAnsiTheme="minorEastAsia" w:cstheme="minorEastAsia"/>
          <w:sz w:val="24"/>
          <w:lang w:val="en-US" w:eastAsia="zh-CN"/>
        </w:rPr>
        <w:t>9</w:t>
      </w:r>
      <w:r>
        <w:rPr>
          <w:rFonts w:hint="eastAsia" w:asciiTheme="minorEastAsia" w:hAnsiTheme="minorEastAsia" w:cstheme="minorEastAsia"/>
          <w:sz w:val="24"/>
        </w:rPr>
        <w:t>月</w:t>
      </w:r>
      <w:r>
        <w:rPr>
          <w:rFonts w:hint="eastAsia" w:asciiTheme="minorEastAsia" w:hAnsiTheme="minorEastAsia" w:cstheme="minorEastAsia"/>
          <w:sz w:val="24"/>
          <w:lang w:val="en-US" w:eastAsia="zh-CN"/>
        </w:rPr>
        <w:t>28</w:t>
      </w:r>
      <w:r>
        <w:rPr>
          <w:rFonts w:hint="eastAsia" w:asciiTheme="minorEastAsia" w:hAnsiTheme="minorEastAsia" w:cstheme="minorEastAsia"/>
          <w:sz w:val="24"/>
        </w:rPr>
        <w:t>日</w:t>
      </w:r>
    </w:p>
    <w:sectPr>
      <w:pgSz w:w="12240" w:h="15840"/>
      <w:pgMar w:top="1020" w:right="980" w:bottom="760" w:left="1180"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ActionIcon ! important">
    <w:altName w:val="ksdb"/>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1OGJkZDZlMmJiZjgxZThhZWQ4YzE0YWIxYTUyMmQifQ=="/>
  </w:docVars>
  <w:rsids>
    <w:rsidRoot w:val="6AF7236C"/>
    <w:rsid w:val="00022C36"/>
    <w:rsid w:val="000369C4"/>
    <w:rsid w:val="000847C4"/>
    <w:rsid w:val="000E4C9D"/>
    <w:rsid w:val="00113E0E"/>
    <w:rsid w:val="00127F7F"/>
    <w:rsid w:val="0013061C"/>
    <w:rsid w:val="0014586F"/>
    <w:rsid w:val="00157F84"/>
    <w:rsid w:val="001A5BDD"/>
    <w:rsid w:val="001D0F54"/>
    <w:rsid w:val="00210254"/>
    <w:rsid w:val="00283CDF"/>
    <w:rsid w:val="002875BC"/>
    <w:rsid w:val="002A752D"/>
    <w:rsid w:val="002C0705"/>
    <w:rsid w:val="002D50CE"/>
    <w:rsid w:val="002F0CD3"/>
    <w:rsid w:val="00302ABB"/>
    <w:rsid w:val="00335425"/>
    <w:rsid w:val="00354F54"/>
    <w:rsid w:val="00360BF9"/>
    <w:rsid w:val="00365838"/>
    <w:rsid w:val="0038280F"/>
    <w:rsid w:val="00383059"/>
    <w:rsid w:val="0039114C"/>
    <w:rsid w:val="00395C45"/>
    <w:rsid w:val="003A06B5"/>
    <w:rsid w:val="003A42B7"/>
    <w:rsid w:val="00400B85"/>
    <w:rsid w:val="00407826"/>
    <w:rsid w:val="00415D20"/>
    <w:rsid w:val="004405F7"/>
    <w:rsid w:val="0044621F"/>
    <w:rsid w:val="00484B69"/>
    <w:rsid w:val="00492774"/>
    <w:rsid w:val="004C3E95"/>
    <w:rsid w:val="0050109A"/>
    <w:rsid w:val="00510284"/>
    <w:rsid w:val="00511899"/>
    <w:rsid w:val="00533819"/>
    <w:rsid w:val="00564F84"/>
    <w:rsid w:val="00620B0B"/>
    <w:rsid w:val="00651CB9"/>
    <w:rsid w:val="006D0C2D"/>
    <w:rsid w:val="006E5650"/>
    <w:rsid w:val="006F5D5C"/>
    <w:rsid w:val="00711549"/>
    <w:rsid w:val="00771BFE"/>
    <w:rsid w:val="007B699F"/>
    <w:rsid w:val="007F2B79"/>
    <w:rsid w:val="00815B3B"/>
    <w:rsid w:val="00837CA9"/>
    <w:rsid w:val="0087220F"/>
    <w:rsid w:val="00875EB0"/>
    <w:rsid w:val="00886939"/>
    <w:rsid w:val="0089286E"/>
    <w:rsid w:val="008A6288"/>
    <w:rsid w:val="008F10F2"/>
    <w:rsid w:val="008F4A12"/>
    <w:rsid w:val="00916455"/>
    <w:rsid w:val="00995BDF"/>
    <w:rsid w:val="009D1F9D"/>
    <w:rsid w:val="00A12D00"/>
    <w:rsid w:val="00A534D4"/>
    <w:rsid w:val="00A831E1"/>
    <w:rsid w:val="00AB1D00"/>
    <w:rsid w:val="00AD7328"/>
    <w:rsid w:val="00B01ABF"/>
    <w:rsid w:val="00B06B47"/>
    <w:rsid w:val="00B2395A"/>
    <w:rsid w:val="00B53610"/>
    <w:rsid w:val="00B632E1"/>
    <w:rsid w:val="00B84212"/>
    <w:rsid w:val="00BE1736"/>
    <w:rsid w:val="00BE2A89"/>
    <w:rsid w:val="00BE6B79"/>
    <w:rsid w:val="00C06D92"/>
    <w:rsid w:val="00C374FF"/>
    <w:rsid w:val="00C6491F"/>
    <w:rsid w:val="00C7438F"/>
    <w:rsid w:val="00CF2A1F"/>
    <w:rsid w:val="00D062CF"/>
    <w:rsid w:val="00D205F7"/>
    <w:rsid w:val="00D46EF0"/>
    <w:rsid w:val="00D70404"/>
    <w:rsid w:val="00D946E0"/>
    <w:rsid w:val="00DA5345"/>
    <w:rsid w:val="00DA7C6A"/>
    <w:rsid w:val="00DC6CE5"/>
    <w:rsid w:val="00DD21E3"/>
    <w:rsid w:val="00DE0A8D"/>
    <w:rsid w:val="00DE29B4"/>
    <w:rsid w:val="00DF187B"/>
    <w:rsid w:val="00E143A9"/>
    <w:rsid w:val="00E17272"/>
    <w:rsid w:val="00E719C7"/>
    <w:rsid w:val="00E875E4"/>
    <w:rsid w:val="00EC244F"/>
    <w:rsid w:val="00F12AE0"/>
    <w:rsid w:val="00F23DF2"/>
    <w:rsid w:val="00F5327D"/>
    <w:rsid w:val="00F76FF2"/>
    <w:rsid w:val="00F850F9"/>
    <w:rsid w:val="00FC6480"/>
    <w:rsid w:val="00FE6358"/>
    <w:rsid w:val="068A32AF"/>
    <w:rsid w:val="07630750"/>
    <w:rsid w:val="078E1545"/>
    <w:rsid w:val="07ED7DD7"/>
    <w:rsid w:val="0B09751C"/>
    <w:rsid w:val="0BE737FA"/>
    <w:rsid w:val="0BE81B6C"/>
    <w:rsid w:val="0CFD1647"/>
    <w:rsid w:val="0D0533D3"/>
    <w:rsid w:val="0EE03304"/>
    <w:rsid w:val="0F620C9F"/>
    <w:rsid w:val="13545D39"/>
    <w:rsid w:val="146E5FEF"/>
    <w:rsid w:val="1533327F"/>
    <w:rsid w:val="15E300E0"/>
    <w:rsid w:val="1699033E"/>
    <w:rsid w:val="175E5BBE"/>
    <w:rsid w:val="18FD3611"/>
    <w:rsid w:val="190A2E61"/>
    <w:rsid w:val="1B1639D5"/>
    <w:rsid w:val="1BCD0437"/>
    <w:rsid w:val="1BE007BA"/>
    <w:rsid w:val="1C3C6BFF"/>
    <w:rsid w:val="1E870D71"/>
    <w:rsid w:val="1EFC218B"/>
    <w:rsid w:val="20691BA1"/>
    <w:rsid w:val="20A52356"/>
    <w:rsid w:val="225936BB"/>
    <w:rsid w:val="22695F19"/>
    <w:rsid w:val="2378512C"/>
    <w:rsid w:val="24AA2E33"/>
    <w:rsid w:val="24C604B1"/>
    <w:rsid w:val="25EA3C7F"/>
    <w:rsid w:val="266A21BD"/>
    <w:rsid w:val="267563A8"/>
    <w:rsid w:val="26D2116C"/>
    <w:rsid w:val="281C077C"/>
    <w:rsid w:val="28537F15"/>
    <w:rsid w:val="2A915829"/>
    <w:rsid w:val="2B20626C"/>
    <w:rsid w:val="2C7D45A5"/>
    <w:rsid w:val="2CB76CC5"/>
    <w:rsid w:val="2D614E83"/>
    <w:rsid w:val="2E115F76"/>
    <w:rsid w:val="2E2619A1"/>
    <w:rsid w:val="2E526232"/>
    <w:rsid w:val="30B43D72"/>
    <w:rsid w:val="312E6430"/>
    <w:rsid w:val="31A07AD7"/>
    <w:rsid w:val="31D5250E"/>
    <w:rsid w:val="31F9766E"/>
    <w:rsid w:val="32384404"/>
    <w:rsid w:val="325F4087"/>
    <w:rsid w:val="340867BE"/>
    <w:rsid w:val="3428494C"/>
    <w:rsid w:val="344E43B3"/>
    <w:rsid w:val="34843DEA"/>
    <w:rsid w:val="349B0835"/>
    <w:rsid w:val="363244D7"/>
    <w:rsid w:val="36614AE9"/>
    <w:rsid w:val="369566E4"/>
    <w:rsid w:val="36D93CDC"/>
    <w:rsid w:val="3737059E"/>
    <w:rsid w:val="3791247D"/>
    <w:rsid w:val="37B97A3C"/>
    <w:rsid w:val="383E1B29"/>
    <w:rsid w:val="39522EA0"/>
    <w:rsid w:val="39A65225"/>
    <w:rsid w:val="3A795251"/>
    <w:rsid w:val="3B266E3B"/>
    <w:rsid w:val="3B8F20BC"/>
    <w:rsid w:val="3BAD59F7"/>
    <w:rsid w:val="3BDB6726"/>
    <w:rsid w:val="3C9D408E"/>
    <w:rsid w:val="3D063730"/>
    <w:rsid w:val="3E2C7DBE"/>
    <w:rsid w:val="3F86427C"/>
    <w:rsid w:val="41A07535"/>
    <w:rsid w:val="43DD12AF"/>
    <w:rsid w:val="44126ACE"/>
    <w:rsid w:val="450058AF"/>
    <w:rsid w:val="45230F44"/>
    <w:rsid w:val="458F2DB0"/>
    <w:rsid w:val="45AD1F4E"/>
    <w:rsid w:val="46B300A5"/>
    <w:rsid w:val="46FF2AAE"/>
    <w:rsid w:val="491A08B0"/>
    <w:rsid w:val="4976499D"/>
    <w:rsid w:val="4D155616"/>
    <w:rsid w:val="4D5F7F6E"/>
    <w:rsid w:val="4D922814"/>
    <w:rsid w:val="4FAC7D88"/>
    <w:rsid w:val="50BC6DC3"/>
    <w:rsid w:val="54F52689"/>
    <w:rsid w:val="55AF2380"/>
    <w:rsid w:val="56BC0159"/>
    <w:rsid w:val="56C53F4E"/>
    <w:rsid w:val="5A214710"/>
    <w:rsid w:val="5A997ECC"/>
    <w:rsid w:val="5B8D4239"/>
    <w:rsid w:val="5BFD3C9A"/>
    <w:rsid w:val="5C2D5158"/>
    <w:rsid w:val="5DD010E5"/>
    <w:rsid w:val="5F11506C"/>
    <w:rsid w:val="5FE67BB0"/>
    <w:rsid w:val="5FFB04C7"/>
    <w:rsid w:val="60793D34"/>
    <w:rsid w:val="60D365C5"/>
    <w:rsid w:val="60DC77A1"/>
    <w:rsid w:val="62933FD1"/>
    <w:rsid w:val="62F07BD8"/>
    <w:rsid w:val="63974B7F"/>
    <w:rsid w:val="64B711D1"/>
    <w:rsid w:val="64EC2CA8"/>
    <w:rsid w:val="67996413"/>
    <w:rsid w:val="68725BBA"/>
    <w:rsid w:val="68F465CF"/>
    <w:rsid w:val="692F7608"/>
    <w:rsid w:val="6AF7236C"/>
    <w:rsid w:val="6B7E237E"/>
    <w:rsid w:val="6BFB0FC2"/>
    <w:rsid w:val="6C501D6F"/>
    <w:rsid w:val="6D090AE2"/>
    <w:rsid w:val="6DF92264"/>
    <w:rsid w:val="6EAE5472"/>
    <w:rsid w:val="6ED40115"/>
    <w:rsid w:val="6F5E0C47"/>
    <w:rsid w:val="6FB10D76"/>
    <w:rsid w:val="70023BC2"/>
    <w:rsid w:val="71940950"/>
    <w:rsid w:val="73831F18"/>
    <w:rsid w:val="746F2FAE"/>
    <w:rsid w:val="74F82FA3"/>
    <w:rsid w:val="75113D7D"/>
    <w:rsid w:val="75726C98"/>
    <w:rsid w:val="761839BC"/>
    <w:rsid w:val="761C0F14"/>
    <w:rsid w:val="76F523EF"/>
    <w:rsid w:val="77C10B91"/>
    <w:rsid w:val="79E64466"/>
    <w:rsid w:val="79EB53F5"/>
    <w:rsid w:val="7A8552D9"/>
    <w:rsid w:val="7AE047A8"/>
    <w:rsid w:val="7B1966DD"/>
    <w:rsid w:val="7B79030E"/>
    <w:rsid w:val="7C3F7B31"/>
    <w:rsid w:val="7C6D5616"/>
    <w:rsid w:val="7D4960AF"/>
    <w:rsid w:val="7D9E0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qFormat="1" w:unhideWhenUsed="0" w:uiPriority="39" w:semiHidden="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5">
    <w:name w:val="Default Paragraph Font"/>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toc 7"/>
    <w:basedOn w:val="1"/>
    <w:next w:val="1"/>
    <w:autoRedefine/>
    <w:qFormat/>
    <w:uiPriority w:val="39"/>
    <w:pPr>
      <w:ind w:left="1260"/>
      <w:jc w:val="left"/>
    </w:pPr>
    <w:rPr>
      <w:sz w:val="18"/>
      <w:szCs w:val="18"/>
    </w:rPr>
  </w:style>
  <w:style w:type="paragraph" w:styleId="3">
    <w:name w:val="annotation text"/>
    <w:basedOn w:val="1"/>
    <w:link w:val="29"/>
    <w:autoRedefine/>
    <w:qFormat/>
    <w:uiPriority w:val="0"/>
    <w:pPr>
      <w:jc w:val="left"/>
    </w:pPr>
  </w:style>
  <w:style w:type="paragraph" w:styleId="4">
    <w:name w:val="Body Text"/>
    <w:basedOn w:val="1"/>
    <w:autoRedefine/>
    <w:semiHidden/>
    <w:qFormat/>
    <w:uiPriority w:val="0"/>
    <w:rPr>
      <w:rFonts w:ascii="宋体" w:hAnsi="宋体" w:eastAsia="宋体" w:cs="宋体"/>
      <w:sz w:val="28"/>
      <w:szCs w:val="28"/>
      <w:lang w:eastAsia="en-US"/>
    </w:rPr>
  </w:style>
  <w:style w:type="paragraph" w:styleId="5">
    <w:name w:val="Body Text Indent"/>
    <w:basedOn w:val="1"/>
    <w:next w:val="6"/>
    <w:autoRedefine/>
    <w:qFormat/>
    <w:uiPriority w:val="0"/>
    <w:pPr>
      <w:spacing w:after="120"/>
      <w:ind w:left="420" w:leftChars="200"/>
    </w:pPr>
  </w:style>
  <w:style w:type="paragraph" w:styleId="6">
    <w:name w:val="envelope return"/>
    <w:basedOn w:val="1"/>
    <w:next w:val="2"/>
    <w:autoRedefine/>
    <w:qFormat/>
    <w:uiPriority w:val="0"/>
    <w:pPr>
      <w:snapToGrid w:val="0"/>
    </w:pPr>
    <w:rPr>
      <w:rFonts w:ascii="Arial" w:hAnsi="Arial"/>
    </w:rPr>
  </w:style>
  <w:style w:type="paragraph" w:styleId="7">
    <w:name w:val="Plain Text"/>
    <w:basedOn w:val="1"/>
    <w:autoRedefine/>
    <w:qFormat/>
    <w:uiPriority w:val="0"/>
    <w:rPr>
      <w:rFonts w:ascii="宋体" w:hAnsi="Courier New"/>
    </w:rPr>
  </w:style>
  <w:style w:type="paragraph" w:styleId="8">
    <w:name w:val="Balloon Text"/>
    <w:basedOn w:val="1"/>
    <w:link w:val="31"/>
    <w:autoRedefine/>
    <w:qFormat/>
    <w:uiPriority w:val="0"/>
    <w:rPr>
      <w:sz w:val="18"/>
      <w:szCs w:val="18"/>
    </w:rPr>
  </w:style>
  <w:style w:type="paragraph" w:styleId="9">
    <w:name w:val="footer"/>
    <w:basedOn w:val="1"/>
    <w:link w:val="35"/>
    <w:autoRedefine/>
    <w:qFormat/>
    <w:uiPriority w:val="0"/>
    <w:pPr>
      <w:tabs>
        <w:tab w:val="center" w:pos="4153"/>
        <w:tab w:val="right" w:pos="8306"/>
      </w:tabs>
      <w:snapToGrid w:val="0"/>
      <w:jc w:val="left"/>
    </w:pPr>
    <w:rPr>
      <w:sz w:val="18"/>
      <w:szCs w:val="18"/>
    </w:rPr>
  </w:style>
  <w:style w:type="paragraph" w:styleId="10">
    <w:name w:val="header"/>
    <w:basedOn w:val="1"/>
    <w:link w:val="34"/>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2">
    <w:name w:val="annotation subject"/>
    <w:basedOn w:val="3"/>
    <w:next w:val="3"/>
    <w:link w:val="30"/>
    <w:autoRedefine/>
    <w:qFormat/>
    <w:uiPriority w:val="0"/>
    <w:rPr>
      <w:b/>
      <w:bCs/>
    </w:rPr>
  </w:style>
  <w:style w:type="paragraph" w:styleId="13">
    <w:name w:val="Body Text First Indent 2"/>
    <w:basedOn w:val="5"/>
    <w:next w:val="1"/>
    <w:autoRedefine/>
    <w:qFormat/>
    <w:uiPriority w:val="99"/>
    <w:pPr>
      <w:ind w:firstLine="420" w:firstLineChars="200"/>
    </w:pPr>
  </w:style>
  <w:style w:type="character" w:styleId="16">
    <w:name w:val="Strong"/>
    <w:basedOn w:val="15"/>
    <w:qFormat/>
    <w:uiPriority w:val="0"/>
    <w:rPr>
      <w:b/>
      <w:bCs/>
    </w:rPr>
  </w:style>
  <w:style w:type="character" w:styleId="17">
    <w:name w:val="FollowedHyperlink"/>
    <w:basedOn w:val="15"/>
    <w:autoRedefine/>
    <w:qFormat/>
    <w:uiPriority w:val="0"/>
    <w:rPr>
      <w:color w:val="333333"/>
      <w:u w:val="none"/>
    </w:rPr>
  </w:style>
  <w:style w:type="character" w:styleId="18">
    <w:name w:val="Emphasis"/>
    <w:basedOn w:val="15"/>
    <w:qFormat/>
    <w:uiPriority w:val="0"/>
    <w:rPr>
      <w:b/>
      <w:bCs/>
    </w:rPr>
  </w:style>
  <w:style w:type="character" w:styleId="19">
    <w:name w:val="HTML Definition"/>
    <w:basedOn w:val="15"/>
    <w:semiHidden/>
    <w:unhideWhenUsed/>
    <w:qFormat/>
    <w:uiPriority w:val="0"/>
  </w:style>
  <w:style w:type="character" w:styleId="20">
    <w:name w:val="HTML Typewriter"/>
    <w:basedOn w:val="15"/>
    <w:semiHidden/>
    <w:unhideWhenUsed/>
    <w:qFormat/>
    <w:uiPriority w:val="0"/>
    <w:rPr>
      <w:rFonts w:hint="default" w:ascii="monospace" w:hAnsi="monospace" w:eastAsia="monospace" w:cs="monospace"/>
      <w:sz w:val="20"/>
    </w:rPr>
  </w:style>
  <w:style w:type="character" w:styleId="21">
    <w:name w:val="HTML Acronym"/>
    <w:basedOn w:val="15"/>
    <w:semiHidden/>
    <w:unhideWhenUsed/>
    <w:qFormat/>
    <w:uiPriority w:val="0"/>
    <w:rPr>
      <w:rFonts w:ascii="ActionIcon ! important" w:hAnsi="ActionIcon ! important" w:eastAsia="ActionIcon ! important" w:cs="ActionIcon ! important"/>
      <w:sz w:val="24"/>
      <w:szCs w:val="24"/>
    </w:rPr>
  </w:style>
  <w:style w:type="character" w:styleId="22">
    <w:name w:val="HTML Variable"/>
    <w:basedOn w:val="15"/>
    <w:semiHidden/>
    <w:unhideWhenUsed/>
    <w:qFormat/>
    <w:uiPriority w:val="0"/>
  </w:style>
  <w:style w:type="character" w:styleId="23">
    <w:name w:val="Hyperlink"/>
    <w:basedOn w:val="15"/>
    <w:autoRedefine/>
    <w:qFormat/>
    <w:uiPriority w:val="0"/>
    <w:rPr>
      <w:color w:val="333333"/>
      <w:u w:val="none"/>
    </w:rPr>
  </w:style>
  <w:style w:type="character" w:styleId="24">
    <w:name w:val="HTML Code"/>
    <w:basedOn w:val="15"/>
    <w:semiHidden/>
    <w:unhideWhenUsed/>
    <w:qFormat/>
    <w:uiPriority w:val="0"/>
    <w:rPr>
      <w:rFonts w:hint="default" w:ascii="monospace" w:hAnsi="monospace" w:eastAsia="monospace" w:cs="monospace"/>
      <w:sz w:val="20"/>
    </w:rPr>
  </w:style>
  <w:style w:type="character" w:styleId="25">
    <w:name w:val="annotation reference"/>
    <w:basedOn w:val="15"/>
    <w:autoRedefine/>
    <w:qFormat/>
    <w:uiPriority w:val="0"/>
    <w:rPr>
      <w:sz w:val="21"/>
      <w:szCs w:val="21"/>
    </w:rPr>
  </w:style>
  <w:style w:type="character" w:styleId="26">
    <w:name w:val="HTML Cite"/>
    <w:basedOn w:val="15"/>
    <w:semiHidden/>
    <w:unhideWhenUsed/>
    <w:qFormat/>
    <w:uiPriority w:val="0"/>
  </w:style>
  <w:style w:type="character" w:styleId="27">
    <w:name w:val="HTML Keyboard"/>
    <w:basedOn w:val="15"/>
    <w:semiHidden/>
    <w:unhideWhenUsed/>
    <w:qFormat/>
    <w:uiPriority w:val="0"/>
    <w:rPr>
      <w:rFonts w:ascii="monospace" w:hAnsi="monospace" w:eastAsia="monospace" w:cs="monospace"/>
      <w:sz w:val="20"/>
    </w:rPr>
  </w:style>
  <w:style w:type="character" w:styleId="28">
    <w:name w:val="HTML Sample"/>
    <w:basedOn w:val="15"/>
    <w:semiHidden/>
    <w:unhideWhenUsed/>
    <w:qFormat/>
    <w:uiPriority w:val="0"/>
    <w:rPr>
      <w:rFonts w:hint="default" w:ascii="monospace" w:hAnsi="monospace" w:eastAsia="monospace" w:cs="monospace"/>
    </w:rPr>
  </w:style>
  <w:style w:type="character" w:customStyle="1" w:styleId="29">
    <w:name w:val="批注文字 Char"/>
    <w:basedOn w:val="15"/>
    <w:link w:val="3"/>
    <w:autoRedefine/>
    <w:qFormat/>
    <w:uiPriority w:val="0"/>
    <w:rPr>
      <w:rFonts w:asciiTheme="minorHAnsi" w:hAnsiTheme="minorHAnsi" w:eastAsiaTheme="minorEastAsia" w:cstheme="minorBidi"/>
      <w:kern w:val="2"/>
      <w:sz w:val="21"/>
      <w:szCs w:val="24"/>
    </w:rPr>
  </w:style>
  <w:style w:type="character" w:customStyle="1" w:styleId="30">
    <w:name w:val="批注主题 Char"/>
    <w:basedOn w:val="29"/>
    <w:link w:val="12"/>
    <w:autoRedefine/>
    <w:qFormat/>
    <w:uiPriority w:val="0"/>
    <w:rPr>
      <w:rFonts w:asciiTheme="minorHAnsi" w:hAnsiTheme="minorHAnsi" w:eastAsiaTheme="minorEastAsia" w:cstheme="minorBidi"/>
      <w:b/>
      <w:bCs/>
      <w:kern w:val="2"/>
      <w:sz w:val="21"/>
      <w:szCs w:val="24"/>
    </w:rPr>
  </w:style>
  <w:style w:type="character" w:customStyle="1" w:styleId="31">
    <w:name w:val="批注框文本 Char"/>
    <w:basedOn w:val="15"/>
    <w:link w:val="8"/>
    <w:autoRedefine/>
    <w:qFormat/>
    <w:uiPriority w:val="0"/>
    <w:rPr>
      <w:rFonts w:asciiTheme="minorHAnsi" w:hAnsiTheme="minorHAnsi" w:eastAsiaTheme="minorEastAsia" w:cstheme="minorBidi"/>
      <w:kern w:val="2"/>
      <w:sz w:val="18"/>
      <w:szCs w:val="18"/>
    </w:rPr>
  </w:style>
  <w:style w:type="paragraph" w:styleId="32">
    <w:name w:val="List Paragraph"/>
    <w:basedOn w:val="1"/>
    <w:autoRedefine/>
    <w:unhideWhenUsed/>
    <w:qFormat/>
    <w:uiPriority w:val="99"/>
    <w:pPr>
      <w:ind w:firstLine="420" w:firstLineChars="200"/>
    </w:pPr>
  </w:style>
  <w:style w:type="paragraph" w:customStyle="1" w:styleId="33">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34">
    <w:name w:val="页眉 Char"/>
    <w:basedOn w:val="15"/>
    <w:link w:val="10"/>
    <w:autoRedefine/>
    <w:qFormat/>
    <w:uiPriority w:val="0"/>
    <w:rPr>
      <w:rFonts w:asciiTheme="minorHAnsi" w:hAnsiTheme="minorHAnsi" w:eastAsiaTheme="minorEastAsia" w:cstheme="minorBidi"/>
      <w:kern w:val="2"/>
      <w:sz w:val="18"/>
      <w:szCs w:val="18"/>
    </w:rPr>
  </w:style>
  <w:style w:type="character" w:customStyle="1" w:styleId="35">
    <w:name w:val="页脚 Char"/>
    <w:basedOn w:val="15"/>
    <w:link w:val="9"/>
    <w:autoRedefine/>
    <w:qFormat/>
    <w:uiPriority w:val="0"/>
    <w:rPr>
      <w:rFonts w:asciiTheme="minorHAnsi" w:hAnsiTheme="minorHAnsi" w:eastAsiaTheme="minorEastAsia" w:cstheme="minorBidi"/>
      <w:kern w:val="2"/>
      <w:sz w:val="18"/>
      <w:szCs w:val="18"/>
    </w:rPr>
  </w:style>
  <w:style w:type="character" w:customStyle="1" w:styleId="36">
    <w:name w:val="hover"/>
    <w:basedOn w:val="15"/>
    <w:qFormat/>
    <w:uiPriority w:val="0"/>
  </w:style>
  <w:style w:type="character" w:customStyle="1" w:styleId="37">
    <w:name w:val="hover1"/>
    <w:basedOn w:val="15"/>
    <w:qFormat/>
    <w:uiPriority w:val="0"/>
    <w:rPr>
      <w:color w:val="2590EB"/>
    </w:rPr>
  </w:style>
  <w:style w:type="character" w:customStyle="1" w:styleId="38">
    <w:name w:val="hover2"/>
    <w:basedOn w:val="15"/>
    <w:qFormat/>
    <w:uiPriority w:val="0"/>
    <w:rPr>
      <w:color w:val="2590EB"/>
    </w:rPr>
  </w:style>
  <w:style w:type="character" w:customStyle="1" w:styleId="39">
    <w:name w:val="hover3"/>
    <w:basedOn w:val="15"/>
    <w:qFormat/>
    <w:uiPriority w:val="0"/>
    <w:rPr>
      <w:color w:val="2590EB"/>
      <w:shd w:val="clear" w:fill="E9F4FD"/>
    </w:rPr>
  </w:style>
  <w:style w:type="character" w:customStyle="1" w:styleId="40">
    <w:name w:val="mini-outputtext1"/>
    <w:basedOn w:val="1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3F0E5-A2E5-41BC-A042-36036AEF8B84}">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1357</Words>
  <Characters>1456</Characters>
  <Lines>43</Lines>
  <Paragraphs>12</Paragraphs>
  <TotalTime>38</TotalTime>
  <ScaleCrop>false</ScaleCrop>
  <LinksUpToDate>false</LinksUpToDate>
  <CharactersWithSpaces>1505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2023-12-24T18:18:00Z</dcterms:created>
  <dc:creator>admin</dc:creator>
  <cp:lastModifiedBy>Pim Pom丶</cp:lastModifiedBy>
  <cp:lastPrinted>2022-11-28T08:24:00Z</cp:lastPrinted>
  <dcterms:modified xsi:type="dcterms:W3CDTF">2026-09-28T03:09:40Z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E563DCE42DAF4B03934EF8E5E746F729_13</vt:lpwstr>
  </property>
  <property fmtid="{D5CDD505-2E9C-101B-9397-08002B2CF9AE}" pid="4" name="KSOTemplateDocerSaveRecord">
    <vt:lpwstr>eyJoZGlkIjoiOTk1OGJkZDZlMmJiZjgxZThhZWQ4YzE0YWIxYTUyMmQiLCJ1c2VySWQiOiI0MDkyMjI1MTkifQ==</vt:lpwstr>
  </property>
</Properties>
</file>