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31E7B">
      <w:pPr>
        <w:widowControl/>
        <w:spacing w:line="357" w:lineRule="atLeast"/>
        <w:rPr>
          <w:rFonts w:asciiTheme="majorEastAsia" w:hAnsiTheme="majorEastAsia" w:eastAsiaTheme="majorEastAsia" w:cstheme="majorEastAsia"/>
          <w:color w:val="auto"/>
          <w:sz w:val="39"/>
          <w:szCs w:val="21"/>
          <w:highlight w:val="none"/>
        </w:rPr>
      </w:pPr>
    </w:p>
    <w:p w14:paraId="17DB5A82">
      <w:pPr>
        <w:widowControl/>
        <w:spacing w:line="357" w:lineRule="atLeast"/>
        <w:rPr>
          <w:rFonts w:asciiTheme="majorEastAsia" w:hAnsiTheme="majorEastAsia" w:eastAsiaTheme="majorEastAsia" w:cstheme="majorEastAsia"/>
          <w:color w:val="auto"/>
          <w:sz w:val="39"/>
          <w:szCs w:val="21"/>
          <w:highlight w:val="none"/>
        </w:rPr>
      </w:pPr>
    </w:p>
    <w:p w14:paraId="14478F2C">
      <w:pPr>
        <w:widowControl/>
        <w:spacing w:line="357" w:lineRule="atLeast"/>
        <w:jc w:val="center"/>
        <w:rPr>
          <w:rFonts w:hint="eastAsia" w:asciiTheme="majorEastAsia" w:hAnsiTheme="majorEastAsia" w:eastAsiaTheme="majorEastAsia" w:cstheme="majorEastAsia"/>
          <w:b/>
          <w:color w:val="auto"/>
          <w:kern w:val="0"/>
          <w:sz w:val="84"/>
          <w:szCs w:val="84"/>
          <w:highlight w:val="none"/>
          <w:u w:color="000000"/>
          <w:lang w:eastAsia="zh-CN" w:bidi="ar"/>
        </w:rPr>
      </w:pPr>
      <w:r>
        <w:rPr>
          <w:rFonts w:hint="eastAsia" w:asciiTheme="majorEastAsia" w:hAnsiTheme="majorEastAsia" w:eastAsiaTheme="majorEastAsia" w:cstheme="majorEastAsia"/>
          <w:b/>
          <w:color w:val="auto"/>
          <w:kern w:val="0"/>
          <w:sz w:val="44"/>
          <w:highlight w:val="none"/>
          <w:u w:color="000000"/>
          <w:lang w:eastAsia="zh-CN" w:bidi="ar"/>
        </w:rPr>
        <w:t>滁州工投企业服务有限公司管理施工工地物业服务外包项目</w:t>
      </w:r>
    </w:p>
    <w:p w14:paraId="614827B3">
      <w:pPr>
        <w:widowControl/>
        <w:spacing w:line="357" w:lineRule="atLeast"/>
        <w:jc w:val="center"/>
        <w:rPr>
          <w:rFonts w:hint="eastAsia" w:asciiTheme="majorEastAsia" w:hAnsiTheme="majorEastAsia" w:eastAsiaTheme="majorEastAsia" w:cstheme="majorEastAsia"/>
          <w:b/>
          <w:color w:val="auto"/>
          <w:kern w:val="0"/>
          <w:sz w:val="84"/>
          <w:szCs w:val="84"/>
          <w:highlight w:val="none"/>
          <w:u w:color="000000"/>
          <w:lang w:bidi="ar"/>
        </w:rPr>
      </w:pPr>
    </w:p>
    <w:p w14:paraId="3277EA58">
      <w:pPr>
        <w:widowControl/>
        <w:spacing w:line="357" w:lineRule="atLeast"/>
        <w:jc w:val="center"/>
        <w:rPr>
          <w:rFonts w:asciiTheme="majorEastAsia" w:hAnsiTheme="majorEastAsia" w:eastAsiaTheme="majorEastAsia" w:cstheme="majorEastAsia"/>
          <w:bCs/>
          <w:color w:val="auto"/>
          <w:sz w:val="28"/>
          <w:szCs w:val="28"/>
          <w:highlight w:val="none"/>
        </w:rPr>
      </w:pPr>
      <w:r>
        <w:rPr>
          <w:rFonts w:hint="eastAsia" w:asciiTheme="majorEastAsia" w:hAnsiTheme="majorEastAsia" w:eastAsiaTheme="majorEastAsia" w:cstheme="majorEastAsia"/>
          <w:b/>
          <w:color w:val="auto"/>
          <w:kern w:val="0"/>
          <w:sz w:val="84"/>
          <w:szCs w:val="84"/>
          <w:highlight w:val="none"/>
          <w:u w:color="000000"/>
          <w:lang w:bidi="ar"/>
        </w:rPr>
        <w:t>招 标 文 件</w:t>
      </w:r>
    </w:p>
    <w:p w14:paraId="560C28A3">
      <w:pPr>
        <w:widowControl/>
        <w:spacing w:line="357" w:lineRule="atLeast"/>
        <w:ind w:firstLine="2520" w:firstLineChars="9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bCs/>
          <w:color w:val="auto"/>
          <w:kern w:val="0"/>
          <w:sz w:val="28"/>
          <w:szCs w:val="28"/>
          <w:highlight w:val="none"/>
          <w:u w:color="000000"/>
          <w:lang w:bidi="ar"/>
        </w:rPr>
        <w:t xml:space="preserve">                 </w:t>
      </w:r>
    </w:p>
    <w:p w14:paraId="32948E7F">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09AB8DC1">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0374CF69">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05EFC43B">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48A29683">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7863F8AC">
      <w:pPr>
        <w:adjustRightInd w:val="0"/>
        <w:snapToGrid w:val="0"/>
        <w:ind w:firstLine="302" w:firstLineChars="94"/>
        <w:rPr>
          <w:rFonts w:asciiTheme="majorEastAsia" w:hAnsiTheme="majorEastAsia" w:eastAsiaTheme="majorEastAsia" w:cstheme="majorEastAsia"/>
          <w:b/>
          <w:color w:val="auto"/>
          <w:sz w:val="32"/>
          <w:highlight w:val="none"/>
          <w:u w:val="thick"/>
        </w:rPr>
      </w:pPr>
      <w:r>
        <w:rPr>
          <w:rFonts w:hint="eastAsia" w:asciiTheme="majorEastAsia" w:hAnsiTheme="majorEastAsia" w:eastAsiaTheme="majorEastAsia" w:cstheme="majorEastAsia"/>
          <w:b/>
          <w:color w:val="auto"/>
          <w:sz w:val="32"/>
          <w:highlight w:val="none"/>
        </w:rPr>
        <w:t>招  标  人:</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eastAsia="zh-CN"/>
        </w:rPr>
        <w:t>滁州工投企业服务有限公司</w:t>
      </w:r>
      <w:r>
        <w:rPr>
          <w:rFonts w:hint="eastAsia" w:asciiTheme="majorEastAsia" w:hAnsiTheme="majorEastAsia" w:eastAsiaTheme="majorEastAsia" w:cstheme="majorEastAsia"/>
          <w:b/>
          <w:color w:val="auto"/>
          <w:sz w:val="32"/>
          <w:highlight w:val="none"/>
          <w:u w:val="thick"/>
        </w:rPr>
        <w:t xml:space="preserve">    </w:t>
      </w:r>
    </w:p>
    <w:p w14:paraId="7B751B68">
      <w:pPr>
        <w:adjustRightInd w:val="0"/>
        <w:snapToGrid w:val="0"/>
        <w:ind w:firstLine="302" w:firstLineChars="94"/>
        <w:rPr>
          <w:rFonts w:asciiTheme="majorEastAsia" w:hAnsiTheme="majorEastAsia" w:eastAsiaTheme="majorEastAsia" w:cstheme="majorEastAsia"/>
          <w:b/>
          <w:color w:val="auto"/>
          <w:sz w:val="32"/>
          <w:highlight w:val="none"/>
          <w:u w:val="thick"/>
        </w:rPr>
      </w:pPr>
    </w:p>
    <w:p w14:paraId="47DD9953">
      <w:pPr>
        <w:adjustRightInd w:val="0"/>
        <w:snapToGrid w:val="0"/>
        <w:ind w:firstLine="340" w:firstLineChars="94"/>
        <w:rPr>
          <w:rFonts w:asciiTheme="majorEastAsia" w:hAnsiTheme="majorEastAsia" w:eastAsiaTheme="majorEastAsia" w:cstheme="majorEastAsia"/>
          <w:color w:val="auto"/>
          <w:spacing w:val="20"/>
          <w:sz w:val="32"/>
          <w:highlight w:val="none"/>
          <w:u w:val="single"/>
        </w:rPr>
      </w:pPr>
      <w:r>
        <w:rPr>
          <w:rFonts w:hint="eastAsia" w:asciiTheme="majorEastAsia" w:hAnsiTheme="majorEastAsia" w:eastAsiaTheme="majorEastAsia" w:cstheme="majorEastAsia"/>
          <w:b/>
          <w:color w:val="auto"/>
          <w:spacing w:val="20"/>
          <w:sz w:val="32"/>
          <w:highlight w:val="none"/>
        </w:rPr>
        <w:t>招标代理机构:</w:t>
      </w:r>
      <w:r>
        <w:rPr>
          <w:rFonts w:hint="eastAsia" w:asciiTheme="majorEastAsia" w:hAnsiTheme="majorEastAsia" w:eastAsiaTheme="majorEastAsia" w:cstheme="majorEastAsia"/>
          <w:b/>
          <w:color w:val="auto"/>
          <w:spacing w:val="20"/>
          <w:sz w:val="32"/>
          <w:highlight w:val="none"/>
          <w:u w:val="thick"/>
        </w:rPr>
        <w:t xml:space="preserve"> </w:t>
      </w:r>
      <w:r>
        <w:rPr>
          <w:rFonts w:hint="eastAsia" w:asciiTheme="majorEastAsia" w:hAnsiTheme="majorEastAsia" w:eastAsiaTheme="majorEastAsia" w:cstheme="majorEastAsia"/>
          <w:b/>
          <w:color w:val="auto"/>
          <w:sz w:val="32"/>
          <w:highlight w:val="none"/>
          <w:u w:val="thick"/>
        </w:rPr>
        <w:t xml:space="preserve">滁州市城投工程咨询管理有限公司   </w:t>
      </w:r>
    </w:p>
    <w:p w14:paraId="233B0719">
      <w:pPr>
        <w:adjustRightInd w:val="0"/>
        <w:snapToGrid w:val="0"/>
        <w:rPr>
          <w:rFonts w:asciiTheme="majorEastAsia" w:hAnsiTheme="majorEastAsia" w:eastAsiaTheme="majorEastAsia" w:cstheme="majorEastAsia"/>
          <w:color w:val="auto"/>
          <w:spacing w:val="20"/>
          <w:sz w:val="32"/>
          <w:highlight w:val="none"/>
          <w:u w:val="single"/>
        </w:rPr>
      </w:pPr>
    </w:p>
    <w:p w14:paraId="2EE94364">
      <w:pPr>
        <w:adjustRightInd w:val="0"/>
        <w:snapToGrid w:val="0"/>
        <w:spacing w:line="460" w:lineRule="exact"/>
        <w:ind w:firstLine="354" w:firstLineChars="98"/>
        <w:rPr>
          <w:rFonts w:asciiTheme="majorEastAsia" w:hAnsiTheme="majorEastAsia" w:eastAsiaTheme="majorEastAsia" w:cstheme="majorEastAsia"/>
          <w:b/>
          <w:color w:val="auto"/>
          <w:spacing w:val="20"/>
          <w:sz w:val="32"/>
          <w:szCs w:val="32"/>
          <w:highlight w:val="none"/>
        </w:rPr>
      </w:pPr>
      <w:r>
        <w:rPr>
          <w:rFonts w:hint="eastAsia" w:asciiTheme="majorEastAsia" w:hAnsiTheme="majorEastAsia" w:eastAsiaTheme="majorEastAsia" w:cstheme="majorEastAsia"/>
          <w:b/>
          <w:color w:val="auto"/>
          <w:spacing w:val="20"/>
          <w:sz w:val="32"/>
          <w:highlight w:val="none"/>
        </w:rPr>
        <w:t>发 布 日 期:</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eastAsia="zh-CN"/>
        </w:rPr>
        <w:t>2026年8月</w:t>
      </w:r>
      <w:r>
        <w:rPr>
          <w:rFonts w:hint="eastAsia" w:asciiTheme="majorEastAsia" w:hAnsiTheme="majorEastAsia" w:eastAsiaTheme="majorEastAsia" w:cstheme="majorEastAsia"/>
          <w:b/>
          <w:color w:val="auto"/>
          <w:sz w:val="32"/>
          <w:highlight w:val="none"/>
          <w:u w:val="thick"/>
        </w:rPr>
        <w:t xml:space="preserve">            </w:t>
      </w:r>
    </w:p>
    <w:p w14:paraId="68D7C784">
      <w:pPr>
        <w:pStyle w:val="7"/>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6BA82604">
      <w:pPr>
        <w:widowControl/>
        <w:spacing w:line="357" w:lineRule="atLeast"/>
        <w:ind w:right="-216" w:rightChars="-103"/>
        <w:jc w:val="center"/>
        <w:rPr>
          <w:rFonts w:hint="eastAsia" w:asciiTheme="majorEastAsia" w:hAnsiTheme="majorEastAsia" w:eastAsiaTheme="majorEastAsia" w:cstheme="majorEastAsia"/>
          <w:b/>
          <w:color w:val="auto"/>
          <w:kern w:val="0"/>
          <w:sz w:val="36"/>
          <w:szCs w:val="36"/>
          <w:highlight w:val="none"/>
          <w:u w:color="000000"/>
          <w:lang w:bidi="ar"/>
        </w:rPr>
      </w:pPr>
    </w:p>
    <w:p w14:paraId="178CF897">
      <w:pPr>
        <w:widowControl/>
        <w:spacing w:line="357" w:lineRule="atLeast"/>
        <w:ind w:right="-216" w:rightChars="-103"/>
        <w:jc w:val="center"/>
        <w:rPr>
          <w:rFonts w:asciiTheme="majorEastAsia" w:hAnsiTheme="majorEastAsia" w:eastAsiaTheme="majorEastAsia" w:cstheme="majorEastAsia"/>
          <w:b/>
          <w:color w:val="auto"/>
          <w:sz w:val="36"/>
          <w:szCs w:val="36"/>
          <w:highlight w:val="none"/>
        </w:rPr>
      </w:pPr>
      <w:r>
        <w:rPr>
          <w:rFonts w:hint="eastAsia" w:asciiTheme="majorEastAsia" w:hAnsiTheme="majorEastAsia" w:eastAsiaTheme="majorEastAsia" w:cstheme="majorEastAsia"/>
          <w:b/>
          <w:color w:val="auto"/>
          <w:kern w:val="0"/>
          <w:sz w:val="36"/>
          <w:szCs w:val="36"/>
          <w:highlight w:val="none"/>
          <w:u w:color="000000"/>
          <w:lang w:bidi="ar"/>
        </w:rPr>
        <w:t xml:space="preserve"> </w:t>
      </w:r>
    </w:p>
    <w:p w14:paraId="405CA85F">
      <w:pPr>
        <w:jc w:val="center"/>
        <w:rPr>
          <w:rFonts w:asciiTheme="majorEastAsia" w:hAnsiTheme="majorEastAsia" w:eastAsiaTheme="majorEastAsia" w:cstheme="majorEastAsia"/>
          <w:b/>
          <w:color w:val="auto"/>
          <w:kern w:val="0"/>
          <w:sz w:val="36"/>
          <w:szCs w:val="36"/>
          <w:highlight w:val="none"/>
          <w:u w:color="000000"/>
          <w:lang w:bidi="ar"/>
        </w:rPr>
      </w:pPr>
    </w:p>
    <w:p w14:paraId="4A35CBD6">
      <w:pPr>
        <w:jc w:val="center"/>
        <w:rPr>
          <w:rFonts w:asciiTheme="majorEastAsia" w:hAnsiTheme="majorEastAsia" w:eastAsiaTheme="majorEastAsia" w:cstheme="majorEastAsia"/>
          <w:b/>
          <w:color w:val="auto"/>
          <w:sz w:val="36"/>
          <w:szCs w:val="36"/>
          <w:highlight w:val="none"/>
        </w:rPr>
      </w:pPr>
      <w:r>
        <w:rPr>
          <w:rFonts w:hint="eastAsia" w:asciiTheme="majorEastAsia" w:hAnsiTheme="majorEastAsia" w:eastAsiaTheme="majorEastAsia" w:cstheme="majorEastAsia"/>
          <w:b/>
          <w:color w:val="auto"/>
          <w:kern w:val="0"/>
          <w:sz w:val="36"/>
          <w:szCs w:val="36"/>
          <w:highlight w:val="none"/>
          <w:u w:color="000000"/>
          <w:lang w:bidi="ar"/>
        </w:rPr>
        <w:t>目  录</w:t>
      </w:r>
    </w:p>
    <w:p w14:paraId="6B807A22">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第一章  招标公告</w:t>
      </w:r>
      <w:bookmarkStart w:id="0" w:name="OLE_LINK4"/>
      <w:r>
        <w:rPr>
          <w:rFonts w:hint="eastAsia" w:asciiTheme="majorEastAsia" w:hAnsiTheme="majorEastAsia" w:eastAsiaTheme="majorEastAsia" w:cstheme="majorEastAsia"/>
          <w:color w:val="auto"/>
          <w:kern w:val="0"/>
          <w:sz w:val="24"/>
          <w:highlight w:val="none"/>
          <w:u w:color="000000"/>
          <w:lang w:bidi="ar"/>
        </w:rPr>
        <w:t xml:space="preserve"> …………………………………………………………………</w:t>
      </w:r>
      <w:bookmarkEnd w:id="0"/>
      <w:r>
        <w:rPr>
          <w:rFonts w:hint="eastAsia" w:asciiTheme="majorEastAsia" w:hAnsiTheme="majorEastAsia" w:eastAsiaTheme="majorEastAsia" w:cstheme="majorEastAsia"/>
          <w:color w:val="auto"/>
          <w:kern w:val="0"/>
          <w:sz w:val="24"/>
          <w:highlight w:val="none"/>
          <w:u w:color="000000"/>
          <w:lang w:bidi="ar"/>
        </w:rPr>
        <w:t>1</w:t>
      </w:r>
    </w:p>
    <w:p w14:paraId="41497BB4">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第二章  投标人须知 ………………………………………………………………3</w:t>
      </w:r>
    </w:p>
    <w:p w14:paraId="0F60C85A">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第三章  资格审查办法……………………………………………………………13</w:t>
      </w:r>
    </w:p>
    <w:p w14:paraId="5A682E3C">
      <w:pPr>
        <w:widowControl/>
        <w:spacing w:line="720" w:lineRule="auto"/>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第四章  评标办法…………………………………………………………………14</w:t>
      </w:r>
    </w:p>
    <w:p w14:paraId="6373F9FD">
      <w:pPr>
        <w:widowControl/>
        <w:spacing w:line="720" w:lineRule="auto"/>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第五章  采购需求和服务要求……………………………………………………18</w:t>
      </w:r>
    </w:p>
    <w:p w14:paraId="16E6E083">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第六章  合同条款及格式…………………………………………………………22</w:t>
      </w:r>
    </w:p>
    <w:p w14:paraId="303D6698">
      <w:pPr>
        <w:widowControl/>
        <w:spacing w:line="720" w:lineRule="auto"/>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第七章  投标文件格式……………………………………………………………26</w:t>
      </w:r>
    </w:p>
    <w:p w14:paraId="200C2CDE">
      <w:pPr>
        <w:widowControl/>
        <w:spacing w:line="720" w:lineRule="auto"/>
        <w:rPr>
          <w:rFonts w:hint="default"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kern w:val="0"/>
          <w:sz w:val="24"/>
          <w:highlight w:val="none"/>
          <w:u w:color="000000"/>
          <w:lang w:bidi="ar"/>
        </w:rPr>
        <w:t>第八章  招标人、招标代理机构对本招标文件的确认…………………………</w:t>
      </w:r>
      <w:r>
        <w:rPr>
          <w:rFonts w:hint="eastAsia" w:asciiTheme="majorEastAsia" w:hAnsiTheme="majorEastAsia" w:eastAsiaTheme="majorEastAsia" w:cstheme="majorEastAsia"/>
          <w:color w:val="auto"/>
          <w:kern w:val="0"/>
          <w:sz w:val="24"/>
          <w:highlight w:val="none"/>
          <w:u w:color="000000"/>
          <w:lang w:val="en-US" w:eastAsia="zh-CN" w:bidi="ar"/>
        </w:rPr>
        <w:t>47</w:t>
      </w:r>
    </w:p>
    <w:p w14:paraId="41F3F4C0">
      <w:pPr>
        <w:rPr>
          <w:rFonts w:asciiTheme="majorEastAsia" w:hAnsiTheme="majorEastAsia" w:eastAsiaTheme="majorEastAsia" w:cstheme="majorEastAsia"/>
          <w:color w:val="auto"/>
          <w:sz w:val="24"/>
          <w:highlight w:val="none"/>
          <w:lang w:bidi="ar"/>
        </w:rPr>
        <w:sectPr>
          <w:pgSz w:w="11906" w:h="16838"/>
          <w:pgMar w:top="1440" w:right="1800" w:bottom="1440" w:left="1800" w:header="851" w:footer="992" w:gutter="0"/>
          <w:pgNumType w:start="1"/>
          <w:cols w:space="425" w:num="1"/>
          <w:docGrid w:type="lines" w:linePitch="312" w:charSpace="0"/>
        </w:sectPr>
      </w:pPr>
    </w:p>
    <w:p w14:paraId="1490ABB0">
      <w:pPr>
        <w:pStyle w:val="10"/>
        <w:widowControl/>
        <w:spacing w:beforeAutospacing="0" w:afterAutospacing="0" w:line="480" w:lineRule="exact"/>
        <w:jc w:val="center"/>
        <w:rPr>
          <w:rFonts w:asciiTheme="majorEastAsia" w:hAnsiTheme="majorEastAsia" w:eastAsiaTheme="majorEastAsia" w:cstheme="majorEastAsia"/>
          <w:b/>
          <w:bCs/>
          <w:color w:val="auto"/>
          <w:highlight w:val="none"/>
        </w:rPr>
      </w:pPr>
      <w:bookmarkStart w:id="1" w:name="_Toc29214"/>
      <w:bookmarkEnd w:id="1"/>
      <w:bookmarkStart w:id="2" w:name="_Toc23741_WPSOffice_Level1"/>
      <w:bookmarkEnd w:id="2"/>
      <w:r>
        <w:rPr>
          <w:rFonts w:hint="eastAsia" w:asciiTheme="majorEastAsia" w:hAnsiTheme="majorEastAsia" w:eastAsiaTheme="majorEastAsia" w:cstheme="majorEastAsia"/>
          <w:b/>
          <w:bCs/>
          <w:color w:val="auto"/>
          <w:highlight w:val="none"/>
        </w:rPr>
        <w:t xml:space="preserve">第一章  </w:t>
      </w:r>
      <w:bookmarkStart w:id="3" w:name="_Toc18980_WPSOffice_Level1"/>
      <w:bookmarkEnd w:id="3"/>
      <w:bookmarkStart w:id="4" w:name="_Toc7358"/>
      <w:bookmarkEnd w:id="4"/>
      <w:r>
        <w:rPr>
          <w:rFonts w:hint="eastAsia" w:asciiTheme="majorEastAsia" w:hAnsiTheme="majorEastAsia" w:eastAsiaTheme="majorEastAsia" w:cstheme="majorEastAsia"/>
          <w:b/>
          <w:bCs/>
          <w:color w:val="auto"/>
          <w:highlight w:val="none"/>
        </w:rPr>
        <w:t>招标公告</w:t>
      </w:r>
    </w:p>
    <w:p w14:paraId="02EDD088">
      <w:pPr>
        <w:widowControl/>
        <w:autoSpaceDE w:val="0"/>
        <w:spacing w:line="480" w:lineRule="exact"/>
        <w:ind w:firstLine="480" w:firstLineChars="200"/>
        <w:jc w:val="left"/>
        <w:rPr>
          <w:rFonts w:asciiTheme="majorEastAsia" w:hAnsiTheme="majorEastAsia" w:eastAsiaTheme="majorEastAsia" w:cstheme="majorEastAsia"/>
          <w:color w:val="auto"/>
          <w:kern w:val="0"/>
          <w:sz w:val="24"/>
          <w:highlight w:val="none"/>
          <w:u w:color="000000"/>
          <w:lang w:bidi="ar"/>
        </w:rPr>
      </w:pPr>
      <w:bookmarkStart w:id="5" w:name="_Toc58430305"/>
      <w:bookmarkEnd w:id="5"/>
      <w:bookmarkStart w:id="6" w:name="_Toc28359002"/>
      <w:bookmarkEnd w:id="6"/>
      <w:bookmarkStart w:id="7" w:name="_Toc28359079"/>
      <w:bookmarkEnd w:id="7"/>
      <w:bookmarkStart w:id="8" w:name="_Toc35393621"/>
      <w:bookmarkEnd w:id="8"/>
      <w:bookmarkStart w:id="9" w:name="_Toc35393790"/>
      <w:r>
        <w:rPr>
          <w:rFonts w:hint="eastAsia" w:asciiTheme="majorEastAsia" w:hAnsiTheme="majorEastAsia" w:eastAsiaTheme="majorEastAsia" w:cstheme="majorEastAsia"/>
          <w:color w:val="auto"/>
          <w:kern w:val="0"/>
          <w:sz w:val="24"/>
          <w:highlight w:val="none"/>
          <w:u w:color="000000"/>
          <w:lang w:bidi="ar"/>
        </w:rPr>
        <w:t>项目概况</w:t>
      </w:r>
    </w:p>
    <w:p w14:paraId="55396E17">
      <w:pPr>
        <w:widowControl/>
        <w:wordWrap w:val="0"/>
        <w:autoSpaceDE w:val="0"/>
        <w:spacing w:line="480" w:lineRule="exact"/>
        <w:ind w:firstLine="480" w:firstLineChars="200"/>
        <w:jc w:val="left"/>
        <w:rPr>
          <w:rFonts w:asciiTheme="majorEastAsia" w:hAnsiTheme="majorEastAsia" w:eastAsiaTheme="majorEastAsia" w:cstheme="majorEastAsia"/>
          <w:color w:val="auto"/>
          <w:kern w:val="0"/>
          <w:sz w:val="24"/>
          <w:highlight w:val="none"/>
          <w:u w:val="single"/>
          <w:lang w:bidi="ar"/>
        </w:rPr>
      </w:pPr>
      <w:r>
        <w:rPr>
          <w:rFonts w:hint="eastAsia" w:asciiTheme="majorEastAsia" w:hAnsiTheme="majorEastAsia" w:eastAsiaTheme="majorEastAsia" w:cstheme="majorEastAsia"/>
          <w:color w:val="auto"/>
          <w:kern w:val="0"/>
          <w:sz w:val="24"/>
          <w:highlight w:val="none"/>
          <w:u w:val="single"/>
          <w:lang w:eastAsia="zh-CN" w:bidi="ar"/>
        </w:rPr>
        <w:t>滁州工投企业服务有限公司管理施工工地物业服务外包项目</w:t>
      </w:r>
      <w:r>
        <w:rPr>
          <w:rFonts w:hint="eastAsia" w:asciiTheme="majorEastAsia" w:hAnsiTheme="majorEastAsia" w:eastAsiaTheme="majorEastAsia" w:cstheme="majorEastAsia"/>
          <w:color w:val="auto"/>
          <w:kern w:val="0"/>
          <w:sz w:val="24"/>
          <w:highlight w:val="none"/>
          <w:u w:val="single"/>
          <w:lang w:bidi="ar"/>
        </w:rPr>
        <w:t>的潜在投标人应在</w:t>
      </w:r>
      <w:r>
        <w:rPr>
          <w:rFonts w:hint="eastAsia" w:asciiTheme="majorEastAsia" w:hAnsiTheme="majorEastAsia" w:eastAsiaTheme="majorEastAsia" w:cstheme="majorEastAsia"/>
          <w:color w:val="auto"/>
          <w:kern w:val="0"/>
          <w:sz w:val="24"/>
          <w:highlight w:val="none"/>
          <w:u w:val="single"/>
          <w:lang w:eastAsia="zh-CN" w:bidi="ar"/>
        </w:rPr>
        <w:t>滁州市城投工程咨询管理有限公司官网（https://www.czctgczx.com/）</w:t>
      </w:r>
      <w:r>
        <w:rPr>
          <w:rFonts w:hint="eastAsia" w:asciiTheme="majorEastAsia" w:hAnsiTheme="majorEastAsia" w:eastAsiaTheme="majorEastAsia" w:cstheme="majorEastAsia"/>
          <w:color w:val="auto"/>
          <w:kern w:val="0"/>
          <w:sz w:val="24"/>
          <w:highlight w:val="none"/>
          <w:u w:val="single"/>
          <w:lang w:bidi="ar"/>
        </w:rPr>
        <w:t>获取招标文件，并于</w:t>
      </w:r>
      <w:r>
        <w:rPr>
          <w:rFonts w:hint="eastAsia" w:asciiTheme="majorEastAsia" w:hAnsiTheme="majorEastAsia" w:eastAsiaTheme="majorEastAsia" w:cstheme="majorEastAsia"/>
          <w:color w:val="auto"/>
          <w:kern w:val="0"/>
          <w:sz w:val="24"/>
          <w:highlight w:val="none"/>
          <w:u w:val="single"/>
          <w:lang w:eastAsia="zh-CN" w:bidi="ar"/>
        </w:rPr>
        <w:t>2026年8月21日15时00分</w:t>
      </w:r>
      <w:r>
        <w:rPr>
          <w:rFonts w:hint="eastAsia" w:asciiTheme="majorEastAsia" w:hAnsiTheme="majorEastAsia" w:eastAsiaTheme="majorEastAsia" w:cstheme="majorEastAsia"/>
          <w:color w:val="auto"/>
          <w:kern w:val="0"/>
          <w:sz w:val="24"/>
          <w:highlight w:val="none"/>
          <w:u w:val="single"/>
          <w:lang w:bidi="ar"/>
        </w:rPr>
        <w:t>（北京时间）前递交投标文件。</w:t>
      </w:r>
    </w:p>
    <w:p w14:paraId="79D53D77">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一、项目基本情况</w:t>
      </w:r>
      <w:bookmarkEnd w:id="9"/>
    </w:p>
    <w:p w14:paraId="76B5F229">
      <w:pPr>
        <w:widowControl/>
        <w:autoSpaceDE w:val="0"/>
        <w:spacing w:line="480" w:lineRule="exact"/>
        <w:ind w:firstLine="480" w:firstLineChars="200"/>
        <w:rPr>
          <w:rFonts w:hint="default" w:asciiTheme="majorEastAsia" w:hAnsiTheme="majorEastAsia" w:eastAsiaTheme="majorEastAsia" w:cstheme="majorEastAsia"/>
          <w:color w:val="auto"/>
          <w:kern w:val="0"/>
          <w:sz w:val="24"/>
          <w:highlight w:val="none"/>
          <w:u w:color="000000"/>
          <w:lang w:val="en-US" w:eastAsia="zh-CN" w:bidi="ar"/>
        </w:rPr>
      </w:pPr>
      <w:r>
        <w:rPr>
          <w:rFonts w:hint="eastAsia" w:asciiTheme="majorEastAsia" w:hAnsiTheme="majorEastAsia" w:eastAsiaTheme="majorEastAsia" w:cstheme="majorEastAsia"/>
          <w:color w:val="auto"/>
          <w:kern w:val="0"/>
          <w:sz w:val="24"/>
          <w:highlight w:val="none"/>
          <w:u w:color="000000"/>
          <w:lang w:val="en-US" w:eastAsia="zh-CN" w:bidi="ar"/>
        </w:rPr>
        <w:t xml:space="preserve">项目编号：HXJY1110001061533 </w:t>
      </w:r>
    </w:p>
    <w:p w14:paraId="57C275AE">
      <w:pPr>
        <w:widowControl/>
        <w:autoSpaceDE w:val="0"/>
        <w:spacing w:line="480" w:lineRule="exact"/>
        <w:ind w:firstLine="480" w:firstLineChars="200"/>
        <w:rPr>
          <w:rFonts w:hint="eastAsia" w:asciiTheme="majorEastAsia" w:hAnsiTheme="majorEastAsia" w:eastAsiaTheme="majorEastAsia" w:cstheme="majorEastAsia"/>
          <w:color w:val="auto"/>
          <w:kern w:val="0"/>
          <w:sz w:val="24"/>
          <w:highlight w:val="none"/>
          <w:u w:color="000000"/>
          <w:lang w:eastAsia="zh-CN" w:bidi="ar"/>
        </w:rPr>
      </w:pPr>
      <w:r>
        <w:rPr>
          <w:rFonts w:hint="eastAsia" w:asciiTheme="majorEastAsia" w:hAnsiTheme="majorEastAsia" w:eastAsiaTheme="majorEastAsia" w:cstheme="majorEastAsia"/>
          <w:color w:val="auto"/>
          <w:kern w:val="0"/>
          <w:sz w:val="24"/>
          <w:highlight w:val="none"/>
          <w:u w:color="000000"/>
          <w:lang w:bidi="ar"/>
        </w:rPr>
        <w:t>项目名称：</w:t>
      </w:r>
      <w:r>
        <w:rPr>
          <w:rFonts w:hint="eastAsia" w:asciiTheme="majorEastAsia" w:hAnsiTheme="majorEastAsia" w:eastAsiaTheme="majorEastAsia" w:cstheme="majorEastAsia"/>
          <w:color w:val="auto"/>
          <w:kern w:val="0"/>
          <w:sz w:val="24"/>
          <w:highlight w:val="none"/>
          <w:u w:color="000000"/>
          <w:lang w:eastAsia="zh-CN" w:bidi="ar"/>
        </w:rPr>
        <w:t>滁州工投企业服务有限公司管理施工工地物业服务外包项目</w:t>
      </w:r>
    </w:p>
    <w:p w14:paraId="11A2257F">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预算金额：</w:t>
      </w:r>
      <w:r>
        <w:rPr>
          <w:rFonts w:hint="eastAsia" w:asciiTheme="majorEastAsia" w:hAnsiTheme="majorEastAsia" w:eastAsiaTheme="majorEastAsia" w:cstheme="majorEastAsia"/>
          <w:color w:val="auto"/>
          <w:kern w:val="0"/>
          <w:sz w:val="24"/>
          <w:highlight w:val="none"/>
          <w:u w:color="000000"/>
          <w:lang w:eastAsia="zh-CN" w:bidi="ar"/>
        </w:rPr>
        <w:t>57400元/月</w:t>
      </w:r>
      <w:r>
        <w:rPr>
          <w:rFonts w:hint="eastAsia" w:asciiTheme="majorEastAsia" w:hAnsiTheme="majorEastAsia" w:eastAsiaTheme="majorEastAsia" w:cstheme="majorEastAsia"/>
          <w:color w:val="auto"/>
          <w:kern w:val="0"/>
          <w:sz w:val="24"/>
          <w:highlight w:val="none"/>
          <w:u w:color="000000"/>
          <w:lang w:bidi="ar"/>
        </w:rPr>
        <w:t xml:space="preserve"> </w:t>
      </w:r>
    </w:p>
    <w:p w14:paraId="54CEBA47">
      <w:pPr>
        <w:widowControl/>
        <w:autoSpaceDE w:val="0"/>
        <w:spacing w:line="480" w:lineRule="exact"/>
        <w:ind w:firstLine="480" w:firstLineChars="200"/>
        <w:rPr>
          <w:rFonts w:hint="eastAsia" w:asciiTheme="majorEastAsia" w:hAnsiTheme="majorEastAsia" w:eastAsiaTheme="majorEastAsia" w:cstheme="majorEastAsia"/>
          <w:color w:val="auto"/>
          <w:kern w:val="0"/>
          <w:sz w:val="24"/>
          <w:highlight w:val="none"/>
          <w:u w:color="000000"/>
          <w:lang w:eastAsia="zh-CN" w:bidi="ar"/>
        </w:rPr>
      </w:pPr>
      <w:r>
        <w:rPr>
          <w:rFonts w:hint="eastAsia" w:asciiTheme="majorEastAsia" w:hAnsiTheme="majorEastAsia" w:eastAsiaTheme="majorEastAsia" w:cstheme="majorEastAsia"/>
          <w:color w:val="auto"/>
          <w:kern w:val="0"/>
          <w:sz w:val="24"/>
          <w:highlight w:val="none"/>
          <w:u w:color="000000"/>
          <w:lang w:bidi="ar"/>
        </w:rPr>
        <w:t>最高限价：</w:t>
      </w:r>
      <w:r>
        <w:rPr>
          <w:rFonts w:hint="eastAsia" w:asciiTheme="majorEastAsia" w:hAnsiTheme="majorEastAsia" w:eastAsiaTheme="majorEastAsia" w:cstheme="majorEastAsia"/>
          <w:color w:val="auto"/>
          <w:kern w:val="0"/>
          <w:sz w:val="24"/>
          <w:highlight w:val="none"/>
          <w:u w:color="000000"/>
          <w:lang w:eastAsia="zh-CN" w:bidi="ar"/>
        </w:rPr>
        <w:t>57400元/月，投标报价总价和单价均高于（不含等于）最高限价的，按无效投标处理。</w:t>
      </w:r>
    </w:p>
    <w:p w14:paraId="48566BB4">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采购内容：</w:t>
      </w:r>
      <w:r>
        <w:rPr>
          <w:rFonts w:hint="eastAsia" w:asciiTheme="majorEastAsia" w:hAnsiTheme="majorEastAsia" w:eastAsiaTheme="majorEastAsia" w:cstheme="majorEastAsia"/>
          <w:color w:val="auto"/>
          <w:kern w:val="0"/>
          <w:sz w:val="24"/>
          <w:highlight w:val="none"/>
          <w:u w:color="000000"/>
          <w:lang w:eastAsia="zh-CN" w:bidi="ar"/>
        </w:rPr>
        <w:t>详见《采购需求》。详细情况自行现场勘看，项目概况以现场实际存在为准</w:t>
      </w:r>
      <w:r>
        <w:rPr>
          <w:rFonts w:hint="eastAsia" w:asciiTheme="majorEastAsia" w:hAnsiTheme="majorEastAsia" w:eastAsiaTheme="majorEastAsia" w:cstheme="majorEastAsia"/>
          <w:color w:val="auto"/>
          <w:kern w:val="0"/>
          <w:sz w:val="24"/>
          <w:highlight w:val="none"/>
          <w:u w:color="000000"/>
          <w:lang w:bidi="ar"/>
        </w:rPr>
        <w:t>。</w:t>
      </w:r>
    </w:p>
    <w:p w14:paraId="56B1685B">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服务期限：</w:t>
      </w:r>
      <w:r>
        <w:rPr>
          <w:rFonts w:hint="eastAsia" w:asciiTheme="majorEastAsia" w:hAnsiTheme="majorEastAsia" w:eastAsiaTheme="majorEastAsia" w:cstheme="majorEastAsia"/>
          <w:color w:val="auto"/>
          <w:kern w:val="0"/>
          <w:sz w:val="24"/>
          <w:highlight w:val="none"/>
          <w:u w:color="000000"/>
          <w:lang w:eastAsia="zh-CN" w:bidi="ar"/>
        </w:rPr>
        <w:t>服务周期约270天，不满或超过时间据实结算</w:t>
      </w:r>
      <w:r>
        <w:rPr>
          <w:rFonts w:hint="eastAsia" w:asciiTheme="majorEastAsia" w:hAnsiTheme="majorEastAsia" w:eastAsiaTheme="majorEastAsia" w:cstheme="majorEastAsia"/>
          <w:color w:val="auto"/>
          <w:kern w:val="0"/>
          <w:sz w:val="24"/>
          <w:highlight w:val="none"/>
          <w:u w:color="000000"/>
          <w:lang w:bidi="ar"/>
        </w:rPr>
        <w:t>。</w:t>
      </w:r>
    </w:p>
    <w:p w14:paraId="0D001CFC">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本项目不接受联合体投标</w:t>
      </w:r>
    </w:p>
    <w:p w14:paraId="00007BA4">
      <w:pPr>
        <w:widowControl/>
        <w:wordWrap w:val="0"/>
        <w:autoSpaceDE w:val="0"/>
        <w:spacing w:line="480" w:lineRule="exact"/>
        <w:ind w:firstLine="490" w:firstLineChars="200"/>
        <w:rPr>
          <w:rFonts w:asciiTheme="majorEastAsia" w:hAnsiTheme="majorEastAsia" w:eastAsiaTheme="majorEastAsia" w:cstheme="majorEastAsia"/>
          <w:b/>
          <w:color w:val="auto"/>
          <w:spacing w:val="2"/>
          <w:sz w:val="24"/>
          <w:highlight w:val="none"/>
        </w:rPr>
      </w:pPr>
      <w:r>
        <w:rPr>
          <w:rFonts w:hint="eastAsia" w:asciiTheme="majorEastAsia" w:hAnsiTheme="majorEastAsia" w:eastAsiaTheme="majorEastAsia" w:cstheme="majorEastAsia"/>
          <w:b/>
          <w:color w:val="auto"/>
          <w:spacing w:val="2"/>
          <w:kern w:val="0"/>
          <w:sz w:val="24"/>
          <w:highlight w:val="none"/>
          <w:u w:color="000000"/>
          <w:lang w:bidi="ar"/>
        </w:rPr>
        <w:t>二、</w:t>
      </w:r>
      <w:r>
        <w:rPr>
          <w:rFonts w:hint="eastAsia" w:asciiTheme="majorEastAsia" w:hAnsiTheme="majorEastAsia" w:eastAsiaTheme="majorEastAsia" w:cstheme="majorEastAsia"/>
          <w:b/>
          <w:color w:val="auto"/>
          <w:kern w:val="0"/>
          <w:sz w:val="24"/>
          <w:highlight w:val="none"/>
          <w:u w:color="000000"/>
          <w:lang w:bidi="ar"/>
        </w:rPr>
        <w:t>投标人的资格要求</w:t>
      </w:r>
    </w:p>
    <w:p w14:paraId="3FF9CC3F">
      <w:pPr>
        <w:spacing w:line="360" w:lineRule="auto"/>
        <w:ind w:firstLine="480" w:firstLineChars="200"/>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1.投标企业要求：投标人具有承担本项目相应服务能力，且具有有效的营业执照、税务登记证、组织机构代码证（或“三证合一证书”）；</w:t>
      </w:r>
    </w:p>
    <w:p w14:paraId="4E336C75">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2.投标人信誉要求：投标人不得存在以下情形：</w:t>
      </w:r>
    </w:p>
    <w:p w14:paraId="366882D5">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①被列入“信用中国”网站“失信被执行人”的；</w:t>
      </w:r>
    </w:p>
    <w:p w14:paraId="0B54B10A">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②被列入“信用中国”网站“重大税收违法失信主体”的；</w:t>
      </w:r>
    </w:p>
    <w:p w14:paraId="7F7C5712">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③被列入“信用中国”网站 “严重失信主体名单”的；</w:t>
      </w:r>
    </w:p>
    <w:p w14:paraId="030EFA98">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④在“信用中国”网站上披露的仍在公示期的严重失信行为(具体行为类别及判定依据见“信用中国”查询的严重失信行为类别及判定依据)的。</w:t>
      </w:r>
    </w:p>
    <w:p w14:paraId="39FF68F8">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⑤被列入国家企业信用信息公示系统网站“经营异常名录”或者“严重违法失信名单”的。</w:t>
      </w:r>
    </w:p>
    <w:p w14:paraId="5610826A">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⑥被列入中国政府采购网站“政府采购严重违法失信行为信息记录”的。</w:t>
      </w:r>
    </w:p>
    <w:p w14:paraId="6892DE50">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⑦前三年有行贿犯罪行为的单位和个人。</w:t>
      </w:r>
    </w:p>
    <w:p w14:paraId="56665348">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备注：第2条按照按照附件1“关于联合惩戒失信行为加强信用查询管理的通知”查询或承诺。</w:t>
      </w:r>
    </w:p>
    <w:p w14:paraId="3B18D341">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三、获取招标文件</w:t>
      </w:r>
    </w:p>
    <w:p w14:paraId="5C5EE08C">
      <w:pPr>
        <w:widowControl/>
        <w:autoSpaceDE w:val="0"/>
        <w:spacing w:line="480" w:lineRule="exact"/>
        <w:ind w:firstLine="540"/>
        <w:rPr>
          <w:rFonts w:hint="eastAsia" w:asciiTheme="majorEastAsia" w:hAnsiTheme="majorEastAsia" w:eastAsiaTheme="majorEastAsia" w:cstheme="majorEastAsia"/>
          <w:color w:val="auto"/>
          <w:sz w:val="24"/>
          <w:highlight w:val="none"/>
          <w:u w:val="single"/>
          <w:lang w:eastAsia="zh-CN"/>
        </w:rPr>
      </w:pPr>
      <w:r>
        <w:rPr>
          <w:rFonts w:hint="eastAsia" w:asciiTheme="majorEastAsia" w:hAnsiTheme="majorEastAsia" w:eastAsiaTheme="majorEastAsia" w:cstheme="majorEastAsia"/>
          <w:color w:val="auto"/>
          <w:kern w:val="0"/>
          <w:sz w:val="24"/>
          <w:highlight w:val="none"/>
          <w:u w:color="000000"/>
          <w:lang w:bidi="ar"/>
        </w:rPr>
        <w:t>时间：</w:t>
      </w:r>
      <w:r>
        <w:rPr>
          <w:rFonts w:hint="eastAsia" w:asciiTheme="majorEastAsia" w:hAnsiTheme="majorEastAsia" w:eastAsiaTheme="majorEastAsia" w:cstheme="majorEastAsia"/>
          <w:color w:val="auto"/>
          <w:kern w:val="0"/>
          <w:sz w:val="24"/>
          <w:highlight w:val="none"/>
          <w:u w:val="single" w:color="000000"/>
          <w:lang w:eastAsia="zh-CN" w:bidi="ar"/>
        </w:rPr>
        <w:t xml:space="preserve"> 2026年8月</w:t>
      </w:r>
      <w:r>
        <w:rPr>
          <w:rFonts w:hint="eastAsia" w:asciiTheme="majorEastAsia" w:hAnsiTheme="majorEastAsia" w:eastAsiaTheme="majorEastAsia" w:cstheme="majorEastAsia"/>
          <w:color w:val="auto"/>
          <w:kern w:val="0"/>
          <w:sz w:val="24"/>
          <w:highlight w:val="none"/>
          <w:u w:val="single" w:color="000000"/>
          <w:lang w:val="en-US" w:eastAsia="zh-CN" w:bidi="ar"/>
        </w:rPr>
        <w:t>14</w:t>
      </w:r>
      <w:r>
        <w:rPr>
          <w:rFonts w:hint="eastAsia" w:asciiTheme="majorEastAsia" w:hAnsiTheme="majorEastAsia" w:eastAsiaTheme="majorEastAsia" w:cstheme="majorEastAsia"/>
          <w:color w:val="auto"/>
          <w:kern w:val="0"/>
          <w:sz w:val="24"/>
          <w:highlight w:val="none"/>
          <w:u w:val="single" w:color="000000"/>
          <w:lang w:eastAsia="zh-CN" w:bidi="ar"/>
        </w:rPr>
        <w:t>日</w:t>
      </w:r>
      <w:r>
        <w:rPr>
          <w:rFonts w:hint="eastAsia" w:asciiTheme="majorEastAsia" w:hAnsiTheme="majorEastAsia" w:eastAsiaTheme="majorEastAsia" w:cstheme="majorEastAsia"/>
          <w:color w:val="auto"/>
          <w:kern w:val="0"/>
          <w:sz w:val="24"/>
          <w:highlight w:val="none"/>
          <w:u w:color="000000"/>
          <w:lang w:bidi="ar"/>
        </w:rPr>
        <w:t>至</w:t>
      </w:r>
      <w:r>
        <w:rPr>
          <w:rFonts w:hint="eastAsia" w:asciiTheme="majorEastAsia" w:hAnsiTheme="majorEastAsia" w:eastAsiaTheme="majorEastAsia" w:cstheme="majorEastAsia"/>
          <w:color w:val="auto"/>
          <w:kern w:val="0"/>
          <w:sz w:val="24"/>
          <w:highlight w:val="none"/>
          <w:u w:val="single" w:color="000000"/>
          <w:lang w:bidi="ar"/>
        </w:rPr>
        <w:t xml:space="preserve"> </w:t>
      </w:r>
      <w:r>
        <w:rPr>
          <w:rFonts w:hint="eastAsia" w:asciiTheme="majorEastAsia" w:hAnsiTheme="majorEastAsia" w:eastAsiaTheme="majorEastAsia" w:cstheme="majorEastAsia"/>
          <w:color w:val="auto"/>
          <w:kern w:val="0"/>
          <w:sz w:val="24"/>
          <w:highlight w:val="none"/>
          <w:u w:val="single" w:color="000000"/>
          <w:lang w:eastAsia="zh-CN" w:bidi="ar"/>
        </w:rPr>
        <w:t>2026年8月21日</w:t>
      </w:r>
    </w:p>
    <w:p w14:paraId="645A7668">
      <w:pPr>
        <w:wordWrap w:val="0"/>
        <w:spacing w:line="480" w:lineRule="exact"/>
        <w:ind w:firstLine="539"/>
        <w:rPr>
          <w:rFonts w:hint="eastAsia" w:asciiTheme="majorEastAsia" w:hAnsiTheme="majorEastAsia" w:eastAsiaTheme="majorEastAsia" w:cstheme="majorEastAsia"/>
          <w:color w:val="auto"/>
          <w:sz w:val="24"/>
          <w:highlight w:val="none"/>
          <w:lang w:eastAsia="zh-CN"/>
        </w:rPr>
      </w:pPr>
      <w:r>
        <w:rPr>
          <w:rFonts w:hint="eastAsia" w:asciiTheme="majorEastAsia" w:hAnsiTheme="majorEastAsia" w:eastAsiaTheme="majorEastAsia" w:cstheme="majorEastAsia"/>
          <w:color w:val="auto"/>
          <w:kern w:val="0"/>
          <w:sz w:val="24"/>
          <w:highlight w:val="none"/>
          <w:u w:color="000000"/>
          <w:lang w:bidi="ar"/>
        </w:rPr>
        <w:t>地点：</w:t>
      </w:r>
      <w:r>
        <w:rPr>
          <w:rFonts w:hint="eastAsia" w:asciiTheme="majorEastAsia" w:hAnsiTheme="majorEastAsia" w:eastAsiaTheme="majorEastAsia" w:cstheme="majorEastAsia"/>
          <w:color w:val="auto"/>
          <w:sz w:val="24"/>
          <w:highlight w:val="none"/>
          <w:lang w:eastAsia="zh-CN"/>
        </w:rPr>
        <w:t>滁州市城投工程咨询管理有限公司官网（https://www.czctgczx.com/）</w:t>
      </w:r>
    </w:p>
    <w:p w14:paraId="31182E50">
      <w:pPr>
        <w:widowControl/>
        <w:autoSpaceDE w:val="0"/>
        <w:spacing w:line="480" w:lineRule="exact"/>
        <w:ind w:firstLine="54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方式：网上下载</w:t>
      </w:r>
    </w:p>
    <w:p w14:paraId="71B68A90">
      <w:pPr>
        <w:widowControl/>
        <w:autoSpaceDE w:val="0"/>
        <w:spacing w:line="480" w:lineRule="exact"/>
        <w:ind w:firstLine="54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售价：0元</w:t>
      </w:r>
    </w:p>
    <w:p w14:paraId="7AE94A77">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bookmarkStart w:id="10" w:name="_Toc58430308"/>
      <w:bookmarkEnd w:id="10"/>
      <w:bookmarkStart w:id="11" w:name="_Toc35393793"/>
      <w:bookmarkEnd w:id="11"/>
      <w:bookmarkStart w:id="12" w:name="_Toc28359082"/>
      <w:bookmarkEnd w:id="12"/>
      <w:bookmarkStart w:id="13" w:name="_Toc28359005"/>
      <w:bookmarkEnd w:id="13"/>
      <w:r>
        <w:rPr>
          <w:rFonts w:hint="eastAsia" w:asciiTheme="majorEastAsia" w:hAnsiTheme="majorEastAsia" w:eastAsiaTheme="majorEastAsia" w:cstheme="majorEastAsia"/>
          <w:b/>
          <w:color w:val="auto"/>
          <w:sz w:val="24"/>
          <w:highlight w:val="none"/>
        </w:rPr>
        <w:t>四、提交投标文件截止时间、开标时间和地点</w:t>
      </w:r>
    </w:p>
    <w:p w14:paraId="30EEE864">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截止时间：</w:t>
      </w:r>
      <w:r>
        <w:rPr>
          <w:rFonts w:hint="eastAsia" w:asciiTheme="majorEastAsia" w:hAnsiTheme="majorEastAsia" w:eastAsiaTheme="majorEastAsia" w:cstheme="majorEastAsia"/>
          <w:bCs/>
          <w:color w:val="auto"/>
          <w:kern w:val="0"/>
          <w:sz w:val="24"/>
          <w:highlight w:val="none"/>
          <w:u w:val="single" w:color="000000"/>
          <w:lang w:eastAsia="zh-CN" w:bidi="ar"/>
        </w:rPr>
        <w:t>2026年8月21日15时00分</w:t>
      </w:r>
      <w:r>
        <w:rPr>
          <w:rFonts w:hint="eastAsia" w:asciiTheme="majorEastAsia" w:hAnsiTheme="majorEastAsia" w:eastAsiaTheme="majorEastAsia" w:cstheme="majorEastAsia"/>
          <w:bCs/>
          <w:color w:val="auto"/>
          <w:kern w:val="0"/>
          <w:sz w:val="24"/>
          <w:highlight w:val="none"/>
          <w:u w:color="000000"/>
          <w:lang w:bidi="ar"/>
        </w:rPr>
        <w:t>（北京时间）</w:t>
      </w:r>
    </w:p>
    <w:p w14:paraId="08C4ACEE">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地点：网上开标，投标人登录滁州市城投工程咨询有限公司不见面开标系统参与网上开标（网址：http://js.etrading.cn/EpointBidOpening/bidopeninghallaction/hall/login）。</w:t>
      </w:r>
    </w:p>
    <w:p w14:paraId="3230CD7D">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五、其他补充事宜</w:t>
      </w:r>
    </w:p>
    <w:p w14:paraId="4718B4B6">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1.投标人从滁州市城投工程咨询管理有限公司（https://www.czctgczx.com/）</w:t>
      </w:r>
      <w:r>
        <w:rPr>
          <w:rFonts w:hint="eastAsia" w:asciiTheme="majorEastAsia" w:hAnsiTheme="majorEastAsia" w:eastAsiaTheme="majorEastAsia" w:cstheme="majorEastAsia"/>
          <w:bCs/>
          <w:color w:val="auto"/>
          <w:kern w:val="0"/>
          <w:sz w:val="24"/>
          <w:highlight w:val="none"/>
          <w:u w:color="000000"/>
          <w:lang w:eastAsia="zh-CN" w:bidi="ar"/>
        </w:rPr>
        <w:t>、滁州市扬子工业投资集团有限公司官网（https://czyzgtjt.com/)</w:t>
      </w:r>
      <w:r>
        <w:rPr>
          <w:rFonts w:hint="eastAsia" w:asciiTheme="majorEastAsia" w:hAnsiTheme="majorEastAsia" w:eastAsiaTheme="majorEastAsia" w:cstheme="majorEastAsia"/>
          <w:bCs/>
          <w:color w:val="auto"/>
          <w:kern w:val="0"/>
          <w:sz w:val="24"/>
          <w:highlight w:val="none"/>
          <w:u w:color="000000"/>
          <w:lang w:bidi="ar"/>
        </w:rPr>
        <w:t>下载。</w:t>
      </w:r>
    </w:p>
    <w:p w14:paraId="7FEDEEDB">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投标人自行承担因未按要求获取招标文件导致无法上传电子投标文件的风险。</w:t>
      </w:r>
    </w:p>
    <w:p w14:paraId="1A20F8D9">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w:t>
      </w:r>
      <w:r>
        <w:rPr>
          <w:rFonts w:hint="eastAsia" w:asciiTheme="majorEastAsia" w:hAnsiTheme="majorEastAsia" w:eastAsiaTheme="majorEastAsia" w:cstheme="majorEastAsia"/>
          <w:bCs/>
          <w:color w:val="auto"/>
          <w:kern w:val="0"/>
          <w:sz w:val="24"/>
          <w:highlight w:val="none"/>
          <w:u w:color="000000"/>
          <w:lang w:eastAsia="zh-CN" w:bidi="ar"/>
        </w:rPr>
        <w:t>0512-58151515</w:t>
      </w:r>
      <w:r>
        <w:rPr>
          <w:rFonts w:hint="eastAsia" w:asciiTheme="majorEastAsia" w:hAnsiTheme="majorEastAsia" w:eastAsiaTheme="majorEastAsia" w:cstheme="majorEastAsia"/>
          <w:bCs/>
          <w:color w:val="auto"/>
          <w:kern w:val="0"/>
          <w:sz w:val="24"/>
          <w:highlight w:val="none"/>
          <w:u w:color="000000"/>
          <w:lang w:bidi="ar"/>
        </w:rPr>
        <w:t>-5（工作日）。  </w:t>
      </w:r>
    </w:p>
    <w:p w14:paraId="05422177">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（2）投标人登录新点电子交易平台【滁州专区】获取招标文件及其它资料（含澄清和补充说明等）。如在招标文件获取过程中遇到系统问题，请拨打技术支持服务热线 </w:t>
      </w:r>
      <w:r>
        <w:rPr>
          <w:rFonts w:hint="eastAsia" w:asciiTheme="majorEastAsia" w:hAnsiTheme="majorEastAsia" w:eastAsiaTheme="majorEastAsia" w:cstheme="majorEastAsia"/>
          <w:bCs/>
          <w:color w:val="auto"/>
          <w:kern w:val="0"/>
          <w:sz w:val="24"/>
          <w:highlight w:val="none"/>
          <w:u w:color="000000"/>
          <w:lang w:eastAsia="zh-CN" w:bidi="ar"/>
        </w:rPr>
        <w:t>0512-58151515</w:t>
      </w:r>
      <w:r>
        <w:rPr>
          <w:rFonts w:hint="eastAsia" w:asciiTheme="majorEastAsia" w:hAnsiTheme="majorEastAsia" w:eastAsiaTheme="majorEastAsia" w:cstheme="majorEastAsia"/>
          <w:bCs/>
          <w:color w:val="auto"/>
          <w:kern w:val="0"/>
          <w:sz w:val="24"/>
          <w:highlight w:val="none"/>
          <w:u w:color="000000"/>
          <w:lang w:bidi="ar"/>
        </w:rPr>
        <w:t>或者网站首页在线客服。</w:t>
      </w:r>
    </w:p>
    <w:p w14:paraId="11FE6905">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2、招标文件及相关资料售价：人民币0元/套</w:t>
      </w:r>
    </w:p>
    <w:p w14:paraId="0445A329">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547BF7D4">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4、本项目采用不见面开标，投标人登录滁州市城投工程咨询有限公司不见面开标系统参与网上开标（网址：http://js.etrading.cn/EpointBidOpening/bidopeninghallaction/hall/login）。</w:t>
      </w:r>
    </w:p>
    <w:p w14:paraId="2EB5AB46">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投标人应在投标截止时间之前，登陆新点电子交易平台【滁州专区】上传投标文件</w:t>
      </w:r>
    </w:p>
    <w:p w14:paraId="562B0D62">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5、本项目仅接受加密电子投标文件投标人在投标截止时间前通过新点电子交易平台后在【滁州专区】</w:t>
      </w:r>
    </w:p>
    <w:p w14:paraId="7D5185F6">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asciiTheme="majorEastAsia" w:hAnsiTheme="majorEastAsia" w:eastAsiaTheme="majorEastAsia" w:cstheme="majorEastAsia"/>
          <w:bCs/>
          <w:color w:val="auto"/>
          <w:sz w:val="24"/>
          <w:highlight w:val="none"/>
          <w:u w:val="single"/>
        </w:rPr>
      </w:pPr>
      <w:r>
        <w:rPr>
          <w:rFonts w:hint="eastAsia" w:asciiTheme="majorEastAsia" w:hAnsiTheme="majorEastAsia" w:eastAsiaTheme="majorEastAsia" w:cstheme="majorEastAsia"/>
          <w:bCs/>
          <w:color w:val="auto"/>
          <w:kern w:val="0"/>
          <w:sz w:val="24"/>
          <w:highlight w:val="none"/>
          <w:u w:color="000000"/>
          <w:lang w:bidi="ar"/>
        </w:rPr>
        <w:t>（https://www.etrading.cn/BREpointSSO/login/oauth2login?regioncode=DQ_ChuZhou）交易系统递交电子投标文件。</w:t>
      </w:r>
    </w:p>
    <w:p w14:paraId="7D9D55D9">
      <w:pPr>
        <w:widowControl/>
        <w:wordWrap w:val="0"/>
        <w:autoSpaceDE w:val="0"/>
        <w:spacing w:line="480" w:lineRule="exact"/>
        <w:ind w:firstLine="490" w:firstLineChars="200"/>
        <w:rPr>
          <w:rFonts w:asciiTheme="majorEastAsia" w:hAnsiTheme="majorEastAsia" w:eastAsiaTheme="majorEastAsia" w:cstheme="majorEastAsia"/>
          <w:b/>
          <w:color w:val="auto"/>
          <w:spacing w:val="2"/>
          <w:sz w:val="24"/>
          <w:highlight w:val="none"/>
        </w:rPr>
      </w:pPr>
      <w:r>
        <w:rPr>
          <w:rFonts w:hint="eastAsia" w:asciiTheme="majorEastAsia" w:hAnsiTheme="majorEastAsia" w:eastAsiaTheme="majorEastAsia" w:cstheme="majorEastAsia"/>
          <w:b/>
          <w:color w:val="auto"/>
          <w:spacing w:val="2"/>
          <w:kern w:val="0"/>
          <w:sz w:val="24"/>
          <w:highlight w:val="none"/>
          <w:u w:color="000000"/>
          <w:lang w:bidi="ar"/>
        </w:rPr>
        <w:t>六、</w:t>
      </w:r>
      <w:r>
        <w:rPr>
          <w:rFonts w:hint="eastAsia" w:asciiTheme="majorEastAsia" w:hAnsiTheme="majorEastAsia" w:eastAsiaTheme="majorEastAsia" w:cstheme="majorEastAsia"/>
          <w:b/>
          <w:color w:val="auto"/>
          <w:kern w:val="0"/>
          <w:sz w:val="24"/>
          <w:highlight w:val="none"/>
          <w:u w:color="000000"/>
          <w:lang w:bidi="ar"/>
        </w:rPr>
        <w:t>对本次招标提出询问，请按以下方式联系</w:t>
      </w:r>
    </w:p>
    <w:p w14:paraId="64D29EDE">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1.招标人信息</w:t>
      </w:r>
    </w:p>
    <w:p w14:paraId="5E692C16">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名称：</w:t>
      </w:r>
      <w:r>
        <w:rPr>
          <w:rFonts w:hint="eastAsia" w:asciiTheme="majorEastAsia" w:hAnsiTheme="majorEastAsia" w:eastAsiaTheme="majorEastAsia" w:cstheme="majorEastAsia"/>
          <w:bCs/>
          <w:color w:val="auto"/>
          <w:kern w:val="0"/>
          <w:sz w:val="24"/>
          <w:highlight w:val="none"/>
          <w:u w:color="000000"/>
          <w:lang w:eastAsia="zh-CN" w:bidi="ar"/>
        </w:rPr>
        <w:t>滁州工投企业服务有限公司</w:t>
      </w:r>
      <w:r>
        <w:rPr>
          <w:rFonts w:hint="eastAsia" w:asciiTheme="majorEastAsia" w:hAnsiTheme="majorEastAsia" w:eastAsiaTheme="majorEastAsia" w:cstheme="majorEastAsia"/>
          <w:bCs/>
          <w:color w:val="auto"/>
          <w:kern w:val="0"/>
          <w:sz w:val="24"/>
          <w:highlight w:val="none"/>
          <w:u w:color="000000"/>
          <w:lang w:bidi="ar"/>
        </w:rPr>
        <w:t xml:space="preserve">   </w:t>
      </w:r>
    </w:p>
    <w:p w14:paraId="26EF8B70">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地址：</w:t>
      </w:r>
      <w:r>
        <w:rPr>
          <w:rFonts w:hint="eastAsia" w:asciiTheme="majorEastAsia" w:hAnsiTheme="majorEastAsia" w:eastAsiaTheme="majorEastAsia" w:cstheme="majorEastAsia"/>
          <w:bCs/>
          <w:color w:val="auto"/>
          <w:kern w:val="0"/>
          <w:sz w:val="24"/>
          <w:highlight w:val="none"/>
          <w:u w:color="000000"/>
          <w:lang w:eastAsia="zh-CN" w:bidi="ar"/>
        </w:rPr>
        <w:t>安徽省滁州市中新苏滁高新技术产业开发区大王街道子美路9号工投科技产业园综合服务楼3楼</w:t>
      </w:r>
      <w:r>
        <w:rPr>
          <w:rFonts w:hint="eastAsia" w:asciiTheme="majorEastAsia" w:hAnsiTheme="majorEastAsia" w:eastAsiaTheme="majorEastAsia" w:cstheme="majorEastAsia"/>
          <w:bCs/>
          <w:color w:val="auto"/>
          <w:kern w:val="0"/>
          <w:sz w:val="24"/>
          <w:highlight w:val="none"/>
          <w:u w:color="000000"/>
          <w:lang w:bidi="ar"/>
        </w:rPr>
        <w:t xml:space="preserve"> </w:t>
      </w:r>
    </w:p>
    <w:p w14:paraId="139CCF85">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eastAsia="zh-CN" w:bidi="ar"/>
        </w:rPr>
      </w:pPr>
      <w:r>
        <w:rPr>
          <w:rFonts w:hint="eastAsia" w:asciiTheme="majorEastAsia" w:hAnsiTheme="majorEastAsia" w:eastAsiaTheme="majorEastAsia" w:cstheme="majorEastAsia"/>
          <w:bCs/>
          <w:color w:val="auto"/>
          <w:kern w:val="0"/>
          <w:sz w:val="24"/>
          <w:highlight w:val="none"/>
          <w:u w:color="000000"/>
          <w:lang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kern w:val="0"/>
          <w:sz w:val="24"/>
          <w:highlight w:val="none"/>
          <w:u w:color="000000"/>
          <w:lang w:eastAsia="zh-CN" w:bidi="ar"/>
        </w:rPr>
        <w:t>15556335448</w:t>
      </w:r>
    </w:p>
    <w:p w14:paraId="59FE46C1">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eastAsia="zh-CN" w:bidi="ar"/>
        </w:rPr>
      </w:pPr>
      <w:r>
        <w:rPr>
          <w:rFonts w:hint="eastAsia" w:asciiTheme="majorEastAsia" w:hAnsiTheme="majorEastAsia" w:eastAsiaTheme="majorEastAsia" w:cstheme="majorEastAsia"/>
          <w:bCs/>
          <w:color w:val="auto"/>
          <w:kern w:val="0"/>
          <w:sz w:val="24"/>
          <w:highlight w:val="none"/>
          <w:u w:color="000000"/>
          <w:lang w:eastAsia="zh-CN" w:bidi="ar"/>
        </w:rPr>
        <w:t>监督电话：0550-3018133</w:t>
      </w:r>
    </w:p>
    <w:p w14:paraId="220FE3AF">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2.</w:t>
      </w:r>
      <w:bookmarkEnd w:id="15"/>
      <w:r>
        <w:rPr>
          <w:rFonts w:hint="eastAsia" w:asciiTheme="majorEastAsia" w:hAnsiTheme="majorEastAsia" w:eastAsiaTheme="majorEastAsia" w:cstheme="majorEastAsia"/>
          <w:bCs/>
          <w:color w:val="auto"/>
          <w:kern w:val="0"/>
          <w:sz w:val="24"/>
          <w:highlight w:val="none"/>
          <w:u w:color="000000"/>
          <w:lang w:bidi="ar"/>
        </w:rPr>
        <w:t>代理机构信息</w:t>
      </w:r>
    </w:p>
    <w:p w14:paraId="6F09FE4E">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名称：滁州市城投工程咨询管理有限公司</w:t>
      </w:r>
    </w:p>
    <w:p w14:paraId="7C88BE3D">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地址：滁州市龙蟠大道109号房产大厦6楼</w:t>
      </w:r>
      <w:r>
        <w:rPr>
          <w:rFonts w:hint="eastAsia" w:asciiTheme="majorEastAsia" w:hAnsiTheme="majorEastAsia" w:eastAsiaTheme="majorEastAsia" w:cstheme="majorEastAsia"/>
          <w:bCs/>
          <w:color w:val="auto"/>
          <w:kern w:val="0"/>
          <w:sz w:val="24"/>
          <w:highlight w:val="none"/>
          <w:u w:color="000000"/>
          <w:lang w:val="en-US" w:eastAsia="zh-CN" w:bidi="ar"/>
        </w:rPr>
        <w:t>605</w:t>
      </w:r>
      <w:r>
        <w:rPr>
          <w:rFonts w:hint="eastAsia" w:asciiTheme="majorEastAsia" w:hAnsiTheme="majorEastAsia" w:eastAsiaTheme="majorEastAsia" w:cstheme="majorEastAsia"/>
          <w:bCs/>
          <w:color w:val="auto"/>
          <w:kern w:val="0"/>
          <w:sz w:val="24"/>
          <w:highlight w:val="none"/>
          <w:u w:color="000000"/>
          <w:lang w:bidi="ar"/>
        </w:rPr>
        <w:t>室</w:t>
      </w:r>
    </w:p>
    <w:p w14:paraId="3C740E3A">
      <w:pPr>
        <w:widowControl/>
        <w:autoSpaceDE w:val="0"/>
        <w:spacing w:line="480" w:lineRule="exact"/>
        <w:ind w:firstLine="480" w:firstLineChars="200"/>
        <w:rPr>
          <w:rFonts w:hint="eastAsia" w:asciiTheme="majorEastAsia" w:hAnsiTheme="majorEastAsia" w:eastAsiaTheme="majorEastAsia" w:cstheme="majorEastAsia"/>
          <w:bCs/>
          <w:color w:val="auto"/>
          <w:sz w:val="24"/>
          <w:highlight w:val="none"/>
          <w:lang w:eastAsia="zh-CN"/>
        </w:rPr>
      </w:pPr>
      <w:r>
        <w:rPr>
          <w:rFonts w:hint="eastAsia" w:asciiTheme="majorEastAsia" w:hAnsiTheme="majorEastAsia" w:eastAsiaTheme="majorEastAsia" w:cstheme="majorEastAsia"/>
          <w:bCs/>
          <w:color w:val="auto"/>
          <w:kern w:val="0"/>
          <w:sz w:val="24"/>
          <w:highlight w:val="none"/>
          <w:u w:color="000000"/>
          <w:lang w:bidi="ar"/>
        </w:rPr>
        <w:t>联系方式：</w:t>
      </w:r>
      <w:r>
        <w:rPr>
          <w:rFonts w:hint="eastAsia" w:asciiTheme="majorEastAsia" w:hAnsiTheme="majorEastAsia" w:eastAsiaTheme="majorEastAsia" w:cstheme="majorEastAsia"/>
          <w:bCs/>
          <w:color w:val="auto"/>
          <w:kern w:val="0"/>
          <w:sz w:val="24"/>
          <w:highlight w:val="none"/>
          <w:u w:color="000000"/>
          <w:lang w:eastAsia="zh-CN" w:bidi="ar"/>
        </w:rPr>
        <w:t>0550-3519516、18712012204</w:t>
      </w:r>
    </w:p>
    <w:p w14:paraId="70255230">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3.项目联系方式</w:t>
      </w:r>
    </w:p>
    <w:p w14:paraId="4C826952">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项目联系人：</w:t>
      </w:r>
      <w:r>
        <w:rPr>
          <w:rFonts w:hint="eastAsia" w:asciiTheme="majorEastAsia" w:hAnsiTheme="majorEastAsia" w:eastAsiaTheme="majorEastAsia" w:cstheme="majorEastAsia"/>
          <w:bCs/>
          <w:color w:val="auto"/>
          <w:kern w:val="0"/>
          <w:sz w:val="24"/>
          <w:highlight w:val="none"/>
          <w:u w:color="000000"/>
          <w:lang w:eastAsia="zh-CN" w:bidi="ar"/>
        </w:rPr>
        <w:t>王昊</w:t>
      </w:r>
      <w:r>
        <w:rPr>
          <w:rFonts w:hint="eastAsia" w:asciiTheme="majorEastAsia" w:hAnsiTheme="majorEastAsia" w:eastAsiaTheme="majorEastAsia" w:cstheme="majorEastAsia"/>
          <w:bCs/>
          <w:color w:val="auto"/>
          <w:kern w:val="0"/>
          <w:sz w:val="24"/>
          <w:highlight w:val="none"/>
          <w:u w:color="000000"/>
          <w:lang w:bidi="ar"/>
        </w:rPr>
        <w:t>、</w:t>
      </w:r>
      <w:r>
        <w:rPr>
          <w:rFonts w:hint="eastAsia" w:asciiTheme="majorEastAsia" w:hAnsiTheme="majorEastAsia" w:eastAsiaTheme="majorEastAsia" w:cstheme="majorEastAsia"/>
          <w:bCs/>
          <w:color w:val="auto"/>
          <w:kern w:val="0"/>
          <w:sz w:val="24"/>
          <w:highlight w:val="none"/>
          <w:u w:color="000000"/>
          <w:lang w:eastAsia="zh-CN" w:bidi="ar"/>
        </w:rPr>
        <w:t>曹思敏</w:t>
      </w:r>
      <w:r>
        <w:rPr>
          <w:rFonts w:hint="eastAsia" w:asciiTheme="majorEastAsia" w:hAnsiTheme="majorEastAsia" w:eastAsiaTheme="majorEastAsia" w:cstheme="majorEastAsia"/>
          <w:bCs/>
          <w:color w:val="auto"/>
          <w:kern w:val="0"/>
          <w:sz w:val="24"/>
          <w:highlight w:val="none"/>
          <w:u w:color="000000"/>
          <w:lang w:bidi="ar"/>
        </w:rPr>
        <w:t xml:space="preserve">   </w:t>
      </w:r>
    </w:p>
    <w:p w14:paraId="573E787E">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eastAsia="zh-CN" w:bidi="ar"/>
        </w:rPr>
      </w:pPr>
      <w:r>
        <w:rPr>
          <w:rFonts w:hint="eastAsia" w:asciiTheme="majorEastAsia" w:hAnsiTheme="majorEastAsia" w:eastAsiaTheme="majorEastAsia" w:cstheme="majorEastAsia"/>
          <w:bCs/>
          <w:color w:val="auto"/>
          <w:kern w:val="0"/>
          <w:sz w:val="24"/>
          <w:highlight w:val="none"/>
          <w:u w:color="000000"/>
          <w:lang w:bidi="ar"/>
        </w:rPr>
        <w:t>电      话：</w:t>
      </w:r>
      <w:r>
        <w:rPr>
          <w:rFonts w:hint="eastAsia" w:asciiTheme="majorEastAsia" w:hAnsiTheme="majorEastAsia" w:eastAsiaTheme="majorEastAsia" w:cstheme="majorEastAsia"/>
          <w:bCs/>
          <w:color w:val="auto"/>
          <w:sz w:val="24"/>
          <w:highlight w:val="none"/>
          <w:lang w:eastAsia="zh-CN"/>
        </w:rPr>
        <w:t>15556335448</w:t>
      </w:r>
      <w:r>
        <w:rPr>
          <w:rFonts w:hint="eastAsia" w:asciiTheme="majorEastAsia" w:hAnsiTheme="majorEastAsia" w:eastAsiaTheme="majorEastAsia" w:cstheme="majorEastAsia"/>
          <w:bCs/>
          <w:color w:val="auto"/>
          <w:kern w:val="0"/>
          <w:sz w:val="24"/>
          <w:highlight w:val="none"/>
          <w:u w:color="000000"/>
          <w:lang w:bidi="ar"/>
        </w:rPr>
        <w:t>、</w:t>
      </w:r>
      <w:r>
        <w:rPr>
          <w:rFonts w:hint="eastAsia" w:asciiTheme="majorEastAsia" w:hAnsiTheme="majorEastAsia" w:eastAsiaTheme="majorEastAsia" w:cstheme="majorEastAsia"/>
          <w:bCs/>
          <w:color w:val="auto"/>
          <w:kern w:val="0"/>
          <w:sz w:val="24"/>
          <w:highlight w:val="none"/>
          <w:u w:color="000000"/>
          <w:lang w:eastAsia="zh-CN" w:bidi="ar"/>
        </w:rPr>
        <w:t>18712012204</w:t>
      </w:r>
    </w:p>
    <w:p w14:paraId="55F17990">
      <w:pPr>
        <w:widowControl/>
        <w:autoSpaceDE w:val="0"/>
        <w:spacing w:line="440" w:lineRule="exact"/>
        <w:ind w:firstLine="480" w:firstLineChars="200"/>
        <w:jc w:val="center"/>
        <w:rPr>
          <w:rFonts w:asciiTheme="majorEastAsia" w:hAnsiTheme="majorEastAsia" w:eastAsiaTheme="majorEastAsia" w:cstheme="majorEastAsia"/>
          <w:b/>
          <w:bCs/>
          <w:color w:val="auto"/>
          <w:kern w:val="0"/>
          <w:sz w:val="28"/>
          <w:szCs w:val="28"/>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 xml:space="preserve"> </w:t>
      </w:r>
      <w:r>
        <w:rPr>
          <w:rFonts w:hint="eastAsia" w:asciiTheme="majorEastAsia" w:hAnsiTheme="majorEastAsia" w:eastAsiaTheme="majorEastAsia" w:cstheme="majorEastAsia"/>
          <w:bCs/>
          <w:color w:val="auto"/>
          <w:kern w:val="0"/>
          <w:sz w:val="24"/>
          <w:highlight w:val="none"/>
          <w:u w:color="000000"/>
          <w:lang w:bidi="ar"/>
        </w:rPr>
        <w:br w:type="page"/>
      </w:r>
      <w:r>
        <w:rPr>
          <w:rFonts w:hint="eastAsia" w:asciiTheme="majorEastAsia" w:hAnsiTheme="majorEastAsia" w:eastAsiaTheme="majorEastAsia" w:cstheme="majorEastAsia"/>
          <w:bCs/>
          <w:color w:val="auto"/>
          <w:kern w:val="0"/>
          <w:sz w:val="24"/>
          <w:highlight w:val="none"/>
          <w:u w:color="000000"/>
          <w:lang w:bidi="ar"/>
        </w:rPr>
        <w:t xml:space="preserve">   </w:t>
      </w:r>
      <w:r>
        <w:rPr>
          <w:rFonts w:hint="eastAsia" w:asciiTheme="majorEastAsia" w:hAnsiTheme="majorEastAsia" w:eastAsiaTheme="majorEastAsia" w:cstheme="majorEastAsia"/>
          <w:b/>
          <w:bCs/>
          <w:color w:val="auto"/>
          <w:kern w:val="0"/>
          <w:sz w:val="28"/>
          <w:szCs w:val="28"/>
          <w:highlight w:val="none"/>
          <w:u w:color="000000"/>
          <w:lang w:bidi="ar"/>
        </w:rPr>
        <w:t>第二章 投标人须知</w:t>
      </w:r>
      <w:bookmarkStart w:id="16" w:name="_Toc9559"/>
      <w:bookmarkEnd w:id="16"/>
      <w:bookmarkStart w:id="17" w:name="_Toc28003_WPSOffice_Level2"/>
    </w:p>
    <w:p w14:paraId="1CA6F3AE">
      <w:pPr>
        <w:widowControl/>
        <w:autoSpaceDE w:val="0"/>
        <w:spacing w:line="440" w:lineRule="exact"/>
        <w:ind w:firstLine="482" w:firstLineChars="200"/>
        <w:jc w:val="center"/>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2A2732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D53F156">
            <w:pPr>
              <w:pStyle w:val="15"/>
              <w:widowControl/>
              <w:spacing w:line="440" w:lineRule="exact"/>
              <w:jc w:val="center"/>
              <w:rPr>
                <w:rFonts w:hint="default" w:asciiTheme="majorEastAsia" w:hAnsiTheme="majorEastAsia" w:eastAsiaTheme="majorEastAsia" w:cstheme="majorEastAsia"/>
                <w:b/>
                <w:color w:val="auto"/>
                <w:highlight w:val="none"/>
              </w:rPr>
            </w:pPr>
            <w:r>
              <w:rPr>
                <w:rFonts w:asciiTheme="majorEastAsia" w:hAnsiTheme="majorEastAsia" w:eastAsiaTheme="majorEastAsia" w:cstheme="majorEastAsia"/>
                <w:b/>
                <w:color w:val="auto"/>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378E41AF">
            <w:pPr>
              <w:pStyle w:val="15"/>
              <w:widowControl/>
              <w:spacing w:line="440" w:lineRule="exact"/>
              <w:jc w:val="center"/>
              <w:rPr>
                <w:rFonts w:hint="default" w:asciiTheme="majorEastAsia" w:hAnsiTheme="majorEastAsia" w:eastAsiaTheme="majorEastAsia" w:cstheme="majorEastAsia"/>
                <w:b/>
                <w:color w:val="auto"/>
                <w:highlight w:val="none"/>
              </w:rPr>
            </w:pPr>
            <w:r>
              <w:rPr>
                <w:rFonts w:asciiTheme="majorEastAsia" w:hAnsiTheme="majorEastAsia" w:eastAsiaTheme="majorEastAsia" w:cstheme="majorEastAsia"/>
                <w:b/>
                <w:color w:val="auto"/>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020ABAFB">
            <w:pPr>
              <w:pStyle w:val="15"/>
              <w:widowControl/>
              <w:spacing w:line="440" w:lineRule="exact"/>
              <w:jc w:val="center"/>
              <w:rPr>
                <w:rFonts w:hint="default" w:asciiTheme="majorEastAsia" w:hAnsiTheme="majorEastAsia" w:eastAsiaTheme="majorEastAsia" w:cstheme="majorEastAsia"/>
                <w:b/>
                <w:color w:val="auto"/>
                <w:highlight w:val="none"/>
              </w:rPr>
            </w:pPr>
            <w:r>
              <w:rPr>
                <w:rFonts w:asciiTheme="majorEastAsia" w:hAnsiTheme="majorEastAsia" w:eastAsiaTheme="majorEastAsia" w:cstheme="majorEastAsia"/>
                <w:b/>
                <w:color w:val="auto"/>
                <w:highlight w:val="none"/>
              </w:rPr>
              <w:t>说明与要求</w:t>
            </w:r>
          </w:p>
        </w:tc>
      </w:tr>
      <w:tr w14:paraId="0709DF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0EF44A">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9D2CC5">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B4965C">
            <w:pPr>
              <w:pStyle w:val="15"/>
              <w:widowControl/>
              <w:autoSpaceDE w:val="0"/>
              <w:spacing w:line="440" w:lineRule="exact"/>
              <w:rPr>
                <w:rFonts w:hint="eastAsia" w:asciiTheme="majorEastAsia" w:hAnsiTheme="majorEastAsia" w:eastAsiaTheme="majorEastAsia" w:cstheme="majorEastAsia"/>
                <w:bCs/>
                <w:color w:val="auto"/>
                <w:highlight w:val="none"/>
                <w:lang w:eastAsia="zh-CN"/>
              </w:rPr>
            </w:pPr>
            <w:r>
              <w:rPr>
                <w:rFonts w:hint="eastAsia" w:asciiTheme="majorEastAsia" w:hAnsiTheme="majorEastAsia" w:eastAsiaTheme="majorEastAsia" w:cstheme="majorEastAsia"/>
                <w:bCs/>
                <w:color w:val="auto"/>
                <w:highlight w:val="none"/>
                <w:lang w:eastAsia="zh-CN"/>
              </w:rPr>
              <w:t>滁州工投企业服务有限公司管理施工工地物业服务外包项目</w:t>
            </w:r>
          </w:p>
        </w:tc>
      </w:tr>
      <w:tr w14:paraId="34B3E0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97FDF9">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F8132F">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DFD733">
            <w:pPr>
              <w:pStyle w:val="15"/>
              <w:widowControl/>
              <w:autoSpaceDE w:val="0"/>
              <w:spacing w:line="440" w:lineRule="exact"/>
              <w:rPr>
                <w:rFonts w:hint="eastAsia" w:asciiTheme="majorEastAsia" w:hAnsiTheme="majorEastAsia" w:eastAsiaTheme="majorEastAsia" w:cstheme="majorEastAsia"/>
                <w:bCs/>
                <w:color w:val="auto"/>
                <w:highlight w:val="none"/>
                <w:lang w:eastAsia="zh-CN"/>
              </w:rPr>
            </w:pPr>
            <w:r>
              <w:rPr>
                <w:rFonts w:hint="eastAsia" w:asciiTheme="majorEastAsia" w:hAnsiTheme="majorEastAsia" w:eastAsiaTheme="majorEastAsia" w:cstheme="majorEastAsia"/>
                <w:bCs/>
                <w:color w:val="auto"/>
                <w:highlight w:val="none"/>
                <w:lang w:eastAsia="zh-CN"/>
              </w:rPr>
              <w:t>服务周期约270天，不满或超过时间据实结算</w:t>
            </w:r>
          </w:p>
        </w:tc>
      </w:tr>
      <w:tr w14:paraId="50C0CA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3FE416">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9B3403">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ED3D5A">
            <w:pPr>
              <w:pStyle w:val="15"/>
              <w:widowControl/>
              <w:autoSpaceDE w:val="0"/>
              <w:spacing w:line="440" w:lineRule="exact"/>
              <w:rPr>
                <w:rFonts w:hint="default" w:asciiTheme="majorEastAsia" w:hAnsiTheme="majorEastAsia" w:eastAsiaTheme="majorEastAsia" w:cstheme="majorEastAsia"/>
                <w:bCs/>
                <w:color w:val="auto"/>
                <w:highlight w:val="none"/>
              </w:rPr>
            </w:pPr>
            <w:r>
              <w:rPr>
                <w:rFonts w:asciiTheme="majorEastAsia" w:hAnsiTheme="majorEastAsia" w:eastAsiaTheme="majorEastAsia" w:cstheme="majorEastAsia"/>
                <w:color w:val="auto"/>
                <w:highlight w:val="none"/>
              </w:rPr>
              <w:t>招标人指定地点</w:t>
            </w:r>
          </w:p>
        </w:tc>
      </w:tr>
      <w:tr w14:paraId="494A30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BCFAA1">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A567A6">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902F46">
            <w:pPr>
              <w:pStyle w:val="15"/>
              <w:widowControl/>
              <w:autoSpaceDE w:val="0"/>
              <w:spacing w:line="440" w:lineRule="exact"/>
              <w:rPr>
                <w:rFonts w:hint="eastAsia" w:asciiTheme="majorEastAsia" w:hAnsiTheme="majorEastAsia" w:eastAsiaTheme="majorEastAsia" w:cstheme="majorEastAsia"/>
                <w:color w:val="auto"/>
                <w:highlight w:val="none"/>
                <w:lang w:eastAsia="zh-CN"/>
              </w:rPr>
            </w:pPr>
            <w:r>
              <w:rPr>
                <w:rFonts w:hint="eastAsia" w:asciiTheme="majorEastAsia" w:hAnsiTheme="majorEastAsia" w:eastAsiaTheme="majorEastAsia" w:cstheme="majorEastAsia"/>
                <w:color w:val="auto"/>
                <w:highlight w:val="none"/>
                <w:lang w:eastAsia="zh-CN"/>
              </w:rPr>
              <w:t>王昊</w:t>
            </w:r>
            <w:r>
              <w:rPr>
                <w:rFonts w:asciiTheme="majorEastAsia" w:hAnsiTheme="majorEastAsia" w:eastAsiaTheme="majorEastAsia" w:cstheme="majorEastAsia"/>
                <w:color w:val="auto"/>
                <w:highlight w:val="none"/>
              </w:rPr>
              <w:t xml:space="preserve"> </w:t>
            </w:r>
            <w:r>
              <w:rPr>
                <w:rFonts w:hint="eastAsia" w:asciiTheme="majorEastAsia" w:hAnsiTheme="majorEastAsia" w:eastAsiaTheme="majorEastAsia" w:cstheme="majorEastAsia"/>
                <w:color w:val="auto"/>
                <w:highlight w:val="none"/>
                <w:lang w:eastAsia="zh-CN"/>
              </w:rPr>
              <w:t>15556335448</w:t>
            </w:r>
          </w:p>
        </w:tc>
      </w:tr>
      <w:tr w14:paraId="716924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A0C1952">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737561F">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EF66C2">
            <w:pPr>
              <w:pStyle w:val="15"/>
              <w:widowControl/>
              <w:autoSpaceDE w:val="0"/>
              <w:spacing w:line="440" w:lineRule="exact"/>
              <w:rPr>
                <w:rFonts w:hint="eastAsia" w:asciiTheme="majorEastAsia" w:hAnsiTheme="majorEastAsia" w:eastAsiaTheme="majorEastAsia" w:cstheme="majorEastAsia"/>
                <w:color w:val="auto"/>
                <w:highlight w:val="none"/>
                <w:lang w:eastAsia="zh-CN"/>
              </w:rPr>
            </w:pPr>
            <w:r>
              <w:rPr>
                <w:rFonts w:hint="eastAsia" w:asciiTheme="majorEastAsia" w:hAnsiTheme="majorEastAsia" w:eastAsiaTheme="majorEastAsia" w:cstheme="majorEastAsia"/>
                <w:color w:val="auto"/>
                <w:highlight w:val="none"/>
                <w:lang w:eastAsia="zh-CN"/>
              </w:rPr>
              <w:t>曹思敏</w:t>
            </w:r>
            <w:r>
              <w:rPr>
                <w:rFonts w:asciiTheme="majorEastAsia" w:hAnsiTheme="majorEastAsia" w:eastAsiaTheme="majorEastAsia" w:cstheme="majorEastAsia"/>
                <w:color w:val="auto"/>
                <w:highlight w:val="none"/>
              </w:rPr>
              <w:t xml:space="preserve"> 0550-351951</w:t>
            </w:r>
            <w:r>
              <w:rPr>
                <w:rFonts w:hint="eastAsia" w:asciiTheme="majorEastAsia" w:hAnsiTheme="majorEastAsia" w:eastAsiaTheme="majorEastAsia" w:cstheme="majorEastAsia"/>
                <w:color w:val="auto"/>
                <w:highlight w:val="none"/>
                <w:lang w:val="en-US" w:eastAsia="zh-CN"/>
              </w:rPr>
              <w:t>6</w:t>
            </w:r>
            <w:r>
              <w:rPr>
                <w:rFonts w:hint="eastAsia" w:asciiTheme="majorEastAsia" w:hAnsiTheme="majorEastAsia" w:eastAsiaTheme="majorEastAsia" w:cstheme="majorEastAsia"/>
                <w:color w:val="auto"/>
                <w:highlight w:val="none"/>
                <w:lang w:eastAsia="zh-CN"/>
              </w:rPr>
              <w:t>、18712012204</w:t>
            </w:r>
          </w:p>
        </w:tc>
      </w:tr>
      <w:tr w14:paraId="2F6CDA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44EE739">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AE83EC">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56C8AE">
            <w:pPr>
              <w:keepNext w:val="0"/>
              <w:keepLines w:val="0"/>
              <w:pageBreakBefore w:val="0"/>
              <w:kinsoku/>
              <w:overflowPunct/>
              <w:autoSpaceDE/>
              <w:autoSpaceDN/>
              <w:bidi w:val="0"/>
              <w:adjustRightInd/>
              <w:spacing w:line="440" w:lineRule="exact"/>
              <w:textAlignment w:val="auto"/>
              <w:rPr>
                <w:rFonts w:hint="default" w:asciiTheme="majorEastAsia" w:hAnsiTheme="majorEastAsia" w:eastAsiaTheme="majorEastAsia" w:cstheme="majorEastAsia"/>
                <w:color w:val="auto"/>
                <w:highlight w:val="none"/>
              </w:rPr>
            </w:pPr>
            <w:r>
              <w:rPr>
                <w:rFonts w:hint="eastAsia" w:ascii="宋体" w:hAnsi="宋体" w:eastAsia="宋体" w:cs="宋体"/>
                <w:color w:val="auto"/>
                <w:kern w:val="2"/>
                <w:sz w:val="21"/>
                <w:szCs w:val="21"/>
                <w:highlight w:val="none"/>
                <w:u w:val="none" w:color="000000"/>
                <w:lang w:val="en-US" w:eastAsia="zh-CN" w:bidi="ar-SA"/>
              </w:rPr>
              <w:t>57400元/月，投标报价总价和单价均高于（不含等于）最高限价的，按无效投标处理。</w:t>
            </w:r>
          </w:p>
        </w:tc>
      </w:tr>
      <w:tr w14:paraId="0B7CCB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708680">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DA769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2D362">
            <w:pPr>
              <w:pStyle w:val="15"/>
              <w:widowControl/>
              <w:autoSpaceDE w:val="0"/>
              <w:spacing w:line="440" w:lineRule="exact"/>
              <w:rPr>
                <w:rFonts w:hint="default" w:asciiTheme="majorEastAsia" w:hAnsiTheme="majorEastAsia" w:eastAsiaTheme="majorEastAsia" w:cstheme="majorEastAsia"/>
                <w:color w:val="auto"/>
                <w:highlight w:val="none"/>
              </w:rPr>
            </w:pPr>
            <w:r>
              <w:rPr>
                <w:rFonts w:hint="eastAsia" w:ascii="宋体" w:hAnsi="宋体" w:eastAsia="宋体" w:cs="宋体"/>
                <w:color w:val="auto"/>
                <w:kern w:val="2"/>
                <w:sz w:val="21"/>
                <w:szCs w:val="21"/>
                <w:highlight w:val="none"/>
                <w:u w:val="none" w:color="000000"/>
                <w:lang w:val="en-US" w:eastAsia="zh-CN" w:bidi="ar-SA"/>
              </w:rPr>
              <w:t>具体详见招标文件第四章《采购需求》</w:t>
            </w:r>
          </w:p>
        </w:tc>
      </w:tr>
      <w:tr w14:paraId="7E6B18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458171">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8BA6B8">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标段划分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2B16B6">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本项目划分为</w:t>
            </w:r>
            <w:r>
              <w:rPr>
                <w:rFonts w:asciiTheme="majorEastAsia" w:hAnsiTheme="majorEastAsia" w:eastAsiaTheme="majorEastAsia" w:cstheme="majorEastAsia"/>
                <w:color w:val="auto"/>
                <w:highlight w:val="none"/>
                <w:u w:val="single"/>
              </w:rPr>
              <w:t xml:space="preserve"> 1 </w:t>
            </w:r>
            <w:r>
              <w:rPr>
                <w:rFonts w:asciiTheme="majorEastAsia" w:hAnsiTheme="majorEastAsia" w:eastAsiaTheme="majorEastAsia" w:cstheme="majorEastAsia"/>
                <w:color w:val="auto"/>
                <w:highlight w:val="none"/>
              </w:rPr>
              <w:t>个标段</w:t>
            </w:r>
          </w:p>
        </w:tc>
      </w:tr>
      <w:tr w14:paraId="3C16A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CB3D7">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AE6C23">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6EC97D">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公开招标</w:t>
            </w:r>
          </w:p>
        </w:tc>
      </w:tr>
      <w:tr w14:paraId="11A80C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3094AF">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96D592">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57FC7A">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详见第一章“招标公告”</w:t>
            </w:r>
          </w:p>
        </w:tc>
      </w:tr>
      <w:tr w14:paraId="6B29C4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FFB433">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461C6E">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8B7BFB">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不组织,投标人自行踏勘现场</w:t>
            </w:r>
          </w:p>
        </w:tc>
      </w:tr>
      <w:tr w14:paraId="661FF6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6AD1AA">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665931">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AD88A9">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不召开</w:t>
            </w:r>
          </w:p>
        </w:tc>
      </w:tr>
      <w:tr w14:paraId="0A68A8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729AE8">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2E0AB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投标人提出</w:t>
            </w:r>
            <w:r>
              <w:rPr>
                <w:rFonts w:asciiTheme="majorEastAsia" w:hAnsiTheme="majorEastAsia" w:eastAsiaTheme="majorEastAsia" w:cstheme="majorEastAsia"/>
                <w:color w:val="auto"/>
                <w:highlight w:val="none"/>
                <w:u w:val="single"/>
              </w:rPr>
              <w:t>疑问</w:t>
            </w:r>
            <w:r>
              <w:rPr>
                <w:rFonts w:asciiTheme="majorEastAsia" w:hAnsiTheme="majorEastAsia" w:eastAsiaTheme="majorEastAsia" w:cstheme="majorEastAsia"/>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857BD">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如投标人对招标文件有疑问，请于</w:t>
            </w:r>
            <w:r>
              <w:rPr>
                <w:rFonts w:hint="eastAsia" w:asciiTheme="majorEastAsia" w:hAnsiTheme="majorEastAsia" w:eastAsiaTheme="majorEastAsia" w:cstheme="majorEastAsia"/>
                <w:color w:val="auto"/>
                <w:highlight w:val="none"/>
                <w:lang w:eastAsia="zh-CN"/>
              </w:rPr>
              <w:t>2026年8月</w:t>
            </w:r>
            <w:r>
              <w:rPr>
                <w:rFonts w:hint="eastAsia" w:asciiTheme="majorEastAsia" w:hAnsiTheme="majorEastAsia" w:eastAsiaTheme="majorEastAsia" w:cstheme="majorEastAsia"/>
                <w:color w:val="auto"/>
                <w:highlight w:val="none"/>
                <w:lang w:val="en-US" w:eastAsia="zh-CN"/>
              </w:rPr>
              <w:t>18</w:t>
            </w:r>
            <w:r>
              <w:rPr>
                <w:rFonts w:asciiTheme="majorEastAsia" w:hAnsiTheme="majorEastAsia" w:eastAsiaTheme="majorEastAsia" w:cstheme="majorEastAsia"/>
                <w:color w:val="auto"/>
                <w:highlight w:val="none"/>
              </w:rPr>
              <w:t>日12时</w:t>
            </w:r>
            <w:r>
              <w:rPr>
                <w:rFonts w:hint="eastAsia" w:ascii="宋体" w:hAnsi="宋体" w:eastAsia="宋体" w:cs="宋体"/>
                <w:color w:val="auto"/>
                <w:szCs w:val="21"/>
                <w:highlight w:val="none"/>
              </w:rPr>
              <w:t>前将疑问内容</w:t>
            </w:r>
            <w:r>
              <w:rPr>
                <w:rFonts w:hint="eastAsia" w:ascii="宋体" w:hAnsi="宋体" w:eastAsia="宋体" w:cs="宋体"/>
                <w:color w:val="auto"/>
                <w:szCs w:val="21"/>
                <w:highlight w:val="none"/>
                <w:lang w:val="en-US" w:eastAsia="zh-CN"/>
              </w:rPr>
              <w:t>通过登录新点电子交易平台【滁州专区】线上提出异议</w:t>
            </w:r>
            <w:r>
              <w:rPr>
                <w:rFonts w:ascii="宋体" w:hAnsi="宋体" w:eastAsia="宋体" w:cs="宋体"/>
                <w:color w:val="auto"/>
                <w:highlight w:val="none"/>
              </w:rPr>
              <w:t>。</w:t>
            </w:r>
          </w:p>
        </w:tc>
      </w:tr>
      <w:tr w14:paraId="6CB49B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9F078B">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0CB4B3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305C8A">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招标人将在</w:t>
            </w:r>
            <w:r>
              <w:rPr>
                <w:rFonts w:hint="eastAsia" w:asciiTheme="majorEastAsia" w:hAnsiTheme="majorEastAsia" w:eastAsiaTheme="majorEastAsia" w:cstheme="majorEastAsia"/>
                <w:color w:val="auto"/>
                <w:szCs w:val="21"/>
                <w:highlight w:val="none"/>
                <w:lang w:eastAsia="zh-CN" w:bidi="ar"/>
              </w:rPr>
              <w:t>2026年8月</w:t>
            </w:r>
            <w:r>
              <w:rPr>
                <w:rFonts w:hint="eastAsia" w:asciiTheme="majorEastAsia" w:hAnsiTheme="majorEastAsia" w:eastAsiaTheme="majorEastAsia" w:cstheme="majorEastAsia"/>
                <w:color w:val="auto"/>
                <w:szCs w:val="21"/>
                <w:highlight w:val="none"/>
                <w:lang w:val="en-US" w:eastAsia="zh-CN" w:bidi="ar"/>
              </w:rPr>
              <w:t>19</w:t>
            </w:r>
            <w:r>
              <w:rPr>
                <w:rFonts w:hint="eastAsia" w:asciiTheme="majorEastAsia" w:hAnsiTheme="majorEastAsia" w:eastAsiaTheme="majorEastAsia" w:cstheme="majorEastAsia"/>
                <w:color w:val="auto"/>
                <w:szCs w:val="21"/>
                <w:highlight w:val="none"/>
                <w:lang w:bidi="ar"/>
              </w:rPr>
              <w:t>日17时后</w:t>
            </w:r>
            <w:r>
              <w:rPr>
                <w:rFonts w:hint="eastAsia" w:ascii="宋体" w:hAnsi="宋体" w:eastAsia="宋体" w:cs="宋体"/>
                <w:color w:val="auto"/>
                <w:kern w:val="0"/>
                <w:szCs w:val="21"/>
                <w:highlight w:val="none"/>
              </w:rPr>
              <w:t>在</w:t>
            </w:r>
            <w:r>
              <w:rPr>
                <w:rFonts w:hint="eastAsia" w:ascii="宋体" w:hAnsi="宋体" w:eastAsia="宋体" w:cs="宋体"/>
                <w:color w:val="auto"/>
                <w:kern w:val="0"/>
                <w:szCs w:val="21"/>
                <w:highlight w:val="none"/>
                <w:lang w:val="en-US" w:eastAsia="zh-CN"/>
              </w:rPr>
              <w:t>滁州市城投工程咨询管理有限公司</w:t>
            </w:r>
            <w:r>
              <w:rPr>
                <w:rFonts w:hint="eastAsia" w:ascii="宋体" w:hAnsi="宋体" w:eastAsia="宋体" w:cs="宋体"/>
                <w:color w:val="auto"/>
                <w:kern w:val="0"/>
                <w:szCs w:val="21"/>
                <w:highlight w:val="none"/>
              </w:rPr>
              <w:t>（https://www.czctgczx.com/）</w:t>
            </w:r>
            <w:r>
              <w:rPr>
                <w:rFonts w:hint="eastAsia" w:ascii="宋体" w:hAnsi="宋体" w:eastAsia="宋体" w:cs="宋体"/>
                <w:color w:val="auto"/>
                <w:kern w:val="0"/>
                <w:szCs w:val="21"/>
                <w:highlight w:val="none"/>
                <w:lang w:val="en-US" w:eastAsia="zh-CN"/>
              </w:rPr>
              <w:t>网站</w:t>
            </w:r>
            <w:r>
              <w:rPr>
                <w:rFonts w:hint="eastAsia" w:ascii="宋体" w:hAnsi="宋体" w:eastAsia="宋体" w:cs="宋体"/>
                <w:color w:val="auto"/>
                <w:kern w:val="0"/>
                <w:szCs w:val="21"/>
                <w:highlight w:val="none"/>
              </w:rPr>
              <w:t>予以公告</w:t>
            </w:r>
            <w:r>
              <w:rPr>
                <w:rFonts w:hint="eastAsia" w:asciiTheme="majorEastAsia" w:hAnsiTheme="majorEastAsia" w:eastAsiaTheme="majorEastAsia" w:cstheme="majorEastAsia"/>
                <w:color w:val="auto"/>
                <w:szCs w:val="21"/>
                <w:highlight w:val="none"/>
              </w:rPr>
              <w:t>。</w:t>
            </w:r>
          </w:p>
        </w:tc>
      </w:tr>
      <w:tr w14:paraId="7F9CAC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DF4AFD">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7A0AB6">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FBC55">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本次招标</w:t>
            </w:r>
            <w:r>
              <w:rPr>
                <w:rFonts w:asciiTheme="majorEastAsia" w:hAnsiTheme="majorEastAsia" w:eastAsiaTheme="majorEastAsia" w:cstheme="majorEastAsia"/>
                <w:color w:val="auto"/>
                <w:highlight w:val="none"/>
                <w:u w:val="single"/>
              </w:rPr>
              <w:t>不接受</w:t>
            </w:r>
            <w:r>
              <w:rPr>
                <w:rFonts w:asciiTheme="majorEastAsia" w:hAnsiTheme="majorEastAsia" w:eastAsiaTheme="majorEastAsia" w:cstheme="majorEastAsia"/>
                <w:color w:val="auto"/>
                <w:highlight w:val="none"/>
              </w:rPr>
              <w:t>联合体投标</w:t>
            </w:r>
          </w:p>
        </w:tc>
      </w:tr>
      <w:tr w14:paraId="470CF9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027240">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39918F">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7B8F12">
            <w:pPr>
              <w:autoSpaceDE w:val="0"/>
              <w:spacing w:line="440" w:lineRule="exact"/>
              <w:jc w:val="left"/>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szCs w:val="21"/>
                <w:highlight w:val="none"/>
                <w:u w:color="000000"/>
                <w:lang w:bidi="ar"/>
              </w:rPr>
              <w:t>代理服务费金额：</w:t>
            </w:r>
            <w:r>
              <w:rPr>
                <w:rFonts w:hint="eastAsia" w:ascii="宋体" w:hAnsi="宋体" w:cs="宋体"/>
                <w:color w:val="auto"/>
                <w:szCs w:val="21"/>
                <w:highlight w:val="none"/>
                <w:lang w:val="en-US" w:eastAsia="zh-CN"/>
              </w:rPr>
              <w:t>3000元</w:t>
            </w:r>
            <w:r>
              <w:rPr>
                <w:rFonts w:hint="eastAsia" w:asciiTheme="majorEastAsia" w:hAnsiTheme="majorEastAsia" w:eastAsiaTheme="majorEastAsia" w:cstheme="majorEastAsia"/>
                <w:color w:val="auto"/>
                <w:szCs w:val="21"/>
                <w:highlight w:val="none"/>
                <w:u w:color="000000"/>
                <w:lang w:bidi="ar"/>
              </w:rPr>
              <w:t>。</w:t>
            </w:r>
            <w:r>
              <w:rPr>
                <w:rFonts w:hint="eastAsia" w:asciiTheme="majorEastAsia" w:hAnsiTheme="majorEastAsia" w:eastAsiaTheme="majorEastAsia" w:cstheme="majorEastAsia"/>
                <w:color w:val="auto"/>
                <w:szCs w:val="21"/>
                <w:highlight w:val="none"/>
                <w:u w:color="000000"/>
                <w:lang w:val="en-US" w:eastAsia="zh-CN" w:bidi="ar"/>
              </w:rPr>
              <w:t>专家评审费按实计算。</w:t>
            </w:r>
          </w:p>
          <w:p w14:paraId="7B5B2AA8">
            <w:pPr>
              <w:autoSpaceDE w:val="0"/>
              <w:spacing w:line="440" w:lineRule="exact"/>
              <w:jc w:val="left"/>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szCs w:val="21"/>
                <w:highlight w:val="none"/>
                <w:u w:color="000000"/>
                <w:lang w:bidi="ar"/>
              </w:rPr>
              <w:t>代理服务费及专家评审费支付主体：中标单位，中标单位在获取中标通知书时一次性支付给代理机构。</w:t>
            </w:r>
            <w:r>
              <w:rPr>
                <w:rFonts w:hint="eastAsia" w:asciiTheme="majorEastAsia" w:hAnsiTheme="majorEastAsia" w:eastAsiaTheme="majorEastAsia" w:cstheme="majorEastAsia"/>
                <w:color w:val="auto"/>
                <w:szCs w:val="21"/>
                <w:highlight w:val="none"/>
                <w:u w:color="000000"/>
                <w:lang w:val="en-US" w:eastAsia="zh-CN" w:bidi="ar"/>
              </w:rPr>
              <w:t>专家评委费按本次评审实际支付。</w:t>
            </w:r>
          </w:p>
        </w:tc>
      </w:tr>
      <w:tr w14:paraId="75F2FB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D82837">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70B864">
            <w:pPr>
              <w:autoSpaceDE w:val="0"/>
              <w:spacing w:line="440" w:lineRule="exact"/>
              <w:ind w:right="-27" w:rightChars="-13"/>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67AE47">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同表14条</w:t>
            </w:r>
          </w:p>
        </w:tc>
      </w:tr>
      <w:tr w14:paraId="39BCDF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2AF378">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222FC3">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6E7E19">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投标有效期为</w:t>
            </w:r>
            <w:r>
              <w:rPr>
                <w:rFonts w:asciiTheme="majorEastAsia" w:hAnsiTheme="majorEastAsia" w:eastAsiaTheme="majorEastAsia" w:cstheme="majorEastAsia"/>
                <w:color w:val="auto"/>
                <w:highlight w:val="none"/>
                <w:u w:val="single"/>
              </w:rPr>
              <w:t xml:space="preserve"> 60 </w:t>
            </w:r>
            <w:r>
              <w:rPr>
                <w:rFonts w:asciiTheme="majorEastAsia" w:hAnsiTheme="majorEastAsia" w:eastAsiaTheme="majorEastAsia" w:cstheme="majorEastAsia"/>
                <w:color w:val="auto"/>
                <w:highlight w:val="none"/>
              </w:rPr>
              <w:t>日历天（从投标截止之日算起）。在此期限内，凡符合本招标文件要求的投标文件均保持有效。</w:t>
            </w:r>
          </w:p>
        </w:tc>
      </w:tr>
      <w:tr w14:paraId="59F0C3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E81C4CF">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2D676">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5AC0E5C">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本项目不要求投标人提交投标保证金</w:t>
            </w:r>
          </w:p>
        </w:tc>
      </w:tr>
      <w:tr w14:paraId="45D1AF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B00841F">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D52AB4">
            <w:pPr>
              <w:adjustRightInd w:val="0"/>
              <w:snapToGrid w:val="0"/>
              <w:spacing w:line="440" w:lineRule="exact"/>
              <w:jc w:val="center"/>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7A71F8D">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加密电子投标文件投标人应在投标截止时间前通过新点电子交易平台后在【滁州专区】</w:t>
            </w:r>
          </w:p>
          <w:p w14:paraId="5808F2D0">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（https://www.etrading.cn/BREpointSSO/login/oauth2login?regioncode=DQ_ChuZhou）交易系统递交电子投标文件。</w:t>
            </w:r>
          </w:p>
          <w:p w14:paraId="5D4C25DE">
            <w:pPr>
              <w:adjustRightInd w:val="0"/>
              <w:snapToGrid w:val="0"/>
              <w:spacing w:line="440" w:lineRule="exact"/>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（投标人中标后须递交与网上电子投标文件完全一致的纸质版投标文件，并按要求加盖单位章；份数：正本 1 份，副本</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份；中标人领取中标通知书时，一并递交给招标代理机构）</w:t>
            </w:r>
          </w:p>
        </w:tc>
      </w:tr>
      <w:tr w14:paraId="373798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A681F5">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CE389D">
            <w:pPr>
              <w:spacing w:line="440" w:lineRule="exact"/>
              <w:jc w:val="left"/>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994F656">
            <w:pPr>
              <w:spacing w:line="440" w:lineRule="exact"/>
              <w:jc w:val="left"/>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投标文件须按格式文件要求签字或盖章，否则经评委会一致认定后，按照无效投标处理。</w:t>
            </w:r>
          </w:p>
        </w:tc>
      </w:tr>
      <w:tr w14:paraId="5CEB69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7CC829">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8CBC2D">
            <w:pPr>
              <w:spacing w:line="440" w:lineRule="exact"/>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装订要求</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本项目不采用</w:t>
            </w:r>
            <w:r>
              <w:rPr>
                <w:rFonts w:hint="eastAsia" w:asciiTheme="majorEastAsia" w:hAnsiTheme="majorEastAsia" w:eastAsiaTheme="majorEastAsia" w:cstheme="majorEastAsia"/>
                <w:color w:val="auto"/>
                <w:szCs w:val="21"/>
                <w:highlight w:val="none"/>
                <w:lang w:eastAsia="zh-CN"/>
              </w:rPr>
              <w:t>）</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5E3BD50">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投标文件应当按招标文件第七章“投标文件格式文本”的顺序装订并密封在一起。</w:t>
            </w:r>
          </w:p>
        </w:tc>
      </w:tr>
      <w:tr w14:paraId="17EE02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ABF985">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5F7CB9">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投标文件封套上应载明的信息</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本项目不采用</w:t>
            </w:r>
            <w:r>
              <w:rPr>
                <w:rFonts w:hint="eastAsia" w:asciiTheme="majorEastAsia" w:hAnsiTheme="majorEastAsia" w:eastAsiaTheme="majorEastAsia" w:cstheme="majorEastAsia"/>
                <w:color w:val="auto"/>
                <w:szCs w:val="21"/>
                <w:highlight w:val="none"/>
                <w:lang w:eastAsia="zh-CN"/>
              </w:rPr>
              <w:t>）</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9C60CE">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投标人地址：</w:t>
            </w:r>
          </w:p>
          <w:p w14:paraId="305E7203">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投标人名称：</w:t>
            </w:r>
          </w:p>
          <w:p w14:paraId="41874E15">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（项目名称）投标文件</w:t>
            </w:r>
          </w:p>
          <w:p w14:paraId="3AA2581A">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 xml:space="preserve"> 2026年8月  日9时00分</w:t>
            </w:r>
            <w:r>
              <w:rPr>
                <w:rFonts w:hint="eastAsia" w:asciiTheme="majorEastAsia" w:hAnsiTheme="majorEastAsia" w:eastAsiaTheme="majorEastAsia" w:cstheme="majorEastAsia"/>
                <w:color w:val="auto"/>
                <w:szCs w:val="21"/>
                <w:highlight w:val="none"/>
              </w:rPr>
              <w:t>前不得开启</w:t>
            </w:r>
          </w:p>
        </w:tc>
      </w:tr>
      <w:tr w14:paraId="77800A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18DCC3">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F2647F">
            <w:pPr>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A7217B">
            <w:pPr>
              <w:spacing w:line="440" w:lineRule="exact"/>
              <w:ind w:firstLine="18" w:firstLineChars="9"/>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val="single"/>
                <w:lang w:eastAsia="zh-CN"/>
              </w:rPr>
              <w:t>2026年8月21日15时00分</w:t>
            </w:r>
            <w:r>
              <w:rPr>
                <w:rFonts w:hint="eastAsia" w:asciiTheme="majorEastAsia" w:hAnsiTheme="majorEastAsia" w:eastAsiaTheme="majorEastAsia" w:cstheme="majorEastAsia"/>
                <w:bCs/>
                <w:color w:val="auto"/>
                <w:spacing w:val="-4"/>
                <w:kern w:val="0"/>
                <w:szCs w:val="21"/>
                <w:highlight w:val="none"/>
              </w:rPr>
              <w:t>（北京时间）</w:t>
            </w:r>
          </w:p>
        </w:tc>
      </w:tr>
      <w:tr w14:paraId="7734C6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75A28B">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EC2398">
            <w:pPr>
              <w:adjustRightInd w:val="0"/>
              <w:snapToGrid w:val="0"/>
              <w:spacing w:line="440" w:lineRule="exact"/>
              <w:jc w:val="center"/>
              <w:rPr>
                <w:rFonts w:asciiTheme="majorEastAsia" w:hAnsiTheme="majorEastAsia" w:eastAsiaTheme="majorEastAsia" w:cstheme="majorEastAsia"/>
                <w:color w:val="auto"/>
                <w:highlight w:val="none"/>
              </w:rPr>
            </w:pPr>
            <w:r>
              <w:rPr>
                <w:rFonts w:hint="eastAsia" w:ascii="宋体" w:hAnsi="宋体" w:eastAsia="宋体" w:cs="宋体"/>
                <w:color w:val="auto"/>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ACC8B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本项目采用不见面开标，</w:t>
            </w:r>
            <w:r>
              <w:rPr>
                <w:rFonts w:hint="eastAsia" w:ascii="宋体" w:hAnsi="宋体" w:eastAsia="宋体" w:cs="宋体"/>
                <w:color w:val="auto"/>
                <w:kern w:val="0"/>
                <w:sz w:val="21"/>
                <w:szCs w:val="21"/>
                <w:highlight w:val="none"/>
              </w:rPr>
              <w:t>投标人登录</w:t>
            </w:r>
            <w:r>
              <w:rPr>
                <w:rFonts w:hint="eastAsia" w:ascii="宋体" w:hAnsi="宋体" w:eastAsia="宋体" w:cs="宋体"/>
                <w:color w:val="auto"/>
                <w:kern w:val="0"/>
                <w:sz w:val="21"/>
                <w:szCs w:val="21"/>
                <w:highlight w:val="none"/>
                <w:lang w:val="en-US" w:eastAsia="zh-CN"/>
              </w:rPr>
              <w:t>滁州市城投工程咨询有限公司</w:t>
            </w:r>
            <w:r>
              <w:rPr>
                <w:rFonts w:hint="eastAsia" w:ascii="宋体" w:hAnsi="宋体" w:eastAsia="宋体" w:cs="宋体"/>
                <w:color w:val="auto"/>
                <w:kern w:val="0"/>
                <w:sz w:val="21"/>
                <w:szCs w:val="21"/>
                <w:highlight w:val="none"/>
              </w:rPr>
              <w:t>不见面开标系统参与网上开标（网址：http://js.etrading.cn/EpointBidOpening/bidopeninghallaction/hall/login）</w:t>
            </w:r>
            <w:r>
              <w:rPr>
                <w:rFonts w:hint="eastAsia" w:ascii="宋体" w:hAnsi="宋体" w:eastAsia="宋体" w:cs="宋体"/>
                <w:color w:val="auto"/>
                <w:szCs w:val="21"/>
                <w:highlight w:val="none"/>
              </w:rPr>
              <w:t>。</w:t>
            </w:r>
          </w:p>
          <w:p w14:paraId="0674E56C">
            <w:pPr>
              <w:adjustRightInd w:val="0"/>
              <w:snapToGrid w:val="0"/>
              <w:spacing w:line="440" w:lineRule="exact"/>
              <w:rPr>
                <w:rFonts w:asciiTheme="majorEastAsia" w:hAnsiTheme="majorEastAsia" w:eastAsiaTheme="majorEastAsia" w:cstheme="majorEastAsia"/>
                <w:color w:val="auto"/>
                <w:szCs w:val="21"/>
                <w:highlight w:val="none"/>
                <w:u w:color="000000"/>
                <w:lang w:bidi="ar"/>
              </w:rPr>
            </w:pPr>
            <w:r>
              <w:rPr>
                <w:rFonts w:hint="eastAsia" w:ascii="宋体" w:hAnsi="宋体" w:eastAsia="宋体" w:cs="宋体"/>
                <w:color w:val="auto"/>
                <w:szCs w:val="21"/>
                <w:highlight w:val="none"/>
              </w:rPr>
              <w:t>投标人应在投标截止时间之前，登陆新点电子交易平台【滁州专区】上传投标文件。</w:t>
            </w:r>
          </w:p>
        </w:tc>
      </w:tr>
      <w:tr w14:paraId="07AED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E9F911">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5A0FA2">
            <w:pPr>
              <w:adjustRightInd w:val="0"/>
              <w:snapToGrid w:val="0"/>
              <w:spacing w:line="440" w:lineRule="exact"/>
              <w:jc w:val="center"/>
              <w:rPr>
                <w:rFonts w:asciiTheme="majorEastAsia" w:hAnsiTheme="majorEastAsia" w:eastAsiaTheme="majorEastAsia" w:cstheme="majorEastAsia"/>
                <w:color w:val="auto"/>
                <w:highlight w:val="none"/>
              </w:rPr>
            </w:pPr>
            <w:r>
              <w:rPr>
                <w:rFonts w:hint="eastAsia" w:ascii="宋体" w:hAnsi="宋体" w:eastAsia="宋体" w:cs="宋体"/>
                <w:color w:val="auto"/>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159CA4">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开标时间：同投标截止时间</w:t>
            </w:r>
          </w:p>
          <w:p w14:paraId="4CAF2FC1">
            <w:pPr>
              <w:adjustRightInd w:val="0"/>
              <w:snapToGrid w:val="0"/>
              <w:spacing w:line="440" w:lineRule="exact"/>
              <w:rPr>
                <w:rFonts w:asciiTheme="majorEastAsia" w:hAnsiTheme="majorEastAsia" w:eastAsiaTheme="majorEastAsia" w:cstheme="majorEastAsia"/>
                <w:color w:val="auto"/>
                <w:szCs w:val="21"/>
                <w:highlight w:val="none"/>
                <w:u w:color="000000"/>
                <w:lang w:bidi="ar"/>
              </w:rPr>
            </w:pPr>
            <w:r>
              <w:rPr>
                <w:rFonts w:hint="eastAsia" w:ascii="宋体" w:hAnsi="宋体" w:eastAsia="宋体" w:cs="宋体"/>
                <w:color w:val="auto"/>
                <w:szCs w:val="21"/>
                <w:highlight w:val="none"/>
                <w:lang w:val="en-US" w:eastAsia="zh-CN"/>
              </w:rPr>
              <w:t>方式：</w:t>
            </w:r>
            <w:r>
              <w:rPr>
                <w:rFonts w:hint="eastAsia" w:ascii="宋体" w:hAnsi="宋体" w:eastAsia="宋体" w:cs="宋体"/>
                <w:color w:val="auto"/>
                <w:szCs w:val="21"/>
                <w:highlight w:val="none"/>
              </w:rPr>
              <w:t>不见面开标系统进行开标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2026年8月21日15时00分</w:t>
            </w:r>
            <w:r>
              <w:rPr>
                <w:rFonts w:hint="eastAsia" w:ascii="宋体" w:hAnsi="宋体" w:eastAsia="宋体" w:cs="宋体"/>
                <w:color w:val="auto"/>
                <w:szCs w:val="21"/>
                <w:highlight w:val="none"/>
                <w:u w:val="single"/>
                <w:lang w:val="en-US" w:eastAsia="zh-CN"/>
              </w:rPr>
              <w:t>至</w:t>
            </w:r>
            <w:r>
              <w:rPr>
                <w:rFonts w:hint="eastAsia" w:ascii="宋体" w:hAnsi="宋体" w:eastAsia="宋体" w:cs="宋体"/>
                <w:color w:val="auto"/>
                <w:szCs w:val="21"/>
                <w:highlight w:val="none"/>
                <w:u w:val="single"/>
                <w:lang w:eastAsia="zh-CN"/>
              </w:rPr>
              <w:t>2026年8月21日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解密（具体时间以系统为准）；未在规定时间内完成解密的，退回其投标文件；如有因系统因系统原因造成的故障，代理机构可申请延迟解密时间。</w:t>
            </w:r>
          </w:p>
        </w:tc>
      </w:tr>
      <w:tr w14:paraId="45C28E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6FA7E1">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58B3F2">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B5DC3F">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否</w:t>
            </w:r>
          </w:p>
        </w:tc>
      </w:tr>
      <w:tr w14:paraId="07C365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BFF735">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2A36CB">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D2967C">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评标委员会由招标人依法组建。</w:t>
            </w:r>
          </w:p>
        </w:tc>
      </w:tr>
      <w:tr w14:paraId="5A61F3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3C7CD4">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0A45A5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003C50C">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是，推荐的中标候选人数3名，并标明排序。</w:t>
            </w:r>
          </w:p>
        </w:tc>
      </w:tr>
      <w:tr w14:paraId="7048CB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636C678">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153B01">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620E867">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公示媒介：同招标公告发布媒介</w:t>
            </w:r>
          </w:p>
          <w:p w14:paraId="2981F872">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公示期限：公示发布次日起3日（如公示第三日为休息日或节假日，则顺延至休息日或节假日后第一个工作日）</w:t>
            </w:r>
          </w:p>
        </w:tc>
      </w:tr>
      <w:tr w14:paraId="161866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4013D3">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85CA1A">
            <w:pPr>
              <w:autoSpaceDE w:val="0"/>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2070E68">
            <w:pPr>
              <w:autoSpaceDE w:val="0"/>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color="000000"/>
                <w:lang w:bidi="ar"/>
              </w:rPr>
              <w:t>中标通知书须加盖招标人、招标代理公司公章后方可发出。</w:t>
            </w:r>
          </w:p>
        </w:tc>
      </w:tr>
      <w:tr w14:paraId="09328B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713710D">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0E67A7">
            <w:pPr>
              <w:autoSpaceDE w:val="0"/>
              <w:spacing w:line="440" w:lineRule="exact"/>
              <w:jc w:val="left"/>
              <w:rPr>
                <w:rFonts w:asciiTheme="majorEastAsia" w:hAnsiTheme="majorEastAsia" w:eastAsiaTheme="majorEastAsia" w:cstheme="majorEastAsia"/>
                <w:color w:val="auto"/>
                <w:szCs w:val="21"/>
                <w:highlight w:val="none"/>
                <w:u w:color="000000"/>
                <w:lang w:bidi="ar"/>
              </w:rPr>
            </w:pPr>
            <w:r>
              <w:rPr>
                <w:rFonts w:hint="eastAsia" w:asciiTheme="majorEastAsia" w:hAnsiTheme="majorEastAsia" w:eastAsiaTheme="majorEastAsia" w:cstheme="majorEastAsia"/>
                <w:color w:val="auto"/>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F6E5A7">
            <w:pPr>
              <w:tabs>
                <w:tab w:val="left" w:pos="5034"/>
              </w:tabs>
              <w:spacing w:line="440" w:lineRule="exact"/>
              <w:rPr>
                <w:color w:val="auto"/>
                <w:highlight w:val="none"/>
              </w:rPr>
            </w:pPr>
            <w:r>
              <w:rPr>
                <w:rFonts w:hint="eastAsia" w:ascii="Times New Roman" w:hAnsi="Times New Roman" w:eastAsia="宋体" w:cs="Times New Roman"/>
                <w:color w:val="auto"/>
                <w:highlight w:val="none"/>
              </w:rPr>
              <w:t>☑不要求中标人提交履约保证金。</w:t>
            </w:r>
          </w:p>
        </w:tc>
      </w:tr>
      <w:tr w14:paraId="796A86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8314DAC">
            <w:pPr>
              <w:keepNext w:val="0"/>
              <w:keepLines w:val="0"/>
              <w:pageBreakBefore w:val="0"/>
              <w:kinsoku/>
              <w:wordWrap/>
              <w:overflowPunct/>
              <w:topLinePunct w:val="0"/>
              <w:autoSpaceDE/>
              <w:autoSpaceDN/>
              <w:bidi w:val="0"/>
              <w:adjustRightInd/>
              <w:spacing w:line="440" w:lineRule="exact"/>
              <w:jc w:val="center"/>
              <w:textAlignment w:val="auto"/>
              <w:rPr>
                <w:rFonts w:asciiTheme="majorEastAsia" w:hAnsiTheme="majorEastAsia" w:eastAsiaTheme="majorEastAsia" w:cstheme="majorEastAsia"/>
                <w:color w:val="auto"/>
                <w:highlight w:val="none"/>
              </w:rPr>
            </w:pPr>
            <w:r>
              <w:rPr>
                <w:rFonts w:hint="eastAsia" w:ascii="宋体" w:hAnsi="宋体" w:eastAsia="宋体" w:cs="宋体"/>
                <w:color w:val="auto"/>
                <w:szCs w:val="21"/>
                <w:highlight w:val="none"/>
              </w:rPr>
              <w:t>付款方式、时间、条件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8FC388">
            <w:pPr>
              <w:keepNext w:val="0"/>
              <w:keepLines w:val="0"/>
              <w:pageBreakBefore w:val="0"/>
              <w:numPr>
                <w:ilvl w:val="0"/>
                <w:numId w:val="0"/>
              </w:numPr>
              <w:kinsoku/>
              <w:wordWrap/>
              <w:overflowPunct/>
              <w:topLinePunct w:val="0"/>
              <w:autoSpaceDE/>
              <w:autoSpaceDN/>
              <w:bidi w:val="0"/>
              <w:adjustRightInd/>
              <w:snapToGrid w:val="0"/>
              <w:spacing w:line="440" w:lineRule="exact"/>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（1）业主方每季度支付一次物业管理费，最后一次支付按实际考核情况进行扣减。</w:t>
            </w:r>
          </w:p>
          <w:p w14:paraId="4DA1800B">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firstLine="0" w:firstLineChars="0"/>
              <w:textAlignment w:val="auto"/>
              <w:rPr>
                <w:rFonts w:hint="default" w:asciiTheme="majorEastAsia" w:hAnsiTheme="majorEastAsia" w:eastAsiaTheme="majorEastAsia" w:cstheme="majorEastAsia"/>
                <w:color w:val="auto"/>
                <w:highlight w:val="none"/>
              </w:rPr>
            </w:pPr>
            <w:r>
              <w:rPr>
                <w:rFonts w:hint="eastAsia" w:ascii="宋体" w:hAnsi="宋体" w:eastAsia="宋体" w:cs="宋体"/>
                <w:b w:val="0"/>
                <w:bCs w:val="0"/>
                <w:color w:val="auto"/>
                <w:highlight w:val="none"/>
                <w:lang w:val="en-US" w:eastAsia="zh-CN"/>
              </w:rPr>
              <w:t>（2）全年物业管理费，根据综合考核结果情况支付（具体考核标准详见采购需求）。考核平均分在90分（含）以上的，全额支付；85（含）至90分，支付90%；85分以下的，按比例支付。</w:t>
            </w:r>
          </w:p>
        </w:tc>
      </w:tr>
      <w:tr w14:paraId="747DCE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C6CD5C5">
            <w:pPr>
              <w:autoSpaceDE w:val="0"/>
              <w:spacing w:line="440" w:lineRule="exact"/>
              <w:rPr>
                <w:rFonts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44DC456D">
            <w:pPr>
              <w:autoSpaceDE w:val="0"/>
              <w:spacing w:line="440" w:lineRule="exact"/>
              <w:rPr>
                <w:rFonts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招标文件获取方式：网上下载；</w:t>
            </w:r>
          </w:p>
          <w:p w14:paraId="66449D86">
            <w:pPr>
              <w:autoSpaceDE w:val="0"/>
              <w:spacing w:line="440" w:lineRule="exact"/>
              <w:rPr>
                <w:rFonts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获取时间：招标文件发布至投标截止时间。</w:t>
            </w:r>
          </w:p>
        </w:tc>
      </w:tr>
      <w:tr w14:paraId="379D95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3BC2DFDE">
            <w:pPr>
              <w:spacing w:line="440" w:lineRule="exact"/>
              <w:jc w:val="left"/>
              <w:rPr>
                <w:rFonts w:asciiTheme="majorEastAsia" w:hAnsiTheme="majorEastAsia" w:eastAsiaTheme="majorEastAsia" w:cstheme="majorEastAsia"/>
                <w:color w:val="auto"/>
                <w:szCs w:val="21"/>
                <w:highlight w:val="none"/>
                <w:u w:color="000000"/>
                <w:lang w:bidi="ar"/>
              </w:rPr>
            </w:pPr>
            <w:r>
              <w:rPr>
                <w:rFonts w:hint="eastAsia" w:asciiTheme="majorEastAsia" w:hAnsiTheme="majorEastAsia" w:eastAsiaTheme="majorEastAsia" w:cstheme="majorEastAsia"/>
                <w:color w:val="auto"/>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02AE2C">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1、构成本招标文件的各个组成文件应互为解释，互为说明；</w:t>
            </w:r>
          </w:p>
          <w:p w14:paraId="096427E3">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2、同一组成文件中就同一事项的规定或约定不一致的，以编排顺序在后者为准；</w:t>
            </w:r>
          </w:p>
          <w:p w14:paraId="0E1A2B29">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3、如有不明确或不一致，构成合同文件组成内容的，以合同文件约定内容为准，且以专用合同条款约定的合同文件优先顺序解释；</w:t>
            </w:r>
          </w:p>
          <w:p w14:paraId="58C551DE">
            <w:pPr>
              <w:spacing w:line="440" w:lineRule="exact"/>
              <w:jc w:val="left"/>
              <w:rPr>
                <w:rFonts w:asciiTheme="majorEastAsia" w:hAnsiTheme="majorEastAsia" w:eastAsiaTheme="majorEastAsia" w:cstheme="majorEastAsia"/>
                <w:color w:val="auto"/>
                <w:szCs w:val="21"/>
                <w:highlight w:val="none"/>
                <w:u w:color="000000"/>
                <w:lang w:bidi="ar"/>
              </w:rPr>
            </w:pPr>
            <w:r>
              <w:rPr>
                <w:rFonts w:hint="eastAsia" w:asciiTheme="majorEastAsia" w:hAnsiTheme="majorEastAsia" w:eastAsiaTheme="majorEastAsia" w:cstheme="majorEastAsia"/>
                <w:color w:val="auto"/>
                <w:szCs w:val="21"/>
                <w:highlight w:val="none"/>
              </w:rPr>
              <w:t>4、按本款前述规定仍不能形成结论的，由招标人负责解释。</w:t>
            </w:r>
          </w:p>
        </w:tc>
      </w:tr>
      <w:tr w14:paraId="7ADDD0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985829">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2D3415">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构成招标文件组成部分的“通用合同条款”、“专用合同条款”、“资信标准和要求”等章节中 “发包人”和“承包人”，等同于招标投标阶段的“招标人”和“投标人/中标人”。</w:t>
            </w:r>
          </w:p>
        </w:tc>
      </w:tr>
      <w:tr w14:paraId="791242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3013F4E2">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68AE15">
            <w:pPr>
              <w:spacing w:line="440" w:lineRule="exact"/>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1、评标委员会只依靠投标人递交的投标文件及其按照招标文件要求提供的所有证明材料进行评审，而不依靠任何外来的证明材料。</w:t>
            </w:r>
          </w:p>
          <w:p w14:paraId="01D16425">
            <w:pPr>
              <w:wordWrap w:val="0"/>
              <w:spacing w:line="440" w:lineRule="exact"/>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2、本项目严禁非法转包，一经发现，招标人依法处理。</w:t>
            </w:r>
          </w:p>
        </w:tc>
      </w:tr>
      <w:tr w14:paraId="63CDCE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E2FDA8">
            <w:pPr>
              <w:adjustRightInd w:val="0"/>
              <w:snapToGrid w:val="0"/>
              <w:spacing w:line="440" w:lineRule="exact"/>
              <w:jc w:val="center"/>
              <w:rPr>
                <w:rFonts w:hint="eastAsia" w:asciiTheme="majorEastAsia" w:hAnsiTheme="majorEastAsia" w:eastAsiaTheme="majorEastAsia" w:cstheme="majorEastAsia"/>
                <w:color w:val="auto"/>
                <w:szCs w:val="21"/>
                <w:highlight w:val="none"/>
                <w:u w:color="000000"/>
                <w:lang w:bidi="ar"/>
              </w:rPr>
            </w:pPr>
            <w:r>
              <w:rPr>
                <w:rFonts w:hint="eastAsia" w:ascii="宋体" w:hAnsi="宋体" w:eastAsia="宋体" w:cs="宋体"/>
                <w:b/>
                <w:bCs/>
                <w:color w:val="auto"/>
                <w:szCs w:val="21"/>
                <w:highlight w:val="none"/>
                <w:lang w:val="en-US" w:eastAsia="zh-CN"/>
              </w:rPr>
              <w:t>投标软件下载</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DC02EAC">
            <w:pPr>
              <w:adjustRightInd w:val="0"/>
              <w:snapToGrid w:val="0"/>
              <w:spacing w:line="44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投标软件制作工具下载：</w:t>
            </w:r>
          </w:p>
          <w:p w14:paraId="2D19FB56">
            <w:pPr>
              <w:adjustRightInd w:val="0"/>
              <w:snapToGrid w:val="0"/>
              <w:spacing w:line="440" w:lineRule="exact"/>
              <w:rPr>
                <w:rFonts w:hint="eastAsia" w:ascii="宋体" w:hAnsi="Times New Roman" w:eastAsia="宋体" w:cs="Times New Roman"/>
                <w:color w:val="auto"/>
                <w:szCs w:val="21"/>
                <w:highlight w:val="none"/>
              </w:rPr>
            </w:pPr>
            <w:r>
              <w:rPr>
                <w:rFonts w:hint="eastAsia" w:ascii="宋体" w:hAnsi="宋体" w:eastAsia="宋体" w:cs="宋体"/>
                <w:b/>
                <w:bCs/>
                <w:color w:val="auto"/>
                <w:sz w:val="21"/>
                <w:szCs w:val="21"/>
                <w:highlight w:val="none"/>
              </w:rPr>
              <w:t>https://download.bqpoint.com/download/downloaddetail.html?SourceFrom=Ztb&amp;ZtbSoftXiaQuCode=0128&amp;ZtbSoftType=tballinclusive</w:t>
            </w:r>
          </w:p>
        </w:tc>
      </w:tr>
    </w:tbl>
    <w:p w14:paraId="58758699">
      <w:pPr>
        <w:snapToGrid w:val="0"/>
        <w:spacing w:before="156" w:beforeLines="50" w:after="156" w:afterLines="50" w:line="440" w:lineRule="exact"/>
        <w:jc w:val="center"/>
        <w:outlineLvl w:val="1"/>
        <w:rPr>
          <w:rFonts w:asciiTheme="majorEastAsia" w:hAnsiTheme="majorEastAsia" w:eastAsiaTheme="majorEastAsia" w:cstheme="majorEastAsia"/>
          <w:b/>
          <w:color w:val="auto"/>
          <w:sz w:val="28"/>
          <w:szCs w:val="28"/>
          <w:highlight w:val="none"/>
        </w:rPr>
      </w:pPr>
      <w:bookmarkStart w:id="18" w:name="_Toc122"/>
      <w:bookmarkEnd w:id="18"/>
      <w:r>
        <w:rPr>
          <w:rFonts w:hint="eastAsia" w:asciiTheme="majorEastAsia" w:hAnsiTheme="majorEastAsia" w:eastAsiaTheme="majorEastAsia" w:cstheme="majorEastAsia"/>
          <w:b/>
          <w:color w:val="auto"/>
          <w:kern w:val="0"/>
          <w:sz w:val="28"/>
          <w:szCs w:val="28"/>
          <w:highlight w:val="none"/>
          <w:u w:color="000000"/>
          <w:lang w:bidi="ar"/>
        </w:rPr>
        <w:t>二、投标人须知</w:t>
      </w:r>
    </w:p>
    <w:p w14:paraId="1DDE6EA0">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8"/>
          <w:szCs w:val="28"/>
          <w:highlight w:val="none"/>
        </w:rPr>
      </w:pPr>
      <w:bookmarkStart w:id="19" w:name="_Toc26859"/>
      <w:bookmarkEnd w:id="19"/>
      <w:bookmarkStart w:id="20" w:name="_Toc14421_WPSOffice_Level3"/>
      <w:r>
        <w:rPr>
          <w:rFonts w:hint="eastAsia" w:asciiTheme="majorEastAsia" w:hAnsiTheme="majorEastAsia" w:eastAsiaTheme="majorEastAsia" w:cstheme="majorEastAsia"/>
          <w:b/>
          <w:color w:val="auto"/>
          <w:kern w:val="0"/>
          <w:sz w:val="28"/>
          <w:szCs w:val="28"/>
          <w:highlight w:val="none"/>
          <w:u w:color="000000"/>
          <w:lang w:bidi="ar"/>
        </w:rPr>
        <w:t>（一）总  则</w:t>
      </w:r>
      <w:bookmarkEnd w:id="20"/>
    </w:p>
    <w:p w14:paraId="38498F2E">
      <w:pPr>
        <w:widowControl/>
        <w:snapToGrid w:val="0"/>
        <w:spacing w:line="440" w:lineRule="exact"/>
        <w:ind w:firstLine="422"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1.项目概况</w:t>
      </w:r>
    </w:p>
    <w:p w14:paraId="2A6B925B">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1.1本次招标项目名称：见投标人须知前附表。</w:t>
      </w:r>
    </w:p>
    <w:p w14:paraId="709F18B3">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招标人：见投标人须知前附表。</w:t>
      </w:r>
    </w:p>
    <w:p w14:paraId="365EF108">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服务期：见投标人须知前附表。</w:t>
      </w:r>
    </w:p>
    <w:p w14:paraId="2919F053">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服务地点：见投标人须知前附表。</w:t>
      </w:r>
    </w:p>
    <w:p w14:paraId="0BB55DF4">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1.2招标人及联系人: 见投标人须知前附表。</w:t>
      </w:r>
    </w:p>
    <w:p w14:paraId="0B5B243C">
      <w:pPr>
        <w:widowControl/>
        <w:snapToGrid w:val="0"/>
        <w:spacing w:line="440" w:lineRule="exact"/>
        <w:ind w:firstLine="525" w:firstLineChars="25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代理机构及联系人: 见投标人须知前附表。</w:t>
      </w:r>
    </w:p>
    <w:p w14:paraId="7DA8E9F1">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1.3资金来源：见投标人须知前附表。</w:t>
      </w:r>
    </w:p>
    <w:p w14:paraId="10D1B5BD">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1.4本项目预算：见投标人须知前附表。</w:t>
      </w:r>
    </w:p>
    <w:p w14:paraId="045E5997">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1.5本项目最高限价：见投标人须知前附表。</w:t>
      </w:r>
    </w:p>
    <w:p w14:paraId="3C263A5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2.招标范围：</w:t>
      </w:r>
    </w:p>
    <w:p w14:paraId="66710A66">
      <w:pPr>
        <w:widowControl/>
        <w:snapToGrid w:val="0"/>
        <w:spacing w:line="40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2.1 采购内容：见投标人须知前附表。</w:t>
      </w:r>
    </w:p>
    <w:p w14:paraId="5C5F0E8B">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2.2技术要求：</w:t>
      </w:r>
      <w:r>
        <w:rPr>
          <w:rFonts w:hint="eastAsia" w:ascii="宋体" w:hAnsi="宋体" w:cs="宋体"/>
          <w:color w:val="auto"/>
          <w:szCs w:val="21"/>
          <w:highlight w:val="none"/>
        </w:rPr>
        <w:t>详见《采购</w:t>
      </w:r>
      <w:r>
        <w:rPr>
          <w:rFonts w:hint="eastAsia" w:ascii="宋体" w:hAnsi="宋体" w:cs="宋体"/>
          <w:color w:val="auto"/>
          <w:szCs w:val="21"/>
          <w:highlight w:val="none"/>
          <w:lang w:val="en-US" w:eastAsia="zh-CN"/>
        </w:rPr>
        <w:t>需求</w:t>
      </w:r>
      <w:r>
        <w:rPr>
          <w:rFonts w:hint="eastAsia" w:ascii="宋体" w:hAnsi="宋体" w:cs="宋体"/>
          <w:color w:val="auto"/>
          <w:szCs w:val="21"/>
          <w:highlight w:val="none"/>
        </w:rPr>
        <w:t>》</w:t>
      </w:r>
      <w:r>
        <w:rPr>
          <w:rFonts w:hint="eastAsia" w:asciiTheme="majorEastAsia" w:hAnsiTheme="majorEastAsia" w:eastAsiaTheme="majorEastAsia" w:cstheme="majorEastAsia"/>
          <w:color w:val="auto"/>
          <w:kern w:val="0"/>
          <w:szCs w:val="21"/>
          <w:highlight w:val="none"/>
          <w:u w:color="000000"/>
          <w:lang w:bidi="ar"/>
        </w:rPr>
        <w:t>。</w:t>
      </w:r>
    </w:p>
    <w:p w14:paraId="489CC122">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3.标包划分：</w:t>
      </w:r>
    </w:p>
    <w:p w14:paraId="5C84E2D8">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3.1本项目划分：见投标人须知前附表。</w:t>
      </w:r>
    </w:p>
    <w:p w14:paraId="1D16A8E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4.招标人式：</w:t>
      </w:r>
    </w:p>
    <w:p w14:paraId="3BDA5136">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4.1本项目招标人式：见投标人须知前附表。</w:t>
      </w:r>
    </w:p>
    <w:p w14:paraId="54101F8F">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5.计价方式：</w:t>
      </w:r>
    </w:p>
    <w:p w14:paraId="4930CEDE">
      <w:pPr>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5.1本次招标项目合同采用</w:t>
      </w:r>
      <w:r>
        <w:rPr>
          <w:rFonts w:hint="eastAsia" w:asciiTheme="majorEastAsia" w:hAnsiTheme="majorEastAsia" w:eastAsiaTheme="majorEastAsia" w:cstheme="majorEastAsia"/>
          <w:color w:val="auto"/>
          <w:kern w:val="0"/>
          <w:szCs w:val="21"/>
          <w:highlight w:val="none"/>
          <w:u w:val="single" w:color="000000"/>
          <w:lang w:bidi="ar"/>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固定单价</w:t>
      </w:r>
      <w:r>
        <w:rPr>
          <w:rFonts w:hint="eastAsia" w:ascii="宋体" w:hAnsi="宋体" w:cs="宋体"/>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w:t>
      </w:r>
    </w:p>
    <w:p w14:paraId="2ED538F9">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6.评标办法：</w:t>
      </w:r>
    </w:p>
    <w:p w14:paraId="619419AF">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6.1本次招标评标采用</w:t>
      </w:r>
      <w:r>
        <w:rPr>
          <w:rFonts w:hint="eastAsia" w:asciiTheme="majorEastAsia" w:hAnsiTheme="majorEastAsia" w:eastAsiaTheme="majorEastAsia" w:cstheme="majorEastAsia"/>
          <w:color w:val="auto"/>
          <w:kern w:val="0"/>
          <w:szCs w:val="21"/>
          <w:highlight w:val="none"/>
          <w:u w:val="single" w:color="000000"/>
          <w:lang w:bidi="ar"/>
        </w:rPr>
        <w:t xml:space="preserve"> </w:t>
      </w:r>
      <w:r>
        <w:rPr>
          <w:rFonts w:hint="eastAsia" w:ascii="宋体"/>
          <w:color w:val="auto"/>
          <w:szCs w:val="21"/>
          <w:highlight w:val="none"/>
          <w:u w:val="single"/>
        </w:rPr>
        <w:t>综合评估法</w:t>
      </w:r>
      <w:r>
        <w:rPr>
          <w:rFonts w:hint="eastAsia" w:asciiTheme="majorEastAsia" w:hAnsiTheme="majorEastAsia" w:eastAsiaTheme="majorEastAsia" w:cstheme="majorEastAsia"/>
          <w:color w:val="auto"/>
          <w:kern w:val="0"/>
          <w:szCs w:val="21"/>
          <w:highlight w:val="none"/>
          <w:u w:val="single" w:color="000000"/>
          <w:lang w:bidi="ar"/>
        </w:rPr>
        <w:t>。</w:t>
      </w:r>
      <w:r>
        <w:rPr>
          <w:rFonts w:hint="eastAsia" w:asciiTheme="majorEastAsia" w:hAnsiTheme="majorEastAsia" w:eastAsiaTheme="majorEastAsia" w:cstheme="majorEastAsia"/>
          <w:color w:val="auto"/>
          <w:kern w:val="0"/>
          <w:szCs w:val="21"/>
          <w:highlight w:val="none"/>
          <w:u w:color="000000"/>
          <w:lang w:bidi="ar"/>
        </w:rPr>
        <w:t>（详见第三章评标办法）</w:t>
      </w:r>
    </w:p>
    <w:p w14:paraId="74C60F09">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7.投标人资格：</w:t>
      </w:r>
    </w:p>
    <w:p w14:paraId="55EB8F8A">
      <w:pPr>
        <w:widowControl/>
        <w:snapToGrid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7.1具体详见投标人须知前附表。</w:t>
      </w:r>
    </w:p>
    <w:p w14:paraId="753B151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8. 投标费用</w:t>
      </w:r>
    </w:p>
    <w:p w14:paraId="617AF455">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8.1投标人准备和参加投标活动发生的费用自理。</w:t>
      </w:r>
    </w:p>
    <w:p w14:paraId="1426F15D">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9.</w:t>
      </w:r>
      <w:bookmarkStart w:id="21" w:name="_Toc144974507"/>
      <w:bookmarkEnd w:id="21"/>
      <w:bookmarkStart w:id="22" w:name="_Toc152045539"/>
      <w:bookmarkEnd w:id="22"/>
      <w:bookmarkStart w:id="23" w:name="_Toc247527563"/>
      <w:bookmarkEnd w:id="23"/>
      <w:bookmarkStart w:id="24" w:name="_Toc296602429"/>
      <w:bookmarkEnd w:id="24"/>
      <w:bookmarkStart w:id="25" w:name="_Toc247513962"/>
      <w:bookmarkEnd w:id="25"/>
      <w:bookmarkStart w:id="26" w:name="_Toc152042315"/>
      <w:bookmarkEnd w:id="26"/>
      <w:bookmarkStart w:id="27" w:name="_Toc247592876"/>
      <w:r>
        <w:rPr>
          <w:rFonts w:hint="eastAsia" w:asciiTheme="majorEastAsia" w:hAnsiTheme="majorEastAsia" w:eastAsiaTheme="majorEastAsia" w:cstheme="majorEastAsia"/>
          <w:b/>
          <w:color w:val="auto"/>
          <w:kern w:val="0"/>
          <w:szCs w:val="21"/>
          <w:highlight w:val="none"/>
          <w:u w:color="000000"/>
          <w:lang w:bidi="ar"/>
        </w:rPr>
        <w:t xml:space="preserve"> 踏勘现场</w:t>
      </w:r>
      <w:bookmarkEnd w:id="27"/>
    </w:p>
    <w:p w14:paraId="3B71766E">
      <w:pPr>
        <w:widowControl/>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 xml:space="preserve">9.1 投标人须知前附表规定组织踏勘现场的，招标人按投标人须知前附表规定的时间、地点组织投标人踏勘项目现场。 </w:t>
      </w:r>
    </w:p>
    <w:p w14:paraId="0BB2AA80">
      <w:pPr>
        <w:widowControl/>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9.2 投标人踏勘现场发生的费用自理。</w:t>
      </w:r>
    </w:p>
    <w:p w14:paraId="189DD478">
      <w:pPr>
        <w:widowControl/>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9.3 除招标人的原因外，投标人自行负责在踏勘现场中所发生的人员伤亡和财产损失。</w:t>
      </w:r>
    </w:p>
    <w:p w14:paraId="5E7267FF">
      <w:pPr>
        <w:widowControl/>
        <w:spacing w:line="440" w:lineRule="exact"/>
        <w:ind w:firstLine="409" w:firstLineChars="195"/>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79CA0B1F">
      <w:pPr>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9.5无论投标人是否到现场实地踏勘，中标后签订合同时和履约过程中，投标人不得以不完全了解现场情况或现场情况与招标文件描述不一致等为由，提出任何形式的增加合同价款或索赔的要求。</w:t>
      </w:r>
    </w:p>
    <w:p w14:paraId="587274DA">
      <w:pPr>
        <w:widowControl/>
        <w:spacing w:line="440" w:lineRule="exact"/>
        <w:ind w:firstLine="422"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10. 投标预备会（本项目不采用）</w:t>
      </w:r>
    </w:p>
    <w:p w14:paraId="7EDDF513">
      <w:pPr>
        <w:spacing w:line="440" w:lineRule="exact"/>
        <w:ind w:firstLine="409" w:firstLineChars="195"/>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10.1投标人须知前附表规定召开投标预备会的，招标人按投标人须知前附表规定的时间和地点召开投标预备会，澄清投标人提出的问题。</w:t>
      </w:r>
    </w:p>
    <w:p w14:paraId="1E5A16B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11. 联合投标</w:t>
      </w:r>
    </w:p>
    <w:p w14:paraId="0B7E7615">
      <w:pPr>
        <w:widowControl/>
        <w:spacing w:line="40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 xml:space="preserve">11.1 </w:t>
      </w:r>
      <w:r>
        <w:rPr>
          <w:rFonts w:hint="eastAsia" w:asciiTheme="majorEastAsia" w:hAnsiTheme="majorEastAsia" w:eastAsiaTheme="majorEastAsia" w:cstheme="majorEastAsia"/>
          <w:color w:val="auto"/>
          <w:kern w:val="0"/>
          <w:szCs w:val="21"/>
          <w:highlight w:val="none"/>
          <w:u w:color="000000"/>
          <w:lang w:bidi="ar"/>
        </w:rPr>
        <w:t>本次招标</w:t>
      </w:r>
      <w:r>
        <w:rPr>
          <w:rFonts w:hint="eastAsia" w:asciiTheme="majorEastAsia" w:hAnsiTheme="majorEastAsia" w:eastAsiaTheme="majorEastAsia" w:cstheme="majorEastAsia"/>
          <w:color w:val="auto"/>
          <w:kern w:val="0"/>
          <w:szCs w:val="21"/>
          <w:highlight w:val="none"/>
          <w:u w:val="single" w:color="000000"/>
          <w:lang w:bidi="ar"/>
        </w:rPr>
        <w:t>不接受</w:t>
      </w:r>
      <w:r>
        <w:rPr>
          <w:rFonts w:hint="eastAsia" w:asciiTheme="majorEastAsia" w:hAnsiTheme="majorEastAsia" w:eastAsiaTheme="majorEastAsia" w:cstheme="majorEastAsia"/>
          <w:color w:val="auto"/>
          <w:kern w:val="0"/>
          <w:szCs w:val="21"/>
          <w:highlight w:val="none"/>
          <w:u w:color="000000"/>
          <w:lang w:bidi="ar"/>
        </w:rPr>
        <w:t>联合体投标。</w:t>
      </w:r>
    </w:p>
    <w:p w14:paraId="2351218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12.招标代理费</w:t>
      </w:r>
    </w:p>
    <w:p w14:paraId="2F54B175">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 xml:space="preserve">12.1 </w:t>
      </w:r>
      <w:r>
        <w:rPr>
          <w:rFonts w:hint="eastAsia" w:asciiTheme="majorEastAsia" w:hAnsiTheme="majorEastAsia" w:eastAsiaTheme="majorEastAsia" w:cstheme="majorEastAsia"/>
          <w:color w:val="auto"/>
          <w:kern w:val="0"/>
          <w:szCs w:val="21"/>
          <w:highlight w:val="none"/>
          <w:u w:color="000000"/>
          <w:lang w:bidi="ar"/>
        </w:rPr>
        <w:t>本项目的招标代理费详见投标人须知前附表。</w:t>
      </w:r>
    </w:p>
    <w:p w14:paraId="3DA92CB5">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13.投标人应注意的事项</w:t>
      </w:r>
    </w:p>
    <w:p w14:paraId="202AC7F2">
      <w:pPr>
        <w:spacing w:line="360" w:lineRule="auto"/>
        <w:ind w:firstLine="420" w:firstLineChars="200"/>
        <w:rPr>
          <w:rFonts w:asciiTheme="majorEastAsia" w:hAnsiTheme="majorEastAsia" w:eastAsiaTheme="majorEastAsia" w:cstheme="majorEastAsia"/>
          <w:color w:val="auto"/>
          <w:szCs w:val="21"/>
          <w:highlight w:val="none"/>
        </w:rPr>
      </w:pPr>
      <w:bookmarkStart w:id="28" w:name="_Toc24655"/>
      <w:bookmarkEnd w:id="28"/>
      <w:bookmarkStart w:id="29" w:name="_Toc10668_WPSOffice_Level3"/>
      <w:bookmarkEnd w:id="29"/>
      <w:r>
        <w:rPr>
          <w:rFonts w:hint="eastAsia" w:asciiTheme="majorEastAsia" w:hAnsiTheme="majorEastAsia" w:eastAsiaTheme="majorEastAsia" w:cstheme="majorEastAsia"/>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2FFF5D7">
      <w:pPr>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13.2投标人对招标文件中规定的采购需求和服务要求必须满足。</w:t>
      </w:r>
    </w:p>
    <w:p w14:paraId="693C6E6D">
      <w:pPr>
        <w:spacing w:line="44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xml:space="preserve">13.3 </w:t>
      </w:r>
      <w:r>
        <w:rPr>
          <w:rFonts w:hint="eastAsia" w:ascii="宋体" w:hAnsi="宋体" w:cs="宋体"/>
          <w:bCs/>
          <w:color w:val="auto"/>
          <w:szCs w:val="21"/>
          <w:highlight w:val="none"/>
        </w:rPr>
        <w:t>单位负责人为同一人或者存在直接控股、管理关系的</w:t>
      </w:r>
      <w:r>
        <w:rPr>
          <w:rFonts w:hint="eastAsia" w:ascii="宋体" w:hAnsi="宋体" w:eastAsia="宋体" w:cs="宋体"/>
          <w:bCs/>
          <w:color w:val="auto"/>
          <w:szCs w:val="21"/>
          <w:highlight w:val="none"/>
        </w:rPr>
        <w:t>不同投标人</w:t>
      </w:r>
      <w:r>
        <w:rPr>
          <w:rFonts w:hint="eastAsia" w:ascii="宋体" w:hAnsi="宋体" w:eastAsia="宋体" w:cs="宋体"/>
          <w:bCs/>
          <w:color w:val="auto"/>
          <w:szCs w:val="21"/>
          <w:highlight w:val="none"/>
          <w:lang w:val="en-US" w:eastAsia="zh-CN"/>
        </w:rPr>
        <w:t>（包含法定代表人为同一个人的两个及两个以上法人，母公司、全资子公司及其控股公司）</w:t>
      </w:r>
      <w:r>
        <w:rPr>
          <w:rFonts w:hint="eastAsia" w:ascii="宋体" w:hAnsi="宋体" w:cs="宋体"/>
          <w:bCs/>
          <w:color w:val="auto"/>
          <w:szCs w:val="21"/>
          <w:highlight w:val="none"/>
        </w:rPr>
        <w:t>，不得参加同一合同项下的采购活动。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r>
        <w:rPr>
          <w:rFonts w:hint="eastAsia" w:asciiTheme="majorEastAsia" w:hAnsiTheme="majorEastAsia" w:eastAsiaTheme="majorEastAsia" w:cstheme="majorEastAsia"/>
          <w:bCs/>
          <w:color w:val="auto"/>
          <w:szCs w:val="21"/>
          <w:highlight w:val="none"/>
        </w:rPr>
        <w:t>。</w:t>
      </w:r>
    </w:p>
    <w:p w14:paraId="599D2FE5">
      <w:pPr>
        <w:spacing w:line="400" w:lineRule="exact"/>
        <w:ind w:firstLine="417" w:firstLineChars="199"/>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13.4投标人被视为充分熟悉本招标项目所在地的与履行合同有关的各种情况，包括但不限于：</w:t>
      </w:r>
    </w:p>
    <w:p w14:paraId="07209A1A">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3C32C74A">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51718B4F">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14:paraId="66D23AA5">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101497BE">
      <w:pPr>
        <w:spacing w:line="440" w:lineRule="exact"/>
        <w:ind w:firstLine="527" w:firstLineChars="25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
          <w:color w:val="auto"/>
          <w:szCs w:val="21"/>
          <w:highlight w:val="none"/>
        </w:rPr>
        <w:t>14.保密</w:t>
      </w:r>
    </w:p>
    <w:p w14:paraId="6CE997CC">
      <w:pPr>
        <w:spacing w:line="440" w:lineRule="exact"/>
        <w:ind w:firstLine="525" w:firstLineChars="25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参与招标投标活动的各方应对招标文件和投标文件中的商业和技术等秘密保密，违者应对由此造成的后果承担法律责任。 </w:t>
      </w:r>
    </w:p>
    <w:p w14:paraId="017986B1">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（二）招标文件</w:t>
      </w:r>
    </w:p>
    <w:p w14:paraId="4E586195">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15.招标文件的编制依据</w:t>
      </w:r>
    </w:p>
    <w:p w14:paraId="5301F01D">
      <w:pPr>
        <w:widowControl/>
        <w:snapToGrid w:val="0"/>
        <w:spacing w:line="400" w:lineRule="exact"/>
        <w:ind w:firstLine="420"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color w:val="auto"/>
          <w:kern w:val="0"/>
          <w:szCs w:val="21"/>
          <w:highlight w:val="none"/>
          <w:u w:color="000000"/>
          <w:lang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auto"/>
          <w:spacing w:val="-2"/>
          <w:kern w:val="0"/>
          <w:szCs w:val="21"/>
          <w:highlight w:val="none"/>
          <w:u w:color="000000"/>
          <w:lang w:bidi="ar"/>
        </w:rPr>
        <w:t>等相关法律法规和规章及部、省、市级规范性文件的规定，编制本招标文件。</w:t>
      </w:r>
    </w:p>
    <w:p w14:paraId="10C62678">
      <w:pPr>
        <w:widowControl/>
        <w:snapToGrid w:val="0"/>
        <w:spacing w:line="440" w:lineRule="exact"/>
        <w:ind w:firstLine="422"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16.招标文件的组成</w:t>
      </w:r>
    </w:p>
    <w:p w14:paraId="0D69BC11">
      <w:pPr>
        <w:widowControl/>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16.1 招标文件包括内容：</w:t>
      </w:r>
    </w:p>
    <w:p w14:paraId="06053F09">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第一章  招标公告</w:t>
      </w:r>
    </w:p>
    <w:p w14:paraId="439901E9">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第二章  投标须知</w:t>
      </w:r>
    </w:p>
    <w:p w14:paraId="4CA8D730">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第三章  资格审查办法</w:t>
      </w:r>
    </w:p>
    <w:p w14:paraId="5DBF9B87">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第四章  评标办法</w:t>
      </w:r>
    </w:p>
    <w:p w14:paraId="72DDD464">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第五章  采购需求和服务要求</w:t>
      </w:r>
    </w:p>
    <w:p w14:paraId="41AD7290">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第六章  合同条款及格式</w:t>
      </w:r>
    </w:p>
    <w:p w14:paraId="13B04CF2">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第七章  投标文件格式</w:t>
      </w:r>
    </w:p>
    <w:p w14:paraId="2407CE9B">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第八章  招标人、招标代理机构对本文件的确认</w:t>
      </w:r>
    </w:p>
    <w:p w14:paraId="17E64C5C">
      <w:pPr>
        <w:widowControl/>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16.2 除16.1内容外，招标答疑亦为招标文件的组成部分，对招标人和投标人起约束作用。</w:t>
      </w:r>
    </w:p>
    <w:p w14:paraId="761A60B4">
      <w:pPr>
        <w:spacing w:line="44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p>
    <w:p w14:paraId="3B1542B7">
      <w:pPr>
        <w:spacing w:line="44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4B88AB56">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17.招标文件的异议、澄清</w:t>
      </w:r>
    </w:p>
    <w:p w14:paraId="1B9D98F6">
      <w:pPr>
        <w:spacing w:line="440" w:lineRule="exact"/>
        <w:ind w:firstLine="420" w:firstLineChars="20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auto"/>
          <w:kern w:val="0"/>
          <w:szCs w:val="21"/>
          <w:highlight w:val="none"/>
          <w:u w:color="000000"/>
          <w:lang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投标人或其他利害关系人投标人应仔细阅读和检查招标文件的全部内容，对招标文件有异议的，应在投标截止时间前</w:t>
      </w:r>
      <w:r>
        <w:rPr>
          <w:rFonts w:hint="eastAsia" w:asciiTheme="majorEastAsia" w:hAnsiTheme="majorEastAsia" w:eastAsiaTheme="majorEastAsia" w:cstheme="majorEastAsia"/>
          <w:bCs/>
          <w:color w:val="auto"/>
          <w:szCs w:val="21"/>
          <w:highlight w:val="none"/>
          <w:lang w:val="en-US" w:eastAsia="zh-CN"/>
        </w:rPr>
        <w:t>规定时间</w:t>
      </w:r>
      <w:r>
        <w:rPr>
          <w:rFonts w:hint="eastAsia" w:asciiTheme="majorEastAsia" w:hAnsiTheme="majorEastAsia" w:eastAsiaTheme="majorEastAsia" w:cstheme="majorEastAsia"/>
          <w:bCs/>
          <w:color w:val="auto"/>
          <w:szCs w:val="21"/>
          <w:highlight w:val="none"/>
        </w:rPr>
        <w:t>以投标人须知前附表规定的网上留言或书面形式提出。招标人将在收到异议</w:t>
      </w:r>
      <w:r>
        <w:rPr>
          <w:rFonts w:hint="eastAsia" w:asciiTheme="majorEastAsia" w:hAnsiTheme="majorEastAsia" w:eastAsiaTheme="majorEastAsia" w:cstheme="majorEastAsia"/>
          <w:bCs/>
          <w:color w:val="auto"/>
          <w:szCs w:val="21"/>
          <w:highlight w:val="none"/>
          <w:lang w:val="en-US" w:eastAsia="zh-CN"/>
        </w:rPr>
        <w:t>后</w:t>
      </w:r>
      <w:r>
        <w:rPr>
          <w:rFonts w:hint="eastAsia" w:asciiTheme="majorEastAsia" w:hAnsiTheme="majorEastAsia" w:eastAsiaTheme="majorEastAsia" w:cstheme="majorEastAsia"/>
          <w:bCs/>
          <w:color w:val="auto"/>
          <w:szCs w:val="21"/>
          <w:highlight w:val="none"/>
        </w:rPr>
        <w:t>作出答复；作出答复前，将暂停招标投标活动。</w:t>
      </w:r>
    </w:p>
    <w:p w14:paraId="6A9889D6">
      <w:pPr>
        <w:widowControl/>
        <w:spacing w:line="40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17.2 投标人应在投标截止时间前关注原采购信息发布媒体上有关本项目有无变更公告，如不及时查看造成后果由投标人自负。</w:t>
      </w:r>
    </w:p>
    <w:p w14:paraId="6533A8FD">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18.招标文件的发出</w:t>
      </w:r>
    </w:p>
    <w:p w14:paraId="396C7EBD">
      <w:pPr>
        <w:widowControl/>
        <w:spacing w:line="40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18.1招标文件、招标文件的澄清、修改、补充及招标答疑等均在</w:t>
      </w:r>
      <w:r>
        <w:rPr>
          <w:rFonts w:hint="eastAsia" w:asciiTheme="majorEastAsia" w:hAnsiTheme="majorEastAsia" w:eastAsiaTheme="majorEastAsia" w:cstheme="majorEastAsia"/>
          <w:color w:val="auto"/>
          <w:kern w:val="0"/>
          <w:szCs w:val="21"/>
          <w:highlight w:val="none"/>
          <w:u w:color="000000"/>
          <w:lang w:eastAsia="zh-CN" w:bidi="ar"/>
        </w:rPr>
        <w:t>滁州市城投工程咨询管理有限公司官网（https://www.czctgczx.com/）</w:t>
      </w:r>
      <w:r>
        <w:rPr>
          <w:rFonts w:hint="eastAsia" w:asciiTheme="majorEastAsia" w:hAnsiTheme="majorEastAsia" w:eastAsiaTheme="majorEastAsia" w:cstheme="majorEastAsia"/>
          <w:bCs/>
          <w:color w:val="auto"/>
          <w:kern w:val="0"/>
          <w:szCs w:val="21"/>
          <w:highlight w:val="none"/>
          <w:u w:color="000000"/>
          <w:lang w:bidi="ar"/>
        </w:rPr>
        <w:t>发出。</w:t>
      </w:r>
    </w:p>
    <w:p w14:paraId="6B26ABC4">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4"/>
          <w:highlight w:val="none"/>
        </w:rPr>
      </w:pPr>
      <w:bookmarkStart w:id="30" w:name="_Toc1549_WPSOffice_Level3"/>
      <w:bookmarkEnd w:id="30"/>
      <w:r>
        <w:rPr>
          <w:rFonts w:hint="eastAsia" w:asciiTheme="majorEastAsia" w:hAnsiTheme="majorEastAsia" w:eastAsiaTheme="majorEastAsia" w:cstheme="majorEastAsia"/>
          <w:b/>
          <w:color w:val="auto"/>
          <w:kern w:val="0"/>
          <w:sz w:val="24"/>
          <w:highlight w:val="none"/>
          <w:u w:color="000000"/>
          <w:lang w:bidi="ar"/>
        </w:rPr>
        <w:t>（三）投标文件的编制</w:t>
      </w:r>
    </w:p>
    <w:p w14:paraId="51E643A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19.投标的语言及度量衡单位</w:t>
      </w:r>
    </w:p>
    <w:p w14:paraId="214FB49D">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19.1投标人的投标文件、以及投标人与招标人就投标的所有往来函电，均须使用简体中文。</w:t>
      </w:r>
    </w:p>
    <w:p w14:paraId="36CA97CC">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19.2除招标文件中另有规定外，投标文件所使用的度量衡均须采用法定计量单位。</w:t>
      </w:r>
    </w:p>
    <w:p w14:paraId="6E4B29B8">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20.投标文件的组成</w:t>
      </w:r>
    </w:p>
    <w:p w14:paraId="341EF333">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20.1投标文件应按第七章“投标文件格式文本”进行编写，如有必要，可以增加附页，作为投标文件的组成部分。</w:t>
      </w:r>
    </w:p>
    <w:p w14:paraId="6254F73F">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21.投标有效期</w:t>
      </w:r>
    </w:p>
    <w:p w14:paraId="28CA1BCA">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21.1 除投标人须知前附表另有规定外，投标有效期为60天。</w:t>
      </w:r>
    </w:p>
    <w:p w14:paraId="1F57D97B">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21.2在投标有效期内，投标人撤销或修改其投标文件的，应承担招标文件和法律规定的责任。</w:t>
      </w:r>
    </w:p>
    <w:p w14:paraId="3098A705">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21.3出现特殊情况需要延长投标有效期的，招标人以书面形式通知所有投标人延长投标有效期。投标人同意延长的，不得要求或被允许修改或撤销其投标文件；投标人拒绝延长的，其投标失效。</w:t>
      </w:r>
    </w:p>
    <w:p w14:paraId="40EF4FF3">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22.投标保证金</w:t>
      </w:r>
    </w:p>
    <w:p w14:paraId="3556EAB2">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22.1本项目不要求投标人提交投标保证金。</w:t>
      </w:r>
    </w:p>
    <w:p w14:paraId="15580BCF">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4"/>
          <w:highlight w:val="none"/>
        </w:rPr>
      </w:pPr>
      <w:bookmarkStart w:id="31" w:name="_Toc6570_WPSOffice_Level3"/>
      <w:bookmarkEnd w:id="31"/>
      <w:bookmarkStart w:id="32" w:name="_Toc26398"/>
      <w:r>
        <w:rPr>
          <w:rFonts w:hint="eastAsia" w:asciiTheme="majorEastAsia" w:hAnsiTheme="majorEastAsia" w:eastAsiaTheme="majorEastAsia" w:cstheme="majorEastAsia"/>
          <w:b/>
          <w:color w:val="auto"/>
          <w:kern w:val="0"/>
          <w:sz w:val="24"/>
          <w:highlight w:val="none"/>
          <w:u w:color="000000"/>
          <w:lang w:bidi="ar"/>
        </w:rPr>
        <w:t>（四）投标文件的密封和递交</w:t>
      </w:r>
      <w:bookmarkEnd w:id="32"/>
    </w:p>
    <w:p w14:paraId="0B0BE76E">
      <w:pPr>
        <w:widowControl/>
        <w:snapToGrid w:val="0"/>
        <w:spacing w:line="440" w:lineRule="exact"/>
        <w:ind w:firstLine="422" w:firstLineChars="200"/>
        <w:rPr>
          <w:rFonts w:hint="eastAsia" w:asciiTheme="majorEastAsia" w:hAnsiTheme="majorEastAsia" w:eastAsiaTheme="majorEastAsia" w:cstheme="majorEastAsia"/>
          <w:b/>
          <w:color w:val="auto"/>
          <w:kern w:val="0"/>
          <w:szCs w:val="21"/>
          <w:highlight w:val="none"/>
          <w:u w:color="000000"/>
          <w:lang w:eastAsia="zh-CN" w:bidi="ar"/>
        </w:rPr>
      </w:pPr>
      <w:bookmarkStart w:id="33" w:name="_Toc490"/>
      <w:bookmarkEnd w:id="33"/>
      <w:bookmarkStart w:id="34" w:name="_Toc30407_WPSOffice_Level3"/>
      <w:bookmarkEnd w:id="34"/>
      <w:r>
        <w:rPr>
          <w:rFonts w:hint="eastAsia" w:asciiTheme="majorEastAsia" w:hAnsiTheme="majorEastAsia" w:eastAsiaTheme="majorEastAsia" w:cstheme="majorEastAsia"/>
          <w:b/>
          <w:color w:val="auto"/>
          <w:kern w:val="0"/>
          <w:szCs w:val="21"/>
          <w:highlight w:val="none"/>
          <w:u w:color="000000"/>
          <w:lang w:bidi="ar"/>
        </w:rPr>
        <w:t>23.投标文件的份数和签署</w:t>
      </w:r>
      <w:r>
        <w:rPr>
          <w:rFonts w:hint="eastAsia" w:asciiTheme="majorEastAsia" w:hAnsiTheme="majorEastAsia" w:eastAsiaTheme="majorEastAsia" w:cstheme="majorEastAsia"/>
          <w:b/>
          <w:color w:val="auto"/>
          <w:kern w:val="0"/>
          <w:szCs w:val="21"/>
          <w:highlight w:val="none"/>
          <w:u w:color="000000"/>
          <w:lang w:eastAsia="zh-CN" w:bidi="ar"/>
        </w:rPr>
        <w:t>（</w:t>
      </w:r>
      <w:r>
        <w:rPr>
          <w:rFonts w:hint="eastAsia" w:asciiTheme="majorEastAsia" w:hAnsiTheme="majorEastAsia" w:eastAsiaTheme="majorEastAsia" w:cstheme="majorEastAsia"/>
          <w:b/>
          <w:color w:val="auto"/>
          <w:kern w:val="0"/>
          <w:szCs w:val="21"/>
          <w:highlight w:val="none"/>
          <w:u w:color="000000"/>
          <w:lang w:val="en-US" w:eastAsia="zh-CN" w:bidi="ar"/>
        </w:rPr>
        <w:t>中标人提供纸质投标文件，投标人投标时上传电子投标文件</w:t>
      </w:r>
      <w:r>
        <w:rPr>
          <w:rFonts w:hint="eastAsia" w:asciiTheme="majorEastAsia" w:hAnsiTheme="majorEastAsia" w:eastAsiaTheme="majorEastAsia" w:cstheme="majorEastAsia"/>
          <w:b/>
          <w:color w:val="auto"/>
          <w:kern w:val="0"/>
          <w:szCs w:val="21"/>
          <w:highlight w:val="none"/>
          <w:u w:color="000000"/>
          <w:lang w:eastAsia="zh-CN" w:bidi="ar"/>
        </w:rPr>
        <w:t>）</w:t>
      </w:r>
    </w:p>
    <w:p w14:paraId="226BF087">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23.1投标文件一式三份，正本一份，副本二份。</w:t>
      </w:r>
    </w:p>
    <w:p w14:paraId="21F4F885">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23.2投标文件的正本和副本均需打印或使用不褪色的蓝、黑墨水笔书写，字迹应清晰易于辩认，并应在投标文件封面的右上角清楚地注明“正本”或“副本”。正本和副本如有不一致之处，以正本为准。</w:t>
      </w:r>
    </w:p>
    <w:p w14:paraId="7F2E36E7">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23.3投标文件中的材料应当在格式文本要求的相应位置签字和盖章，否则，投标文件作无效投标处理。</w:t>
      </w:r>
    </w:p>
    <w:p w14:paraId="7C4432F0">
      <w:pPr>
        <w:widowControl/>
        <w:snapToGrid w:val="0"/>
        <w:spacing w:line="440" w:lineRule="exact"/>
        <w:ind w:firstLine="422" w:firstLineChars="200"/>
        <w:rPr>
          <w:rFonts w:hint="eastAsia" w:asciiTheme="majorEastAsia" w:hAnsiTheme="majorEastAsia" w:eastAsiaTheme="majorEastAsia" w:cstheme="majorEastAsia"/>
          <w:b/>
          <w:color w:val="auto"/>
          <w:kern w:val="0"/>
          <w:szCs w:val="21"/>
          <w:highlight w:val="none"/>
          <w:u w:color="000000"/>
          <w:lang w:eastAsia="zh-CN" w:bidi="ar"/>
        </w:rPr>
      </w:pPr>
      <w:r>
        <w:rPr>
          <w:rFonts w:hint="eastAsia" w:asciiTheme="majorEastAsia" w:hAnsiTheme="majorEastAsia" w:eastAsiaTheme="majorEastAsia" w:cstheme="majorEastAsia"/>
          <w:b/>
          <w:color w:val="auto"/>
          <w:kern w:val="0"/>
          <w:szCs w:val="21"/>
          <w:highlight w:val="none"/>
          <w:u w:color="000000"/>
          <w:lang w:bidi="ar"/>
        </w:rPr>
        <w:t>24.</w:t>
      </w:r>
      <w:r>
        <w:rPr>
          <w:rFonts w:hint="eastAsia" w:asciiTheme="majorEastAsia" w:hAnsiTheme="majorEastAsia" w:eastAsiaTheme="majorEastAsia" w:cstheme="majorEastAsia"/>
          <w:b/>
          <w:bCs/>
          <w:color w:val="auto"/>
          <w:szCs w:val="21"/>
          <w:highlight w:val="none"/>
        </w:rPr>
        <w:t>投标文件的装订、密封和标记</w:t>
      </w:r>
      <w:r>
        <w:rPr>
          <w:rFonts w:hint="eastAsia" w:asciiTheme="majorEastAsia" w:hAnsiTheme="majorEastAsia" w:eastAsiaTheme="majorEastAsia" w:cstheme="majorEastAsia"/>
          <w:b/>
          <w:bCs/>
          <w:color w:val="auto"/>
          <w:szCs w:val="21"/>
          <w:highlight w:val="none"/>
          <w:lang w:eastAsia="zh-CN"/>
        </w:rPr>
        <w:t>（</w:t>
      </w:r>
      <w:r>
        <w:rPr>
          <w:rFonts w:hint="eastAsia" w:asciiTheme="majorEastAsia" w:hAnsiTheme="majorEastAsia" w:eastAsiaTheme="majorEastAsia" w:cstheme="majorEastAsia"/>
          <w:b/>
          <w:bCs/>
          <w:color w:val="auto"/>
          <w:szCs w:val="21"/>
          <w:highlight w:val="none"/>
          <w:lang w:val="en-US" w:eastAsia="zh-CN"/>
        </w:rPr>
        <w:t>本项目为电子招投标，此条不采用</w:t>
      </w:r>
      <w:r>
        <w:rPr>
          <w:rFonts w:hint="eastAsia" w:asciiTheme="majorEastAsia" w:hAnsiTheme="majorEastAsia" w:eastAsiaTheme="majorEastAsia" w:cstheme="majorEastAsia"/>
          <w:b/>
          <w:bCs/>
          <w:color w:val="auto"/>
          <w:szCs w:val="21"/>
          <w:highlight w:val="none"/>
          <w:lang w:eastAsia="zh-CN"/>
        </w:rPr>
        <w:t>）</w:t>
      </w:r>
    </w:p>
    <w:p w14:paraId="51DD080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25.投标文件的修改与撤回</w:t>
      </w:r>
    </w:p>
    <w:p w14:paraId="682210FC">
      <w:pPr>
        <w:spacing w:line="400" w:lineRule="exact"/>
        <w:ind w:firstLine="420" w:firstLineChars="200"/>
        <w:rPr>
          <w:rFonts w:asciiTheme="majorEastAsia" w:hAnsiTheme="majorEastAsia" w:eastAsiaTheme="majorEastAsia" w:cstheme="majorEastAsia"/>
          <w:color w:val="auto"/>
          <w:kern w:val="0"/>
          <w:szCs w:val="21"/>
          <w:highlight w:val="none"/>
          <w:lang w:bidi="ar"/>
        </w:rPr>
      </w:pPr>
      <w:r>
        <w:rPr>
          <w:rFonts w:hint="eastAsia" w:asciiTheme="majorEastAsia" w:hAnsiTheme="majorEastAsia" w:eastAsiaTheme="majorEastAsia" w:cstheme="majorEastAsia"/>
          <w:color w:val="auto"/>
          <w:kern w:val="0"/>
          <w:szCs w:val="21"/>
          <w:highlight w:val="none"/>
          <w:lang w:bidi="ar"/>
        </w:rPr>
        <w:t>25.1</w:t>
      </w:r>
      <w:r>
        <w:rPr>
          <w:rFonts w:hint="eastAsia" w:ascii="宋体" w:hAnsi="宋体" w:eastAsia="宋体" w:cs="宋体"/>
          <w:b/>
          <w:color w:val="auto"/>
          <w:szCs w:val="21"/>
          <w:highlight w:val="none"/>
        </w:rPr>
        <w:t>在规定的投标截止时间前，投标人可以撤回已递交的投标文件，并可修改后重新</w:t>
      </w:r>
      <w:r>
        <w:rPr>
          <w:rFonts w:hint="eastAsia" w:ascii="宋体" w:hAnsi="宋体" w:eastAsia="宋体" w:cs="宋体"/>
          <w:b/>
          <w:color w:val="auto"/>
          <w:szCs w:val="21"/>
          <w:highlight w:val="none"/>
          <w:lang w:val="en-US" w:eastAsia="zh-CN"/>
        </w:rPr>
        <w:t>递交</w:t>
      </w:r>
      <w:r>
        <w:rPr>
          <w:rFonts w:hint="eastAsia" w:ascii="宋体" w:hAnsi="宋体" w:eastAsia="宋体" w:cs="宋体"/>
          <w:b/>
          <w:color w:val="auto"/>
          <w:szCs w:val="21"/>
          <w:highlight w:val="none"/>
        </w:rPr>
        <w:t>，开标时以投标截止时间前投标人最终</w:t>
      </w:r>
      <w:r>
        <w:rPr>
          <w:rFonts w:hint="eastAsia" w:ascii="宋体" w:hAnsi="宋体" w:eastAsia="宋体" w:cs="宋体"/>
          <w:b/>
          <w:color w:val="auto"/>
          <w:szCs w:val="21"/>
          <w:highlight w:val="none"/>
          <w:lang w:val="en-US" w:eastAsia="zh-CN"/>
        </w:rPr>
        <w:t>递交</w:t>
      </w:r>
      <w:r>
        <w:rPr>
          <w:rFonts w:hint="eastAsia" w:ascii="宋体" w:hAnsi="宋体" w:eastAsia="宋体" w:cs="宋体"/>
          <w:b/>
          <w:color w:val="auto"/>
          <w:szCs w:val="21"/>
          <w:highlight w:val="none"/>
        </w:rPr>
        <w:t>的投标文件为准</w:t>
      </w:r>
      <w:r>
        <w:rPr>
          <w:rFonts w:hint="eastAsia" w:ascii="宋体" w:hAnsi="宋体" w:eastAsia="宋体" w:cs="宋体"/>
          <w:color w:val="auto"/>
          <w:kern w:val="0"/>
          <w:szCs w:val="21"/>
          <w:highlight w:val="none"/>
          <w:lang w:bidi="ar"/>
        </w:rPr>
        <w:t>。</w:t>
      </w:r>
    </w:p>
    <w:p w14:paraId="1527918E">
      <w:pPr>
        <w:spacing w:line="440" w:lineRule="exact"/>
        <w:ind w:left="10" w:right="-94" w:rightChars="-45" w:firstLine="422" w:firstLineChars="200"/>
        <w:jc w:val="left"/>
        <w:rPr>
          <w:rFonts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rPr>
        <w:t>26.投标文件的提交</w:t>
      </w:r>
    </w:p>
    <w:p w14:paraId="6EB05879">
      <w:pPr>
        <w:spacing w:line="400" w:lineRule="exact"/>
        <w:ind w:firstLine="420" w:firstLineChars="200"/>
        <w:rPr>
          <w:rFonts w:asciiTheme="majorEastAsia" w:hAnsiTheme="majorEastAsia" w:eastAsiaTheme="majorEastAsia" w:cstheme="majorEastAsia"/>
          <w:color w:val="auto"/>
          <w:kern w:val="0"/>
          <w:szCs w:val="21"/>
          <w:highlight w:val="none"/>
          <w:lang w:bidi="ar"/>
        </w:rPr>
      </w:pPr>
      <w:r>
        <w:rPr>
          <w:rFonts w:hint="eastAsia" w:asciiTheme="majorEastAsia" w:hAnsiTheme="majorEastAsia" w:eastAsiaTheme="majorEastAsia" w:cstheme="majorEastAsia"/>
          <w:color w:val="auto"/>
          <w:kern w:val="0"/>
          <w:szCs w:val="21"/>
          <w:highlight w:val="none"/>
          <w:lang w:bidi="ar"/>
        </w:rPr>
        <w:t>26.1 投标文件提交的收件人、截止时间及地点：详见投标人须知前附表。</w:t>
      </w:r>
    </w:p>
    <w:p w14:paraId="7E26D93A">
      <w:pPr>
        <w:spacing w:line="400" w:lineRule="exact"/>
        <w:ind w:firstLine="482" w:firstLineChars="200"/>
        <w:jc w:val="center"/>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（五）开标、评标和定标</w:t>
      </w:r>
    </w:p>
    <w:p w14:paraId="5427B5C7">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bookmarkStart w:id="35" w:name="_Toc28864"/>
      <w:bookmarkEnd w:id="35"/>
      <w:bookmarkStart w:id="36" w:name="_Toc8453_WPSOffice_Level3"/>
      <w:r>
        <w:rPr>
          <w:rFonts w:hint="eastAsia" w:asciiTheme="majorEastAsia" w:hAnsiTheme="majorEastAsia" w:eastAsiaTheme="majorEastAsia" w:cstheme="majorEastAsia"/>
          <w:b/>
          <w:color w:val="auto"/>
          <w:kern w:val="0"/>
          <w:szCs w:val="21"/>
          <w:highlight w:val="none"/>
          <w:u w:color="000000"/>
          <w:lang w:bidi="ar"/>
        </w:rPr>
        <w:t>27.开标</w:t>
      </w:r>
    </w:p>
    <w:p w14:paraId="049A815F">
      <w:pPr>
        <w:widowControl/>
        <w:autoSpaceDE w:val="0"/>
        <w:spacing w:line="40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27.1 开标的时间和地点</w:t>
      </w:r>
    </w:p>
    <w:p w14:paraId="5916DBE9">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27.1.1招标人投标须知前附表规定的提交投标文件的截止时间和地点公开开标。</w:t>
      </w:r>
    </w:p>
    <w:p w14:paraId="79723E0F">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27.2 参与开标的监督部门</w:t>
      </w:r>
    </w:p>
    <w:p w14:paraId="129D2A69">
      <w:pPr>
        <w:widowControl/>
        <w:autoSpaceDE w:val="0"/>
        <w:spacing w:line="440" w:lineRule="exact"/>
        <w:ind w:firstLine="420" w:firstLineChars="200"/>
        <w:jc w:val="left"/>
        <w:rPr>
          <w:rFonts w:asciiTheme="majorEastAsia" w:hAnsiTheme="majorEastAsia" w:eastAsiaTheme="majorEastAsia" w:cstheme="majorEastAsia"/>
          <w:color w:val="auto"/>
          <w:spacing w:val="-8"/>
          <w:highlight w:val="none"/>
        </w:rPr>
      </w:pPr>
      <w:bookmarkStart w:id="37" w:name="_Toc15542_WPSOffice_Level3"/>
      <w:bookmarkEnd w:id="37"/>
      <w:r>
        <w:rPr>
          <w:rFonts w:hint="eastAsia" w:asciiTheme="majorEastAsia" w:hAnsiTheme="majorEastAsia" w:eastAsiaTheme="majorEastAsia" w:cstheme="majorEastAsia"/>
          <w:color w:val="auto"/>
          <w:kern w:val="0"/>
          <w:szCs w:val="21"/>
          <w:highlight w:val="none"/>
          <w:u w:color="000000"/>
          <w:lang w:bidi="ar"/>
        </w:rPr>
        <w:t>27.2.1招标人可以邀请相关监督部门参加。</w:t>
      </w:r>
    </w:p>
    <w:p w14:paraId="4B1AA72C">
      <w:pPr>
        <w:widowControl/>
        <w:autoSpaceDE w:val="0"/>
        <w:adjustRightInd w:val="0"/>
        <w:snapToGrid w:val="0"/>
        <w:spacing w:line="44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color w:val="auto"/>
          <w:kern w:val="0"/>
          <w:szCs w:val="21"/>
          <w:highlight w:val="none"/>
          <w:u w:color="000000"/>
          <w:lang w:bidi="ar"/>
        </w:rPr>
        <w:t>27.3开标程序</w:t>
      </w:r>
    </w:p>
    <w:p w14:paraId="078CA2B3">
      <w:pPr>
        <w:widowControl/>
        <w:spacing w:line="400" w:lineRule="exact"/>
        <w:ind w:right="-155" w:rightChars="-74"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开标会议由</w:t>
      </w:r>
      <w:r>
        <w:rPr>
          <w:rFonts w:hint="eastAsia" w:asciiTheme="majorEastAsia" w:hAnsiTheme="majorEastAsia" w:eastAsiaTheme="majorEastAsia" w:cstheme="majorEastAsia"/>
          <w:color w:val="auto"/>
          <w:kern w:val="0"/>
          <w:szCs w:val="21"/>
          <w:highlight w:val="none"/>
          <w:u w:val="single" w:color="000000"/>
          <w:lang w:bidi="ar"/>
        </w:rPr>
        <w:t xml:space="preserve"> 滁州市城投工程咨询管理有限公司 </w:t>
      </w:r>
      <w:r>
        <w:rPr>
          <w:rFonts w:hint="eastAsia" w:asciiTheme="majorEastAsia" w:hAnsiTheme="majorEastAsia" w:eastAsiaTheme="majorEastAsia" w:cstheme="majorEastAsia"/>
          <w:color w:val="auto"/>
          <w:kern w:val="0"/>
          <w:szCs w:val="21"/>
          <w:highlight w:val="none"/>
          <w:u w:color="000000"/>
          <w:lang w:bidi="ar"/>
        </w:rPr>
        <w:t>主持。</w:t>
      </w:r>
    </w:p>
    <w:p w14:paraId="2CB7D8BA">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（1）宣布开标纪律；</w:t>
      </w:r>
    </w:p>
    <w:p w14:paraId="5AB2393F">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（2）宣布采购人、代理机构主持人、监督人等有关人员姓名；</w:t>
      </w:r>
    </w:p>
    <w:p w14:paraId="5E81756E">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（3）由评标委员会对各投标文件进行审查；</w:t>
      </w:r>
    </w:p>
    <w:p w14:paraId="28A95965">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（4）开标结束。</w:t>
      </w:r>
    </w:p>
    <w:p w14:paraId="72A8693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28.开标异议</w:t>
      </w:r>
    </w:p>
    <w:p w14:paraId="79ABF0B4">
      <w:pPr>
        <w:widowControl/>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28.1投标人对开标有异议的，</w:t>
      </w:r>
      <w:r>
        <w:rPr>
          <w:rFonts w:hint="eastAsia" w:asciiTheme="majorEastAsia" w:hAnsiTheme="majorEastAsia" w:eastAsiaTheme="majorEastAsia" w:cstheme="majorEastAsia"/>
          <w:color w:val="auto"/>
          <w:szCs w:val="21"/>
          <w:highlight w:val="none"/>
        </w:rPr>
        <w:t>应当在开标过程中提出，招标人在开标过程中作出答复，并制作记录。</w:t>
      </w:r>
    </w:p>
    <w:p w14:paraId="6A221DA0">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29.评标</w:t>
      </w:r>
    </w:p>
    <w:p w14:paraId="2215EFCB">
      <w:pPr>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29.1</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按照第三章“评标办法”规定的方法、评审因素、标准和程序对投标文件进行评审。</w:t>
      </w:r>
    </w:p>
    <w:p w14:paraId="05A2BF20">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29.2评标原则：</w:t>
      </w:r>
    </w:p>
    <w:p w14:paraId="2D70C416">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bookmarkStart w:id="38" w:name="_Toc5272_WPSOffice_Level3"/>
      <w:bookmarkEnd w:id="38"/>
      <w:r>
        <w:rPr>
          <w:rFonts w:hint="eastAsia" w:asciiTheme="majorEastAsia" w:hAnsiTheme="majorEastAsia" w:eastAsiaTheme="majorEastAsia" w:cstheme="majorEastAsia"/>
          <w:color w:val="auto"/>
          <w:kern w:val="0"/>
          <w:szCs w:val="21"/>
          <w:highlight w:val="none"/>
          <w:u w:color="000000"/>
          <w:lang w:bidi="ar"/>
        </w:rPr>
        <w:t>29.2.1遵循公平、公正、科学和择优的原则。</w:t>
      </w:r>
    </w:p>
    <w:p w14:paraId="38A89ED5">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29.3评审意见分歧的处理办法</w:t>
      </w:r>
    </w:p>
    <w:p w14:paraId="0AD17043">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p>
    <w:p w14:paraId="0796F536">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29.4</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评标报告的签署</w:t>
      </w:r>
    </w:p>
    <w:p w14:paraId="3FAFDCD6">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29.4.1</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应当编制书面评标报告,所有成员应签字确认。对评标结论持有异议的委员会成员可以阐述其不同意见和理由。委员会成员拒绝在评标报告上签字且不陈述其不同意见和理由的，视为同意评标结论。</w:t>
      </w:r>
    </w:p>
    <w:p w14:paraId="3F80740F">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29.5评标过程的保密</w:t>
      </w:r>
    </w:p>
    <w:p w14:paraId="00585804">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29.5.1委员会成员和与评标活动有关的工作人员不得透露对投标文件的评审和比较以及与评标有关的其他情况。</w:t>
      </w:r>
    </w:p>
    <w:p w14:paraId="10583F12">
      <w:pPr>
        <w:widowControl/>
        <w:spacing w:line="440" w:lineRule="exact"/>
        <w:ind w:left="416" w:leftChars="198"/>
        <w:jc w:val="left"/>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30.开评审异常情况处理</w:t>
      </w:r>
    </w:p>
    <w:p w14:paraId="06B18261">
      <w:pPr>
        <w:widowControl/>
        <w:spacing w:line="420" w:lineRule="exact"/>
        <w:ind w:right="-313" w:rightChars="-149"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30.1若有效投标人不足三家，则采用竞争性谈判方式确定中标候选人，若有效投标人只有一家则项目流标。</w:t>
      </w:r>
    </w:p>
    <w:p w14:paraId="00E4D1A2">
      <w:pPr>
        <w:autoSpaceDE w:val="0"/>
        <w:snapToGrid w:val="0"/>
        <w:spacing w:before="156" w:beforeLines="50" w:after="156" w:afterLines="50" w:line="400" w:lineRule="exact"/>
        <w:jc w:val="center"/>
        <w:outlineLvl w:val="2"/>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（六）合同授予</w:t>
      </w:r>
      <w:bookmarkEnd w:id="36"/>
    </w:p>
    <w:p w14:paraId="47552401">
      <w:pPr>
        <w:autoSpaceDE w:val="0"/>
        <w:spacing w:line="400" w:lineRule="exact"/>
        <w:ind w:firstLine="521" w:firstLineChars="247"/>
        <w:jc w:val="left"/>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31.中标公示</w:t>
      </w:r>
    </w:p>
    <w:p w14:paraId="1905DA1F">
      <w:pPr>
        <w:spacing w:line="420" w:lineRule="exact"/>
        <w:ind w:firstLine="525" w:firstLineChars="25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31.1</w:t>
      </w:r>
      <w:r>
        <w:rPr>
          <w:rFonts w:hint="eastAsia" w:asciiTheme="majorEastAsia" w:hAnsiTheme="majorEastAsia" w:eastAsiaTheme="majorEastAsia" w:cstheme="majorEastAsia"/>
          <w:color w:val="auto"/>
          <w:szCs w:val="21"/>
          <w:highlight w:val="none"/>
        </w:rPr>
        <w:t>招标人按照投标人须知前附表规定的公示媒介和期限依法公示。公示期不得少于3日。</w:t>
      </w:r>
    </w:p>
    <w:p w14:paraId="0FEFC675">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32.评标结果异议</w:t>
      </w:r>
    </w:p>
    <w:p w14:paraId="08E67793">
      <w:pPr>
        <w:spacing w:line="420" w:lineRule="exact"/>
        <w:ind w:firstLine="525" w:firstLineChars="25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32.1投标人或其他利害关系人对评标结果有异议的，应在中标候选人公示期内提出。招标人将在收到异议之日起3日内作出答复；作出答复前，将暂停招标投标活动。</w:t>
      </w:r>
    </w:p>
    <w:p w14:paraId="01274181">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33.定标</w:t>
      </w:r>
    </w:p>
    <w:p w14:paraId="682BE503">
      <w:pPr>
        <w:spacing w:line="420" w:lineRule="exact"/>
        <w:ind w:firstLine="525" w:firstLineChars="25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33.1按照投标人须知前附表的规定，招标人依法确定中标人。</w:t>
      </w:r>
      <w:r>
        <w:rPr>
          <w:rFonts w:hint="eastAsia" w:asciiTheme="majorEastAsia" w:hAnsiTheme="majorEastAsia" w:eastAsiaTheme="majorEastAsia" w:cstheme="majorEastAsia"/>
          <w:color w:val="auto"/>
          <w:kern w:val="0"/>
          <w:szCs w:val="21"/>
          <w:highlight w:val="none"/>
          <w:u w:color="000000"/>
          <w:lang w:bidi="ar"/>
        </w:rPr>
        <w:t>投标文件评分结果</w:t>
      </w:r>
      <w:r>
        <w:rPr>
          <w:rFonts w:hint="eastAsia" w:asciiTheme="majorEastAsia" w:hAnsiTheme="majorEastAsia" w:eastAsiaTheme="majorEastAsia" w:cstheme="majorEastAsia"/>
          <w:color w:val="auto"/>
          <w:szCs w:val="21"/>
          <w:highlight w:val="none"/>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auto"/>
          <w:kern w:val="0"/>
          <w:szCs w:val="21"/>
          <w:highlight w:val="none"/>
          <w:u w:color="000000"/>
          <w:lang w:bidi="ar"/>
        </w:rPr>
        <w:t>投投标文件评分结果</w:t>
      </w:r>
      <w:r>
        <w:rPr>
          <w:rFonts w:hint="eastAsia" w:asciiTheme="majorEastAsia" w:hAnsiTheme="majorEastAsia" w:eastAsiaTheme="majorEastAsia" w:cstheme="majorEastAsia"/>
          <w:color w:val="auto"/>
          <w:szCs w:val="21"/>
          <w:highlight w:val="none"/>
        </w:rPr>
        <w:t>中标候选人名单排序依次确定其他中标候选人为中标人，也可以重新招标。</w:t>
      </w:r>
    </w:p>
    <w:p w14:paraId="5B1601FB">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34.中标通知</w:t>
      </w:r>
    </w:p>
    <w:p w14:paraId="1417AB1E">
      <w:pPr>
        <w:spacing w:line="420" w:lineRule="exact"/>
        <w:ind w:firstLine="525" w:firstLineChars="25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34.1在本招标文件规定的投标有效期内，招标人向中标人发出中标通知书，同时将中标结果通知未中标的投标人。</w:t>
      </w:r>
    </w:p>
    <w:p w14:paraId="5F95CDE7">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bookmarkStart w:id="39" w:name="_Toc316_WPSOffice_Level3"/>
      <w:bookmarkEnd w:id="39"/>
      <w:r>
        <w:rPr>
          <w:rFonts w:hint="eastAsia" w:asciiTheme="majorEastAsia" w:hAnsiTheme="majorEastAsia" w:eastAsiaTheme="majorEastAsia" w:cstheme="majorEastAsia"/>
          <w:b/>
          <w:color w:val="auto"/>
          <w:kern w:val="0"/>
          <w:szCs w:val="21"/>
          <w:highlight w:val="none"/>
          <w:u w:color="000000"/>
          <w:lang w:bidi="ar"/>
        </w:rPr>
        <w:t>35.履约担保</w:t>
      </w:r>
    </w:p>
    <w:p w14:paraId="095505BC">
      <w:pPr>
        <w:spacing w:line="420" w:lineRule="exact"/>
        <w:ind w:firstLine="525" w:firstLineChars="25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35.1本项目不要求提交履约保证金。</w:t>
      </w:r>
    </w:p>
    <w:p w14:paraId="18DBB105">
      <w:pPr>
        <w:autoSpaceDE w:val="0"/>
        <w:snapToGrid w:val="0"/>
        <w:spacing w:before="156" w:beforeLines="50" w:after="156" w:afterLines="50" w:line="400" w:lineRule="exact"/>
        <w:jc w:val="center"/>
        <w:outlineLvl w:val="2"/>
        <w:rPr>
          <w:rFonts w:asciiTheme="majorEastAsia" w:hAnsiTheme="majorEastAsia" w:eastAsiaTheme="majorEastAsia" w:cstheme="majorEastAsia"/>
          <w:b/>
          <w:color w:val="auto"/>
          <w:kern w:val="0"/>
          <w:sz w:val="24"/>
          <w:highlight w:val="none"/>
          <w:u w:color="000000"/>
          <w:lang w:bidi="ar"/>
        </w:rPr>
      </w:pPr>
      <w:r>
        <w:rPr>
          <w:rFonts w:hint="eastAsia" w:asciiTheme="majorEastAsia" w:hAnsiTheme="majorEastAsia" w:eastAsiaTheme="majorEastAsia" w:cstheme="majorEastAsia"/>
          <w:b/>
          <w:color w:val="auto"/>
          <w:kern w:val="0"/>
          <w:sz w:val="24"/>
          <w:highlight w:val="none"/>
          <w:u w:color="000000"/>
          <w:lang w:bidi="ar"/>
        </w:rPr>
        <w:t>（七）纪律和监督</w:t>
      </w:r>
    </w:p>
    <w:p w14:paraId="5711F4D9">
      <w:pPr>
        <w:autoSpaceDE w:val="0"/>
        <w:spacing w:line="400" w:lineRule="exact"/>
        <w:ind w:firstLine="422" w:firstLineChars="20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36.对招标人的纪律要求 </w:t>
      </w:r>
    </w:p>
    <w:p w14:paraId="5C58DFA9">
      <w:pPr>
        <w:autoSpaceDE w:val="0"/>
        <w:adjustRightInd w:val="0"/>
        <w:snapToGrid w:val="0"/>
        <w:spacing w:line="400" w:lineRule="exact"/>
        <w:ind w:firstLine="420" w:firstLineChars="200"/>
        <w:rPr>
          <w:rFonts w:asciiTheme="majorEastAsia" w:hAnsiTheme="majorEastAsia" w:eastAsiaTheme="majorEastAsia" w:cstheme="majorEastAsia"/>
          <w:color w:val="auto"/>
          <w:kern w:val="10"/>
          <w:highlight w:val="none"/>
        </w:rPr>
      </w:pPr>
      <w:r>
        <w:rPr>
          <w:rFonts w:hint="eastAsia" w:asciiTheme="majorEastAsia" w:hAnsiTheme="majorEastAsia" w:eastAsiaTheme="majorEastAsia" w:cstheme="majorEastAsia"/>
          <w:color w:val="auto"/>
          <w:kern w:val="10"/>
          <w:szCs w:val="21"/>
          <w:highlight w:val="none"/>
          <w:u w:color="000000"/>
          <w:lang w:bidi="ar"/>
        </w:rPr>
        <w:t xml:space="preserve">36.1招标人不得泄漏招标投标活动中应当保密的情况和资料，不得与投标人串通损害国家利益，社会公共利益或者他人合法权益。 </w:t>
      </w:r>
    </w:p>
    <w:p w14:paraId="2DBCC9F9">
      <w:pPr>
        <w:autoSpaceDE w:val="0"/>
        <w:spacing w:line="400" w:lineRule="exact"/>
        <w:ind w:firstLine="422" w:firstLineChars="20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37.对投标人的纪律要求 </w:t>
      </w:r>
    </w:p>
    <w:p w14:paraId="7B98D9CC">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14:paraId="40C1E526">
      <w:pPr>
        <w:autoSpaceDE w:val="0"/>
        <w:spacing w:line="400" w:lineRule="exact"/>
        <w:ind w:firstLine="422" w:firstLineChars="20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38.对评标委员会的纪律要求 </w:t>
      </w:r>
    </w:p>
    <w:p w14:paraId="57E573F0">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38.1</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kern w:val="10"/>
          <w:szCs w:val="21"/>
          <w:highlight w:val="none"/>
          <w:u w:color="000000"/>
          <w:lang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kern w:val="10"/>
          <w:szCs w:val="21"/>
          <w:highlight w:val="none"/>
          <w:u w:color="000000"/>
          <w:lang w:bidi="ar"/>
        </w:rPr>
        <w:t>应当客观、公正地履行职责，遵守职业道德，不得擅离职守，影响评标、答辩程序正常进行。</w:t>
      </w:r>
    </w:p>
    <w:p w14:paraId="38B4E254">
      <w:pPr>
        <w:snapToGrid w:val="0"/>
        <w:spacing w:before="156" w:beforeLines="50" w:after="156" w:afterLines="50" w:line="400" w:lineRule="exact"/>
        <w:jc w:val="center"/>
        <w:outlineLvl w:val="2"/>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color w:val="auto"/>
          <w:kern w:val="0"/>
          <w:sz w:val="24"/>
          <w:highlight w:val="none"/>
          <w:u w:color="000000"/>
          <w:lang w:bidi="ar"/>
        </w:rPr>
        <w:t>（八）投诉</w:t>
      </w:r>
    </w:p>
    <w:p w14:paraId="372238A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39.投诉</w:t>
      </w:r>
    </w:p>
    <w:p w14:paraId="1123DCB9">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39.1投标人或者其他利害关系人认为招标投标活动违反法律、法规和规章规定的，有权向相关行政监督部门投诉。投诉应当有明确的请求和必要的证明材料。</w:t>
      </w:r>
    </w:p>
    <w:p w14:paraId="0760943E">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39.2投标人和其他利害关系人对招标文件、开标、答辩和评标结果事项投诉的，应当按照投标人须知的规定先向招标人提出异议。异议答复期间不计算在第39.1项规定的期限内。</w:t>
      </w:r>
    </w:p>
    <w:p w14:paraId="0E0808B2">
      <w:pPr>
        <w:autoSpaceDE w:val="0"/>
        <w:spacing w:line="400" w:lineRule="exact"/>
        <w:ind w:firstLine="450" w:firstLineChars="150"/>
        <w:jc w:val="left"/>
        <w:rPr>
          <w:rFonts w:asciiTheme="majorEastAsia" w:hAnsiTheme="majorEastAsia" w:eastAsiaTheme="majorEastAsia" w:cstheme="majorEastAsia"/>
          <w:color w:val="auto"/>
          <w:sz w:val="30"/>
          <w:szCs w:val="30"/>
          <w:highlight w:val="none"/>
        </w:rPr>
      </w:pPr>
      <w:r>
        <w:rPr>
          <w:rFonts w:hint="eastAsia" w:asciiTheme="majorEastAsia" w:hAnsiTheme="majorEastAsia" w:eastAsiaTheme="majorEastAsia" w:cstheme="majorEastAsia"/>
          <w:color w:val="auto"/>
          <w:kern w:val="0"/>
          <w:sz w:val="30"/>
          <w:szCs w:val="30"/>
          <w:highlight w:val="none"/>
          <w:u w:color="000000"/>
          <w:lang w:bidi="ar"/>
        </w:rPr>
        <w:t xml:space="preserve"> </w:t>
      </w:r>
    </w:p>
    <w:p w14:paraId="511C4DC4">
      <w:pP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6EB72132">
      <w:pPr>
        <w:spacing w:before="156" w:beforeLines="50" w:after="156" w:afterLines="50"/>
        <w:jc w:val="center"/>
        <w:outlineLvl w:val="0"/>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第三章 资格审查办法</w:t>
      </w:r>
    </w:p>
    <w:p w14:paraId="5047BA17">
      <w:pPr>
        <w:spacing w:before="156" w:beforeLines="50" w:after="156" w:afterLines="50" w:line="440" w:lineRule="exact"/>
        <w:jc w:val="center"/>
        <w:outlineLvl w:val="1"/>
        <w:rPr>
          <w:rFonts w:asciiTheme="majorEastAsia" w:hAnsiTheme="majorEastAsia" w:eastAsiaTheme="majorEastAsia" w:cstheme="majorEastAsia"/>
          <w:b/>
          <w:color w:val="auto"/>
          <w:sz w:val="28"/>
          <w:szCs w:val="28"/>
          <w:highlight w:val="none"/>
        </w:rPr>
      </w:pPr>
      <w:r>
        <w:rPr>
          <w:rFonts w:hint="eastAsia" w:asciiTheme="majorEastAsia" w:hAnsiTheme="majorEastAsia" w:eastAsiaTheme="majorEastAsia" w:cstheme="majorEastAsia"/>
          <w:b/>
          <w:color w:val="auto"/>
          <w:sz w:val="28"/>
          <w:szCs w:val="28"/>
          <w:highlight w:val="none"/>
        </w:rPr>
        <w:t>（一）资格审查办法前附表</w:t>
      </w:r>
    </w:p>
    <w:p w14:paraId="3C4EDE9A">
      <w:pPr>
        <w:adjustRightInd w:val="0"/>
        <w:snapToGrid w:val="0"/>
        <w:spacing w:line="56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rPr>
        <w:t>1.资格审查评审</w:t>
      </w:r>
      <w:r>
        <w:rPr>
          <w:rFonts w:hint="eastAsia" w:asciiTheme="majorEastAsia" w:hAnsiTheme="majorEastAsia" w:eastAsiaTheme="majorEastAsia" w:cstheme="majorEastAsia"/>
          <w:b/>
          <w:color w:val="auto"/>
          <w:szCs w:val="21"/>
          <w:highlight w:val="none"/>
        </w:rPr>
        <w:t>:</w:t>
      </w:r>
    </w:p>
    <w:tbl>
      <w:tblPr>
        <w:tblStyle w:val="2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8EA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51D69212">
            <w:pPr>
              <w:spacing w:line="32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bCs/>
                <w:color w:val="auto"/>
                <w:szCs w:val="21"/>
                <w:highlight w:val="none"/>
              </w:rPr>
              <w:t>序号</w:t>
            </w:r>
          </w:p>
        </w:tc>
        <w:tc>
          <w:tcPr>
            <w:tcW w:w="4243" w:type="dxa"/>
            <w:gridSpan w:val="2"/>
            <w:vAlign w:val="center"/>
          </w:tcPr>
          <w:p w14:paraId="192E2814">
            <w:pPr>
              <w:spacing w:line="32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评审因素</w:t>
            </w:r>
          </w:p>
        </w:tc>
        <w:tc>
          <w:tcPr>
            <w:tcW w:w="3929" w:type="dxa"/>
            <w:vAlign w:val="center"/>
          </w:tcPr>
          <w:p w14:paraId="1A116338">
            <w:pPr>
              <w:spacing w:line="32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评审标准</w:t>
            </w:r>
          </w:p>
        </w:tc>
      </w:tr>
      <w:tr w14:paraId="04B7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12FBC4D6">
            <w:pPr>
              <w:spacing w:line="32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35" w:type="dxa"/>
            <w:vAlign w:val="center"/>
          </w:tcPr>
          <w:p w14:paraId="7A0F6D90">
            <w:pPr>
              <w:spacing w:line="32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重要要求</w:t>
            </w:r>
          </w:p>
        </w:tc>
        <w:tc>
          <w:tcPr>
            <w:tcW w:w="3008" w:type="dxa"/>
            <w:vAlign w:val="center"/>
          </w:tcPr>
          <w:p w14:paraId="73601F3E">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（1）法定代表人身份证明和本人有效身份证(或法定代表人授权委托书和委托代理人有效身份证)</w:t>
            </w:r>
          </w:p>
        </w:tc>
        <w:tc>
          <w:tcPr>
            <w:tcW w:w="3929" w:type="dxa"/>
            <w:vAlign w:val="center"/>
          </w:tcPr>
          <w:p w14:paraId="41A2D62C">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核验电子投标文件</w:t>
            </w:r>
            <w:r>
              <w:rPr>
                <w:rFonts w:hint="eastAsia" w:asciiTheme="majorEastAsia" w:hAnsiTheme="majorEastAsia" w:eastAsiaTheme="majorEastAsia" w:cstheme="majorEastAsia"/>
                <w:color w:val="auto"/>
                <w:szCs w:val="21"/>
                <w:highlight w:val="none"/>
              </w:rPr>
              <w:t>。</w:t>
            </w:r>
          </w:p>
        </w:tc>
      </w:tr>
      <w:tr w14:paraId="599E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3DE572">
            <w:pPr>
              <w:spacing w:line="32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w:t>
            </w:r>
          </w:p>
        </w:tc>
        <w:tc>
          <w:tcPr>
            <w:tcW w:w="1235" w:type="dxa"/>
            <w:vMerge w:val="restart"/>
            <w:vAlign w:val="center"/>
          </w:tcPr>
          <w:p w14:paraId="2AF834C5">
            <w:pPr>
              <w:spacing w:line="32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投标人应符合的基本资格条件</w:t>
            </w:r>
          </w:p>
        </w:tc>
        <w:tc>
          <w:tcPr>
            <w:tcW w:w="3008" w:type="dxa"/>
            <w:vAlign w:val="center"/>
          </w:tcPr>
          <w:p w14:paraId="4427F11D">
            <w:pPr>
              <w:spacing w:line="320" w:lineRule="exact"/>
              <w:rPr>
                <w:rFonts w:asciiTheme="majorEastAsia" w:hAnsiTheme="majorEastAsia" w:eastAsiaTheme="majorEastAsia" w:cstheme="majorEastAsia"/>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407142B7">
            <w:pPr>
              <w:spacing w:line="320" w:lineRule="exact"/>
              <w:rPr>
                <w:rFonts w:ascii="宋体" w:hAnsi="宋体"/>
                <w:bCs/>
                <w:color w:val="auto"/>
                <w:szCs w:val="21"/>
                <w:highlight w:val="none"/>
              </w:rPr>
            </w:pPr>
            <w:r>
              <w:rPr>
                <w:rFonts w:hint="eastAsia" w:ascii="宋体"/>
                <w:bCs/>
                <w:color w:val="auto"/>
                <w:szCs w:val="21"/>
                <w:highlight w:val="none"/>
              </w:rPr>
              <w:t>评审核验标书中的下列证书、证明材料：</w:t>
            </w:r>
          </w:p>
          <w:p w14:paraId="3BE114B7">
            <w:pPr>
              <w:spacing w:line="320" w:lineRule="exact"/>
              <w:rPr>
                <w:rFonts w:asciiTheme="majorEastAsia" w:hAnsiTheme="majorEastAsia" w:eastAsiaTheme="majorEastAsia" w:cstheme="majorEastAsia"/>
                <w:color w:val="auto"/>
                <w:szCs w:val="21"/>
                <w:highlight w:val="none"/>
              </w:rPr>
            </w:pPr>
            <w:r>
              <w:rPr>
                <w:rFonts w:hint="eastAsia" w:ascii="宋体"/>
                <w:color w:val="auto"/>
                <w:szCs w:val="21"/>
                <w:highlight w:val="none"/>
              </w:rPr>
              <w:t>投标人有效的营业执照、税务登记证、组织机构码证（或“三证合一证书”）</w:t>
            </w:r>
          </w:p>
        </w:tc>
      </w:tr>
      <w:tr w14:paraId="4E54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1B6BC469">
            <w:pPr>
              <w:spacing w:line="320" w:lineRule="exact"/>
              <w:jc w:val="center"/>
              <w:rPr>
                <w:rFonts w:asciiTheme="majorEastAsia" w:hAnsiTheme="majorEastAsia" w:eastAsiaTheme="majorEastAsia" w:cstheme="majorEastAsia"/>
                <w:color w:val="auto"/>
                <w:szCs w:val="21"/>
                <w:highlight w:val="none"/>
              </w:rPr>
            </w:pPr>
          </w:p>
        </w:tc>
        <w:tc>
          <w:tcPr>
            <w:tcW w:w="1235" w:type="dxa"/>
            <w:vMerge w:val="continue"/>
            <w:vAlign w:val="center"/>
          </w:tcPr>
          <w:p w14:paraId="7FBF976E">
            <w:pPr>
              <w:spacing w:line="320" w:lineRule="exact"/>
              <w:rPr>
                <w:rFonts w:asciiTheme="majorEastAsia" w:hAnsiTheme="majorEastAsia" w:eastAsiaTheme="majorEastAsia" w:cstheme="majorEastAsia"/>
                <w:color w:val="auto"/>
                <w:szCs w:val="21"/>
                <w:highlight w:val="none"/>
              </w:rPr>
            </w:pPr>
          </w:p>
        </w:tc>
        <w:tc>
          <w:tcPr>
            <w:tcW w:w="3008" w:type="dxa"/>
            <w:vAlign w:val="center"/>
          </w:tcPr>
          <w:p w14:paraId="467412DD">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）诚信投标承诺书</w:t>
            </w:r>
          </w:p>
        </w:tc>
        <w:tc>
          <w:tcPr>
            <w:tcW w:w="3929" w:type="dxa"/>
            <w:vAlign w:val="center"/>
          </w:tcPr>
          <w:p w14:paraId="5BA70B06">
            <w:pPr>
              <w:spacing w:line="32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格式见附件，检验投标文件</w:t>
            </w:r>
          </w:p>
        </w:tc>
      </w:tr>
      <w:tr w14:paraId="17B1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6BD4E4C8">
            <w:pPr>
              <w:spacing w:line="320" w:lineRule="exact"/>
              <w:jc w:val="center"/>
              <w:rPr>
                <w:rFonts w:asciiTheme="majorEastAsia" w:hAnsiTheme="majorEastAsia" w:eastAsiaTheme="majorEastAsia" w:cstheme="majorEastAsia"/>
                <w:color w:val="auto"/>
                <w:szCs w:val="21"/>
                <w:highlight w:val="none"/>
              </w:rPr>
            </w:pPr>
            <w:bookmarkStart w:id="40" w:name="_Toc60061492"/>
            <w:bookmarkStart w:id="41" w:name="_Toc15058909"/>
            <w:bookmarkStart w:id="42" w:name="_Toc506107320"/>
            <w:bookmarkStart w:id="43" w:name="_Toc95223395"/>
          </w:p>
        </w:tc>
        <w:tc>
          <w:tcPr>
            <w:tcW w:w="1235" w:type="dxa"/>
            <w:vMerge w:val="continue"/>
            <w:vAlign w:val="center"/>
          </w:tcPr>
          <w:p w14:paraId="2B872F01">
            <w:pPr>
              <w:spacing w:line="320" w:lineRule="exact"/>
              <w:rPr>
                <w:rFonts w:asciiTheme="majorEastAsia" w:hAnsiTheme="majorEastAsia" w:eastAsiaTheme="majorEastAsia" w:cstheme="majorEastAsia"/>
                <w:color w:val="auto"/>
                <w:szCs w:val="21"/>
                <w:highlight w:val="none"/>
              </w:rPr>
            </w:pPr>
          </w:p>
        </w:tc>
        <w:tc>
          <w:tcPr>
            <w:tcW w:w="3008" w:type="dxa"/>
            <w:vAlign w:val="center"/>
          </w:tcPr>
          <w:p w14:paraId="0AF1C391">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）服务承诺书</w:t>
            </w:r>
          </w:p>
        </w:tc>
        <w:tc>
          <w:tcPr>
            <w:tcW w:w="3929" w:type="dxa"/>
            <w:vAlign w:val="center"/>
          </w:tcPr>
          <w:p w14:paraId="295A8F40">
            <w:pPr>
              <w:spacing w:line="32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格式见附件，检验投标文件</w:t>
            </w:r>
          </w:p>
        </w:tc>
      </w:tr>
    </w:tbl>
    <w:p w14:paraId="4AC19B44">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2.审查办法</w:t>
      </w:r>
      <w:bookmarkEnd w:id="40"/>
      <w:bookmarkEnd w:id="41"/>
      <w:bookmarkEnd w:id="42"/>
      <w:bookmarkEnd w:id="43"/>
    </w:p>
    <w:p w14:paraId="6703F577">
      <w:pPr>
        <w:adjustRightInd w:val="0"/>
        <w:snapToGrid w:val="0"/>
        <w:spacing w:line="560" w:lineRule="exact"/>
        <w:jc w:val="left"/>
        <w:rPr>
          <w:rFonts w:asciiTheme="majorEastAsia" w:hAnsiTheme="majorEastAsia" w:eastAsiaTheme="majorEastAsia" w:cstheme="majorEastAsia"/>
          <w:color w:val="auto"/>
          <w:highlight w:val="none"/>
        </w:rPr>
      </w:pPr>
      <w:bookmarkStart w:id="44" w:name="_Toc60061493"/>
      <w:bookmarkStart w:id="45" w:name="_Toc15058910"/>
      <w:bookmarkStart w:id="46" w:name="_Toc324404868"/>
      <w:bookmarkStart w:id="47" w:name="_Toc506107321"/>
      <w:r>
        <w:rPr>
          <w:rFonts w:hint="eastAsia" w:asciiTheme="majorEastAsia" w:hAnsiTheme="majorEastAsia" w:eastAsiaTheme="majorEastAsia" w:cstheme="majorEastAsia"/>
          <w:color w:val="auto"/>
          <w:highlight w:val="none"/>
        </w:rPr>
        <w:t>由资格审查委员会（</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highlight w:val="none"/>
        </w:rPr>
        <w:t>）按资格审查办法前附表中资格审查必要合格条件评审表要求对投标人审查资料进行核验。</w:t>
      </w:r>
    </w:p>
    <w:p w14:paraId="1500E35C">
      <w:pPr>
        <w:adjustRightInd w:val="0"/>
        <w:snapToGrid w:val="0"/>
        <w:spacing w:line="560" w:lineRule="exact"/>
        <w:jc w:val="left"/>
        <w:rPr>
          <w:rFonts w:asciiTheme="majorEastAsia" w:hAnsiTheme="majorEastAsia" w:eastAsiaTheme="majorEastAsia" w:cstheme="majorEastAsia"/>
          <w:color w:val="auto"/>
          <w:highlight w:val="none"/>
        </w:rPr>
      </w:pPr>
      <w:bookmarkStart w:id="48" w:name="_Toc95223396"/>
      <w:r>
        <w:rPr>
          <w:rFonts w:hint="eastAsia" w:asciiTheme="majorEastAsia" w:hAnsiTheme="majorEastAsia" w:eastAsiaTheme="majorEastAsia" w:cstheme="majorEastAsia"/>
          <w:color w:val="auto"/>
          <w:highlight w:val="none"/>
        </w:rPr>
        <w:t>3.资格审查委员会和审查标准</w:t>
      </w:r>
      <w:bookmarkEnd w:id="44"/>
      <w:bookmarkEnd w:id="45"/>
      <w:bookmarkEnd w:id="46"/>
      <w:bookmarkEnd w:id="47"/>
      <w:bookmarkEnd w:id="48"/>
    </w:p>
    <w:p w14:paraId="2C6D56E9">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3.1资格审查由招标人依法组建的资格审查委员会（</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highlight w:val="none"/>
        </w:rPr>
        <w:t>）负责。审查标准见资格审查办法前附表。</w:t>
      </w:r>
    </w:p>
    <w:p w14:paraId="1FA873F0">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3.2由资格审查委员会（</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highlight w:val="none"/>
        </w:rPr>
        <w:t xml:space="preserve">）按资格审查办法前附表要求对投标人的审查资料进行核验。投标申请人有下列情形之一的，其资格审查为不合格： </w:t>
      </w:r>
    </w:p>
    <w:p w14:paraId="41011EC2">
      <w:pPr>
        <w:adjustRightInd w:val="0"/>
        <w:snapToGrid w:val="0"/>
        <w:spacing w:line="560" w:lineRule="exact"/>
        <w:jc w:val="left"/>
        <w:rPr>
          <w:rFonts w:asciiTheme="majorEastAsia" w:hAnsiTheme="majorEastAsia" w:eastAsiaTheme="majorEastAsia" w:cstheme="majorEastAsia"/>
          <w:color w:val="auto"/>
          <w:highlight w:val="none"/>
        </w:rPr>
      </w:pPr>
      <w:bookmarkStart w:id="49" w:name="_Toc15058911"/>
      <w:bookmarkStart w:id="50" w:name="_Toc324404869"/>
      <w:bookmarkStart w:id="51" w:name="_Toc60061494"/>
      <w:bookmarkStart w:id="52" w:name="_Toc506107322"/>
      <w:bookmarkStart w:id="53" w:name="_Toc95223397"/>
      <w:r>
        <w:rPr>
          <w:rFonts w:hint="eastAsia" w:asciiTheme="majorEastAsia" w:hAnsiTheme="majorEastAsia" w:eastAsiaTheme="majorEastAsia" w:cstheme="majorEastAsia"/>
          <w:color w:val="auto"/>
          <w:highlight w:val="none"/>
        </w:rPr>
        <w:t>（1）不能按要求提供证明材料或证明材料经审查不合格；</w:t>
      </w:r>
    </w:p>
    <w:p w14:paraId="3F41E775">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（2）法律、法规规定的其他情形。</w:t>
      </w:r>
    </w:p>
    <w:p w14:paraId="0A9FFBCD">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4.审查结果</w:t>
      </w:r>
      <w:bookmarkEnd w:id="49"/>
      <w:bookmarkEnd w:id="50"/>
      <w:bookmarkEnd w:id="51"/>
      <w:bookmarkEnd w:id="52"/>
      <w:bookmarkEnd w:id="53"/>
    </w:p>
    <w:p w14:paraId="53819D5A">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只有通过资格审查的投标人才能进入下一步的评标程序。</w:t>
      </w:r>
    </w:p>
    <w:p w14:paraId="03F1F1D1">
      <w:pPr>
        <w:jc w:val="center"/>
        <w:rPr>
          <w:rFonts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kern w:val="0"/>
          <w:sz w:val="28"/>
          <w:szCs w:val="28"/>
          <w:highlight w:val="none"/>
          <w:u w:color="000000"/>
          <w:lang w:bidi="ar"/>
        </w:rPr>
        <w:t xml:space="preserve">第四章  </w:t>
      </w:r>
      <w:r>
        <w:rPr>
          <w:rFonts w:hint="eastAsia" w:asciiTheme="majorEastAsia" w:hAnsiTheme="majorEastAsia" w:eastAsiaTheme="majorEastAsia" w:cstheme="majorEastAsia"/>
          <w:b/>
          <w:color w:val="auto"/>
          <w:kern w:val="44"/>
          <w:sz w:val="28"/>
          <w:szCs w:val="28"/>
          <w:highlight w:val="none"/>
          <w:u w:color="000000"/>
          <w:lang w:bidi="ar"/>
        </w:rPr>
        <w:t>评标办法</w:t>
      </w:r>
    </w:p>
    <w:p w14:paraId="6FACEFA6">
      <w:pPr>
        <w:numPr>
          <w:ilvl w:val="0"/>
          <w:numId w:val="1"/>
        </w:numPr>
        <w:spacing w:line="560" w:lineRule="exact"/>
        <w:ind w:left="0"/>
        <w:jc w:val="center"/>
        <w:outlineLvl w:val="1"/>
        <w:rPr>
          <w:rFonts w:hint="eastAsia"/>
          <w:b/>
          <w:color w:val="auto"/>
          <w:sz w:val="28"/>
          <w:szCs w:val="21"/>
          <w:highlight w:val="none"/>
        </w:rPr>
      </w:pPr>
      <w:bookmarkStart w:id="54" w:name="_Toc23254"/>
      <w:bookmarkEnd w:id="54"/>
      <w:bookmarkStart w:id="55" w:name="_Toc21560"/>
      <w:bookmarkStart w:id="56" w:name="_Toc20185"/>
      <w:bookmarkStart w:id="57" w:name="_Toc10907_WPSOffice_Level3"/>
      <w:r>
        <w:rPr>
          <w:rFonts w:hint="eastAsia"/>
          <w:b/>
          <w:color w:val="auto"/>
          <w:sz w:val="28"/>
          <w:szCs w:val="21"/>
          <w:highlight w:val="none"/>
        </w:rPr>
        <w:t>中标候选人的确定</w:t>
      </w:r>
    </w:p>
    <w:p w14:paraId="6A76FA78">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　　</w:t>
      </w:r>
      <w:r>
        <w:rPr>
          <w:rFonts w:hint="eastAsia" w:ascii="宋体" w:hAnsi="宋体" w:eastAsia="宋体" w:cs="宋体"/>
          <w:color w:val="auto"/>
          <w:szCs w:val="21"/>
          <w:highlight w:val="none"/>
        </w:rPr>
        <w:t>评标委员会对投标人依次进行资信、商务文件审查，对均满足要求的投标人进行各项评审因素打分，合计的总得分按照从高到低进行排序，总得分第一的投标人为第一中标候选人。如总得分相等，以投标报价低的优先，投标报价仍相等，由评标委员会主任委员或招标人随机抽取确定排名。</w:t>
      </w:r>
    </w:p>
    <w:p w14:paraId="78AF29A2">
      <w:pPr>
        <w:numPr>
          <w:ilvl w:val="0"/>
          <w:numId w:val="1"/>
        </w:numPr>
        <w:spacing w:line="560" w:lineRule="exact"/>
        <w:ind w:left="0"/>
        <w:jc w:val="center"/>
        <w:rPr>
          <w:b/>
          <w:bCs/>
          <w:color w:val="auto"/>
          <w:sz w:val="28"/>
          <w:szCs w:val="28"/>
          <w:highlight w:val="none"/>
        </w:rPr>
      </w:pPr>
      <w:r>
        <w:rPr>
          <w:rFonts w:hint="eastAsia" w:ascii="Times New Roman" w:hAnsi="Times New Roman" w:eastAsia="宋体" w:cs="Times New Roman"/>
          <w:b/>
          <w:color w:val="auto"/>
          <w:sz w:val="28"/>
          <w:szCs w:val="21"/>
          <w:highlight w:val="none"/>
        </w:rPr>
        <w:t>资信标评审</w:t>
      </w:r>
      <w:r>
        <w:rPr>
          <w:rFonts w:hint="eastAsia"/>
          <w:b/>
          <w:bCs/>
          <w:color w:val="auto"/>
          <w:sz w:val="28"/>
          <w:szCs w:val="28"/>
          <w:highlight w:val="none"/>
        </w:rPr>
        <w:t>（</w:t>
      </w:r>
      <w:r>
        <w:rPr>
          <w:rFonts w:hint="eastAsia"/>
          <w:b/>
          <w:bCs/>
          <w:color w:val="auto"/>
          <w:sz w:val="28"/>
          <w:szCs w:val="28"/>
          <w:highlight w:val="none"/>
          <w:lang w:val="en-US" w:eastAsia="zh-CN"/>
        </w:rPr>
        <w:t>20</w:t>
      </w:r>
      <w:r>
        <w:rPr>
          <w:rFonts w:hint="eastAsia"/>
          <w:b/>
          <w:bCs/>
          <w:color w:val="auto"/>
          <w:sz w:val="28"/>
          <w:szCs w:val="28"/>
          <w:highlight w:val="none"/>
        </w:rPr>
        <w:t>分）</w:t>
      </w:r>
    </w:p>
    <w:tbl>
      <w:tblPr>
        <w:tblStyle w:val="25"/>
        <w:tblW w:w="9898"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9"/>
        <w:gridCol w:w="841"/>
        <w:gridCol w:w="7226"/>
      </w:tblGrid>
      <w:tr w14:paraId="7CDE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752" w:type="dxa"/>
            <w:shd w:val="clear" w:color="auto" w:fill="auto"/>
            <w:noWrap/>
            <w:vAlign w:val="center"/>
          </w:tcPr>
          <w:p w14:paraId="1A6A083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1079" w:type="dxa"/>
            <w:shd w:val="clear" w:color="auto" w:fill="auto"/>
            <w:noWrap/>
            <w:vAlign w:val="center"/>
          </w:tcPr>
          <w:p w14:paraId="1ADAC39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1" w:type="dxa"/>
            <w:shd w:val="clear" w:color="auto" w:fill="auto"/>
            <w:noWrap/>
            <w:vAlign w:val="center"/>
          </w:tcPr>
          <w:p w14:paraId="3DF3CA6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26" w:type="dxa"/>
            <w:shd w:val="clear" w:color="auto" w:fill="auto"/>
            <w:noWrap/>
            <w:vAlign w:val="center"/>
          </w:tcPr>
          <w:p w14:paraId="7D7BD7F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2456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6" w:hRule="atLeast"/>
        </w:trPr>
        <w:tc>
          <w:tcPr>
            <w:tcW w:w="752" w:type="dxa"/>
            <w:shd w:val="clear" w:color="auto" w:fill="auto"/>
            <w:noWrap/>
            <w:vAlign w:val="center"/>
          </w:tcPr>
          <w:p w14:paraId="18F6227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9" w:type="dxa"/>
            <w:shd w:val="clear" w:color="auto" w:fill="auto"/>
            <w:noWrap/>
            <w:vAlign w:val="center"/>
          </w:tcPr>
          <w:p w14:paraId="167E967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业绩</w:t>
            </w:r>
          </w:p>
        </w:tc>
        <w:tc>
          <w:tcPr>
            <w:tcW w:w="841" w:type="dxa"/>
            <w:shd w:val="clear" w:color="auto" w:fill="auto"/>
            <w:noWrap/>
            <w:vAlign w:val="center"/>
          </w:tcPr>
          <w:p w14:paraId="4C2A3E09">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10分</w:t>
            </w:r>
          </w:p>
        </w:tc>
        <w:tc>
          <w:tcPr>
            <w:tcW w:w="7226" w:type="dxa"/>
            <w:shd w:val="clear" w:color="auto" w:fill="auto"/>
            <w:noWrap/>
            <w:vAlign w:val="center"/>
          </w:tcPr>
          <w:p w14:paraId="115901A6">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baseline"/>
              <w:rPr>
                <w:rFonts w:hint="eastAsia"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eastAsia="zh-CN"/>
              </w:rPr>
              <w:t>1、</w:t>
            </w:r>
            <w:r>
              <w:rPr>
                <w:rFonts w:hint="eastAsia" w:ascii="宋体" w:hAnsi="宋体" w:eastAsia="宋体" w:cs="宋体"/>
                <w:bCs/>
                <w:color w:val="auto"/>
                <w:sz w:val="21"/>
                <w:szCs w:val="21"/>
                <w:highlight w:val="none"/>
                <w:lang w:val="en-US" w:eastAsia="zh-CN"/>
              </w:rPr>
              <w:t>投标人具有</w:t>
            </w:r>
            <w:r>
              <w:rPr>
                <w:rFonts w:hint="eastAsia" w:ascii="宋体" w:hAnsi="宋体" w:cs="宋体"/>
                <w:bCs/>
                <w:color w:val="auto"/>
                <w:sz w:val="21"/>
                <w:szCs w:val="21"/>
                <w:highlight w:val="none"/>
                <w:lang w:val="en-US" w:eastAsia="zh-CN"/>
              </w:rPr>
              <w:t>工业厂区（或厂房）建筑工地物业服务业绩（或劳务派遣物业服务业绩）的</w:t>
            </w:r>
            <w:r>
              <w:rPr>
                <w:rFonts w:hint="eastAsia" w:ascii="宋体" w:hAnsi="宋体" w:eastAsia="宋体" w:cs="宋体"/>
                <w:bCs/>
                <w:color w:val="auto"/>
                <w:sz w:val="21"/>
                <w:szCs w:val="21"/>
                <w:highlight w:val="none"/>
                <w:lang w:val="en-US" w:eastAsia="zh-CN"/>
              </w:rPr>
              <w:t>，每提供一个得2.5分，本项最高得10分。</w:t>
            </w:r>
          </w:p>
          <w:p w14:paraId="0ABBD658">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b w:val="0"/>
                <w:bCs w:val="0"/>
                <w:color w:val="auto"/>
                <w:highlight w:val="none"/>
                <w:lang w:eastAsia="zh-CN"/>
              </w:rPr>
            </w:pPr>
            <w:r>
              <w:rPr>
                <w:rFonts w:hint="eastAsia" w:ascii="宋体" w:hAnsi="宋体" w:cs="宋体"/>
                <w:b w:val="0"/>
                <w:bCs w:val="0"/>
                <w:color w:val="auto"/>
                <w:kern w:val="0"/>
                <w:sz w:val="21"/>
                <w:szCs w:val="21"/>
                <w:highlight w:val="none"/>
                <w:lang w:val="en-US" w:eastAsia="zh-CN" w:bidi="ar"/>
              </w:rPr>
              <w:t>【</w:t>
            </w:r>
            <w:r>
              <w:rPr>
                <w:rFonts w:hint="eastAsia" w:ascii="宋体" w:hAnsi="宋体" w:eastAsia="宋体" w:cs="宋体"/>
                <w:b w:val="0"/>
                <w:bCs w:val="0"/>
                <w:color w:val="auto"/>
                <w:kern w:val="0"/>
                <w:sz w:val="21"/>
                <w:szCs w:val="21"/>
                <w:highlight w:val="none"/>
                <w:lang w:val="en-US" w:eastAsia="zh-CN" w:bidi="ar"/>
              </w:rPr>
              <w:t>投标文件中须提供合同及收款单扫描件；如上述材料</w:t>
            </w:r>
            <w:r>
              <w:rPr>
                <w:rFonts w:hint="eastAsia" w:ascii="宋体" w:hAnsi="宋体" w:cs="宋体"/>
                <w:b w:val="0"/>
                <w:bCs w:val="0"/>
                <w:color w:val="auto"/>
                <w:kern w:val="0"/>
                <w:sz w:val="21"/>
                <w:szCs w:val="21"/>
                <w:highlight w:val="none"/>
                <w:lang w:val="en-US" w:eastAsia="zh-CN" w:bidi="ar"/>
              </w:rPr>
              <w:t>中体现不出评审因素的</w:t>
            </w:r>
            <w:r>
              <w:rPr>
                <w:rFonts w:hint="eastAsia" w:ascii="宋体" w:hAnsi="宋体" w:eastAsia="宋体" w:cs="宋体"/>
                <w:b w:val="0"/>
                <w:bCs w:val="0"/>
                <w:color w:val="auto"/>
                <w:kern w:val="0"/>
                <w:sz w:val="21"/>
                <w:szCs w:val="21"/>
                <w:highlight w:val="none"/>
                <w:lang w:val="en-US" w:eastAsia="zh-CN" w:bidi="ar"/>
              </w:rPr>
              <w:t>，</w:t>
            </w:r>
            <w:r>
              <w:rPr>
                <w:rFonts w:hint="eastAsia" w:ascii="宋体" w:hAnsi="宋体" w:cs="宋体"/>
                <w:b w:val="0"/>
                <w:bCs w:val="0"/>
                <w:color w:val="auto"/>
                <w:kern w:val="0"/>
                <w:sz w:val="21"/>
                <w:szCs w:val="21"/>
                <w:highlight w:val="none"/>
                <w:lang w:val="en-US" w:eastAsia="zh-CN" w:bidi="ar"/>
              </w:rPr>
              <w:t>须</w:t>
            </w:r>
            <w:r>
              <w:rPr>
                <w:rFonts w:hint="eastAsia" w:ascii="宋体" w:hAnsi="宋体" w:eastAsia="宋体" w:cs="宋体"/>
                <w:b w:val="0"/>
                <w:bCs w:val="0"/>
                <w:color w:val="auto"/>
                <w:kern w:val="0"/>
                <w:sz w:val="21"/>
                <w:szCs w:val="21"/>
                <w:highlight w:val="none"/>
                <w:lang w:val="en-US" w:eastAsia="zh-CN" w:bidi="ar"/>
              </w:rPr>
              <w:t>另</w:t>
            </w:r>
            <w:r>
              <w:rPr>
                <w:rFonts w:hint="eastAsia" w:ascii="宋体" w:hAnsi="宋体" w:cs="宋体"/>
                <w:b w:val="0"/>
                <w:bCs w:val="0"/>
                <w:color w:val="auto"/>
                <w:kern w:val="0"/>
                <w:sz w:val="21"/>
                <w:szCs w:val="21"/>
                <w:highlight w:val="none"/>
                <w:lang w:val="en-US" w:eastAsia="zh-CN" w:bidi="ar"/>
              </w:rPr>
              <w:t>附业主盖章</w:t>
            </w:r>
            <w:r>
              <w:rPr>
                <w:rFonts w:hint="eastAsia" w:ascii="宋体" w:hAnsi="宋体" w:eastAsia="宋体" w:cs="宋体"/>
                <w:b w:val="0"/>
                <w:bCs w:val="0"/>
                <w:color w:val="auto"/>
                <w:kern w:val="0"/>
                <w:sz w:val="21"/>
                <w:szCs w:val="21"/>
                <w:highlight w:val="none"/>
                <w:lang w:val="en-US" w:eastAsia="zh-CN" w:bidi="ar"/>
              </w:rPr>
              <w:t>证明材料扫描件，</w:t>
            </w:r>
            <w:r>
              <w:rPr>
                <w:rFonts w:hint="eastAsia"/>
                <w:b w:val="0"/>
                <w:bCs w:val="0"/>
                <w:color w:val="auto"/>
                <w:highlight w:val="none"/>
              </w:rPr>
              <w:t>否则不得分。</w:t>
            </w:r>
            <w:r>
              <w:rPr>
                <w:rFonts w:hint="eastAsia"/>
                <w:b w:val="0"/>
                <w:bCs w:val="0"/>
                <w:color w:val="auto"/>
                <w:highlight w:val="none"/>
                <w:lang w:eastAsia="zh-CN"/>
              </w:rPr>
              <w:t>】</w:t>
            </w:r>
          </w:p>
          <w:p w14:paraId="080E4F33">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注：提供的项目业绩只计算评标分值对应的项目数量，按照排列顺序从首个业绩开始评审至对应数量，超出部分不进行评审。</w:t>
            </w:r>
          </w:p>
        </w:tc>
      </w:tr>
      <w:tr w14:paraId="1C5A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752" w:type="dxa"/>
            <w:shd w:val="clear" w:color="auto" w:fill="auto"/>
            <w:noWrap/>
            <w:vAlign w:val="center"/>
          </w:tcPr>
          <w:p w14:paraId="1FB59EB1">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9" w:type="dxa"/>
            <w:shd w:val="clear" w:color="auto" w:fill="auto"/>
            <w:noWrap/>
            <w:vAlign w:val="center"/>
          </w:tcPr>
          <w:p w14:paraId="6E868C3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体系认证</w:t>
            </w:r>
          </w:p>
        </w:tc>
        <w:tc>
          <w:tcPr>
            <w:tcW w:w="841" w:type="dxa"/>
            <w:shd w:val="clear" w:color="auto" w:fill="auto"/>
            <w:noWrap/>
            <w:vAlign w:val="center"/>
          </w:tcPr>
          <w:p w14:paraId="131EFF63">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7226" w:type="dxa"/>
            <w:shd w:val="clear" w:color="auto" w:fill="auto"/>
            <w:noWrap/>
            <w:vAlign w:val="center"/>
          </w:tcPr>
          <w:p w14:paraId="264A4F6C">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1、投标人通过 ISO9001 质量管理体系认证、ISO14001 环境管理体</w:t>
            </w:r>
          </w:p>
          <w:p w14:paraId="76FDA9F6">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系认证、职业健康安全管理体系认证的得5。缺项不得分【提供证书扫描件】</w:t>
            </w:r>
          </w:p>
        </w:tc>
      </w:tr>
      <w:tr w14:paraId="0C8D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6" w:hRule="atLeast"/>
        </w:trPr>
        <w:tc>
          <w:tcPr>
            <w:tcW w:w="752" w:type="dxa"/>
            <w:shd w:val="clear" w:color="auto" w:fill="auto"/>
            <w:noWrap/>
            <w:vAlign w:val="center"/>
          </w:tcPr>
          <w:p w14:paraId="1C86F17E">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079" w:type="dxa"/>
            <w:shd w:val="clear" w:color="auto" w:fill="auto"/>
            <w:noWrap/>
            <w:vAlign w:val="center"/>
          </w:tcPr>
          <w:p w14:paraId="535BDA0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信用等级</w:t>
            </w:r>
          </w:p>
        </w:tc>
        <w:tc>
          <w:tcPr>
            <w:tcW w:w="841" w:type="dxa"/>
            <w:shd w:val="clear" w:color="auto" w:fill="auto"/>
            <w:noWrap/>
            <w:vAlign w:val="center"/>
          </w:tcPr>
          <w:p w14:paraId="2E419370">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7226" w:type="dxa"/>
            <w:shd w:val="clear" w:color="auto" w:fill="auto"/>
            <w:noWrap/>
            <w:vAlign w:val="center"/>
          </w:tcPr>
          <w:p w14:paraId="3C21BD52">
            <w:pPr>
              <w:pStyle w:val="66"/>
              <w:spacing w:before="116" w:line="360" w:lineRule="auto"/>
              <w:ind w:left="113" w:right="103" w:firstLine="39"/>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 xml:space="preserve">1、自 2023 年 1 月 1 日至投标截止日，投标人年度被市级及以上物业行政主管部门评为甲级（类）的得 3 分，被评为乙级（类）的得 </w:t>
            </w:r>
            <w:r>
              <w:rPr>
                <w:rFonts w:hint="eastAsia" w:cs="宋体"/>
                <w:bCs/>
                <w:color w:val="auto"/>
                <w:kern w:val="2"/>
                <w:sz w:val="21"/>
                <w:szCs w:val="21"/>
                <w:highlight w:val="none"/>
                <w:lang w:val="en-US" w:eastAsia="zh-CN" w:bidi="ar-SA"/>
              </w:rPr>
              <w:t>2</w:t>
            </w:r>
            <w:r>
              <w:rPr>
                <w:rFonts w:hint="eastAsia" w:ascii="宋体" w:hAnsi="宋体" w:eastAsia="宋体" w:cs="宋体"/>
                <w:bCs/>
                <w:color w:val="auto"/>
                <w:kern w:val="2"/>
                <w:sz w:val="21"/>
                <w:szCs w:val="21"/>
                <w:highlight w:val="none"/>
                <w:lang w:val="en-US" w:eastAsia="zh-CN" w:bidi="ar-SA"/>
              </w:rPr>
              <w:t xml:space="preserve"> 分；最高得</w:t>
            </w:r>
            <w:r>
              <w:rPr>
                <w:rFonts w:hint="eastAsia" w:cs="宋体"/>
                <w:bCs/>
                <w:color w:val="auto"/>
                <w:kern w:val="2"/>
                <w:sz w:val="21"/>
                <w:szCs w:val="21"/>
                <w:highlight w:val="none"/>
                <w:lang w:val="en-US" w:eastAsia="zh-CN" w:bidi="ar-SA"/>
              </w:rPr>
              <w:t>5</w:t>
            </w:r>
            <w:r>
              <w:rPr>
                <w:rFonts w:hint="eastAsia" w:ascii="宋体" w:hAnsi="宋体" w:eastAsia="宋体" w:cs="宋体"/>
                <w:bCs/>
                <w:color w:val="auto"/>
                <w:kern w:val="2"/>
                <w:sz w:val="21"/>
                <w:szCs w:val="21"/>
                <w:highlight w:val="none"/>
                <w:lang w:val="en-US" w:eastAsia="zh-CN" w:bidi="ar-SA"/>
              </w:rPr>
              <w:t>分。</w:t>
            </w:r>
          </w:p>
          <w:p w14:paraId="1521E040">
            <w:pPr>
              <w:pStyle w:val="66"/>
              <w:spacing w:line="360" w:lineRule="auto"/>
              <w:ind w:left="112" w:right="103"/>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注：①投标文件中提供物业主管部门颁发的证明文件或网上公示截图等材料扫描件；信用等级命名不同的，还须提供行业行政主管部门划分信用等级的证明材料扫描件。</w:t>
            </w:r>
          </w:p>
          <w:p w14:paraId="3235EF68">
            <w:pPr>
              <w:pStyle w:val="66"/>
              <w:spacing w:before="5" w:line="359" w:lineRule="auto"/>
              <w:ind w:left="111" w:right="103"/>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②上述评分项最多提供三个信用评定，按照排列顺序从首个评分项开始评审至对应数量，超出部分不进行评审。有效时间以物业行政主管部门颁发的证明文件时间为准。</w:t>
            </w:r>
          </w:p>
          <w:p w14:paraId="5DF3A4A6">
            <w:pPr>
              <w:pStyle w:val="66"/>
              <w:spacing w:line="360" w:lineRule="auto"/>
              <w:ind w:left="114" w:right="103" w:hanging="3"/>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③物业信用等级命名如有不同，性质类似均予以认可。最高等级的以甲级(类)计算，次高等级的按乙级 (类)计算；须提供官方等级认定材料。</w:t>
            </w:r>
          </w:p>
          <w:p w14:paraId="5B0D6298">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④此处行政主管部门包含行政主管部门及行政主管部门下设的物业管理处、物业监管处、物业管理中心等。</w:t>
            </w:r>
          </w:p>
        </w:tc>
      </w:tr>
    </w:tbl>
    <w:p w14:paraId="709D7602">
      <w:pPr>
        <w:ind w:left="2290"/>
        <w:rPr>
          <w:color w:val="auto"/>
          <w:highlight w:val="none"/>
        </w:rPr>
      </w:pPr>
    </w:p>
    <w:bookmarkEnd w:id="55"/>
    <w:bookmarkEnd w:id="56"/>
    <w:p w14:paraId="2575C4A6">
      <w:pPr>
        <w:pStyle w:val="7"/>
        <w:adjustRightInd w:val="0"/>
        <w:snapToGrid w:val="0"/>
        <w:spacing w:after="0" w:line="560" w:lineRule="exact"/>
        <w:ind w:left="0" w:leftChars="0" w:firstLine="0" w:firstLineChars="0"/>
        <w:jc w:val="center"/>
        <w:rPr>
          <w:rFonts w:hint="eastAsia"/>
          <w:b/>
          <w:color w:val="auto"/>
          <w:sz w:val="28"/>
          <w:szCs w:val="21"/>
          <w:highlight w:val="none"/>
          <w:lang w:val="en-US" w:eastAsia="zh-CN"/>
        </w:rPr>
      </w:pPr>
      <w:r>
        <w:rPr>
          <w:rFonts w:hint="eastAsia"/>
          <w:b/>
          <w:color w:val="auto"/>
          <w:sz w:val="28"/>
          <w:szCs w:val="21"/>
          <w:highlight w:val="none"/>
          <w:lang w:eastAsia="zh-CN"/>
        </w:rPr>
        <w:t>（</w:t>
      </w:r>
      <w:r>
        <w:rPr>
          <w:rFonts w:hint="eastAsia"/>
          <w:b/>
          <w:color w:val="auto"/>
          <w:sz w:val="28"/>
          <w:szCs w:val="21"/>
          <w:highlight w:val="none"/>
          <w:lang w:val="en-US" w:eastAsia="zh-CN"/>
        </w:rPr>
        <w:t>二</w:t>
      </w:r>
      <w:r>
        <w:rPr>
          <w:rFonts w:hint="eastAsia"/>
          <w:b/>
          <w:color w:val="auto"/>
          <w:sz w:val="28"/>
          <w:szCs w:val="21"/>
          <w:highlight w:val="none"/>
          <w:lang w:eastAsia="zh-CN"/>
        </w:rPr>
        <w:t>）</w:t>
      </w:r>
      <w:r>
        <w:rPr>
          <w:rFonts w:hint="eastAsia"/>
          <w:b/>
          <w:color w:val="auto"/>
          <w:sz w:val="28"/>
          <w:szCs w:val="21"/>
          <w:highlight w:val="none"/>
          <w:lang w:val="en-US" w:eastAsia="zh-CN"/>
        </w:rPr>
        <w:t>技术标评审（10分）</w:t>
      </w:r>
    </w:p>
    <w:p w14:paraId="7DBF91FE">
      <w:pPr>
        <w:rPr>
          <w:rFonts w:hint="default"/>
          <w:lang w:val="en-US" w:eastAsia="zh-CN"/>
        </w:rPr>
      </w:pPr>
    </w:p>
    <w:tbl>
      <w:tblPr>
        <w:tblStyle w:val="2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605D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5E2A4CD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3818C16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11EB997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750829A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88A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54C25CA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0CDADDA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Theme="minorEastAsia" w:hAnsiTheme="minorEastAsia" w:eastAsiaTheme="minorEastAsia"/>
                <w:color w:val="auto"/>
                <w:sz w:val="24"/>
                <w:highlight w:val="none"/>
              </w:rPr>
              <w:t>整体设想及策划</w:t>
            </w:r>
          </w:p>
        </w:tc>
        <w:tc>
          <w:tcPr>
            <w:tcW w:w="840" w:type="dxa"/>
            <w:shd w:val="clear" w:color="auto" w:fill="auto"/>
            <w:noWrap/>
            <w:vAlign w:val="center"/>
          </w:tcPr>
          <w:p w14:paraId="5ABABA96">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5分</w:t>
            </w:r>
          </w:p>
        </w:tc>
        <w:tc>
          <w:tcPr>
            <w:tcW w:w="7217" w:type="dxa"/>
            <w:shd w:val="clear" w:color="auto" w:fill="auto"/>
            <w:noWrap/>
            <w:vAlign w:val="center"/>
          </w:tcPr>
          <w:p w14:paraId="72A87746">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有关法规、政策、标准及本项目特点，拟提出整体设想及策划，包括但不限于管理措施，管理深度和广度的做法，超前性、创造性、全方位贴心服务的意识，创造优美舒适、安全文明、洁净环境的设想等内容。评标委员会根据供应商提供的以上内容评分：</w:t>
            </w:r>
          </w:p>
          <w:p w14:paraId="0B78DEE8">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①内容健全周密，完整详细，实施措施完善，得</w:t>
            </w:r>
            <w:r>
              <w:rPr>
                <w:rFonts w:hint="eastAsia" w:asciiTheme="minorEastAsia" w:hAnsi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p w14:paraId="612B8245">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②内容完整，有实施措施，符合实际需求，得</w:t>
            </w:r>
            <w:r>
              <w:rPr>
                <w:rFonts w:hint="eastAsia" w:asciiTheme="minorEastAsia" w:hAnsi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56AA63B6">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③内容简单，条理不清晰，存在不足的得</w:t>
            </w:r>
            <w:r>
              <w:rPr>
                <w:rFonts w:hint="eastAsia" w:asciiTheme="minorEastAsia" w:hAnsiTheme="minorEastAsia"/>
                <w:color w:val="auto"/>
                <w:sz w:val="24"/>
                <w:highlight w:val="none"/>
                <w:lang w:val="en-US" w:eastAsia="zh-CN"/>
              </w:rPr>
              <w:t>1</w:t>
            </w:r>
            <w:r>
              <w:rPr>
                <w:rFonts w:hint="eastAsia" w:asciiTheme="minorEastAsia" w:hAnsiTheme="minorEastAsia" w:eastAsiaTheme="minorEastAsia"/>
                <w:color w:val="auto"/>
                <w:sz w:val="24"/>
                <w:highlight w:val="none"/>
              </w:rPr>
              <w:t>分。</w:t>
            </w:r>
          </w:p>
          <w:p w14:paraId="64651F56">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default" w:ascii="宋体" w:hAnsi="宋体" w:eastAsia="宋体" w:cs="宋体"/>
                <w:color w:val="auto"/>
                <w:kern w:val="0"/>
                <w:sz w:val="21"/>
                <w:szCs w:val="21"/>
                <w:highlight w:val="none"/>
                <w:lang w:val="en-US" w:eastAsia="zh-CN" w:bidi="ar-SA"/>
              </w:rPr>
            </w:pPr>
            <w:r>
              <w:rPr>
                <w:rFonts w:hint="eastAsia" w:asciiTheme="minorEastAsia" w:hAnsiTheme="minorEastAsia" w:eastAsiaTheme="minorEastAsia"/>
                <w:color w:val="auto"/>
                <w:sz w:val="24"/>
                <w:highlight w:val="none"/>
              </w:rPr>
              <w:t>④未提供不得分。</w:t>
            </w:r>
          </w:p>
        </w:tc>
      </w:tr>
      <w:tr w14:paraId="37B2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5F9C6E0D">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8" w:type="dxa"/>
            <w:shd w:val="clear" w:color="auto" w:fill="auto"/>
            <w:noWrap/>
            <w:vAlign w:val="center"/>
          </w:tcPr>
          <w:p w14:paraId="6034566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kern w:val="0"/>
                <w:sz w:val="24"/>
                <w:szCs w:val="24"/>
                <w:highlight w:val="none"/>
                <w:lang w:bidi="ar"/>
              </w:rPr>
              <w:t>人员配备、培训及管理</w:t>
            </w:r>
          </w:p>
        </w:tc>
        <w:tc>
          <w:tcPr>
            <w:tcW w:w="840" w:type="dxa"/>
            <w:shd w:val="clear" w:color="auto" w:fill="auto"/>
            <w:noWrap/>
            <w:vAlign w:val="center"/>
          </w:tcPr>
          <w:p w14:paraId="0792311B">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5分</w:t>
            </w:r>
          </w:p>
        </w:tc>
        <w:tc>
          <w:tcPr>
            <w:tcW w:w="7217" w:type="dxa"/>
            <w:shd w:val="clear" w:color="auto" w:fill="auto"/>
            <w:noWrap/>
            <w:vAlign w:val="center"/>
          </w:tcPr>
          <w:p w14:paraId="24D8AA20">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项目特点提供整体的人员配备、培训方案，包括：人员培训：对各类人员的培训计划、方式、目标及行为规范的培训等；人员的管理：录用与考核、淘汰机制、奖罚、协调关系、服务意识、量化管理及标准运作等；管理规章制度：公众制度、企业内部岗位责任制、管理维护运作制度及标准、管理人员考核制度及标准等。由评标委员会根据投标文件以上内容进行评审：</w:t>
            </w:r>
          </w:p>
          <w:p w14:paraId="57BEAA0E">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①方案切合实际情况，各部分有深入的表述，解决方案合理、有具体切实可行的保障措施的得</w:t>
            </w:r>
            <w:r>
              <w:rPr>
                <w:rFonts w:hint="eastAsia" w:asciiTheme="minorEastAsia" w:hAnsi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p w14:paraId="6ED64E78">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②方案符合实际情况，内容完整、表述清晰，有保障措施，措施实施内容具体可行的得</w:t>
            </w:r>
            <w:r>
              <w:rPr>
                <w:rFonts w:hint="eastAsia" w:asciiTheme="minorEastAsia" w:hAnsi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28F239CD">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③方案满足项目要求但有矛盾点、可行性受影响，对各个环节的保障措施、解决方案等缺项或关键点缺失的得</w:t>
            </w:r>
            <w:r>
              <w:rPr>
                <w:rFonts w:hint="eastAsia" w:asciiTheme="minorEastAsia" w:hAnsiTheme="minorEastAsia"/>
                <w:color w:val="auto"/>
                <w:sz w:val="24"/>
                <w:highlight w:val="none"/>
                <w:lang w:val="en-US" w:eastAsia="zh-CN"/>
              </w:rPr>
              <w:t>1</w:t>
            </w:r>
            <w:r>
              <w:rPr>
                <w:rFonts w:hint="eastAsia" w:asciiTheme="minorEastAsia" w:hAnsiTheme="minorEastAsia" w:eastAsiaTheme="minorEastAsia"/>
                <w:color w:val="auto"/>
                <w:sz w:val="24"/>
                <w:highlight w:val="none"/>
              </w:rPr>
              <w:t>分；</w:t>
            </w:r>
          </w:p>
          <w:p w14:paraId="55ACE6D1">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jc w:val="left"/>
              <w:textAlignment w:val="baseline"/>
              <w:rPr>
                <w:rFonts w:hint="default" w:ascii="宋体" w:hAnsi="宋体" w:eastAsia="宋体" w:cs="宋体"/>
                <w:bCs/>
                <w:color w:val="auto"/>
                <w:sz w:val="21"/>
                <w:szCs w:val="21"/>
                <w:highlight w:val="none"/>
                <w:lang w:eastAsia="zh-CN"/>
              </w:rPr>
            </w:pPr>
            <w:r>
              <w:rPr>
                <w:rFonts w:hint="eastAsia" w:asciiTheme="minorEastAsia" w:hAnsiTheme="minorEastAsia" w:eastAsiaTheme="minorEastAsia"/>
                <w:color w:val="auto"/>
                <w:sz w:val="24"/>
                <w:highlight w:val="none"/>
              </w:rPr>
              <w:t>④未提供不得分。</w:t>
            </w:r>
          </w:p>
        </w:tc>
      </w:tr>
    </w:tbl>
    <w:p w14:paraId="1348562E">
      <w:pPr>
        <w:rPr>
          <w:rFonts w:hint="eastAsia" w:ascii="宋体" w:hAnsi="宋体" w:eastAsia="宋体" w:cs="宋体"/>
          <w:color w:val="auto"/>
          <w:highlight w:val="none"/>
        </w:rPr>
      </w:pPr>
      <w:r>
        <w:rPr>
          <w:rFonts w:hint="eastAsia" w:ascii="宋体" w:hAnsi="宋体" w:eastAsia="宋体" w:cs="宋体"/>
          <w:color w:val="auto"/>
          <w:highlight w:val="none"/>
        </w:rPr>
        <w:t>注：1、评审标委员会将根据技术标所有内容进行独立打分，各评审标委员会成员打分分值的算术平均值作为最终得分，得分保留两位小数点，第三位四舍五入。</w:t>
      </w:r>
    </w:p>
    <w:p w14:paraId="3B4FF052">
      <w:pPr>
        <w:rPr>
          <w:rFonts w:hint="default"/>
          <w:lang w:val="en-US" w:eastAsia="zh-CN"/>
        </w:rPr>
        <w:sectPr>
          <w:headerReference r:id="rId3" w:type="default"/>
          <w:footerReference r:id="rId4" w:type="default"/>
          <w:pgSz w:w="11906" w:h="16838"/>
          <w:pgMar w:top="1417" w:right="1361" w:bottom="1417" w:left="147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495E9558">
      <w:pPr>
        <w:pStyle w:val="7"/>
        <w:adjustRightInd w:val="0"/>
        <w:snapToGrid w:val="0"/>
        <w:spacing w:after="0" w:line="560" w:lineRule="exact"/>
        <w:ind w:left="0" w:leftChars="0" w:firstLine="0" w:firstLineChars="0"/>
        <w:jc w:val="center"/>
        <w:rPr>
          <w:rFonts w:hint="eastAsia"/>
          <w:b/>
          <w:color w:val="auto"/>
          <w:sz w:val="28"/>
          <w:szCs w:val="21"/>
          <w:highlight w:val="none"/>
        </w:rPr>
      </w:pPr>
      <w:r>
        <w:rPr>
          <w:rFonts w:hint="eastAsia"/>
          <w:b/>
          <w:color w:val="auto"/>
          <w:sz w:val="28"/>
          <w:szCs w:val="21"/>
          <w:highlight w:val="none"/>
        </w:rPr>
        <w:t>（</w:t>
      </w:r>
      <w:r>
        <w:rPr>
          <w:rFonts w:hint="eastAsia"/>
          <w:b/>
          <w:color w:val="auto"/>
          <w:sz w:val="28"/>
          <w:szCs w:val="21"/>
          <w:highlight w:val="none"/>
          <w:lang w:val="en-US" w:eastAsia="zh-CN"/>
        </w:rPr>
        <w:t>三</w:t>
      </w:r>
      <w:r>
        <w:rPr>
          <w:rFonts w:hint="eastAsia"/>
          <w:b/>
          <w:color w:val="auto"/>
          <w:sz w:val="28"/>
          <w:szCs w:val="21"/>
          <w:highlight w:val="none"/>
        </w:rPr>
        <w:t>）商务标评审</w:t>
      </w:r>
      <w:r>
        <w:rPr>
          <w:rFonts w:hint="eastAsia"/>
          <w:b/>
          <w:color w:val="auto"/>
          <w:sz w:val="28"/>
          <w:szCs w:val="21"/>
          <w:highlight w:val="none"/>
          <w:lang w:eastAsia="zh-CN"/>
        </w:rPr>
        <w:t>（</w:t>
      </w:r>
      <w:r>
        <w:rPr>
          <w:rFonts w:hint="eastAsia"/>
          <w:b/>
          <w:color w:val="auto"/>
          <w:sz w:val="28"/>
          <w:szCs w:val="21"/>
          <w:highlight w:val="none"/>
          <w:lang w:val="en-US" w:eastAsia="zh-CN"/>
        </w:rPr>
        <w:t>70分）</w:t>
      </w:r>
    </w:p>
    <w:tbl>
      <w:tblPr>
        <w:tblStyle w:val="25"/>
        <w:tblW w:w="10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85"/>
        <w:gridCol w:w="1665"/>
        <w:gridCol w:w="6870"/>
      </w:tblGrid>
      <w:tr w14:paraId="61D7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31" w:type="dxa"/>
            <w:noWrap w:val="0"/>
            <w:vAlign w:val="center"/>
          </w:tcPr>
          <w:p w14:paraId="3977139C">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序号</w:t>
            </w:r>
          </w:p>
        </w:tc>
        <w:tc>
          <w:tcPr>
            <w:tcW w:w="2450" w:type="dxa"/>
            <w:gridSpan w:val="2"/>
            <w:noWrap w:val="0"/>
            <w:vAlign w:val="center"/>
          </w:tcPr>
          <w:p w14:paraId="63F313A0">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审查因素</w:t>
            </w:r>
          </w:p>
        </w:tc>
        <w:tc>
          <w:tcPr>
            <w:tcW w:w="6870" w:type="dxa"/>
            <w:noWrap w:val="0"/>
            <w:vAlign w:val="center"/>
          </w:tcPr>
          <w:p w14:paraId="29D6B977">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审查内容</w:t>
            </w:r>
          </w:p>
        </w:tc>
      </w:tr>
      <w:tr w14:paraId="1F10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31" w:type="dxa"/>
            <w:vMerge w:val="restart"/>
            <w:noWrap w:val="0"/>
            <w:vAlign w:val="center"/>
          </w:tcPr>
          <w:p w14:paraId="1ABF8A1B">
            <w:pPr>
              <w:spacing w:line="320" w:lineRule="atLeast"/>
              <w:jc w:val="center"/>
              <w:rPr>
                <w:rFonts w:hint="eastAsia" w:ascii="宋体"/>
                <w:color w:val="auto"/>
                <w:szCs w:val="21"/>
                <w:highlight w:val="none"/>
              </w:rPr>
            </w:pPr>
            <w:r>
              <w:rPr>
                <w:rFonts w:hint="eastAsia" w:ascii="宋体"/>
                <w:color w:val="auto"/>
                <w:szCs w:val="21"/>
                <w:highlight w:val="none"/>
              </w:rPr>
              <w:t>1</w:t>
            </w:r>
          </w:p>
        </w:tc>
        <w:tc>
          <w:tcPr>
            <w:tcW w:w="785" w:type="dxa"/>
            <w:vMerge w:val="restart"/>
            <w:noWrap w:val="0"/>
            <w:vAlign w:val="center"/>
          </w:tcPr>
          <w:p w14:paraId="1952009C">
            <w:pPr>
              <w:spacing w:line="320" w:lineRule="atLeast"/>
              <w:jc w:val="center"/>
              <w:rPr>
                <w:rFonts w:hint="eastAsia" w:ascii="宋体" w:cs="仿宋_GB2312"/>
                <w:color w:val="auto"/>
                <w:szCs w:val="21"/>
                <w:highlight w:val="none"/>
                <w:lang w:val="zh-CN"/>
              </w:rPr>
            </w:pPr>
            <w:r>
              <w:rPr>
                <w:rFonts w:hint="eastAsia" w:ascii="宋体" w:hAnsi="宋体" w:cs="宋体"/>
                <w:color w:val="auto"/>
                <w:szCs w:val="21"/>
                <w:highlight w:val="none"/>
              </w:rPr>
              <w:t>形式评审标准</w:t>
            </w:r>
          </w:p>
        </w:tc>
        <w:tc>
          <w:tcPr>
            <w:tcW w:w="1665" w:type="dxa"/>
            <w:noWrap w:val="0"/>
            <w:vAlign w:val="center"/>
          </w:tcPr>
          <w:p w14:paraId="50126A10">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投标函签字盖章</w:t>
            </w:r>
          </w:p>
        </w:tc>
        <w:tc>
          <w:tcPr>
            <w:tcW w:w="6870" w:type="dxa"/>
            <w:noWrap w:val="0"/>
            <w:vAlign w:val="center"/>
          </w:tcPr>
          <w:p w14:paraId="1CE14F1C">
            <w:pPr>
              <w:adjustRightInd w:val="0"/>
              <w:snapToGrid w:val="0"/>
              <w:spacing w:line="560" w:lineRule="exact"/>
              <w:jc w:val="left"/>
              <w:rPr>
                <w:rFonts w:hint="eastAsia" w:ascii="宋体" w:cs="仿宋_GB2312"/>
                <w:color w:val="auto"/>
                <w:szCs w:val="21"/>
                <w:highlight w:val="none"/>
                <w:lang w:val="zh-CN"/>
              </w:rPr>
            </w:pPr>
            <w:r>
              <w:rPr>
                <w:rFonts w:hint="eastAsia" w:ascii="宋体" w:hAnsi="宋体" w:cs="宋体"/>
                <w:color w:val="auto"/>
                <w:szCs w:val="21"/>
                <w:highlight w:val="none"/>
              </w:rPr>
              <w:t>有投标人及其法定代表人签章。</w:t>
            </w:r>
          </w:p>
        </w:tc>
      </w:tr>
      <w:tr w14:paraId="541D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731" w:type="dxa"/>
            <w:vMerge w:val="continue"/>
            <w:noWrap w:val="0"/>
            <w:vAlign w:val="center"/>
          </w:tcPr>
          <w:p w14:paraId="64A73E8A">
            <w:pPr>
              <w:spacing w:line="320" w:lineRule="atLeast"/>
              <w:rPr>
                <w:color w:val="auto"/>
                <w:highlight w:val="none"/>
              </w:rPr>
            </w:pPr>
          </w:p>
        </w:tc>
        <w:tc>
          <w:tcPr>
            <w:tcW w:w="785" w:type="dxa"/>
            <w:vMerge w:val="continue"/>
            <w:noWrap w:val="0"/>
            <w:vAlign w:val="center"/>
          </w:tcPr>
          <w:p w14:paraId="75F3A208">
            <w:pPr>
              <w:spacing w:line="320" w:lineRule="atLeast"/>
              <w:rPr>
                <w:color w:val="auto"/>
                <w:highlight w:val="none"/>
              </w:rPr>
            </w:pPr>
          </w:p>
        </w:tc>
        <w:tc>
          <w:tcPr>
            <w:tcW w:w="1665" w:type="dxa"/>
            <w:noWrap w:val="0"/>
            <w:vAlign w:val="center"/>
          </w:tcPr>
          <w:p w14:paraId="1A5AC64E">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投标文件格式</w:t>
            </w:r>
          </w:p>
        </w:tc>
        <w:tc>
          <w:tcPr>
            <w:tcW w:w="6870" w:type="dxa"/>
            <w:noWrap w:val="0"/>
            <w:vAlign w:val="center"/>
          </w:tcPr>
          <w:p w14:paraId="396356FA">
            <w:pPr>
              <w:adjustRightInd w:val="0"/>
              <w:snapToGrid w:val="0"/>
              <w:spacing w:line="560" w:lineRule="exact"/>
              <w:jc w:val="left"/>
              <w:rPr>
                <w:rFonts w:hint="eastAsia" w:ascii="宋体" w:cs="宋体"/>
                <w:color w:val="auto"/>
                <w:szCs w:val="21"/>
                <w:highlight w:val="none"/>
              </w:rPr>
            </w:pPr>
            <w:r>
              <w:rPr>
                <w:rFonts w:hint="eastAsia" w:ascii="宋体" w:hAnsi="宋体" w:cs="宋体"/>
                <w:color w:val="auto"/>
                <w:szCs w:val="21"/>
                <w:highlight w:val="none"/>
              </w:rPr>
              <w:t>符合第七章“投标文件格式”的要求。</w:t>
            </w:r>
          </w:p>
        </w:tc>
      </w:tr>
      <w:tr w14:paraId="32D1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731" w:type="dxa"/>
            <w:vMerge w:val="continue"/>
            <w:noWrap w:val="0"/>
            <w:vAlign w:val="center"/>
          </w:tcPr>
          <w:p w14:paraId="3F2A88DF">
            <w:pPr>
              <w:spacing w:line="320" w:lineRule="atLeast"/>
              <w:rPr>
                <w:color w:val="auto"/>
                <w:highlight w:val="none"/>
              </w:rPr>
            </w:pPr>
          </w:p>
        </w:tc>
        <w:tc>
          <w:tcPr>
            <w:tcW w:w="785" w:type="dxa"/>
            <w:vMerge w:val="continue"/>
            <w:noWrap w:val="0"/>
            <w:vAlign w:val="center"/>
          </w:tcPr>
          <w:p w14:paraId="79A5AF2E">
            <w:pPr>
              <w:spacing w:line="320" w:lineRule="atLeast"/>
              <w:rPr>
                <w:color w:val="auto"/>
                <w:highlight w:val="none"/>
              </w:rPr>
            </w:pPr>
          </w:p>
        </w:tc>
        <w:tc>
          <w:tcPr>
            <w:tcW w:w="1665" w:type="dxa"/>
            <w:noWrap w:val="0"/>
            <w:vAlign w:val="center"/>
          </w:tcPr>
          <w:p w14:paraId="632241E3">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商务标签字盖章</w:t>
            </w:r>
          </w:p>
        </w:tc>
        <w:tc>
          <w:tcPr>
            <w:tcW w:w="6870" w:type="dxa"/>
            <w:noWrap w:val="0"/>
            <w:vAlign w:val="center"/>
          </w:tcPr>
          <w:p w14:paraId="6E60DFBC">
            <w:pPr>
              <w:adjustRightInd w:val="0"/>
              <w:snapToGrid w:val="0"/>
              <w:spacing w:line="560" w:lineRule="exact"/>
              <w:jc w:val="left"/>
              <w:rPr>
                <w:rFonts w:hint="eastAsia" w:ascii="宋体" w:cs="宋体"/>
                <w:color w:val="auto"/>
                <w:szCs w:val="21"/>
                <w:highlight w:val="none"/>
              </w:rPr>
            </w:pPr>
            <w:r>
              <w:rPr>
                <w:rFonts w:hint="eastAsia" w:ascii="宋体" w:hAnsi="宋体" w:cs="宋体"/>
                <w:color w:val="auto"/>
                <w:szCs w:val="21"/>
                <w:highlight w:val="none"/>
              </w:rPr>
              <w:t>按投标文件格式要求签章。</w:t>
            </w:r>
          </w:p>
        </w:tc>
      </w:tr>
      <w:tr w14:paraId="0254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31" w:type="dxa"/>
            <w:vMerge w:val="continue"/>
            <w:noWrap w:val="0"/>
            <w:vAlign w:val="center"/>
          </w:tcPr>
          <w:p w14:paraId="3A970CF4">
            <w:pPr>
              <w:spacing w:line="320" w:lineRule="atLeast"/>
              <w:rPr>
                <w:color w:val="auto"/>
                <w:highlight w:val="none"/>
              </w:rPr>
            </w:pPr>
          </w:p>
        </w:tc>
        <w:tc>
          <w:tcPr>
            <w:tcW w:w="785" w:type="dxa"/>
            <w:vMerge w:val="continue"/>
            <w:noWrap w:val="0"/>
            <w:vAlign w:val="center"/>
          </w:tcPr>
          <w:p w14:paraId="4BD40365">
            <w:pPr>
              <w:spacing w:line="320" w:lineRule="atLeast"/>
              <w:rPr>
                <w:color w:val="auto"/>
                <w:highlight w:val="none"/>
              </w:rPr>
            </w:pPr>
          </w:p>
        </w:tc>
        <w:tc>
          <w:tcPr>
            <w:tcW w:w="1665" w:type="dxa"/>
            <w:noWrap w:val="0"/>
            <w:vAlign w:val="center"/>
          </w:tcPr>
          <w:p w14:paraId="7D57DEB1">
            <w:pPr>
              <w:adjustRightInd w:val="0"/>
              <w:snapToGrid w:val="0"/>
              <w:spacing w:line="560" w:lineRule="exact"/>
              <w:rPr>
                <w:rFonts w:hint="eastAsia" w:ascii="宋体"/>
                <w:color w:val="auto"/>
                <w:szCs w:val="21"/>
                <w:highlight w:val="none"/>
              </w:rPr>
            </w:pPr>
            <w:r>
              <w:rPr>
                <w:rFonts w:hint="eastAsia" w:ascii="宋体" w:hAnsi="宋体" w:cs="宋体"/>
                <w:color w:val="auto"/>
                <w:szCs w:val="21"/>
                <w:highlight w:val="none"/>
              </w:rPr>
              <w:t>报价唯一</w:t>
            </w:r>
          </w:p>
        </w:tc>
        <w:tc>
          <w:tcPr>
            <w:tcW w:w="6870" w:type="dxa"/>
            <w:noWrap w:val="0"/>
            <w:vAlign w:val="center"/>
          </w:tcPr>
          <w:p w14:paraId="01FEC4FC">
            <w:pPr>
              <w:adjustRightInd w:val="0"/>
              <w:snapToGrid w:val="0"/>
              <w:spacing w:line="560" w:lineRule="exact"/>
              <w:jc w:val="left"/>
              <w:rPr>
                <w:rFonts w:hint="eastAsia" w:ascii="宋体" w:cs="仿宋_GB2312"/>
                <w:color w:val="auto"/>
                <w:szCs w:val="21"/>
                <w:highlight w:val="none"/>
                <w:lang w:val="zh-CN"/>
              </w:rPr>
            </w:pPr>
            <w:r>
              <w:rPr>
                <w:rFonts w:hint="eastAsia" w:ascii="宋体" w:hAnsi="宋体" w:cs="宋体"/>
                <w:color w:val="auto"/>
                <w:szCs w:val="21"/>
                <w:highlight w:val="none"/>
              </w:rPr>
              <w:t>只能有一个报价。</w:t>
            </w:r>
          </w:p>
        </w:tc>
      </w:tr>
      <w:tr w14:paraId="0D82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731" w:type="dxa"/>
            <w:vMerge w:val="restart"/>
            <w:noWrap w:val="0"/>
            <w:vAlign w:val="center"/>
          </w:tcPr>
          <w:p w14:paraId="4C765CBA">
            <w:pPr>
              <w:spacing w:line="320" w:lineRule="atLeast"/>
              <w:jc w:val="center"/>
              <w:rPr>
                <w:rFonts w:hint="eastAsia" w:ascii="宋体"/>
                <w:color w:val="auto"/>
                <w:szCs w:val="21"/>
                <w:highlight w:val="none"/>
              </w:rPr>
            </w:pPr>
            <w:r>
              <w:rPr>
                <w:rFonts w:hint="eastAsia" w:ascii="宋体"/>
                <w:color w:val="auto"/>
                <w:szCs w:val="21"/>
                <w:highlight w:val="none"/>
              </w:rPr>
              <w:t>2</w:t>
            </w:r>
          </w:p>
        </w:tc>
        <w:tc>
          <w:tcPr>
            <w:tcW w:w="785" w:type="dxa"/>
            <w:vMerge w:val="restart"/>
            <w:noWrap w:val="0"/>
            <w:vAlign w:val="center"/>
          </w:tcPr>
          <w:p w14:paraId="64C52B71">
            <w:pPr>
              <w:adjustRightInd w:val="0"/>
              <w:snapToGrid w:val="0"/>
              <w:spacing w:line="560" w:lineRule="exact"/>
              <w:jc w:val="center"/>
              <w:rPr>
                <w:rFonts w:hint="eastAsia" w:ascii="宋体" w:cs="仿宋_GB2312"/>
                <w:color w:val="auto"/>
                <w:szCs w:val="21"/>
                <w:highlight w:val="none"/>
                <w:lang w:val="zh-CN"/>
              </w:rPr>
            </w:pPr>
            <w:r>
              <w:rPr>
                <w:rFonts w:hint="eastAsia" w:ascii="宋体" w:hAnsi="宋体" w:cs="宋体"/>
                <w:color w:val="auto"/>
                <w:szCs w:val="21"/>
                <w:highlight w:val="none"/>
              </w:rPr>
              <w:t>响应性评审标准</w:t>
            </w:r>
          </w:p>
        </w:tc>
        <w:tc>
          <w:tcPr>
            <w:tcW w:w="1665" w:type="dxa"/>
            <w:noWrap w:val="0"/>
            <w:vAlign w:val="center"/>
          </w:tcPr>
          <w:p w14:paraId="781F2622">
            <w:pPr>
              <w:adjustRightInd w:val="0"/>
              <w:snapToGrid w:val="0"/>
              <w:spacing w:line="560" w:lineRule="exact"/>
              <w:jc w:val="left"/>
              <w:rPr>
                <w:rFonts w:hint="eastAsia" w:asci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期限</w:t>
            </w:r>
          </w:p>
        </w:tc>
        <w:tc>
          <w:tcPr>
            <w:tcW w:w="6870" w:type="dxa"/>
            <w:noWrap w:val="0"/>
            <w:vAlign w:val="center"/>
          </w:tcPr>
          <w:p w14:paraId="6F1AA096">
            <w:pPr>
              <w:adjustRightInd w:val="0"/>
              <w:snapToGrid w:val="0"/>
              <w:spacing w:line="560" w:lineRule="exact"/>
              <w:rPr>
                <w:rFonts w:hint="eastAsia" w:ascii="宋体" w:cs="宋体"/>
                <w:color w:val="auto"/>
                <w:szCs w:val="21"/>
                <w:highlight w:val="none"/>
              </w:rPr>
            </w:pPr>
            <w:r>
              <w:rPr>
                <w:rFonts w:hint="eastAsia" w:ascii="宋体" w:hAnsi="宋体" w:cs="宋体"/>
                <w:color w:val="auto"/>
                <w:szCs w:val="21"/>
                <w:highlight w:val="none"/>
              </w:rPr>
              <w:t>符合投标须知前附表规定。</w:t>
            </w:r>
          </w:p>
        </w:tc>
      </w:tr>
      <w:tr w14:paraId="7A45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31" w:type="dxa"/>
            <w:vMerge w:val="continue"/>
            <w:noWrap w:val="0"/>
            <w:vAlign w:val="center"/>
          </w:tcPr>
          <w:p w14:paraId="184892BD">
            <w:pPr>
              <w:spacing w:line="320" w:lineRule="atLeast"/>
              <w:rPr>
                <w:color w:val="auto"/>
                <w:highlight w:val="none"/>
              </w:rPr>
            </w:pPr>
          </w:p>
        </w:tc>
        <w:tc>
          <w:tcPr>
            <w:tcW w:w="785" w:type="dxa"/>
            <w:vMerge w:val="continue"/>
            <w:noWrap w:val="0"/>
            <w:vAlign w:val="center"/>
          </w:tcPr>
          <w:p w14:paraId="36637CCB">
            <w:pPr>
              <w:spacing w:line="320" w:lineRule="atLeast"/>
              <w:rPr>
                <w:color w:val="auto"/>
                <w:highlight w:val="none"/>
              </w:rPr>
            </w:pPr>
          </w:p>
        </w:tc>
        <w:tc>
          <w:tcPr>
            <w:tcW w:w="1665" w:type="dxa"/>
            <w:noWrap w:val="0"/>
            <w:vAlign w:val="center"/>
          </w:tcPr>
          <w:p w14:paraId="36B63CA6">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投标有效期</w:t>
            </w:r>
          </w:p>
        </w:tc>
        <w:tc>
          <w:tcPr>
            <w:tcW w:w="6870" w:type="dxa"/>
            <w:noWrap w:val="0"/>
            <w:vAlign w:val="center"/>
          </w:tcPr>
          <w:p w14:paraId="72C68692">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符合投标须知前附表规定。</w:t>
            </w:r>
          </w:p>
        </w:tc>
      </w:tr>
      <w:tr w14:paraId="03CE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31" w:type="dxa"/>
            <w:vMerge w:val="continue"/>
            <w:noWrap w:val="0"/>
            <w:vAlign w:val="center"/>
          </w:tcPr>
          <w:p w14:paraId="5EDDA9FB">
            <w:pPr>
              <w:spacing w:line="320" w:lineRule="atLeast"/>
              <w:rPr>
                <w:color w:val="auto"/>
                <w:highlight w:val="none"/>
              </w:rPr>
            </w:pPr>
          </w:p>
        </w:tc>
        <w:tc>
          <w:tcPr>
            <w:tcW w:w="785" w:type="dxa"/>
            <w:vMerge w:val="continue"/>
            <w:noWrap w:val="0"/>
            <w:vAlign w:val="center"/>
          </w:tcPr>
          <w:p w14:paraId="0249D354">
            <w:pPr>
              <w:spacing w:line="320" w:lineRule="atLeast"/>
              <w:rPr>
                <w:color w:val="auto"/>
                <w:highlight w:val="none"/>
              </w:rPr>
            </w:pPr>
          </w:p>
        </w:tc>
        <w:tc>
          <w:tcPr>
            <w:tcW w:w="1665" w:type="dxa"/>
            <w:noWrap w:val="0"/>
            <w:vAlign w:val="center"/>
          </w:tcPr>
          <w:p w14:paraId="01C4C5BA">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投标报价评审</w:t>
            </w:r>
          </w:p>
        </w:tc>
        <w:tc>
          <w:tcPr>
            <w:tcW w:w="6870" w:type="dxa"/>
            <w:noWrap w:val="0"/>
            <w:vAlign w:val="center"/>
          </w:tcPr>
          <w:p w14:paraId="0CFC9EA4">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pacing w:val="-6"/>
                <w:szCs w:val="21"/>
                <w:highlight w:val="none"/>
              </w:rPr>
              <w:t>不得高于最高投标限价。</w:t>
            </w:r>
          </w:p>
        </w:tc>
      </w:tr>
      <w:tr w14:paraId="7770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731" w:type="dxa"/>
            <w:noWrap w:val="0"/>
            <w:vAlign w:val="center"/>
          </w:tcPr>
          <w:p w14:paraId="770B1645">
            <w:pPr>
              <w:adjustRightInd w:val="0"/>
              <w:snapToGrid w:val="0"/>
              <w:spacing w:line="560" w:lineRule="exact"/>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3</w:t>
            </w:r>
          </w:p>
        </w:tc>
        <w:tc>
          <w:tcPr>
            <w:tcW w:w="2450" w:type="dxa"/>
            <w:gridSpan w:val="2"/>
            <w:noWrap w:val="0"/>
            <w:vAlign w:val="center"/>
          </w:tcPr>
          <w:p w14:paraId="11E1FFD1">
            <w:pPr>
              <w:adjustRightInd w:val="0"/>
              <w:snapToGrid w:val="0"/>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r>
              <w:rPr>
                <w:rFonts w:hint="eastAsia" w:ascii="宋体" w:hAnsi="宋体" w:eastAsia="宋体" w:cs="宋体"/>
                <w:color w:val="auto"/>
                <w:szCs w:val="21"/>
                <w:highlight w:val="none"/>
                <w:lang w:val="en-US" w:eastAsia="zh-CN"/>
              </w:rPr>
              <w:t>70</w:t>
            </w:r>
            <w:r>
              <w:rPr>
                <w:rFonts w:hint="eastAsia" w:ascii="宋体" w:hAnsi="宋体" w:eastAsia="宋体" w:cs="宋体"/>
                <w:color w:val="auto"/>
                <w:szCs w:val="21"/>
                <w:highlight w:val="none"/>
              </w:rPr>
              <w:t>分）</w:t>
            </w:r>
          </w:p>
        </w:tc>
        <w:tc>
          <w:tcPr>
            <w:tcW w:w="6870" w:type="dxa"/>
            <w:noWrap w:val="0"/>
            <w:vAlign w:val="center"/>
          </w:tcPr>
          <w:p w14:paraId="11530456">
            <w:pPr>
              <w:keepNext w:val="0"/>
              <w:keepLines w:val="0"/>
              <w:pageBreakBefore w:val="0"/>
              <w:widowControl w:val="0"/>
              <w:tabs>
                <w:tab w:val="left" w:pos="1080"/>
              </w:tabs>
              <w:kinsoku/>
              <w:wordWrap/>
              <w:overflowPunct/>
              <w:topLinePunct w:val="0"/>
              <w:autoSpaceDE/>
              <w:autoSpaceDN/>
              <w:bidi w:val="0"/>
              <w:spacing w:line="400" w:lineRule="exact"/>
              <w:ind w:right="105"/>
              <w:textAlignment w:val="auto"/>
              <w:rPr>
                <w:color w:val="auto"/>
                <w:highlight w:val="none"/>
              </w:rPr>
            </w:pPr>
            <w:r>
              <w:rPr>
                <w:rFonts w:hint="eastAsia" w:ascii="宋体" w:hAnsi="宋体" w:eastAsia="宋体" w:cs="宋体"/>
                <w:color w:val="auto"/>
                <w:kern w:val="2"/>
                <w:sz w:val="21"/>
                <w:szCs w:val="21"/>
                <w:highlight w:val="none"/>
                <w:u w:val="none" w:color="000000"/>
                <w:lang w:val="en-US" w:eastAsia="zh-CN" w:bidi="ar-SA"/>
              </w:rPr>
              <w:t>本项目投标最高限价：57400元/月；投标报价高于（不含等于）最高限价的，按无效投标处理。</w:t>
            </w:r>
          </w:p>
          <w:p w14:paraId="03275266">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eastAsia="宋体" w:cs="Times New Roman"/>
                <w:color w:val="auto"/>
                <w:highlight w:val="none"/>
              </w:rPr>
            </w:pPr>
            <w:r>
              <w:rPr>
                <w:rFonts w:hint="eastAsia"/>
                <w:color w:val="auto"/>
                <w:highlight w:val="none"/>
                <w:lang w:val="en-US" w:eastAsia="zh-CN"/>
              </w:rPr>
              <w:t>1.</w:t>
            </w:r>
            <w:r>
              <w:rPr>
                <w:rFonts w:hint="eastAsia" w:ascii="Times New Roman" w:hAnsi="Times New Roman" w:eastAsia="宋体" w:cs="Times New Roman"/>
                <w:color w:val="auto"/>
                <w:highlight w:val="none"/>
              </w:rPr>
              <w:t>评标基准价=所有有效投标人的最低报价；其得分为满分</w:t>
            </w:r>
            <w:r>
              <w:rPr>
                <w:rFonts w:hint="eastAsia" w:ascii="Times New Roman" w:hAnsi="Times New Roman" w:eastAsia="宋体" w:cs="Times New Roman"/>
                <w:color w:val="auto"/>
                <w:highlight w:val="none"/>
                <w:lang w:val="en-US" w:eastAsia="zh-CN"/>
              </w:rPr>
              <w:t>70</w:t>
            </w:r>
            <w:r>
              <w:rPr>
                <w:rFonts w:hint="eastAsia" w:ascii="Times New Roman" w:hAnsi="Times New Roman" w:eastAsia="宋体" w:cs="Times New Roman"/>
                <w:color w:val="auto"/>
                <w:highlight w:val="none"/>
              </w:rPr>
              <w:t>分；</w:t>
            </w:r>
          </w:p>
          <w:p w14:paraId="1E9873AC">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其他</w:t>
            </w:r>
            <w:r>
              <w:rPr>
                <w:rFonts w:hint="eastAsia" w:ascii="Times New Roman" w:hAnsi="Times New Roman" w:eastAsia="宋体" w:cs="Times New Roman"/>
                <w:color w:val="auto"/>
                <w:highlight w:val="none"/>
              </w:rPr>
              <w:t>报价得分=评标基准价/投标报价×</w:t>
            </w:r>
            <w:r>
              <w:rPr>
                <w:rFonts w:hint="eastAsia" w:ascii="Times New Roman" w:hAnsi="Times New Roman" w:eastAsia="宋体" w:cs="Times New Roman"/>
                <w:color w:val="auto"/>
                <w:highlight w:val="none"/>
                <w:lang w:val="en-US" w:eastAsia="zh-CN"/>
              </w:rPr>
              <w:t>70</w:t>
            </w:r>
            <w:r>
              <w:rPr>
                <w:rFonts w:hint="eastAsia" w:ascii="Times New Roman" w:hAnsi="Times New Roman" w:eastAsia="宋体" w:cs="Times New Roman"/>
                <w:color w:val="auto"/>
                <w:highlight w:val="none"/>
              </w:rPr>
              <w:t>分，小数点后保留两位小数，第三位四舍五入</w:t>
            </w:r>
            <w:r>
              <w:rPr>
                <w:rFonts w:hint="eastAsia" w:ascii="Times New Roman" w:hAnsi="Times New Roman" w:eastAsia="宋体" w:cs="Times New Roman"/>
                <w:color w:val="auto"/>
                <w:highlight w:val="none"/>
                <w:lang w:val="en-US" w:eastAsia="zh-CN"/>
              </w:rPr>
              <w:t>；</w:t>
            </w:r>
          </w:p>
          <w:p w14:paraId="27BDB68A">
            <w:pPr>
              <w:keepNext w:val="0"/>
              <w:keepLines w:val="0"/>
              <w:pageBreakBefore w:val="0"/>
              <w:widowControl w:val="0"/>
              <w:kinsoku/>
              <w:wordWrap/>
              <w:overflowPunct/>
              <w:topLinePunct w:val="0"/>
              <w:autoSpaceDE/>
              <w:autoSpaceDN/>
              <w:bidi w:val="0"/>
              <w:spacing w:line="400" w:lineRule="exact"/>
              <w:textAlignment w:val="auto"/>
              <w:rPr>
                <w:rFonts w:hint="eastAsia"/>
                <w:color w:val="auto"/>
                <w:highlight w:val="none"/>
              </w:rPr>
            </w:pPr>
            <w:r>
              <w:rPr>
                <w:rFonts w:hint="eastAsia" w:ascii="Times New Roman" w:hAnsi="Times New Roman" w:eastAsia="宋体" w:cs="Times New Roman"/>
                <w:color w:val="auto"/>
                <w:highlight w:val="none"/>
                <w:lang w:val="en-US" w:eastAsia="zh-CN"/>
              </w:rPr>
              <w:t>3.本项分值由评标委员会负责组织计算。</w:t>
            </w:r>
          </w:p>
        </w:tc>
      </w:tr>
    </w:tbl>
    <w:p w14:paraId="1E8B7A7D">
      <w:pPr>
        <w:spacing w:line="440" w:lineRule="exact"/>
        <w:ind w:firstLine="422" w:firstLineChars="200"/>
        <w:rPr>
          <w:rFonts w:ascii="黑体" w:hAnsi="黑体" w:eastAsia="黑体" w:cs="黑体"/>
          <w:b/>
          <w:color w:val="auto"/>
          <w:szCs w:val="21"/>
          <w:highlight w:val="none"/>
        </w:rPr>
      </w:pPr>
      <w:r>
        <w:rPr>
          <w:rFonts w:hint="eastAsia" w:ascii="黑体" w:hAnsi="黑体" w:eastAsia="黑体" w:cs="黑体"/>
          <w:b/>
          <w:color w:val="auto"/>
          <w:szCs w:val="21"/>
          <w:highlight w:val="none"/>
        </w:rPr>
        <w:t>商务标评审表注：</w:t>
      </w:r>
    </w:p>
    <w:p w14:paraId="4AE04283">
      <w:pPr>
        <w:spacing w:line="440" w:lineRule="exact"/>
        <w:ind w:firstLine="420" w:firstLineChars="200"/>
        <w:rPr>
          <w:rFonts w:ascii="宋体" w:hAnsi="宋体" w:cs="宋体"/>
          <w:color w:val="auto"/>
          <w:szCs w:val="21"/>
          <w:highlight w:val="none"/>
        </w:rPr>
      </w:pPr>
      <w:bookmarkStart w:id="58" w:name="_Toc15058913"/>
      <w:bookmarkStart w:id="59" w:name="_Toc324404872"/>
      <w:bookmarkStart w:id="60" w:name="_Toc179632607"/>
      <w:bookmarkStart w:id="61" w:name="_Toc152045589"/>
      <w:bookmarkStart w:id="62" w:name="_Toc5943"/>
      <w:bookmarkStart w:id="63" w:name="_Toc144974556"/>
      <w:bookmarkStart w:id="64" w:name="_Toc506107324"/>
      <w:bookmarkStart w:id="65" w:name="_Toc9220"/>
      <w:bookmarkStart w:id="66" w:name="_Toc152042366"/>
      <w:bookmarkStart w:id="67" w:name="_Toc246996232"/>
      <w:bookmarkStart w:id="68" w:name="_Toc246996975"/>
      <w:bookmarkStart w:id="69" w:name="_Toc247085747"/>
      <w:r>
        <w:rPr>
          <w:rFonts w:hint="eastAsia" w:ascii="宋体" w:hAnsi="宋体" w:cs="宋体"/>
          <w:color w:val="auto"/>
          <w:szCs w:val="21"/>
          <w:highlight w:val="none"/>
        </w:rPr>
        <w:t>（1）投标人总报价如超过最高投标限价，</w:t>
      </w:r>
      <w:r>
        <w:rPr>
          <w:rFonts w:hint="eastAsia" w:ascii="宋体" w:hAnsi="宋体" w:cs="宋体"/>
          <w:b/>
          <w:bCs/>
          <w:color w:val="auto"/>
          <w:kern w:val="0"/>
          <w:szCs w:val="21"/>
          <w:highlight w:val="none"/>
        </w:rPr>
        <w:t>否则商务标按无效标处理</w:t>
      </w:r>
      <w:r>
        <w:rPr>
          <w:rFonts w:hint="eastAsia" w:ascii="宋体" w:hAnsi="宋体" w:cs="宋体"/>
          <w:color w:val="auto"/>
          <w:szCs w:val="21"/>
          <w:highlight w:val="none"/>
        </w:rPr>
        <w:t xml:space="preserve">。 </w:t>
      </w:r>
    </w:p>
    <w:p w14:paraId="0BE7618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（2）只有通过详细评审的有效投标人才能参加商务报价评分。</w:t>
      </w:r>
    </w:p>
    <w:p w14:paraId="19F501A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（3）本表所称投标报价是指按招标文件规定修正后的投标总报价（多算投标报价、多报费用不扣减）。</w:t>
      </w:r>
    </w:p>
    <w:p w14:paraId="74925501">
      <w:pPr>
        <w:pStyle w:val="2"/>
        <w:spacing w:beforeAutospacing="0" w:afterAutospacing="0" w:line="240" w:lineRule="auto"/>
        <w:ind w:left="0" w:firstLine="0"/>
        <w:rPr>
          <w:rFonts w:ascii="宋体"/>
          <w:b/>
          <w:color w:val="auto"/>
          <w:kern w:val="2"/>
          <w:sz w:val="21"/>
          <w:szCs w:val="21"/>
          <w:highlight w:val="none"/>
        </w:rPr>
      </w:pPr>
      <w:bookmarkStart w:id="70" w:name="_Toc8340"/>
      <w:bookmarkStart w:id="71" w:name="_Toc3202"/>
      <w:r>
        <w:rPr>
          <w:rFonts w:hint="eastAsia" w:ascii="宋体"/>
          <w:b/>
          <w:color w:val="auto"/>
          <w:kern w:val="2"/>
          <w:sz w:val="21"/>
          <w:szCs w:val="21"/>
          <w:highlight w:val="none"/>
        </w:rPr>
        <w:t>1. 评标方法</w:t>
      </w:r>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9E09AFD">
      <w:pPr>
        <w:spacing w:line="440" w:lineRule="exact"/>
        <w:ind w:firstLine="420" w:firstLineChars="200"/>
        <w:rPr>
          <w:rFonts w:ascii="宋体" w:hAnsi="宋体" w:cs="宋体"/>
          <w:color w:val="auto"/>
          <w:szCs w:val="21"/>
          <w:highlight w:val="none"/>
        </w:rPr>
      </w:pPr>
      <w:bookmarkStart w:id="72" w:name="_Toc324404873"/>
      <w:r>
        <w:rPr>
          <w:rFonts w:hint="eastAsia" w:ascii="宋体" w:hAnsi="宋体" w:cs="宋体"/>
          <w:color w:val="auto"/>
          <w:szCs w:val="21"/>
          <w:highlight w:val="none"/>
        </w:rPr>
        <w:t>本次评标采用综合评估法。评标委员会对投标人依次进行资信、商务文件审查，合计的总得分按照从高到低进行排序，总得分第一的投标人为第一中标候选人，依次推荐3名中标候选人。如总得分相等，以投标报价低的优先；投标报价仍相等，由招标人随机抽取确定排名。</w:t>
      </w:r>
    </w:p>
    <w:p w14:paraId="356485C1">
      <w:pPr>
        <w:pStyle w:val="2"/>
        <w:spacing w:beforeAutospacing="0" w:afterAutospacing="0" w:line="240" w:lineRule="auto"/>
        <w:ind w:left="0" w:firstLine="0"/>
        <w:rPr>
          <w:rFonts w:ascii="宋体"/>
          <w:b/>
          <w:color w:val="auto"/>
          <w:kern w:val="2"/>
          <w:sz w:val="21"/>
          <w:szCs w:val="21"/>
          <w:highlight w:val="none"/>
        </w:rPr>
      </w:pPr>
      <w:bookmarkStart w:id="73" w:name="_Toc22886"/>
      <w:bookmarkStart w:id="74" w:name="_Toc12953"/>
      <w:bookmarkStart w:id="75" w:name="_Toc11291"/>
      <w:bookmarkStart w:id="76" w:name="_Toc15058914"/>
      <w:bookmarkStart w:id="77" w:name="_Toc506107325"/>
      <w:bookmarkStart w:id="78" w:name="_Toc18578"/>
      <w:r>
        <w:rPr>
          <w:rFonts w:hint="eastAsia" w:ascii="宋体"/>
          <w:b/>
          <w:color w:val="auto"/>
          <w:kern w:val="2"/>
          <w:sz w:val="21"/>
          <w:szCs w:val="21"/>
          <w:highlight w:val="none"/>
        </w:rPr>
        <w:t>2.评标委员会的职责</w:t>
      </w:r>
      <w:bookmarkEnd w:id="72"/>
      <w:bookmarkEnd w:id="73"/>
      <w:bookmarkEnd w:id="74"/>
      <w:bookmarkEnd w:id="75"/>
      <w:bookmarkEnd w:id="76"/>
      <w:bookmarkEnd w:id="77"/>
      <w:bookmarkEnd w:id="78"/>
    </w:p>
    <w:p w14:paraId="4AFAC728">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3名中标候选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CC1360A">
      <w:pPr>
        <w:spacing w:line="440" w:lineRule="exact"/>
        <w:ind w:firstLine="315" w:firstLineChars="150"/>
        <w:jc w:val="left"/>
        <w:rPr>
          <w:rFonts w:ascii="Times New Roman" w:hAnsi="Times New Roman" w:eastAsia="宋体" w:cs="Times New Roman"/>
          <w:color w:val="auto"/>
          <w:highlight w:val="none"/>
        </w:rPr>
      </w:pPr>
      <w:r>
        <w:rPr>
          <w:rFonts w:hint="eastAsia" w:ascii="宋体" w:hAnsi="宋体" w:cs="宋体"/>
          <w:color w:val="auto"/>
          <w:szCs w:val="21"/>
          <w:highlight w:val="none"/>
        </w:rPr>
        <w:t>评标委员会应加强对报价合理性审查。评标评审委员会认为投标人的报价明显低于其他通过符合性审查投标人的报价，有可能影响项目质量或者不能诚信履约的，应当要求其在评标现场合理的时间内提供书面说明，必要时提交相关证明材料；投标人不能证明其报价合理性的，评标评审委员会应当将其作为无效投标处理</w:t>
      </w:r>
      <w:bookmarkEnd w:id="57"/>
      <w:r>
        <w:rPr>
          <w:rFonts w:hint="eastAsia" w:ascii="Times New Roman" w:hAnsi="Times New Roman" w:eastAsia="宋体" w:cs="Times New Roman"/>
          <w:color w:val="auto"/>
          <w:highlight w:val="none"/>
        </w:rPr>
        <w:t>。</w:t>
      </w:r>
    </w:p>
    <w:p w14:paraId="031EE9FD">
      <w:pPr>
        <w:numPr>
          <w:ilvl w:val="0"/>
          <w:numId w:val="2"/>
        </w:numPr>
        <w:spacing w:line="440" w:lineRule="exact"/>
        <w:ind w:firstLine="316" w:firstLineChars="150"/>
        <w:jc w:val="left"/>
        <w:rPr>
          <w:rFonts w:ascii="宋体" w:hAnsi="Times New Roman" w:eastAsia="宋体" w:cs="Times New Roman"/>
          <w:b/>
          <w:color w:val="auto"/>
          <w:szCs w:val="21"/>
          <w:highlight w:val="none"/>
        </w:rPr>
      </w:pPr>
      <w:r>
        <w:rPr>
          <w:rFonts w:hint="eastAsia" w:ascii="宋体" w:hAnsi="Times New Roman" w:eastAsia="宋体" w:cs="Times New Roman"/>
          <w:b/>
          <w:color w:val="auto"/>
          <w:szCs w:val="21"/>
          <w:highlight w:val="none"/>
        </w:rPr>
        <w:t>评标程序</w:t>
      </w:r>
    </w:p>
    <w:p w14:paraId="7C798DCE">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评标先做准备工作，再进行资格审查，然后进行投标文件评审。</w:t>
      </w:r>
    </w:p>
    <w:p w14:paraId="1821626E">
      <w:pPr>
        <w:spacing w:line="440" w:lineRule="exact"/>
        <w:ind w:firstLine="315" w:firstLineChars="150"/>
        <w:jc w:val="left"/>
        <w:rPr>
          <w:rFonts w:ascii="宋体" w:hAnsi="宋体" w:eastAsia="宋体" w:cs="宋体"/>
          <w:color w:val="auto"/>
          <w:highlight w:val="none"/>
        </w:rPr>
      </w:pPr>
      <w:bookmarkStart w:id="79" w:name="_Toc95223402"/>
      <w:r>
        <w:rPr>
          <w:rFonts w:hint="eastAsia" w:ascii="宋体" w:hAnsi="宋体" w:eastAsia="宋体" w:cs="宋体"/>
          <w:color w:val="auto"/>
          <w:highlight w:val="none"/>
        </w:rPr>
        <w:t>3.1评标准备工作</w:t>
      </w:r>
      <w:bookmarkEnd w:id="79"/>
    </w:p>
    <w:p w14:paraId="6C190E83">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评标委员会熟悉评标工作情况：</w:t>
      </w:r>
    </w:p>
    <w:p w14:paraId="021FD374">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（1）阅读由招标人或者其委</w:t>
      </w:r>
      <w:bookmarkStart w:id="80" w:name="_Toc60061499"/>
      <w:bookmarkStart w:id="81" w:name="_Toc15058916"/>
      <w:r>
        <w:rPr>
          <w:rFonts w:hint="eastAsia" w:ascii="宋体" w:hAnsi="宋体" w:eastAsia="宋体" w:cs="宋体"/>
          <w:color w:val="auto"/>
          <w:highlight w:val="none"/>
        </w:rPr>
        <w:t>托的代理机构编</w:t>
      </w:r>
      <w:bookmarkEnd w:id="80"/>
      <w:bookmarkEnd w:id="81"/>
      <w:r>
        <w:rPr>
          <w:rFonts w:hint="eastAsia" w:ascii="宋体" w:hAnsi="宋体" w:eastAsia="宋体" w:cs="宋体"/>
          <w:color w:val="auto"/>
          <w:highlight w:val="none"/>
        </w:rPr>
        <w:t>制的招标项目情况材料。</w:t>
      </w:r>
    </w:p>
    <w:p w14:paraId="360FC43A">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（2）阅读、研究招标文件和相关评标资料，获取评标所需要的重要信息和数据，至少应了解和熟悉以下内容：招标项目的范围和性质，招标文件规定的主要技术要求、标准和商务条款。</w:t>
      </w:r>
    </w:p>
    <w:p w14:paraId="3DA99787">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（3）熟悉招标文件规定的评标标准和评标方法及在评标过程中需要考虑的相关因素。</w:t>
      </w:r>
    </w:p>
    <w:p w14:paraId="2B3A7036">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（4）核对评标工作用表。</w:t>
      </w:r>
    </w:p>
    <w:p w14:paraId="6EC33E10">
      <w:pPr>
        <w:spacing w:line="440" w:lineRule="exact"/>
        <w:ind w:firstLine="315" w:firstLineChars="150"/>
        <w:jc w:val="left"/>
        <w:rPr>
          <w:rFonts w:ascii="宋体" w:hAnsi="宋体" w:eastAsia="宋体" w:cs="宋体"/>
          <w:color w:val="auto"/>
          <w:highlight w:val="none"/>
        </w:rPr>
      </w:pPr>
      <w:bookmarkStart w:id="82" w:name="_Toc60061500"/>
      <w:bookmarkStart w:id="83" w:name="_Toc15058917"/>
      <w:r>
        <w:rPr>
          <w:rFonts w:hint="eastAsia" w:ascii="宋体" w:hAnsi="宋体" w:eastAsia="宋体" w:cs="宋体"/>
          <w:color w:val="auto"/>
          <w:highlight w:val="none"/>
        </w:rPr>
        <w:t>3.2推荐中标候</w:t>
      </w:r>
      <w:bookmarkEnd w:id="82"/>
      <w:bookmarkEnd w:id="83"/>
      <w:r>
        <w:rPr>
          <w:rFonts w:hint="eastAsia" w:ascii="宋体" w:hAnsi="宋体" w:eastAsia="宋体" w:cs="宋体"/>
          <w:color w:val="auto"/>
          <w:highlight w:val="none"/>
        </w:rPr>
        <w:t>选人</w:t>
      </w:r>
    </w:p>
    <w:p w14:paraId="27AA0FAB">
      <w:pPr>
        <w:spacing w:line="44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资格审查、</w:t>
      </w:r>
      <w:bookmarkStart w:id="84" w:name="_Toc15058918"/>
      <w:bookmarkStart w:id="85" w:name="_Toc60061501"/>
      <w:r>
        <w:rPr>
          <w:rFonts w:hint="eastAsia" w:ascii="宋体" w:hAnsi="宋体" w:cs="宋体"/>
          <w:color w:val="auto"/>
          <w:szCs w:val="21"/>
          <w:highlight w:val="none"/>
        </w:rPr>
        <w:t>投标文件评审</w:t>
      </w:r>
      <w:bookmarkEnd w:id="84"/>
      <w:bookmarkEnd w:id="85"/>
      <w:r>
        <w:rPr>
          <w:rFonts w:hint="eastAsia" w:ascii="宋体" w:hAnsi="宋体" w:cs="宋体"/>
          <w:color w:val="auto"/>
          <w:szCs w:val="21"/>
          <w:highlight w:val="none"/>
        </w:rPr>
        <w:t>后，推荐中标候选人，并标明排序。</w:t>
      </w:r>
    </w:p>
    <w:p w14:paraId="130C77F9">
      <w:pPr>
        <w:numPr>
          <w:ilvl w:val="0"/>
          <w:numId w:val="2"/>
        </w:numPr>
        <w:spacing w:line="440" w:lineRule="exact"/>
        <w:ind w:firstLine="316" w:firstLineChars="150"/>
        <w:jc w:val="left"/>
        <w:rPr>
          <w:rFonts w:ascii="宋体" w:hAnsi="Times New Roman" w:eastAsia="宋体" w:cs="Times New Roman"/>
          <w:b/>
          <w:color w:val="auto"/>
          <w:szCs w:val="21"/>
          <w:highlight w:val="none"/>
        </w:rPr>
      </w:pPr>
      <w:bookmarkStart w:id="86" w:name="_Toc95223405"/>
      <w:r>
        <w:rPr>
          <w:rFonts w:hint="eastAsia" w:ascii="宋体" w:hAnsi="Times New Roman" w:eastAsia="宋体" w:cs="Times New Roman"/>
          <w:b/>
          <w:color w:val="auto"/>
          <w:szCs w:val="21"/>
          <w:highlight w:val="none"/>
        </w:rPr>
        <w:t>评审内容</w:t>
      </w:r>
      <w:bookmarkEnd w:id="86"/>
    </w:p>
    <w:p w14:paraId="0E3D651C">
      <w:pPr>
        <w:spacing w:line="440" w:lineRule="exact"/>
        <w:ind w:firstLine="315" w:firstLineChars="150"/>
        <w:jc w:val="left"/>
        <w:rPr>
          <w:rFonts w:ascii="宋体" w:hAnsi="宋体" w:eastAsia="宋体" w:cs="宋体"/>
          <w:color w:val="auto"/>
          <w:szCs w:val="21"/>
          <w:highlight w:val="none"/>
        </w:rPr>
      </w:pPr>
      <w:bookmarkStart w:id="87" w:name="_Toc95223407"/>
      <w:r>
        <w:rPr>
          <w:rFonts w:hint="eastAsia" w:ascii="宋体" w:hAnsi="宋体" w:eastAsia="宋体" w:cs="宋体"/>
          <w:color w:val="auto"/>
          <w:szCs w:val="21"/>
          <w:highlight w:val="none"/>
        </w:rPr>
        <w:t>4.1投标文件评审</w:t>
      </w:r>
      <w:bookmarkEnd w:id="87"/>
    </w:p>
    <w:p w14:paraId="0AA4E126">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只有通过资格审查的投标才能够进入本阶段评审。</w:t>
      </w:r>
    </w:p>
    <w:p w14:paraId="61F81845">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4.1.1</w:t>
      </w:r>
      <w:bookmarkStart w:id="88" w:name="_Toc15058921"/>
      <w:bookmarkStart w:id="89" w:name="_Toc60061504"/>
      <w:r>
        <w:rPr>
          <w:rFonts w:hint="eastAsia" w:ascii="宋体" w:hAnsi="宋体" w:eastAsia="宋体" w:cs="宋体"/>
          <w:color w:val="auto"/>
          <w:szCs w:val="21"/>
          <w:highlight w:val="none"/>
        </w:rPr>
        <w:t>形式性评审标准：</w:t>
      </w:r>
      <w:bookmarkEnd w:id="88"/>
      <w:bookmarkEnd w:id="89"/>
      <w:r>
        <w:rPr>
          <w:rFonts w:hint="eastAsia" w:ascii="宋体" w:hAnsi="宋体" w:eastAsia="宋体" w:cs="宋体"/>
          <w:color w:val="auto"/>
          <w:szCs w:val="21"/>
          <w:highlight w:val="none"/>
        </w:rPr>
        <w:t>见报价评审表。</w:t>
      </w:r>
    </w:p>
    <w:p w14:paraId="39DC2B6E">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4.1.2响应性评审标准：见报价评审表。</w:t>
      </w:r>
    </w:p>
    <w:p w14:paraId="0795B545">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评标委员会依据上述标准对投标文件进行初步评审。有一项不符合评审标准的，作无效投标处理。</w:t>
      </w:r>
    </w:p>
    <w:p w14:paraId="66B41FE9">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4.1.3详细评审标准：见报价评审表。</w:t>
      </w:r>
    </w:p>
    <w:p w14:paraId="3B581BF0">
      <w:pPr>
        <w:spacing w:line="440" w:lineRule="exact"/>
        <w:ind w:firstLine="527" w:firstLineChars="250"/>
        <w:jc w:val="left"/>
        <w:rPr>
          <w:rFonts w:ascii="宋体" w:hAnsi="Times New Roman" w:eastAsia="宋体" w:cs="Times New Roman"/>
          <w:b/>
          <w:color w:val="auto"/>
          <w:szCs w:val="21"/>
          <w:highlight w:val="none"/>
        </w:rPr>
      </w:pPr>
      <w:bookmarkStart w:id="90" w:name="_Hlk61815781"/>
      <w:r>
        <w:rPr>
          <w:rFonts w:hint="eastAsia" w:ascii="宋体" w:hAnsi="Times New Roman" w:eastAsia="宋体" w:cs="Times New Roman"/>
          <w:b/>
          <w:color w:val="auto"/>
          <w:szCs w:val="21"/>
          <w:highlight w:val="none"/>
        </w:rPr>
        <w:t>5. 无效投标条款</w:t>
      </w:r>
    </w:p>
    <w:p w14:paraId="0901F870">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CAC3A42">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（2）调整或修正投标文件的投标报价，调整或修正的价格经投标人书面确认后具有约束力。投标人不接受修正价格的，其投标将被拒绝。</w:t>
      </w:r>
    </w:p>
    <w:p w14:paraId="25E10CE3">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（3）投标人有串通投标、视为串通投标、弄虚作假、行贿等违法行为。</w:t>
      </w:r>
    </w:p>
    <w:p w14:paraId="7AA05470">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（4）投标文件没有对招标文件的实质性要求和条件作出响应。</w:t>
      </w:r>
    </w:p>
    <w:p w14:paraId="74AF999F">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（5）未按规定的格式填写导致实质性内容不全以及实质上不响应，或者关键字迹模糊、无法辨认。</w:t>
      </w:r>
    </w:p>
    <w:p w14:paraId="4BA2944F">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（6）同一投标人提交两个以上不同的投标文件或者投标报价，但招标文件规定提交备选投标的除外。</w:t>
      </w:r>
    </w:p>
    <w:p w14:paraId="74D4764D">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（7）投标文件中存在招标人不能接受的其他实质性条件。</w:t>
      </w:r>
    </w:p>
    <w:p w14:paraId="079B5CAF">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（8）投标人拒不按照要求对投标文件进行澄清、说明、补正的，或评标委员会根据招标文件的规定对招标文件的计算错误进行修正后，投标人不接受修正的投标报价的。</w:t>
      </w:r>
    </w:p>
    <w:p w14:paraId="7DAD59D8">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（9）投标人单方面出现其他投标人材料。</w:t>
      </w:r>
    </w:p>
    <w:p w14:paraId="0E537FA8">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（10）法律、法规规定的其他情形。</w:t>
      </w:r>
    </w:p>
    <w:bookmarkEnd w:id="90"/>
    <w:p w14:paraId="1812196A">
      <w:pPr>
        <w:spacing w:line="440" w:lineRule="exact"/>
        <w:ind w:firstLine="422" w:firstLineChars="200"/>
        <w:jc w:val="left"/>
        <w:rPr>
          <w:rFonts w:ascii="宋体" w:hAnsi="Times New Roman" w:eastAsia="宋体" w:cs="Times New Roman"/>
          <w:b/>
          <w:color w:val="auto"/>
          <w:szCs w:val="21"/>
          <w:highlight w:val="none"/>
        </w:rPr>
      </w:pPr>
      <w:bookmarkStart w:id="91" w:name="_Toc95223439"/>
      <w:r>
        <w:rPr>
          <w:rFonts w:hint="eastAsia" w:ascii="宋体" w:hAnsi="Times New Roman" w:eastAsia="宋体" w:cs="Times New Roman"/>
          <w:b/>
          <w:color w:val="auto"/>
          <w:szCs w:val="21"/>
          <w:highlight w:val="none"/>
        </w:rPr>
        <w:t>6.投标文件的澄清和补正</w:t>
      </w:r>
      <w:bookmarkEnd w:id="91"/>
    </w:p>
    <w:p w14:paraId="4FB7D151">
      <w:pPr>
        <w:snapToGrid w:val="0"/>
        <w:spacing w:line="400" w:lineRule="exact"/>
        <w:ind w:firstLine="420"/>
        <w:rPr>
          <w:rFonts w:ascii="宋体" w:hAnsi="宋体" w:eastAsia="宋体" w:cs="宋体"/>
          <w:b/>
          <w:bCs/>
          <w:color w:val="auto"/>
          <w:szCs w:val="21"/>
          <w:highlight w:val="none"/>
        </w:rPr>
      </w:pPr>
      <w:r>
        <w:rPr>
          <w:rFonts w:hint="eastAsia" w:ascii="宋体" w:hAnsi="宋体" w:eastAsia="宋体" w:cs="宋体"/>
          <w:color w:val="auto"/>
          <w:szCs w:val="21"/>
          <w:highlight w:val="none"/>
        </w:rPr>
        <w:t>6.1在评标过程中，评标委员会可以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r>
        <w:rPr>
          <w:rFonts w:hint="eastAsia" w:ascii="宋体" w:hAnsi="宋体" w:eastAsia="宋体" w:cs="宋体"/>
          <w:b/>
          <w:bCs/>
          <w:color w:val="auto"/>
          <w:szCs w:val="21"/>
          <w:highlight w:val="none"/>
        </w:rPr>
        <w:t>本项目采用远程开标，具体操作方法详见服务指南&gt;交易须知&gt;开标大厅远程解密、质疑(异议)及回复</w:t>
      </w:r>
      <w:r>
        <w:rPr>
          <w:rFonts w:hint="eastAsia" w:ascii="宋体" w:hAnsi="宋体" w:eastAsia="宋体" w:cs="宋体"/>
          <w:b/>
          <w:bCs/>
          <w:color w:val="auto"/>
          <w:szCs w:val="21"/>
          <w:highlight w:val="none"/>
          <w:lang w:val="en-US" w:eastAsia="zh-CN"/>
        </w:rPr>
        <w:t>或电话咨询新点公司，评审过程中投标人应派专人回复询标等情况，如未按时回复，视为放弃</w:t>
      </w:r>
      <w:r>
        <w:rPr>
          <w:rFonts w:hint="eastAsia" w:ascii="宋体" w:hAnsi="宋体" w:eastAsia="宋体" w:cs="宋体"/>
          <w:b/>
          <w:bCs/>
          <w:color w:val="auto"/>
          <w:szCs w:val="21"/>
          <w:highlight w:val="none"/>
        </w:rPr>
        <w:t>。</w:t>
      </w:r>
    </w:p>
    <w:p w14:paraId="0AAA63CE">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6.2澄清、说明和补正不得改变投标文件的实质性内容（算术性错误修正的除外）。投标人的书面澄清、说明和补正属于投标文件的组成部分。</w:t>
      </w:r>
    </w:p>
    <w:p w14:paraId="1562E362">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6.3评标委员会对投标人提交的澄清、说明和补正有疑问的，可以要求投标人进一步澄清、说明或补正、直至满足评标委员会的要求。</w:t>
      </w:r>
    </w:p>
    <w:p w14:paraId="7E2E8027">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207E86F0">
      <w:pPr>
        <w:spacing w:line="400" w:lineRule="exact"/>
        <w:ind w:firstLine="525" w:firstLineChars="250"/>
        <w:rPr>
          <w:rFonts w:ascii="宋体"/>
          <w:color w:val="auto"/>
          <w:szCs w:val="21"/>
          <w:highlight w:val="none"/>
        </w:rPr>
      </w:pPr>
      <w:r>
        <w:rPr>
          <w:rFonts w:hint="eastAsia" w:ascii="宋体"/>
          <w:color w:val="auto"/>
          <w:szCs w:val="21"/>
          <w:highlight w:val="none"/>
        </w:rPr>
        <w:t>6.4评委会修正错误的原则：</w:t>
      </w:r>
    </w:p>
    <w:p w14:paraId="056B8AA2">
      <w:pPr>
        <w:spacing w:line="400" w:lineRule="exact"/>
        <w:ind w:firstLine="525" w:firstLineChars="250"/>
        <w:rPr>
          <w:rFonts w:ascii="宋体"/>
          <w:color w:val="auto"/>
          <w:szCs w:val="21"/>
          <w:highlight w:val="none"/>
        </w:rPr>
      </w:pPr>
      <w:r>
        <w:rPr>
          <w:rFonts w:hint="eastAsia" w:ascii="宋体"/>
          <w:color w:val="auto"/>
          <w:szCs w:val="21"/>
          <w:highlight w:val="none"/>
        </w:rPr>
        <w:t>6.4.1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6B386AB">
      <w:pPr>
        <w:spacing w:line="400" w:lineRule="exact"/>
        <w:ind w:firstLine="525" w:firstLineChars="250"/>
        <w:rPr>
          <w:rFonts w:ascii="宋体"/>
          <w:color w:val="auto"/>
          <w:szCs w:val="21"/>
          <w:highlight w:val="none"/>
        </w:rPr>
      </w:pPr>
      <w:r>
        <w:rPr>
          <w:rFonts w:hint="eastAsia" w:ascii="宋体"/>
          <w:color w:val="auto"/>
          <w:szCs w:val="21"/>
          <w:highlight w:val="none"/>
        </w:rPr>
        <w:t>6.4.2如果单价与数量的乘积和总价不一致，以单价为准，修正总价及开标一览表；当单价小数点有明显的错位时，评委会将以总价为准，并修正其单价。</w:t>
      </w:r>
    </w:p>
    <w:p w14:paraId="6DDFBDA4">
      <w:pPr>
        <w:spacing w:line="400" w:lineRule="exact"/>
        <w:ind w:firstLine="403" w:firstLineChars="192"/>
        <w:rPr>
          <w:rFonts w:hint="eastAsia" w:ascii="宋体"/>
          <w:b/>
          <w:bCs/>
          <w:color w:val="auto"/>
          <w:szCs w:val="21"/>
          <w:highlight w:val="none"/>
        </w:rPr>
      </w:pPr>
      <w:r>
        <w:rPr>
          <w:rFonts w:hint="eastAsia" w:ascii="宋体"/>
          <w:color w:val="auto"/>
          <w:szCs w:val="21"/>
          <w:highlight w:val="none"/>
        </w:rPr>
        <w:t xml:space="preserve"> 6.5评委会将按上述修正错误的方法调整投标文件中的投标报价，调整后的价格应对投标人具有约束力。无论投标人是接受或是拒绝调整后的价格，都应当由投标人在系统中确认。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p>
    <w:p w14:paraId="1A986CE1">
      <w:pPr>
        <w:pStyle w:val="7"/>
        <w:ind w:left="0" w:leftChars="0" w:firstLine="422" w:firstLineChars="200"/>
        <w:rPr>
          <w:rFonts w:hint="default" w:eastAsia="宋体"/>
          <w:color w:val="auto"/>
          <w:highlight w:val="none"/>
          <w:lang w:val="en-US" w:eastAsia="zh-CN"/>
        </w:rPr>
      </w:pPr>
      <w:r>
        <w:rPr>
          <w:rFonts w:hint="eastAsia" w:ascii="宋体"/>
          <w:b/>
          <w:bCs/>
          <w:color w:val="auto"/>
          <w:szCs w:val="21"/>
          <w:highlight w:val="none"/>
          <w:lang w:val="en-US" w:eastAsia="zh-CN"/>
        </w:rPr>
        <w:t>6.6</w:t>
      </w:r>
      <w:r>
        <w:rPr>
          <w:rFonts w:hint="eastAsia" w:ascii="宋体" w:hAnsi="宋体" w:eastAsia="宋体" w:cs="宋体"/>
          <w:b/>
          <w:bCs/>
          <w:color w:val="auto"/>
          <w:szCs w:val="21"/>
          <w:highlight w:val="none"/>
        </w:rPr>
        <w:t>本项目采用远程开标，具体操作方法</w:t>
      </w:r>
      <w:r>
        <w:rPr>
          <w:rFonts w:hint="eastAsia" w:ascii="宋体" w:hAnsi="宋体" w:eastAsia="宋体" w:cs="宋体"/>
          <w:b/>
          <w:bCs/>
          <w:color w:val="auto"/>
          <w:szCs w:val="21"/>
          <w:highlight w:val="none"/>
          <w:lang w:val="en-US" w:eastAsia="zh-CN"/>
        </w:rPr>
        <w:t>为</w:t>
      </w:r>
      <w:r>
        <w:rPr>
          <w:rFonts w:hint="eastAsia" w:ascii="宋体" w:hAnsi="宋体" w:eastAsia="宋体" w:cs="宋体"/>
          <w:b/>
          <w:bCs/>
          <w:color w:val="auto"/>
          <w:szCs w:val="21"/>
          <w:highlight w:val="none"/>
        </w:rPr>
        <w:t>开标大厅远程解密、质疑(异议)及回复</w:t>
      </w:r>
      <w:r>
        <w:rPr>
          <w:rFonts w:hint="eastAsia" w:ascii="宋体" w:hAnsi="宋体" w:eastAsia="宋体" w:cs="宋体"/>
          <w:b/>
          <w:bCs/>
          <w:color w:val="auto"/>
          <w:szCs w:val="21"/>
          <w:highlight w:val="none"/>
          <w:lang w:val="en-US" w:eastAsia="zh-CN"/>
        </w:rPr>
        <w:t>或电话咨询新点公司，评审过程中投标人应派专人回复询标等情况，如未按时回复，视为放弃</w:t>
      </w:r>
      <w:r>
        <w:rPr>
          <w:rFonts w:hint="eastAsia" w:ascii="宋体" w:hAnsi="宋体" w:eastAsia="宋体" w:cs="宋体"/>
          <w:b/>
          <w:bCs/>
          <w:color w:val="auto"/>
          <w:szCs w:val="21"/>
          <w:highlight w:val="none"/>
        </w:rPr>
        <w:t>。</w:t>
      </w:r>
    </w:p>
    <w:p w14:paraId="2346D926">
      <w:pPr>
        <w:spacing w:line="440" w:lineRule="exact"/>
        <w:ind w:firstLine="527" w:firstLineChars="250"/>
        <w:jc w:val="left"/>
        <w:rPr>
          <w:rFonts w:ascii="宋体" w:hAnsi="Times New Roman" w:eastAsia="宋体" w:cs="Times New Roman"/>
          <w:b/>
          <w:color w:val="auto"/>
          <w:szCs w:val="21"/>
          <w:highlight w:val="none"/>
        </w:rPr>
      </w:pPr>
      <w:bookmarkStart w:id="92" w:name="_Toc95223441"/>
      <w:r>
        <w:rPr>
          <w:rFonts w:hint="eastAsia" w:ascii="宋体" w:hAnsi="Times New Roman" w:eastAsia="宋体" w:cs="Times New Roman"/>
          <w:b/>
          <w:color w:val="auto"/>
          <w:szCs w:val="21"/>
          <w:highlight w:val="none"/>
        </w:rPr>
        <w:t>7.评审结果</w:t>
      </w:r>
      <w:bookmarkEnd w:id="92"/>
    </w:p>
    <w:p w14:paraId="648097AB">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7.1除第二章“投标人须知”及其前附表授权直接确定中标人外，评标委员会按照总得分由高到低顺序推荐中标候选人。</w:t>
      </w:r>
    </w:p>
    <w:p w14:paraId="1AFC7857">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7.2评标委员会完成评标后，应当向招标人提交书面评标报告。评标报告应当如实记载以下内容：</w:t>
      </w:r>
    </w:p>
    <w:p w14:paraId="21E0C9CB">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（1）基本情况和数据表。</w:t>
      </w:r>
    </w:p>
    <w:p w14:paraId="1D8157F8">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（2）评标委员会成员名单。</w:t>
      </w:r>
    </w:p>
    <w:p w14:paraId="3BD093FC">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（3）开标记录。</w:t>
      </w:r>
    </w:p>
    <w:p w14:paraId="6E5F8A95">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（4）符合要求的投标人一览表。</w:t>
      </w:r>
    </w:p>
    <w:p w14:paraId="76616F30">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（5）否决投标情况说明。</w:t>
      </w:r>
    </w:p>
    <w:p w14:paraId="6EFF9056">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（6）评标标准、评标方法或者评标因素。</w:t>
      </w:r>
    </w:p>
    <w:p w14:paraId="28A063CE">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（7）评标情况一览表。</w:t>
      </w:r>
    </w:p>
    <w:p w14:paraId="4B7B5387">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（8）经评审的投标人排序。</w:t>
      </w:r>
    </w:p>
    <w:p w14:paraId="0CCF5874">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（9）推荐的中标候选人名单与签订合同前要处理的事宜。</w:t>
      </w:r>
    </w:p>
    <w:p w14:paraId="3F014985">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（10）澄清、说明、补正事项纪要。</w:t>
      </w:r>
    </w:p>
    <w:p w14:paraId="75EC5C2A">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2650E5B">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754DBCD">
      <w:pPr>
        <w:spacing w:line="440" w:lineRule="exact"/>
        <w:ind w:firstLine="422" w:firstLineChars="200"/>
        <w:jc w:val="left"/>
        <w:rPr>
          <w:rFonts w:ascii="宋体" w:hAnsi="Times New Roman" w:eastAsia="宋体" w:cs="Times New Roman"/>
          <w:b/>
          <w:color w:val="auto"/>
          <w:szCs w:val="21"/>
          <w:highlight w:val="none"/>
        </w:rPr>
      </w:pPr>
      <w:bookmarkStart w:id="93" w:name="_Toc95223442"/>
      <w:r>
        <w:rPr>
          <w:rFonts w:hint="eastAsia" w:ascii="宋体" w:hAnsi="Times New Roman" w:eastAsia="宋体" w:cs="Times New Roman"/>
          <w:b/>
          <w:color w:val="auto"/>
          <w:szCs w:val="21"/>
          <w:highlight w:val="none"/>
        </w:rPr>
        <w:t>8.其他</w:t>
      </w:r>
      <w:bookmarkEnd w:id="93"/>
    </w:p>
    <w:p w14:paraId="26DCC791">
      <w:pPr>
        <w:adjustRightInd w:val="0"/>
        <w:snapToGrid w:val="0"/>
        <w:spacing w:line="420" w:lineRule="exact"/>
        <w:ind w:firstLine="315" w:firstLineChars="150"/>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8.1投标人提供的与投标文件有关的各类证书、证明、文件、资料等的真实性、合法性由投标人负全责。</w:t>
      </w:r>
    </w:p>
    <w:p w14:paraId="0BE013AD">
      <w:pP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3DB3C98D">
      <w:pPr>
        <w:numPr>
          <w:ilvl w:val="0"/>
          <w:numId w:val="3"/>
        </w:numPr>
        <w:jc w:val="center"/>
        <w:outlineLvl w:val="0"/>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 xml:space="preserve"> 采购需求</w:t>
      </w:r>
    </w:p>
    <w:p w14:paraId="45431646">
      <w:pPr>
        <w:pStyle w:val="7"/>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w:t>
      </w:r>
      <w:r>
        <w:rPr>
          <w:rFonts w:hint="eastAsia" w:ascii="宋体" w:hAnsi="宋体" w:eastAsia="宋体" w:cs="宋体"/>
          <w:b/>
          <w:bCs/>
          <w:color w:val="auto"/>
          <w:sz w:val="21"/>
          <w:szCs w:val="21"/>
          <w:highlight w:val="none"/>
          <w:lang w:val="en-US" w:eastAsia="zh-CN"/>
        </w:rPr>
        <w:t>一、项目概况</w:t>
      </w:r>
    </w:p>
    <w:p w14:paraId="0A6058E7">
      <w:pPr>
        <w:pStyle w:val="7"/>
        <w:keepNext w:val="0"/>
        <w:keepLines w:val="0"/>
        <w:pageBreakBefore w:val="0"/>
        <w:widowControl w:val="0"/>
        <w:kinsoku/>
        <w:wordWrap/>
        <w:overflowPunct/>
        <w:topLinePunct w:val="0"/>
        <w:autoSpaceDE/>
        <w:autoSpaceDN/>
        <w:bidi w:val="0"/>
        <w:adjustRightInd/>
        <w:snapToGrid/>
        <w:spacing w:after="0" w:line="36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cs="宋体"/>
          <w:b w:val="0"/>
          <w:bCs w:val="0"/>
          <w:color w:val="auto"/>
          <w:sz w:val="21"/>
          <w:szCs w:val="21"/>
          <w:highlight w:val="none"/>
          <w:lang w:val="en-US" w:eastAsia="zh-CN"/>
        </w:rPr>
        <w:t>滁州工投企业服务有限公司管理施工工地物业服务外包项目</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约25.1万平方米</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bCs/>
          <w:color w:val="auto"/>
          <w:sz w:val="21"/>
          <w:szCs w:val="21"/>
          <w:highlight w:val="none"/>
        </w:rPr>
        <w:t>详细情况自行现场勘看，项目概况以现场实际存在为准。</w:t>
      </w:r>
      <w:r>
        <w:rPr>
          <w:rFonts w:hint="eastAsia" w:ascii="宋体" w:hAnsi="宋体" w:eastAsia="宋体" w:cs="宋体"/>
          <w:b w:val="0"/>
          <w:bCs w:val="0"/>
          <w:color w:val="auto"/>
          <w:sz w:val="21"/>
          <w:szCs w:val="21"/>
          <w:highlight w:val="none"/>
          <w:lang w:val="en-US" w:eastAsia="zh-CN"/>
        </w:rPr>
        <w:t>）</w:t>
      </w:r>
    </w:p>
    <w:p w14:paraId="4F7DC794">
      <w:pPr>
        <w:pStyle w:val="7"/>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w:t>
      </w:r>
      <w:r>
        <w:rPr>
          <w:rFonts w:hint="eastAsia" w:ascii="宋体" w:hAnsi="宋体" w:eastAsia="宋体" w:cs="宋体"/>
          <w:b/>
          <w:bCs/>
          <w:color w:val="auto"/>
          <w:sz w:val="21"/>
          <w:szCs w:val="21"/>
          <w:highlight w:val="none"/>
          <w:lang w:val="en-US" w:eastAsia="zh-CN"/>
        </w:rPr>
        <w:t>二、物业服务人员要求</w:t>
      </w:r>
    </w:p>
    <w:p w14:paraId="11253B5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服务人员配置标准及要求：</w:t>
      </w:r>
    </w:p>
    <w:p w14:paraId="05029E91">
      <w:pPr>
        <w:pStyle w:val="7"/>
        <w:keepNext w:val="0"/>
        <w:keepLines w:val="0"/>
        <w:pageBreakBefore w:val="0"/>
        <w:widowControl w:val="0"/>
        <w:numPr>
          <w:ilvl w:val="0"/>
          <w:numId w:val="4"/>
        </w:numPr>
        <w:kinsoku/>
        <w:wordWrap/>
        <w:overflowPunct/>
        <w:topLinePunct w:val="0"/>
        <w:autoSpaceDE/>
        <w:autoSpaceDN/>
        <w:bidi w:val="0"/>
        <w:adjustRightInd/>
        <w:snapToGrid/>
        <w:spacing w:line="360" w:lineRule="exact"/>
        <w:ind w:left="0" w:leftChars="0" w:firstLine="48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项目负责人1人，保安</w:t>
      </w:r>
      <w:r>
        <w:rPr>
          <w:rFonts w:hint="eastAsia" w:ascii="宋体" w:hAnsi="宋体" w:cs="宋体"/>
          <w:b w:val="0"/>
          <w:bCs w:val="0"/>
          <w:color w:val="auto"/>
          <w:kern w:val="2"/>
          <w:sz w:val="21"/>
          <w:szCs w:val="21"/>
          <w:highlight w:val="none"/>
          <w:lang w:val="en-US" w:eastAsia="zh-CN" w:bidi="ar-SA"/>
        </w:rPr>
        <w:t>10</w:t>
      </w:r>
      <w:r>
        <w:rPr>
          <w:rFonts w:hint="eastAsia" w:ascii="宋体" w:hAnsi="宋体" w:eastAsia="宋体" w:cs="宋体"/>
          <w:b w:val="0"/>
          <w:bCs w:val="0"/>
          <w:color w:val="auto"/>
          <w:kern w:val="2"/>
          <w:sz w:val="21"/>
          <w:szCs w:val="21"/>
          <w:highlight w:val="none"/>
          <w:lang w:val="en-US" w:eastAsia="zh-CN" w:bidi="ar-SA"/>
        </w:rPr>
        <w:t>人，保洁</w:t>
      </w: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人</w:t>
      </w:r>
      <w:r>
        <w:rPr>
          <w:rFonts w:hint="eastAsia" w:ascii="宋体" w:hAnsi="宋体" w:cs="宋体"/>
          <w:b w:val="0"/>
          <w:bCs w:val="0"/>
          <w:color w:val="auto"/>
          <w:kern w:val="2"/>
          <w:sz w:val="21"/>
          <w:szCs w:val="21"/>
          <w:highlight w:val="none"/>
          <w:lang w:val="en-US" w:eastAsia="zh-CN" w:bidi="ar-SA"/>
        </w:rPr>
        <w:t>，园区生活垃圾收集及外运。</w:t>
      </w:r>
      <w:r>
        <w:rPr>
          <w:rFonts w:hint="eastAsia" w:ascii="宋体" w:hAnsi="宋体" w:eastAsia="宋体" w:cs="宋体"/>
          <w:b/>
          <w:bCs/>
          <w:color w:val="auto"/>
          <w:sz w:val="21"/>
          <w:szCs w:val="21"/>
          <w:highlight w:val="none"/>
          <w:lang w:val="en-US" w:eastAsia="zh-CN"/>
        </w:rPr>
        <w:t>所有服务人员工作内容不限于本岗位职责，可根据项目实际状况，对各类人员配备和工作岗位进行调剂。</w:t>
      </w:r>
    </w:p>
    <w:p w14:paraId="54678D5D">
      <w:pPr>
        <w:autoSpaceDE w:val="0"/>
        <w:autoSpaceDN w:val="0"/>
        <w:adjustRightInd w:val="0"/>
        <w:spacing w:line="440" w:lineRule="exact"/>
        <w:ind w:firstLine="420" w:firstLineChars="200"/>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zh-CN" w:eastAsia="zh-CN" w:bidi="ar-SA"/>
        </w:rPr>
        <w:t>1、项目经理：全面负责物业服务工作的管理，做好与业主方的沟通和协调工作。年龄在</w:t>
      </w:r>
      <w:r>
        <w:rPr>
          <w:rFonts w:hint="eastAsia" w:ascii="宋体" w:hAnsi="宋体" w:eastAsia="宋体" w:cs="宋体"/>
          <w:b w:val="0"/>
          <w:bCs w:val="0"/>
          <w:color w:val="auto"/>
          <w:kern w:val="2"/>
          <w:sz w:val="21"/>
          <w:szCs w:val="21"/>
          <w:highlight w:val="none"/>
          <w:lang w:val="en-US" w:eastAsia="zh-CN" w:bidi="ar-SA"/>
        </w:rPr>
        <w:t>45</w:t>
      </w:r>
      <w:r>
        <w:rPr>
          <w:rFonts w:hint="eastAsia" w:ascii="宋体" w:hAnsi="宋体" w:eastAsia="宋体" w:cs="宋体"/>
          <w:b w:val="0"/>
          <w:bCs w:val="0"/>
          <w:color w:val="auto"/>
          <w:kern w:val="2"/>
          <w:sz w:val="21"/>
          <w:szCs w:val="21"/>
          <w:highlight w:val="none"/>
          <w:lang w:val="zh-CN" w:eastAsia="zh-CN" w:bidi="ar-SA"/>
        </w:rPr>
        <w:t>周岁</w:t>
      </w:r>
      <w:r>
        <w:rPr>
          <w:rFonts w:hint="eastAsia" w:ascii="宋体" w:hAnsi="宋体" w:eastAsia="宋体" w:cs="宋体"/>
          <w:b w:val="0"/>
          <w:bCs w:val="0"/>
          <w:color w:val="auto"/>
          <w:kern w:val="2"/>
          <w:sz w:val="21"/>
          <w:szCs w:val="21"/>
          <w:highlight w:val="none"/>
          <w:lang w:val="en-US" w:eastAsia="zh-CN" w:bidi="ar-SA"/>
        </w:rPr>
        <w:t>及</w:t>
      </w:r>
      <w:r>
        <w:rPr>
          <w:rFonts w:hint="eastAsia" w:ascii="宋体" w:hAnsi="宋体" w:eastAsia="宋体" w:cs="宋体"/>
          <w:b w:val="0"/>
          <w:bCs w:val="0"/>
          <w:color w:val="auto"/>
          <w:kern w:val="2"/>
          <w:sz w:val="21"/>
          <w:szCs w:val="21"/>
          <w:highlight w:val="none"/>
          <w:lang w:val="zh-CN" w:eastAsia="zh-CN" w:bidi="ar-SA"/>
        </w:rPr>
        <w:t>以下，统筹管理及现场转供水、供电管理并抄表、收费</w:t>
      </w:r>
      <w:r>
        <w:rPr>
          <w:rFonts w:hint="eastAsia" w:ascii="宋体" w:hAnsi="宋体" w:eastAsia="宋体" w:cs="宋体"/>
          <w:b w:val="0"/>
          <w:bCs w:val="0"/>
          <w:color w:val="auto"/>
          <w:kern w:val="2"/>
          <w:sz w:val="21"/>
          <w:szCs w:val="21"/>
          <w:highlight w:val="none"/>
          <w:lang w:val="en-US" w:eastAsia="zh-CN" w:bidi="ar-SA"/>
        </w:rPr>
        <w:t>等</w:t>
      </w:r>
      <w:r>
        <w:rPr>
          <w:rFonts w:hint="eastAsia" w:ascii="宋体" w:hAnsi="宋体" w:eastAsia="宋体" w:cs="宋体"/>
          <w:b w:val="0"/>
          <w:bCs w:val="0"/>
          <w:color w:val="auto"/>
          <w:kern w:val="2"/>
          <w:sz w:val="21"/>
          <w:szCs w:val="21"/>
          <w:highlight w:val="none"/>
          <w:lang w:val="zh-CN" w:eastAsia="zh-CN" w:bidi="ar-SA"/>
        </w:rPr>
        <w:t>，</w:t>
      </w:r>
      <w:r>
        <w:rPr>
          <w:rFonts w:hint="eastAsia" w:ascii="宋体" w:hAnsi="宋体" w:eastAsia="宋体" w:cs="宋体"/>
          <w:b w:val="0"/>
          <w:bCs w:val="0"/>
          <w:color w:val="auto"/>
          <w:kern w:val="2"/>
          <w:sz w:val="21"/>
          <w:szCs w:val="21"/>
          <w:highlight w:val="none"/>
          <w:lang w:val="en-US" w:eastAsia="zh-CN" w:bidi="ar-SA"/>
        </w:rPr>
        <w:t>负责本项目</w:t>
      </w:r>
      <w:r>
        <w:rPr>
          <w:rFonts w:hint="eastAsia" w:ascii="宋体" w:hAnsi="宋体" w:eastAsia="宋体" w:cs="宋体"/>
          <w:b w:val="0"/>
          <w:bCs w:val="0"/>
          <w:color w:val="auto"/>
          <w:kern w:val="2"/>
          <w:sz w:val="21"/>
          <w:szCs w:val="21"/>
          <w:highlight w:val="none"/>
          <w:lang w:val="zh-CN" w:eastAsia="zh-CN" w:bidi="ar-SA"/>
        </w:rPr>
        <w:t>的日常运营，</w:t>
      </w:r>
      <w:r>
        <w:rPr>
          <w:rFonts w:hint="eastAsia" w:ascii="宋体" w:hAnsi="宋体" w:eastAsia="宋体" w:cs="宋体"/>
          <w:b w:val="0"/>
          <w:bCs w:val="0"/>
          <w:color w:val="auto"/>
          <w:kern w:val="2"/>
          <w:sz w:val="21"/>
          <w:szCs w:val="21"/>
          <w:highlight w:val="none"/>
          <w:lang w:val="en-US" w:eastAsia="zh-CN" w:bidi="ar-SA"/>
        </w:rPr>
        <w:t>每周须五天坚守岗位。特殊情况须向招标人请假，经批准后方可离岗</w:t>
      </w:r>
      <w:r>
        <w:rPr>
          <w:rFonts w:hint="eastAsia" w:ascii="宋体" w:hAnsi="宋体" w:eastAsia="宋体" w:cs="宋体"/>
          <w:b w:val="0"/>
          <w:bCs w:val="0"/>
          <w:color w:val="auto"/>
          <w:kern w:val="2"/>
          <w:sz w:val="21"/>
          <w:szCs w:val="21"/>
          <w:highlight w:val="none"/>
          <w:lang w:val="zh-CN" w:eastAsia="zh-CN" w:bidi="ar-SA"/>
        </w:rPr>
        <w:t>。</w:t>
      </w:r>
    </w:p>
    <w:p w14:paraId="731B38C2">
      <w:pPr>
        <w:autoSpaceDE w:val="0"/>
        <w:autoSpaceDN w:val="0"/>
        <w:adjustRightInd w:val="0"/>
        <w:spacing w:line="440" w:lineRule="exact"/>
        <w:ind w:firstLine="420" w:firstLineChars="200"/>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zh-CN" w:eastAsia="zh-CN" w:bidi="ar-SA"/>
        </w:rPr>
        <w:t>2、安保人员：思想政治条件好、训练有素、身体健康</w:t>
      </w:r>
      <w:r>
        <w:rPr>
          <w:rFonts w:hint="eastAsia" w:ascii="宋体" w:hAnsi="宋体" w:eastAsia="宋体" w:cs="宋体"/>
          <w:b w:val="0"/>
          <w:bCs w:val="0"/>
          <w:color w:val="auto"/>
          <w:kern w:val="2"/>
          <w:sz w:val="21"/>
          <w:szCs w:val="21"/>
          <w:highlight w:val="none"/>
          <w:lang w:val="en-US" w:eastAsia="zh-CN" w:bidi="ar-SA"/>
        </w:rPr>
        <w:t>（具体详见分项报价清单）</w:t>
      </w:r>
      <w:r>
        <w:rPr>
          <w:rFonts w:hint="eastAsia" w:ascii="宋体" w:hAnsi="宋体" w:eastAsia="宋体" w:cs="宋体"/>
          <w:b w:val="0"/>
          <w:bCs w:val="0"/>
          <w:color w:val="auto"/>
          <w:kern w:val="2"/>
          <w:sz w:val="21"/>
          <w:szCs w:val="21"/>
          <w:highlight w:val="none"/>
          <w:lang w:val="zh-CN" w:eastAsia="zh-CN" w:bidi="ar-SA"/>
        </w:rPr>
        <w:t>，着装及仪态作风须正规，退伍军人优先，无犯罪记录，持证上岗。</w:t>
      </w:r>
    </w:p>
    <w:p w14:paraId="12CD6D1A">
      <w:pPr>
        <w:autoSpaceDE w:val="0"/>
        <w:autoSpaceDN w:val="0"/>
        <w:adjustRightInd w:val="0"/>
        <w:spacing w:line="440" w:lineRule="exact"/>
        <w:ind w:firstLine="420" w:firstLineChars="200"/>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kern w:val="2"/>
          <w:sz w:val="21"/>
          <w:szCs w:val="21"/>
          <w:highlight w:val="none"/>
          <w:lang w:val="zh-CN" w:eastAsia="zh-CN" w:bidi="ar-SA"/>
        </w:rPr>
        <w:t>、保洁人员：</w:t>
      </w:r>
      <w:r>
        <w:rPr>
          <w:rFonts w:hint="eastAsia" w:ascii="宋体" w:hAnsi="宋体" w:eastAsia="宋体" w:cs="宋体"/>
          <w:b w:val="0"/>
          <w:bCs w:val="0"/>
          <w:color w:val="auto"/>
          <w:kern w:val="2"/>
          <w:sz w:val="21"/>
          <w:szCs w:val="21"/>
          <w:highlight w:val="none"/>
          <w:lang w:val="en-US" w:eastAsia="zh-CN" w:bidi="ar-SA"/>
        </w:rPr>
        <w:t>（具体详见分项报价清单）</w:t>
      </w:r>
      <w:r>
        <w:rPr>
          <w:rFonts w:hint="eastAsia" w:ascii="宋体" w:hAnsi="宋体" w:eastAsia="宋体" w:cs="宋体"/>
          <w:b w:val="0"/>
          <w:bCs w:val="0"/>
          <w:color w:val="auto"/>
          <w:kern w:val="2"/>
          <w:sz w:val="21"/>
          <w:szCs w:val="21"/>
          <w:highlight w:val="none"/>
          <w:lang w:val="zh-CN" w:eastAsia="zh-CN" w:bidi="ar-SA"/>
        </w:rPr>
        <w:t>。</w:t>
      </w:r>
    </w:p>
    <w:p w14:paraId="1B27258A">
      <w:pPr>
        <w:numPr>
          <w:ilvl w:val="0"/>
          <w:numId w:val="0"/>
        </w:numPr>
        <w:ind w:firstLine="420" w:firstLineChars="200"/>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b w:val="0"/>
          <w:bCs w:val="0"/>
          <w:color w:val="auto"/>
          <w:kern w:val="2"/>
          <w:sz w:val="21"/>
          <w:szCs w:val="21"/>
          <w:highlight w:val="none"/>
          <w:lang w:val="zh-CN" w:eastAsia="zh-CN" w:bidi="ar-SA"/>
        </w:rPr>
        <w:t>、</w:t>
      </w:r>
      <w:r>
        <w:rPr>
          <w:rFonts w:hint="eastAsia" w:ascii="宋体" w:hAnsi="宋体" w:eastAsia="宋体" w:cs="宋体"/>
          <w:b w:val="0"/>
          <w:bCs w:val="0"/>
          <w:color w:val="auto"/>
          <w:kern w:val="2"/>
          <w:sz w:val="21"/>
          <w:szCs w:val="21"/>
          <w:highlight w:val="none"/>
          <w:lang w:val="en-US" w:eastAsia="zh-CN" w:bidi="ar-SA"/>
        </w:rPr>
        <w:t>其他服务人员要求：投标人聘用人员到岗后，须向采购人提供聘用人员名册、身份证(扫描件)等材料。</w:t>
      </w:r>
      <w:r>
        <w:rPr>
          <w:rFonts w:hint="eastAsia" w:ascii="宋体" w:hAnsi="宋体" w:eastAsia="宋体" w:cs="宋体"/>
          <w:b w:val="0"/>
          <w:bCs w:val="0"/>
          <w:color w:val="auto"/>
          <w:kern w:val="2"/>
          <w:sz w:val="21"/>
          <w:szCs w:val="21"/>
          <w:highlight w:val="none"/>
          <w:lang w:val="zh-CN" w:eastAsia="zh-CN" w:bidi="ar-SA"/>
        </w:rPr>
        <w:t>人员素质及相关资质，招标人有权在上岗前进行面试、核查。</w:t>
      </w:r>
    </w:p>
    <w:p w14:paraId="56D6D3A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三、物业服务内容和要求</w:t>
      </w:r>
    </w:p>
    <w:p w14:paraId="4CDDAD48">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物业服务主要由安保、保洁，日常维护和维修（不包括设备重大维修和更换）、工器具及低值易耗品的维护和更换。具体说明如下：</w:t>
      </w:r>
    </w:p>
    <w:p w14:paraId="7940A0DF">
      <w:pPr>
        <w:autoSpaceDE w:val="0"/>
        <w:autoSpaceDN w:val="0"/>
        <w:adjustRightInd w:val="0"/>
        <w:spacing w:line="440" w:lineRule="exact"/>
        <w:ind w:firstLine="420" w:firstLineChars="200"/>
        <w:rPr>
          <w:rFonts w:hint="eastAsia" w:ascii="宋体" w:cs="宋体"/>
          <w:color w:val="auto"/>
          <w:kern w:val="0"/>
          <w:szCs w:val="21"/>
          <w:highlight w:val="none"/>
          <w:lang w:val="en-US" w:eastAsia="zh-CN"/>
        </w:rPr>
      </w:pPr>
      <w:r>
        <w:rPr>
          <w:rFonts w:hint="eastAsia" w:ascii="宋体" w:cs="宋体"/>
          <w:color w:val="auto"/>
          <w:kern w:val="0"/>
          <w:szCs w:val="21"/>
          <w:highlight w:val="none"/>
          <w:lang w:val="zh-CN"/>
        </w:rPr>
        <w:t>安保</w:t>
      </w:r>
      <w:r>
        <w:rPr>
          <w:rFonts w:hint="eastAsia" w:ascii="宋体" w:cs="宋体"/>
          <w:color w:val="auto"/>
          <w:kern w:val="0"/>
          <w:szCs w:val="21"/>
          <w:highlight w:val="none"/>
          <w:lang w:val="en-US" w:eastAsia="zh-CN"/>
        </w:rPr>
        <w:t xml:space="preserve">管控区域：项目施工出入口（共三个出入口）、办公区及宿舍区出入口管理（一个出入口）。 </w:t>
      </w:r>
    </w:p>
    <w:p w14:paraId="0F4F9A7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en-US" w:eastAsia="zh-CN"/>
        </w:rPr>
        <w:t>保洁管控区域：本项目施工道口（红线至市政道路区域）、临建办公区</w:t>
      </w:r>
      <w:r>
        <w:rPr>
          <w:rFonts w:hint="default" w:ascii="宋体" w:cs="宋体"/>
          <w:color w:val="auto"/>
          <w:kern w:val="0"/>
          <w:szCs w:val="21"/>
          <w:highlight w:val="none"/>
          <w:lang w:val="en-US" w:eastAsia="zh-CN"/>
        </w:rPr>
        <w:t>/</w:t>
      </w:r>
      <w:r>
        <w:rPr>
          <w:rFonts w:hint="eastAsia" w:ascii="宋体" w:cs="宋体"/>
          <w:color w:val="auto"/>
          <w:kern w:val="0"/>
          <w:szCs w:val="21"/>
          <w:highlight w:val="none"/>
          <w:lang w:val="en-US" w:eastAsia="zh-CN"/>
        </w:rPr>
        <w:t>工人生活区卫生间及场地地坪</w:t>
      </w:r>
      <w:r>
        <w:rPr>
          <w:rFonts w:hint="default" w:ascii="宋体" w:cs="宋体"/>
          <w:color w:val="auto"/>
          <w:kern w:val="0"/>
          <w:szCs w:val="21"/>
          <w:highlight w:val="none"/>
          <w:lang w:val="en-US" w:eastAsia="zh-CN"/>
        </w:rPr>
        <w:t>/</w:t>
      </w:r>
      <w:r>
        <w:rPr>
          <w:rFonts w:hint="eastAsia" w:ascii="宋体" w:cs="宋体"/>
          <w:color w:val="auto"/>
          <w:kern w:val="0"/>
          <w:szCs w:val="21"/>
          <w:highlight w:val="none"/>
          <w:lang w:val="en-US" w:eastAsia="zh-CN"/>
        </w:rPr>
        <w:t>道路日常保洁、临建办公区室内保洁。</w:t>
      </w:r>
    </w:p>
    <w:p w14:paraId="6F5DEB9B">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1、总体要求</w:t>
      </w:r>
    </w:p>
    <w:p w14:paraId="7F3B6B39">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物业服务区域内实行 24 小时监控、巡更执勤工作；确保24小时在岗在位值守，做到每4小时巡更一次。工作时间段内做好秩序维护、安全防范，做好车辆停放管理，确保无火灾、无刑事事故、无安全隐患发生。做好紧急突发事件的应急处理工作。如有事故发生，做到能够及时报警、保护现场，防止事态进一步恶化，事件处理及时率 100%。负责消防设施（灭火器、消火栓等）的检查及记录工作，确保处于完好状态。</w:t>
      </w:r>
    </w:p>
    <w:p w14:paraId="4773BDD6">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2、具体要求</w:t>
      </w:r>
    </w:p>
    <w:p w14:paraId="1256CCA5">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出入口管理：各出入口物业服务人员须做好来访人员的引导及秩序维护工作，建立问询身份查验、预约核实和登记制度，禁止推销、叫卖、携带宠物、衣着不整等人员进入区域。严禁易燃易爆等危险物品进入。</w:t>
      </w:r>
    </w:p>
    <w:p w14:paraId="36D22529">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（二） 保洁</w:t>
      </w:r>
    </w:p>
    <w:p w14:paraId="42183746">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1、总体保洁要求</w:t>
      </w:r>
    </w:p>
    <w:p w14:paraId="02695EFF">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门厅、坡道、走廊、卫生间、楼梯间、屋顶、室内墙壁、外墙、办公楼四周、院内等所有公共区域、扶栏管以及其他公共区域的清扫保洁、垃圾的收集清运和污水管道的清理及疏通、公共卫生防疫等。</w:t>
      </w:r>
    </w:p>
    <w:p w14:paraId="3CC367FD">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2、具体保洁要求</w:t>
      </w:r>
    </w:p>
    <w:p w14:paraId="36809164">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（1）公共部分：每天清扫，并在正常工作时间内保持墙面、地面等处的清洁；保持室内无杂物，无污痕、无尘挂。</w:t>
      </w:r>
    </w:p>
    <w:p w14:paraId="6B1736DF">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（2）公共部分玻璃如有指印等污迹须随时清洁。</w:t>
      </w:r>
    </w:p>
    <w:p w14:paraId="59B027B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（3）室内外地面、玻璃、窗台等每天应及时保洁，必要时清洗。</w:t>
      </w:r>
    </w:p>
    <w:p w14:paraId="6D2D5C2E">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4）楼道及大厅：楼内所有通道的地、墙、柱、不锈钢扶手、玻璃窗、摆饰品等无灰尘、无污渍、无杂物；玻璃幕墙、各出入口雨搭循环清洁，确保无污渍、无手印；各层和通道的防火门、电梯门、消防栓、灯具、墙面、地脚线、指示牌等公共设施保持清洁。</w:t>
      </w:r>
    </w:p>
    <w:p w14:paraId="70BE5BC4">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（5）卫生间：无异味，保持卫生洁具、墙面、地面、玻璃等处的清洁、无水迹、无污迹等。及时补充手纸、芳香球等易耗物品。</w:t>
      </w:r>
    </w:p>
    <w:p w14:paraId="10506B6D">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（8）各出入口及阶梯：每天及时清洁，确保地面无污渍。雨雪天气及时铺防滑地毯，并摆放小心地滑牌。</w:t>
      </w:r>
    </w:p>
    <w:p w14:paraId="48949DB0">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（9）垃圾桶：及时清理，保持里外干净。</w:t>
      </w:r>
    </w:p>
    <w:p w14:paraId="16217EAC">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w:t>
      </w:r>
      <w:r>
        <w:rPr>
          <w:rFonts w:hint="eastAsia" w:ascii="宋体" w:cs="宋体"/>
          <w:color w:val="auto"/>
          <w:kern w:val="0"/>
          <w:szCs w:val="21"/>
          <w:highlight w:val="none"/>
          <w:lang w:val="en-US" w:eastAsia="zh-CN"/>
        </w:rPr>
        <w:t>10</w:t>
      </w:r>
      <w:r>
        <w:rPr>
          <w:rFonts w:hint="eastAsia" w:ascii="宋体" w:cs="宋体"/>
          <w:color w:val="auto"/>
          <w:kern w:val="0"/>
          <w:szCs w:val="21"/>
          <w:highlight w:val="none"/>
          <w:lang w:val="zh-CN"/>
        </w:rPr>
        <w:t>）</w:t>
      </w:r>
      <w:r>
        <w:rPr>
          <w:rFonts w:hint="eastAsia" w:ascii="宋体" w:cs="宋体"/>
          <w:color w:val="auto"/>
          <w:kern w:val="0"/>
          <w:szCs w:val="21"/>
          <w:highlight w:val="none"/>
          <w:lang w:val="en-US" w:eastAsia="zh-CN"/>
        </w:rPr>
        <w:t>园区生活垃圾收集及外运</w:t>
      </w:r>
      <w:r>
        <w:rPr>
          <w:rFonts w:hint="eastAsia" w:ascii="宋体" w:cs="宋体"/>
          <w:color w:val="auto"/>
          <w:kern w:val="0"/>
          <w:szCs w:val="21"/>
          <w:highlight w:val="none"/>
          <w:lang w:val="zh-CN"/>
        </w:rPr>
        <w:t>。</w:t>
      </w:r>
    </w:p>
    <w:p w14:paraId="64B35EBA">
      <w:pPr>
        <w:spacing w:line="440" w:lineRule="exact"/>
        <w:ind w:firstLine="420" w:firstLineChars="200"/>
        <w:rPr>
          <w:rFonts w:hint="eastAsia" w:ascii="宋体"/>
          <w:color w:val="auto"/>
          <w:szCs w:val="21"/>
          <w:highlight w:val="none"/>
        </w:rPr>
      </w:pPr>
      <w:r>
        <w:rPr>
          <w:rFonts w:hint="eastAsia" w:ascii="宋体"/>
          <w:color w:val="auto"/>
          <w:szCs w:val="21"/>
          <w:highlight w:val="none"/>
        </w:rPr>
        <w:t>(六)服务期限：</w:t>
      </w:r>
    </w:p>
    <w:p w14:paraId="2977028C">
      <w:pPr>
        <w:spacing w:line="440" w:lineRule="exact"/>
        <w:ind w:firstLine="420" w:firstLineChars="200"/>
        <w:rPr>
          <w:rFonts w:hint="eastAsia" w:ascii="宋体"/>
          <w:color w:val="auto"/>
          <w:szCs w:val="21"/>
          <w:highlight w:val="none"/>
          <w:lang w:val="en-US" w:eastAsia="zh-CN"/>
        </w:rPr>
      </w:pPr>
      <w:r>
        <w:rPr>
          <w:rFonts w:hint="eastAsia" w:ascii="宋体"/>
          <w:color w:val="auto"/>
          <w:szCs w:val="21"/>
          <w:highlight w:val="none"/>
        </w:rPr>
        <w:t>1 、服务期限：</w:t>
      </w:r>
      <w:r>
        <w:rPr>
          <w:rFonts w:hint="eastAsia" w:ascii="宋体"/>
          <w:color w:val="auto"/>
          <w:szCs w:val="21"/>
          <w:highlight w:val="none"/>
          <w:lang w:val="en-US" w:eastAsia="zh-CN"/>
        </w:rPr>
        <w:t>服务周期约270天，不满或超过时间据实结算</w:t>
      </w:r>
    </w:p>
    <w:p w14:paraId="2E78BC90">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w:t>
      </w:r>
      <w:r>
        <w:rPr>
          <w:rFonts w:hint="eastAsia" w:ascii="宋体"/>
          <w:color w:val="auto"/>
          <w:szCs w:val="21"/>
          <w:highlight w:val="none"/>
        </w:rPr>
        <w:t xml:space="preserve"> 、合同期限：进行量化考核。合同到期，陪同招标人全面交接工作，按时撤离，如果被中止合同的企业未在规定的时间内撤离给招标人造成的损失，将依法追究责任。</w:t>
      </w:r>
    </w:p>
    <w:p w14:paraId="2ED8175E">
      <w:pPr>
        <w:spacing w:line="440" w:lineRule="exact"/>
        <w:ind w:firstLine="420" w:firstLineChars="200"/>
        <w:rPr>
          <w:rFonts w:hint="eastAsia" w:ascii="宋体"/>
          <w:color w:val="auto"/>
          <w:szCs w:val="21"/>
          <w:highlight w:val="none"/>
        </w:rPr>
      </w:pPr>
      <w:r>
        <w:rPr>
          <w:rFonts w:hint="eastAsia" w:ascii="宋体"/>
          <w:color w:val="auto"/>
          <w:szCs w:val="21"/>
          <w:highlight w:val="none"/>
        </w:rPr>
        <w:t>（七）其他相关要求：</w:t>
      </w:r>
    </w:p>
    <w:p w14:paraId="0CD615A4">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1、以上服务内容，由于物业公司工作不力、监管不到位等自身原因引起的各种事故及造成的各类损失，由物业公司承担全部经济和法律责任。</w:t>
      </w:r>
    </w:p>
    <w:p w14:paraId="0A80EF99">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2、物业公司遵守物业法规，承担招标方的物业服务及物业安全责任，达到物业工作质量标准。</w:t>
      </w:r>
    </w:p>
    <w:p w14:paraId="2C858C60">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3、物业公司应严格按照物业协议，按规定人数上岗，执行物业岗位职责、服务质量标准，承担物业管理服务、安全运行责任，达到全职全责。</w:t>
      </w:r>
    </w:p>
    <w:p w14:paraId="379A9BB7">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4、物业员工必须经培训合格后上岗，胜任本职、本岗工作。凡达不到工作要求的员工，物业公司应及时调换。</w:t>
      </w:r>
    </w:p>
    <w:p w14:paraId="4BD569E1">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5、物业员工文明上岗，统一着装，标志明显，自觉遵守相关规章制度。</w:t>
      </w:r>
    </w:p>
    <w:p w14:paraId="2E22AE3E">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6、遇雨雪天气，及时组织人员清理道路、各门门前保证畅通无阻。</w:t>
      </w:r>
    </w:p>
    <w:p w14:paraId="18A80306">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7、招标方因紧急或特别事件的需要，而要求中标方临时突击卫生清洁工作及安全保卫工作时，中标方应无条件执行，有关费用计入投标报价中。紧急或特别事件指（但不限于）：上级领导视察工作，进行重大文体、喜庆活动和暴雨、冰雪天等自然天气的突击清理以及安全保卫工作等。</w:t>
      </w:r>
    </w:p>
    <w:p w14:paraId="4DE1C642">
      <w:pPr>
        <w:pStyle w:val="65"/>
        <w:spacing w:line="440" w:lineRule="exact"/>
        <w:ind w:right="3" w:firstLine="420" w:firstLineChars="200"/>
        <w:jc w:val="both"/>
        <w:rPr>
          <w:rFonts w:hint="default" w:eastAsia="宋体"/>
          <w:color w:val="auto"/>
          <w:sz w:val="21"/>
          <w:szCs w:val="21"/>
          <w:highlight w:val="none"/>
          <w:lang w:val="en-US" w:eastAsia="zh-CN"/>
        </w:rPr>
      </w:pPr>
      <w:r>
        <w:rPr>
          <w:rFonts w:hint="eastAsia"/>
          <w:color w:val="auto"/>
          <w:sz w:val="21"/>
          <w:szCs w:val="21"/>
          <w:highlight w:val="none"/>
          <w:lang w:eastAsia="zh-CN"/>
        </w:rPr>
        <w:t>（</w:t>
      </w:r>
      <w:r>
        <w:rPr>
          <w:rFonts w:hint="eastAsia"/>
          <w:color w:val="auto"/>
          <w:sz w:val="21"/>
          <w:szCs w:val="21"/>
          <w:highlight w:val="none"/>
          <w:lang w:val="en-US" w:eastAsia="zh-CN"/>
        </w:rPr>
        <w:t>八</w:t>
      </w:r>
      <w:r>
        <w:rPr>
          <w:rFonts w:hint="eastAsia"/>
          <w:color w:val="auto"/>
          <w:sz w:val="21"/>
          <w:szCs w:val="21"/>
          <w:highlight w:val="none"/>
          <w:lang w:eastAsia="zh-CN"/>
        </w:rPr>
        <w:t>）</w:t>
      </w:r>
      <w:r>
        <w:rPr>
          <w:rFonts w:hint="eastAsia"/>
          <w:color w:val="auto"/>
          <w:sz w:val="21"/>
          <w:szCs w:val="21"/>
          <w:highlight w:val="none"/>
          <w:lang w:val="en-US" w:eastAsia="zh-CN"/>
        </w:rPr>
        <w:t>投标报价：包含物业服务内容所需的全部人员工资、奖金、保险费用，各种加班费、夜餐费、食宿与交通、设备及工具、器材、安保消耗材料、服装、办公、招标代理费用、各类保洁易耗品费用、接待等应急安全保卫及保洁卫生费用、税费、利润、完成合同所需的所有工作开支费用以及合同包含的所有风险、责任等全部费用。</w:t>
      </w:r>
    </w:p>
    <w:p w14:paraId="2E0B1031">
      <w:pPr>
        <w:autoSpaceDE w:val="0"/>
        <w:autoSpaceDN w:val="0"/>
        <w:adjustRightInd w:val="0"/>
        <w:spacing w:line="440" w:lineRule="exact"/>
        <w:ind w:firstLine="422" w:firstLineChars="200"/>
        <w:rPr>
          <w:rFonts w:hint="eastAsia" w:ascii="黑体" w:eastAsia="黑体" w:cs="宋体"/>
          <w:b/>
          <w:bCs/>
          <w:color w:val="auto"/>
          <w:kern w:val="0"/>
          <w:szCs w:val="21"/>
          <w:highlight w:val="none"/>
          <w:lang w:val="zh-CN"/>
        </w:rPr>
      </w:pPr>
      <w:r>
        <w:rPr>
          <w:rFonts w:hint="eastAsia" w:ascii="黑体" w:eastAsia="黑体" w:cs="宋体"/>
          <w:b/>
          <w:bCs/>
          <w:color w:val="auto"/>
          <w:kern w:val="0"/>
          <w:szCs w:val="21"/>
          <w:highlight w:val="none"/>
          <w:lang w:val="zh-CN"/>
        </w:rPr>
        <w:t>四、考核</w:t>
      </w:r>
    </w:p>
    <w:p w14:paraId="2AF24A4B">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1、工作进行质量考核，具体考核办法如下：</w:t>
      </w:r>
    </w:p>
    <w:p w14:paraId="7B94F5ED">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由招标人组织人员采用全面检查、抽查、暗查、满意度调查等方式开展定期或不定期检查，对照服务内容和要求，进行现场评分、亮分，并由</w:t>
      </w:r>
      <w:r>
        <w:rPr>
          <w:rFonts w:hint="eastAsia" w:ascii="宋体"/>
          <w:color w:val="auto"/>
          <w:szCs w:val="28"/>
          <w:highlight w:val="none"/>
        </w:rPr>
        <w:t>中标单位对检查结果认可签字，</w:t>
      </w:r>
      <w:r>
        <w:rPr>
          <w:rFonts w:hint="eastAsia" w:ascii="宋体" w:cs="宋体"/>
          <w:color w:val="auto"/>
          <w:kern w:val="0"/>
          <w:szCs w:val="21"/>
          <w:highlight w:val="none"/>
        </w:rPr>
        <w:t>若中标单位拒不签字，</w:t>
      </w:r>
      <w:r>
        <w:rPr>
          <w:rFonts w:hint="eastAsia" w:ascii="宋体"/>
          <w:color w:val="auto"/>
          <w:szCs w:val="28"/>
          <w:highlight w:val="none"/>
        </w:rPr>
        <w:t>按照考核办法检查照片和现场考核人员两人签字为准，作为考核依据。</w:t>
      </w:r>
    </w:p>
    <w:p w14:paraId="10398D74">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2、分值评定</w:t>
      </w:r>
    </w:p>
    <w:p w14:paraId="3583DDF8">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考核分值为 100 分，作为对中标者物业费支付的依据（详见《考核评分标准》）。</w:t>
      </w:r>
    </w:p>
    <w:p w14:paraId="4AD113C4">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3、考核措施</w:t>
      </w:r>
    </w:p>
    <w:p w14:paraId="397C9B76">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考核得分在 95分（含 95 分以上）为优秀，95分（不含95分）~90分（含90分）为合格，90分（不含90分）以下为不合格。存在的问题中标人响应招标人要求限期整改，否则，招标人有权单方面解除合同。</w:t>
      </w:r>
    </w:p>
    <w:p w14:paraId="05DECE25">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4、考核评分标准</w:t>
      </w:r>
    </w:p>
    <w:p w14:paraId="746ABE32">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考核平均分在90分（含）以上的，全额支付</w:t>
      </w:r>
      <w:r>
        <w:rPr>
          <w:rFonts w:hint="eastAsia" w:ascii="宋体" w:cs="宋体"/>
          <w:color w:val="auto"/>
          <w:kern w:val="0"/>
          <w:szCs w:val="21"/>
          <w:highlight w:val="none"/>
          <w:lang w:val="en-US" w:eastAsia="zh-CN"/>
        </w:rPr>
        <w:t>物业费</w:t>
      </w:r>
      <w:r>
        <w:rPr>
          <w:rFonts w:hint="eastAsia" w:ascii="宋体" w:cs="宋体"/>
          <w:color w:val="auto"/>
          <w:kern w:val="0"/>
          <w:szCs w:val="21"/>
          <w:highlight w:val="none"/>
        </w:rPr>
        <w:t>；85（含）至90分，支付90%</w:t>
      </w:r>
      <w:r>
        <w:rPr>
          <w:rFonts w:hint="eastAsia" w:ascii="宋体" w:cs="宋体"/>
          <w:color w:val="auto"/>
          <w:kern w:val="0"/>
          <w:szCs w:val="21"/>
          <w:highlight w:val="none"/>
          <w:lang w:val="en-US" w:eastAsia="zh-CN"/>
        </w:rPr>
        <w:t>物业费</w:t>
      </w:r>
      <w:r>
        <w:rPr>
          <w:rFonts w:hint="eastAsia" w:ascii="宋体" w:cs="宋体"/>
          <w:color w:val="auto"/>
          <w:kern w:val="0"/>
          <w:szCs w:val="21"/>
          <w:highlight w:val="none"/>
        </w:rPr>
        <w:t>；85分以下的，</w:t>
      </w:r>
      <w:r>
        <w:rPr>
          <w:rFonts w:hint="eastAsia" w:ascii="宋体" w:cs="宋体"/>
          <w:color w:val="auto"/>
          <w:kern w:val="0"/>
          <w:szCs w:val="21"/>
          <w:highlight w:val="none"/>
          <w:lang w:val="en-US" w:eastAsia="zh-CN"/>
        </w:rPr>
        <w:t>按比例</w:t>
      </w:r>
      <w:r>
        <w:rPr>
          <w:rFonts w:hint="eastAsia" w:ascii="宋体" w:cs="宋体"/>
          <w:color w:val="auto"/>
          <w:kern w:val="0"/>
          <w:szCs w:val="21"/>
          <w:highlight w:val="none"/>
        </w:rPr>
        <w:t>支付</w:t>
      </w:r>
      <w:r>
        <w:rPr>
          <w:rFonts w:hint="eastAsia" w:ascii="宋体" w:cs="宋体"/>
          <w:color w:val="auto"/>
          <w:kern w:val="0"/>
          <w:szCs w:val="21"/>
          <w:highlight w:val="none"/>
          <w:lang w:val="en-US" w:eastAsia="zh-CN"/>
        </w:rPr>
        <w:t>物业费</w:t>
      </w:r>
      <w:r>
        <w:rPr>
          <w:rFonts w:hint="eastAsia" w:ascii="宋体" w:cs="宋体"/>
          <w:color w:val="auto"/>
          <w:kern w:val="0"/>
          <w:szCs w:val="21"/>
          <w:highlight w:val="none"/>
        </w:rPr>
        <w:t>。</w:t>
      </w:r>
    </w:p>
    <w:p w14:paraId="5AA243AB">
      <w:pPr>
        <w:spacing w:line="420" w:lineRule="exact"/>
        <w:jc w:val="center"/>
        <w:rPr>
          <w:rFonts w:hint="eastAsia" w:asciiTheme="majorEastAsia" w:hAnsiTheme="majorEastAsia" w:eastAsiaTheme="majorEastAsia" w:cstheme="majorEastAsia"/>
          <w:b/>
          <w:color w:val="auto"/>
          <w:sz w:val="32"/>
          <w:szCs w:val="32"/>
          <w:highlight w:val="none"/>
        </w:rPr>
      </w:pPr>
    </w:p>
    <w:p w14:paraId="4A964826">
      <w:pPr>
        <w:spacing w:line="420" w:lineRule="exact"/>
        <w:jc w:val="center"/>
        <w:rPr>
          <w:rFonts w:hint="eastAsia" w:asciiTheme="majorEastAsia" w:hAnsiTheme="majorEastAsia" w:eastAsiaTheme="majorEastAsia" w:cstheme="majorEastAsia"/>
          <w:b/>
          <w:color w:val="auto"/>
          <w:sz w:val="32"/>
          <w:szCs w:val="32"/>
          <w:highlight w:val="none"/>
        </w:rPr>
      </w:pPr>
    </w:p>
    <w:p w14:paraId="13282A2A">
      <w:pPr>
        <w:spacing w:line="420" w:lineRule="exact"/>
        <w:jc w:val="center"/>
        <w:rPr>
          <w:rFonts w:hint="eastAsia" w:asciiTheme="majorEastAsia" w:hAnsiTheme="majorEastAsia" w:eastAsiaTheme="majorEastAsia" w:cstheme="majorEastAsia"/>
          <w:b/>
          <w:color w:val="auto"/>
          <w:sz w:val="32"/>
          <w:szCs w:val="32"/>
          <w:highlight w:val="none"/>
        </w:rPr>
      </w:pPr>
    </w:p>
    <w:p w14:paraId="28282ACF">
      <w:pPr>
        <w:spacing w:line="420" w:lineRule="exact"/>
        <w:jc w:val="center"/>
        <w:rPr>
          <w:rFonts w:hint="eastAsia" w:asciiTheme="majorEastAsia" w:hAnsiTheme="majorEastAsia" w:eastAsiaTheme="majorEastAsia" w:cstheme="majorEastAsia"/>
          <w:b/>
          <w:color w:val="auto"/>
          <w:sz w:val="32"/>
          <w:szCs w:val="32"/>
          <w:highlight w:val="none"/>
        </w:rPr>
      </w:pPr>
    </w:p>
    <w:p w14:paraId="0AB5FE51">
      <w:pPr>
        <w:spacing w:line="420" w:lineRule="exact"/>
        <w:jc w:val="center"/>
        <w:rPr>
          <w:rFonts w:hint="eastAsia" w:asciiTheme="majorEastAsia" w:hAnsiTheme="majorEastAsia" w:eastAsiaTheme="majorEastAsia" w:cstheme="majorEastAsia"/>
          <w:b/>
          <w:color w:val="auto"/>
          <w:sz w:val="32"/>
          <w:szCs w:val="32"/>
          <w:highlight w:val="none"/>
        </w:rPr>
      </w:pPr>
    </w:p>
    <w:p w14:paraId="7601995E">
      <w:pPr>
        <w:spacing w:line="420" w:lineRule="exact"/>
        <w:jc w:val="center"/>
        <w:rPr>
          <w:rFonts w:hint="eastAsia" w:asciiTheme="majorEastAsia" w:hAnsiTheme="majorEastAsia" w:eastAsiaTheme="majorEastAsia" w:cstheme="majorEastAsia"/>
          <w:b/>
          <w:color w:val="auto"/>
          <w:sz w:val="32"/>
          <w:szCs w:val="32"/>
          <w:highlight w:val="none"/>
        </w:rPr>
      </w:pPr>
    </w:p>
    <w:p w14:paraId="5835B046">
      <w:pPr>
        <w:spacing w:line="420" w:lineRule="exact"/>
        <w:jc w:val="center"/>
        <w:rPr>
          <w:rFonts w:hint="eastAsia" w:asciiTheme="majorEastAsia" w:hAnsiTheme="majorEastAsia" w:eastAsiaTheme="majorEastAsia" w:cstheme="majorEastAsia"/>
          <w:b/>
          <w:color w:val="auto"/>
          <w:sz w:val="32"/>
          <w:szCs w:val="32"/>
          <w:highlight w:val="none"/>
        </w:rPr>
      </w:pPr>
    </w:p>
    <w:p w14:paraId="755BD86C">
      <w:pPr>
        <w:spacing w:line="420" w:lineRule="exact"/>
        <w:jc w:val="center"/>
        <w:rPr>
          <w:rFonts w:hint="eastAsia" w:asciiTheme="majorEastAsia" w:hAnsiTheme="majorEastAsia" w:eastAsiaTheme="majorEastAsia" w:cstheme="majorEastAsia"/>
          <w:b/>
          <w:color w:val="auto"/>
          <w:sz w:val="32"/>
          <w:szCs w:val="32"/>
          <w:highlight w:val="none"/>
        </w:rPr>
      </w:pPr>
    </w:p>
    <w:p w14:paraId="39CB24CD">
      <w:pPr>
        <w:spacing w:line="420" w:lineRule="exact"/>
        <w:jc w:val="center"/>
        <w:rPr>
          <w:rFonts w:hint="eastAsia" w:asciiTheme="majorEastAsia" w:hAnsiTheme="majorEastAsia" w:eastAsiaTheme="majorEastAsia" w:cstheme="majorEastAsia"/>
          <w:b/>
          <w:color w:val="auto"/>
          <w:sz w:val="32"/>
          <w:szCs w:val="32"/>
          <w:highlight w:val="none"/>
        </w:rPr>
      </w:pPr>
    </w:p>
    <w:p w14:paraId="3126FC34">
      <w:pPr>
        <w:spacing w:line="420" w:lineRule="exact"/>
        <w:jc w:val="center"/>
        <w:rPr>
          <w:rFonts w:hint="eastAsia" w:asciiTheme="majorEastAsia" w:hAnsiTheme="majorEastAsia" w:eastAsiaTheme="majorEastAsia" w:cstheme="majorEastAsia"/>
          <w:b/>
          <w:color w:val="auto"/>
          <w:sz w:val="32"/>
          <w:szCs w:val="32"/>
          <w:highlight w:val="none"/>
        </w:rPr>
      </w:pPr>
    </w:p>
    <w:p w14:paraId="455611D1">
      <w:pPr>
        <w:spacing w:line="420" w:lineRule="exact"/>
        <w:jc w:val="center"/>
        <w:rPr>
          <w:rFonts w:hint="eastAsia" w:asciiTheme="majorEastAsia" w:hAnsiTheme="majorEastAsia" w:eastAsiaTheme="majorEastAsia" w:cstheme="majorEastAsia"/>
          <w:b/>
          <w:color w:val="auto"/>
          <w:sz w:val="32"/>
          <w:szCs w:val="32"/>
          <w:highlight w:val="none"/>
        </w:rPr>
      </w:pPr>
    </w:p>
    <w:p w14:paraId="581340D9">
      <w:pPr>
        <w:spacing w:line="420" w:lineRule="exact"/>
        <w:jc w:val="cente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第六章  合同条款及格式</w:t>
      </w:r>
    </w:p>
    <w:p w14:paraId="2742CD8D">
      <w:pPr>
        <w:adjustRightInd w:val="0"/>
        <w:snapToGrid w:val="0"/>
        <w:spacing w:line="440" w:lineRule="exact"/>
        <w:ind w:firstLine="411" w:firstLineChars="196"/>
        <w:rPr>
          <w:rFonts w:hint="eastAsia" w:ascii="宋体"/>
          <w:color w:val="auto"/>
          <w:szCs w:val="21"/>
          <w:highlight w:val="none"/>
        </w:rPr>
      </w:pPr>
      <w:r>
        <w:rPr>
          <w:rFonts w:hint="eastAsia" w:ascii="宋体"/>
          <w:color w:val="auto"/>
          <w:szCs w:val="21"/>
          <w:highlight w:val="none"/>
        </w:rPr>
        <w:t>（签订合同时，仅以此本文为基准，具体条款双方协定，但不得违反交易文件的相关规定）</w:t>
      </w:r>
    </w:p>
    <w:p w14:paraId="637CAA9A">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一、总  则</w:t>
      </w:r>
    </w:p>
    <w:p w14:paraId="520EDAE4">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第一条  本合同当事人</w:t>
      </w:r>
    </w:p>
    <w:p w14:paraId="09BA2595">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委托方（以下简称甲方）：</w:t>
      </w:r>
      <w:r>
        <w:rPr>
          <w:rFonts w:hint="eastAsia" w:ascii="宋体"/>
          <w:color w:val="auto"/>
          <w:szCs w:val="21"/>
          <w:highlight w:val="none"/>
          <w:u w:val="single"/>
        </w:rPr>
        <w:t xml:space="preserve">                                      </w:t>
      </w:r>
    </w:p>
    <w:p w14:paraId="7B591355">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法定代表人：</w:t>
      </w:r>
      <w:r>
        <w:rPr>
          <w:rFonts w:hint="eastAsia" w:ascii="宋体"/>
          <w:color w:val="auto"/>
          <w:szCs w:val="21"/>
          <w:highlight w:val="none"/>
          <w:u w:val="single"/>
        </w:rPr>
        <w:t xml:space="preserve">                                                 </w:t>
      </w:r>
    </w:p>
    <w:p w14:paraId="492ACB71">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地    址：</w:t>
      </w:r>
      <w:r>
        <w:rPr>
          <w:rFonts w:hint="eastAsia" w:ascii="宋体"/>
          <w:color w:val="auto"/>
          <w:szCs w:val="21"/>
          <w:highlight w:val="none"/>
          <w:u w:val="single"/>
        </w:rPr>
        <w:t xml:space="preserve">                                                   </w:t>
      </w:r>
    </w:p>
    <w:p w14:paraId="20FF72EE">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联系电话：</w:t>
      </w:r>
      <w:r>
        <w:rPr>
          <w:rFonts w:hint="eastAsia" w:ascii="宋体"/>
          <w:color w:val="auto"/>
          <w:szCs w:val="21"/>
          <w:highlight w:val="none"/>
          <w:u w:val="single"/>
        </w:rPr>
        <w:t xml:space="preserve">                                                   </w:t>
      </w:r>
    </w:p>
    <w:p w14:paraId="2FBE3C8F">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受托方（以下简称乙方）：</w:t>
      </w:r>
      <w:r>
        <w:rPr>
          <w:rFonts w:hint="eastAsia" w:ascii="宋体"/>
          <w:color w:val="auto"/>
          <w:szCs w:val="21"/>
          <w:highlight w:val="none"/>
          <w:u w:val="single"/>
        </w:rPr>
        <w:t xml:space="preserve">                                     </w:t>
      </w:r>
    </w:p>
    <w:p w14:paraId="05110612">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法定代表人：</w:t>
      </w:r>
      <w:r>
        <w:rPr>
          <w:rFonts w:hint="eastAsia" w:ascii="宋体"/>
          <w:color w:val="auto"/>
          <w:szCs w:val="21"/>
          <w:highlight w:val="none"/>
          <w:u w:val="single"/>
        </w:rPr>
        <w:t xml:space="preserve">                                                 </w:t>
      </w:r>
    </w:p>
    <w:p w14:paraId="4C78EE91">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注册地址： </w:t>
      </w:r>
      <w:r>
        <w:rPr>
          <w:rFonts w:hint="eastAsia" w:ascii="宋体"/>
          <w:color w:val="auto"/>
          <w:szCs w:val="21"/>
          <w:highlight w:val="none"/>
          <w:u w:val="single"/>
        </w:rPr>
        <w:t xml:space="preserve">                                                  </w:t>
      </w:r>
    </w:p>
    <w:p w14:paraId="778F1E43">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联系电话： </w:t>
      </w:r>
      <w:r>
        <w:rPr>
          <w:rFonts w:hint="eastAsia" w:ascii="宋体"/>
          <w:color w:val="auto"/>
          <w:szCs w:val="21"/>
          <w:highlight w:val="none"/>
          <w:u w:val="single"/>
        </w:rPr>
        <w:t xml:space="preserve">                                                  </w:t>
      </w:r>
      <w:r>
        <w:rPr>
          <w:rFonts w:hint="eastAsia" w:ascii="宋体"/>
          <w:color w:val="auto"/>
          <w:szCs w:val="21"/>
          <w:highlight w:val="none"/>
        </w:rPr>
        <w:t xml:space="preserve"> </w:t>
      </w:r>
    </w:p>
    <w:p w14:paraId="7E75765E">
      <w:pPr>
        <w:spacing w:line="440" w:lineRule="exact"/>
        <w:ind w:firstLine="420" w:firstLineChars="200"/>
        <w:rPr>
          <w:rFonts w:hint="eastAsia" w:ascii="宋体" w:cs="宋体"/>
          <w:color w:val="auto"/>
          <w:kern w:val="0"/>
          <w:szCs w:val="21"/>
          <w:highlight w:val="none"/>
          <w:u w:val="none"/>
          <w:lang w:val="zh-CN"/>
        </w:rPr>
      </w:pPr>
      <w:r>
        <w:rPr>
          <w:rFonts w:hint="eastAsia" w:ascii="宋体" w:cs="宋体"/>
          <w:color w:val="auto"/>
          <w:kern w:val="0"/>
          <w:szCs w:val="21"/>
          <w:highlight w:val="none"/>
          <w:u w:val="none"/>
          <w:lang w:val="zh-CN"/>
        </w:rPr>
        <w:t>根据《中华人民共和国民法典》相关规定，在自愿、平等、协商一致的基础上，甲方将滁州市城管大厦（物业名称）委托于乙方实行物业管理，订立本合同。</w:t>
      </w:r>
    </w:p>
    <w:p w14:paraId="7F381083">
      <w:pPr>
        <w:spacing w:line="440" w:lineRule="exact"/>
        <w:ind w:firstLine="420" w:firstLineChars="200"/>
        <w:rPr>
          <w:rFonts w:hint="eastAsia" w:ascii="宋体" w:cs="宋体"/>
          <w:color w:val="auto"/>
          <w:kern w:val="0"/>
          <w:szCs w:val="21"/>
          <w:highlight w:val="none"/>
          <w:u w:val="none"/>
          <w:lang w:val="zh-CN"/>
        </w:rPr>
      </w:pPr>
      <w:r>
        <w:rPr>
          <w:rFonts w:hint="eastAsia" w:ascii="宋体" w:cs="宋体"/>
          <w:color w:val="auto"/>
          <w:kern w:val="0"/>
          <w:szCs w:val="21"/>
          <w:highlight w:val="none"/>
          <w:u w:val="none"/>
          <w:lang w:val="zh-CN"/>
        </w:rPr>
        <w:t>第二条  物业基本状况</w:t>
      </w:r>
    </w:p>
    <w:p w14:paraId="78232674">
      <w:pPr>
        <w:spacing w:line="440" w:lineRule="exact"/>
        <w:ind w:firstLine="420" w:firstLineChars="200"/>
        <w:rPr>
          <w:rFonts w:hint="eastAsia" w:ascii="宋体"/>
          <w:color w:val="auto"/>
          <w:szCs w:val="21"/>
          <w:highlight w:val="none"/>
        </w:rPr>
      </w:pPr>
      <w:r>
        <w:rPr>
          <w:rFonts w:hint="eastAsia" w:ascii="宋体" w:cs="宋体"/>
          <w:color w:val="auto"/>
          <w:kern w:val="0"/>
          <w:szCs w:val="21"/>
          <w:highlight w:val="none"/>
          <w:u w:val="none"/>
          <w:lang w:val="zh-CN"/>
        </w:rPr>
        <w:t>滁州工投企业服务有限公司管理施工工地物业服务外包项目。</w:t>
      </w:r>
    </w:p>
    <w:p w14:paraId="30E1F56A">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第三条  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14:paraId="12953C9A">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二、 委托管理服务事项</w:t>
      </w:r>
    </w:p>
    <w:p w14:paraId="11576E44">
      <w:pPr>
        <w:spacing w:line="440" w:lineRule="exact"/>
        <w:ind w:firstLine="420" w:firstLineChars="200"/>
        <w:rPr>
          <w:rFonts w:hint="eastAsia" w:ascii="宋体"/>
          <w:color w:val="auto"/>
          <w:szCs w:val="21"/>
          <w:highlight w:val="none"/>
        </w:rPr>
      </w:pPr>
      <w:r>
        <w:rPr>
          <w:rFonts w:hint="eastAsia" w:ascii="宋体"/>
          <w:color w:val="auto"/>
          <w:szCs w:val="21"/>
          <w:highlight w:val="none"/>
        </w:rPr>
        <w:t>第四条  委托管理服务事项，</w:t>
      </w:r>
      <w:r>
        <w:rPr>
          <w:rFonts w:hint="eastAsia" w:ascii="宋体" w:cs="宋体"/>
          <w:color w:val="auto"/>
          <w:kern w:val="0"/>
          <w:szCs w:val="21"/>
          <w:highlight w:val="none"/>
          <w:lang w:val="zh-CN"/>
        </w:rPr>
        <w:t>主要由安保、保洁、设备运行管理，日常维护和维修（不包括设备重大维修和更换）、工器具及低值易耗品的维护和更换、垃圾清运等项目组成。具体说明如下：</w:t>
      </w:r>
    </w:p>
    <w:p w14:paraId="7D2D36DF">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（一）安保</w:t>
      </w:r>
    </w:p>
    <w:p w14:paraId="5B83882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1、总体要求</w:t>
      </w:r>
    </w:p>
    <w:p w14:paraId="045DA5F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物业服务区域内实行 24 小时监控、巡更执勤工作；确保24小时在岗在位值守，做到每4小时巡更一次。工作时间段内做好秩序维护、安全防范，做好车辆停放管理，确保无火灾、无刑事事故、无安全隐患发生。做好紧急突发事件的应急处理工作。如有事故发生，做到能够及时报警、保护现场，防止事态进一步恶化，事件处理及时率 100%。负责消防设施（灭火器、消火栓等）的检查及记录工作，确保处于完好状态。</w:t>
      </w:r>
    </w:p>
    <w:p w14:paraId="1751CEAB">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2、具体要求</w:t>
      </w:r>
    </w:p>
    <w:p w14:paraId="7AD795B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出入口管理：各出入口物业服务人员须做好来访人员的引导及秩序维护工作，建立问询身份查验、预约核实和登记制度，禁止推销、叫卖、携带宠物、衣着不整等人员进入区域。严禁易燃易爆等危险物品进入，非办公时间实施封闭式管理；收发各种报刊杂志、邮件、信件，做好大件物品出入查验工作，确保物品安全。</w:t>
      </w:r>
    </w:p>
    <w:p w14:paraId="641058C9">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（二） 保洁</w:t>
      </w:r>
    </w:p>
    <w:p w14:paraId="7FC1F49D">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1、总体保洁要求</w:t>
      </w:r>
    </w:p>
    <w:p w14:paraId="47B4F594">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门厅、中庭、坡道、走廊、卫生间、楼梯间、屋顶、室内墙壁、外墙、办公楼四周、院内、绿化带等所有公共区域、空调进出风口、扶栏管以及其他公共区域的清扫保洁、垃圾的收集清运和污水管道的清理及疏通、公共卫生防疫等。</w:t>
      </w:r>
    </w:p>
    <w:p w14:paraId="3A04884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2、具体保洁要求</w:t>
      </w:r>
    </w:p>
    <w:p w14:paraId="6E18405B">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（1）公共部分：每天清扫，并在正常工作时间内保持墙面、地面等处的清洁；保持室内无杂物，无污痕、无尘挂。</w:t>
      </w:r>
    </w:p>
    <w:p w14:paraId="3852710C">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（2）公共部分玻璃如有指印等污迹须随时清洁。</w:t>
      </w:r>
    </w:p>
    <w:p w14:paraId="466945F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（3）室内外地面、玻璃、窗台等每天应及时保洁，必要时清洗。</w:t>
      </w:r>
    </w:p>
    <w:p w14:paraId="0F16C38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4）楼道及大厅：楼内所有通道的地、墙、柱、不锈钢扶手、玻璃窗、摆饰品等无灰尘、无污渍、无杂物；玻璃幕墙、各出入口雨搭循环清洁，确保无污渍、无手印；各层和通道的防火门、电梯门、消防栓、灯具、墙面、地脚线、指示牌等公共设施保持清洁。</w:t>
      </w:r>
    </w:p>
    <w:p w14:paraId="068B7B6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（5）卫生间：无异味，保持卫生洁具、墙面、地面、玻璃等处的清洁、无水迹、无污迹等。及时补充手纸、芳香球等易耗物品。</w:t>
      </w:r>
    </w:p>
    <w:p w14:paraId="12E49E8C">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（6）电梯：按国家规定进行常规保养，保持电梯轿厢清洁，每天进行电梯轿厢壁的保养。扶梯玻璃无污迹，踏步无灰尘或污迹。</w:t>
      </w:r>
    </w:p>
    <w:p w14:paraId="121BECFA">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（7）建筑外立面：建筑物、构筑物外立面有明显污迹时，应当及时用清水进行清洗。每年五一、十一前须清洗一次。</w:t>
      </w:r>
    </w:p>
    <w:p w14:paraId="343F436E">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（8）各出入口及阶梯：每天及时清洁，确保地面无污渍。雨雪天气及时铺防滑地毯，并摆放小心地滑牌。</w:t>
      </w:r>
    </w:p>
    <w:p w14:paraId="4A7541D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（9）垃圾桶：及时清理，保持里外干净。</w:t>
      </w:r>
    </w:p>
    <w:p w14:paraId="2B10E4B6">
      <w:pPr>
        <w:autoSpaceDE w:val="0"/>
        <w:autoSpaceDN w:val="0"/>
        <w:adjustRightInd w:val="0"/>
        <w:spacing w:line="440" w:lineRule="exact"/>
        <w:ind w:firstLine="420" w:firstLineChars="200"/>
        <w:rPr>
          <w:rFonts w:hint="eastAsia" w:cs="宋体"/>
          <w:color w:val="auto"/>
          <w:kern w:val="0"/>
          <w:szCs w:val="21"/>
          <w:highlight w:val="none"/>
        </w:rPr>
      </w:pPr>
      <w:r>
        <w:rPr>
          <w:rFonts w:hint="eastAsia" w:ascii="宋体" w:cs="宋体"/>
          <w:color w:val="auto"/>
          <w:kern w:val="0"/>
          <w:szCs w:val="21"/>
          <w:highlight w:val="none"/>
          <w:lang w:val="zh-CN"/>
        </w:rPr>
        <w:t>（10）排水沟、地下管井：随时清理，确保无杂物、随时畅通。</w:t>
      </w:r>
    </w:p>
    <w:p w14:paraId="7BC42349">
      <w:pPr>
        <w:spacing w:line="440" w:lineRule="exact"/>
        <w:ind w:firstLine="420" w:firstLineChars="200"/>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eastAsia="zh-CN"/>
        </w:rPr>
        <w:t>六</w:t>
      </w:r>
      <w:r>
        <w:rPr>
          <w:rFonts w:hint="eastAsia" w:ascii="宋体"/>
          <w:color w:val="auto"/>
          <w:szCs w:val="21"/>
          <w:highlight w:val="none"/>
        </w:rPr>
        <w:t>)服务期限：</w:t>
      </w:r>
    </w:p>
    <w:p w14:paraId="79C749AD">
      <w:pPr>
        <w:spacing w:line="440" w:lineRule="exact"/>
        <w:ind w:firstLine="420" w:firstLineChars="200"/>
        <w:rPr>
          <w:rFonts w:hint="eastAsia" w:ascii="宋体" w:eastAsiaTheme="minorEastAsia"/>
          <w:color w:val="auto"/>
          <w:szCs w:val="21"/>
          <w:highlight w:val="none"/>
          <w:lang w:eastAsia="zh-CN"/>
        </w:rPr>
      </w:pPr>
      <w:r>
        <w:rPr>
          <w:rFonts w:hint="eastAsia" w:ascii="宋体"/>
          <w:color w:val="auto"/>
          <w:szCs w:val="21"/>
          <w:highlight w:val="none"/>
        </w:rPr>
        <w:t>1 、服务期限：</w:t>
      </w:r>
      <w:r>
        <w:rPr>
          <w:rFonts w:hint="eastAsia" w:ascii="宋体"/>
          <w:color w:val="auto"/>
          <w:szCs w:val="21"/>
          <w:highlight w:val="none"/>
          <w:lang w:val="en-US" w:eastAsia="zh-CN"/>
        </w:rPr>
        <w:t>服务周期约270天，不满或超过时间据实结算。</w:t>
      </w:r>
    </w:p>
    <w:p w14:paraId="77C2CAB3">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w:t>
      </w:r>
      <w:r>
        <w:rPr>
          <w:rFonts w:hint="eastAsia" w:ascii="宋体"/>
          <w:color w:val="auto"/>
          <w:szCs w:val="21"/>
          <w:highlight w:val="none"/>
        </w:rPr>
        <w:t xml:space="preserve"> 、合同期限：进行量化考核。合同到期，陪同</w:t>
      </w:r>
      <w:r>
        <w:rPr>
          <w:rFonts w:hint="eastAsia" w:ascii="宋体"/>
          <w:color w:val="auto"/>
          <w:szCs w:val="21"/>
          <w:highlight w:val="none"/>
          <w:lang w:val="en-US" w:eastAsia="zh-CN"/>
        </w:rPr>
        <w:t>甲方</w:t>
      </w:r>
      <w:r>
        <w:rPr>
          <w:rFonts w:hint="eastAsia" w:ascii="宋体"/>
          <w:color w:val="auto"/>
          <w:szCs w:val="21"/>
          <w:highlight w:val="none"/>
        </w:rPr>
        <w:t>全面交接工作，按时撤离，如果被中止合同的企业未在规定的时间内撤离给招标人造成的损失，</w:t>
      </w:r>
      <w:r>
        <w:rPr>
          <w:rFonts w:hint="eastAsia" w:ascii="宋体"/>
          <w:color w:val="auto"/>
          <w:szCs w:val="21"/>
          <w:highlight w:val="none"/>
          <w:u w:val="single"/>
          <w:lang w:val="en-US" w:eastAsia="zh-CN"/>
        </w:rPr>
        <w:t>需承担由此给甲方造成的损失，同时甲方保留</w:t>
      </w:r>
      <w:r>
        <w:rPr>
          <w:rFonts w:hint="eastAsia" w:ascii="宋体"/>
          <w:color w:val="auto"/>
          <w:szCs w:val="21"/>
          <w:highlight w:val="none"/>
          <w:u w:val="single"/>
        </w:rPr>
        <w:t>追究</w:t>
      </w:r>
      <w:r>
        <w:rPr>
          <w:rFonts w:hint="eastAsia" w:ascii="宋体"/>
          <w:color w:val="auto"/>
          <w:szCs w:val="21"/>
          <w:highlight w:val="none"/>
          <w:u w:val="single"/>
          <w:lang w:val="en-US" w:eastAsia="zh-CN"/>
        </w:rPr>
        <w:t>其</w:t>
      </w:r>
      <w:r>
        <w:rPr>
          <w:rFonts w:hint="eastAsia" w:ascii="宋体"/>
          <w:color w:val="auto"/>
          <w:szCs w:val="21"/>
          <w:highlight w:val="none"/>
          <w:u w:val="single"/>
        </w:rPr>
        <w:t>责任</w:t>
      </w:r>
      <w:r>
        <w:rPr>
          <w:rFonts w:hint="eastAsia" w:ascii="宋体"/>
          <w:color w:val="auto"/>
          <w:szCs w:val="21"/>
          <w:highlight w:val="none"/>
          <w:u w:val="single"/>
          <w:lang w:val="en-US" w:eastAsia="zh-CN"/>
        </w:rPr>
        <w:t>的权利</w:t>
      </w:r>
      <w:r>
        <w:rPr>
          <w:rFonts w:hint="eastAsia" w:ascii="宋体"/>
          <w:color w:val="auto"/>
          <w:szCs w:val="21"/>
          <w:highlight w:val="none"/>
        </w:rPr>
        <w:t>。</w:t>
      </w:r>
    </w:p>
    <w:p w14:paraId="6C82D485">
      <w:pPr>
        <w:spacing w:line="440" w:lineRule="exact"/>
        <w:ind w:firstLine="420" w:firstLineChars="200"/>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eastAsia="zh-CN"/>
        </w:rPr>
        <w:t>七</w:t>
      </w:r>
      <w:r>
        <w:rPr>
          <w:rFonts w:hint="eastAsia" w:ascii="宋体"/>
          <w:color w:val="auto"/>
          <w:szCs w:val="21"/>
          <w:highlight w:val="none"/>
        </w:rPr>
        <w:t>）其他相关要求：</w:t>
      </w:r>
    </w:p>
    <w:p w14:paraId="3DA4CF2A">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1、以上服务内容，由于</w:t>
      </w:r>
      <w:r>
        <w:rPr>
          <w:rFonts w:hint="eastAsia"/>
          <w:color w:val="auto"/>
          <w:sz w:val="21"/>
          <w:szCs w:val="21"/>
          <w:highlight w:val="none"/>
          <w:lang w:val="en-US" w:eastAsia="zh-CN"/>
        </w:rPr>
        <w:t>乙方</w:t>
      </w:r>
      <w:r>
        <w:rPr>
          <w:rFonts w:hint="eastAsia"/>
          <w:color w:val="auto"/>
          <w:sz w:val="21"/>
          <w:szCs w:val="21"/>
          <w:highlight w:val="none"/>
        </w:rPr>
        <w:t>工作不力、监管不到位等自身原因引起的各种事故及造成的各类损失，由</w:t>
      </w:r>
      <w:r>
        <w:rPr>
          <w:rFonts w:hint="eastAsia"/>
          <w:color w:val="auto"/>
          <w:sz w:val="21"/>
          <w:szCs w:val="21"/>
          <w:highlight w:val="none"/>
          <w:lang w:val="en-US" w:eastAsia="zh-CN"/>
        </w:rPr>
        <w:t>乙方</w:t>
      </w:r>
      <w:r>
        <w:rPr>
          <w:rFonts w:hint="eastAsia"/>
          <w:color w:val="auto"/>
          <w:sz w:val="21"/>
          <w:szCs w:val="21"/>
          <w:highlight w:val="none"/>
        </w:rPr>
        <w:t>承担全部经济和法律责任。</w:t>
      </w:r>
    </w:p>
    <w:p w14:paraId="23E21231">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lang w:val="en-US" w:eastAsia="zh-CN"/>
        </w:rPr>
        <w:t>乙方</w:t>
      </w:r>
      <w:r>
        <w:rPr>
          <w:rFonts w:hint="eastAsia"/>
          <w:color w:val="auto"/>
          <w:sz w:val="21"/>
          <w:szCs w:val="21"/>
          <w:highlight w:val="none"/>
        </w:rPr>
        <w:t>遵守物业法规，承担</w:t>
      </w:r>
      <w:r>
        <w:rPr>
          <w:rFonts w:hint="eastAsia"/>
          <w:color w:val="auto"/>
          <w:sz w:val="21"/>
          <w:szCs w:val="21"/>
          <w:highlight w:val="none"/>
          <w:lang w:val="en-US" w:eastAsia="zh-CN"/>
        </w:rPr>
        <w:t>甲</w:t>
      </w:r>
      <w:r>
        <w:rPr>
          <w:rFonts w:hint="eastAsia"/>
          <w:color w:val="auto"/>
          <w:sz w:val="21"/>
          <w:szCs w:val="21"/>
          <w:highlight w:val="none"/>
        </w:rPr>
        <w:t>方的物业服务及物业安全责任，达到物业工作质量标准。</w:t>
      </w:r>
    </w:p>
    <w:p w14:paraId="4204EEA7">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3、</w:t>
      </w:r>
      <w:r>
        <w:rPr>
          <w:rFonts w:hint="eastAsia"/>
          <w:color w:val="auto"/>
          <w:sz w:val="21"/>
          <w:szCs w:val="21"/>
          <w:highlight w:val="none"/>
          <w:lang w:val="en-US" w:eastAsia="zh-CN"/>
        </w:rPr>
        <w:t>乙方</w:t>
      </w:r>
      <w:r>
        <w:rPr>
          <w:rFonts w:hint="eastAsia"/>
          <w:color w:val="auto"/>
          <w:sz w:val="21"/>
          <w:szCs w:val="21"/>
          <w:highlight w:val="none"/>
        </w:rPr>
        <w:t>应严格按照物业协议，按规定人数上岗，执行物业岗位职责、服务质量标准，承担物业管理服务、安全运行责任，达到全职全责。</w:t>
      </w:r>
    </w:p>
    <w:p w14:paraId="0335E2B8">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4、</w:t>
      </w:r>
      <w:r>
        <w:rPr>
          <w:rFonts w:hint="eastAsia"/>
          <w:color w:val="auto"/>
          <w:sz w:val="21"/>
          <w:szCs w:val="21"/>
          <w:highlight w:val="none"/>
          <w:lang w:val="en-US" w:eastAsia="zh-CN"/>
        </w:rPr>
        <w:t>乙方</w:t>
      </w:r>
      <w:r>
        <w:rPr>
          <w:rFonts w:hint="eastAsia"/>
          <w:color w:val="auto"/>
          <w:sz w:val="21"/>
          <w:szCs w:val="21"/>
          <w:highlight w:val="none"/>
        </w:rPr>
        <w:t>员工必须经培训合格后上岗，胜任本职、本岗工作。凡达不到工作要求的员工，</w:t>
      </w:r>
      <w:r>
        <w:rPr>
          <w:rFonts w:hint="eastAsia"/>
          <w:color w:val="auto"/>
          <w:sz w:val="21"/>
          <w:szCs w:val="21"/>
          <w:highlight w:val="none"/>
          <w:lang w:val="en-US" w:eastAsia="zh-CN"/>
        </w:rPr>
        <w:t>乙方</w:t>
      </w:r>
      <w:r>
        <w:rPr>
          <w:rFonts w:hint="eastAsia"/>
          <w:color w:val="auto"/>
          <w:sz w:val="21"/>
          <w:szCs w:val="21"/>
          <w:highlight w:val="none"/>
        </w:rPr>
        <w:t>应及时调换。</w:t>
      </w:r>
    </w:p>
    <w:p w14:paraId="528B7376">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5、</w:t>
      </w:r>
      <w:r>
        <w:rPr>
          <w:rFonts w:hint="eastAsia"/>
          <w:color w:val="auto"/>
          <w:sz w:val="21"/>
          <w:szCs w:val="21"/>
          <w:highlight w:val="none"/>
          <w:lang w:val="en-US" w:eastAsia="zh-CN"/>
        </w:rPr>
        <w:t>乙方</w:t>
      </w:r>
      <w:r>
        <w:rPr>
          <w:rFonts w:hint="eastAsia"/>
          <w:color w:val="auto"/>
          <w:sz w:val="21"/>
          <w:szCs w:val="21"/>
          <w:highlight w:val="none"/>
        </w:rPr>
        <w:t>员工文明上岗，统一着装，标志明显，自觉遵守相关规章制度。</w:t>
      </w:r>
    </w:p>
    <w:p w14:paraId="1A400539">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6、遇雨雪天气，及时组织人员清理道路、各门门前保证畅通无阻。</w:t>
      </w:r>
    </w:p>
    <w:p w14:paraId="5EABB6F0">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7、</w:t>
      </w:r>
      <w:r>
        <w:rPr>
          <w:rFonts w:hint="eastAsia"/>
          <w:color w:val="auto"/>
          <w:sz w:val="21"/>
          <w:szCs w:val="21"/>
          <w:highlight w:val="none"/>
          <w:lang w:val="en-US" w:eastAsia="zh-CN"/>
        </w:rPr>
        <w:t>甲方</w:t>
      </w:r>
      <w:r>
        <w:rPr>
          <w:rFonts w:hint="eastAsia"/>
          <w:color w:val="auto"/>
          <w:sz w:val="21"/>
          <w:szCs w:val="21"/>
          <w:highlight w:val="none"/>
        </w:rPr>
        <w:t>因紧急或特别事件的需要，而要求</w:t>
      </w:r>
      <w:r>
        <w:rPr>
          <w:rFonts w:hint="eastAsia"/>
          <w:color w:val="auto"/>
          <w:sz w:val="21"/>
          <w:szCs w:val="21"/>
          <w:highlight w:val="none"/>
          <w:lang w:val="en-US" w:eastAsia="zh-CN"/>
        </w:rPr>
        <w:t>乙方</w:t>
      </w:r>
      <w:r>
        <w:rPr>
          <w:rFonts w:hint="eastAsia"/>
          <w:color w:val="auto"/>
          <w:sz w:val="21"/>
          <w:szCs w:val="21"/>
          <w:highlight w:val="none"/>
        </w:rPr>
        <w:t>临时突击卫生清洁工作及安全保卫工作时</w:t>
      </w:r>
      <w:r>
        <w:rPr>
          <w:rFonts w:hint="eastAsia"/>
          <w:color w:val="auto"/>
          <w:sz w:val="21"/>
          <w:szCs w:val="21"/>
          <w:highlight w:val="none"/>
          <w:lang w:eastAsia="zh-CN"/>
        </w:rPr>
        <w:t>，</w:t>
      </w:r>
      <w:r>
        <w:rPr>
          <w:rFonts w:hint="eastAsia"/>
          <w:color w:val="auto"/>
          <w:sz w:val="21"/>
          <w:szCs w:val="21"/>
          <w:highlight w:val="none"/>
          <w:lang w:val="en-US" w:eastAsia="zh-CN"/>
        </w:rPr>
        <w:t>乙方</w:t>
      </w:r>
      <w:r>
        <w:rPr>
          <w:rFonts w:hint="eastAsia"/>
          <w:color w:val="auto"/>
          <w:sz w:val="21"/>
          <w:szCs w:val="21"/>
          <w:highlight w:val="none"/>
        </w:rPr>
        <w:t>应无条件执行，有关费用计入投标报价中。紧急或特别事件指（但不限于）：上级领导视察工作，进行重大文体、喜庆活动和暴雨、冰雪天等自然天气的突击清理以及安全保卫工作等。</w:t>
      </w:r>
    </w:p>
    <w:p w14:paraId="5666B573">
      <w:pPr>
        <w:pStyle w:val="65"/>
        <w:spacing w:line="440" w:lineRule="exact"/>
        <w:ind w:right="3" w:firstLine="420" w:firstLineChars="200"/>
        <w:jc w:val="both"/>
        <w:rPr>
          <w:rFonts w:hint="eastAsia"/>
          <w:color w:val="auto"/>
          <w:sz w:val="21"/>
          <w:szCs w:val="21"/>
          <w:highlight w:val="none"/>
        </w:rPr>
      </w:pPr>
      <w:r>
        <w:rPr>
          <w:color w:val="auto"/>
          <w:sz w:val="21"/>
          <w:szCs w:val="21"/>
          <w:highlight w:val="none"/>
        </w:rPr>
        <w:t>8</w:t>
      </w:r>
      <w:r>
        <w:rPr>
          <w:rFonts w:hint="eastAsia"/>
          <w:color w:val="auto"/>
          <w:sz w:val="21"/>
          <w:szCs w:val="21"/>
          <w:highlight w:val="none"/>
        </w:rPr>
        <w:t>、滁州市人社局对滁州市人员最低工资及五险进行调整时，人员工资</w:t>
      </w:r>
      <w:r>
        <w:rPr>
          <w:color w:val="auto"/>
          <w:sz w:val="21"/>
          <w:szCs w:val="21"/>
          <w:highlight w:val="none"/>
        </w:rPr>
        <w:t>和五险</w:t>
      </w:r>
      <w:r>
        <w:rPr>
          <w:rFonts w:hint="eastAsia"/>
          <w:color w:val="auto"/>
          <w:sz w:val="21"/>
          <w:szCs w:val="21"/>
          <w:highlight w:val="none"/>
        </w:rPr>
        <w:t>按最底标准作相应调整。</w:t>
      </w:r>
    </w:p>
    <w:p w14:paraId="447B368E">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三、委托管理期限</w:t>
      </w:r>
    </w:p>
    <w:p w14:paraId="60E5F168">
      <w:pPr>
        <w:spacing w:line="440" w:lineRule="exact"/>
        <w:ind w:firstLine="420" w:firstLineChars="200"/>
        <w:jc w:val="left"/>
        <w:outlineLvl w:val="1"/>
        <w:rPr>
          <w:rFonts w:hint="eastAsia" w:ascii="宋体"/>
          <w:color w:val="auto"/>
          <w:szCs w:val="21"/>
          <w:highlight w:val="none"/>
        </w:rPr>
      </w:pPr>
      <w:bookmarkStart w:id="94" w:name="_Toc21231830"/>
      <w:bookmarkStart w:id="95" w:name="_Toc29436"/>
      <w:r>
        <w:rPr>
          <w:rFonts w:hint="eastAsia" w:ascii="宋体"/>
          <w:color w:val="auto"/>
          <w:szCs w:val="21"/>
          <w:highlight w:val="none"/>
        </w:rPr>
        <w:t>第</w:t>
      </w:r>
      <w:r>
        <w:rPr>
          <w:rFonts w:hint="eastAsia" w:ascii="宋体"/>
          <w:color w:val="auto"/>
          <w:szCs w:val="21"/>
          <w:highlight w:val="none"/>
          <w:lang w:eastAsia="zh-CN"/>
        </w:rPr>
        <w:t>五</w:t>
      </w:r>
      <w:r>
        <w:rPr>
          <w:rFonts w:hint="eastAsia" w:ascii="宋体"/>
          <w:color w:val="auto"/>
          <w:szCs w:val="21"/>
          <w:highlight w:val="none"/>
        </w:rPr>
        <w:t>条  委托管理期限</w:t>
      </w:r>
      <w:r>
        <w:rPr>
          <w:rFonts w:hint="eastAsia" w:ascii="宋体"/>
          <w:color w:val="auto"/>
          <w:szCs w:val="21"/>
          <w:highlight w:val="none"/>
          <w:lang w:val="en-US" w:eastAsia="zh-CN"/>
        </w:rPr>
        <w:t xml:space="preserve">    </w:t>
      </w:r>
      <w:r>
        <w:rPr>
          <w:rFonts w:hint="eastAsia" w:ascii="宋体"/>
          <w:color w:val="auto"/>
          <w:szCs w:val="21"/>
          <w:highlight w:val="none"/>
        </w:rPr>
        <w:t>。</w:t>
      </w:r>
      <w:bookmarkEnd w:id="94"/>
      <w:bookmarkEnd w:id="95"/>
    </w:p>
    <w:p w14:paraId="756B8358">
      <w:pPr>
        <w:spacing w:line="440" w:lineRule="exact"/>
        <w:ind w:firstLine="420" w:firstLineChars="200"/>
        <w:jc w:val="both"/>
        <w:rPr>
          <w:rFonts w:hint="eastAsia" w:ascii="宋体"/>
          <w:color w:val="auto"/>
          <w:szCs w:val="21"/>
          <w:highlight w:val="none"/>
          <w:lang w:val="en-US" w:eastAsia="zh-CN"/>
        </w:rPr>
      </w:pPr>
      <w:r>
        <w:rPr>
          <w:rFonts w:hint="eastAsia" w:ascii="宋体"/>
          <w:color w:val="auto"/>
          <w:szCs w:val="21"/>
          <w:highlight w:val="none"/>
          <w:lang w:val="en-US" w:eastAsia="zh-CN"/>
        </w:rPr>
        <w:t>服务周期约270天，不满或超过时间据实结算。</w:t>
      </w:r>
    </w:p>
    <w:p w14:paraId="46402D69">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四、双方权利义务</w:t>
      </w:r>
    </w:p>
    <w:p w14:paraId="160926C4">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六</w:t>
      </w:r>
      <w:r>
        <w:rPr>
          <w:rFonts w:hint="eastAsia" w:ascii="宋体"/>
          <w:color w:val="auto"/>
          <w:szCs w:val="21"/>
          <w:highlight w:val="none"/>
        </w:rPr>
        <w:t>条  甲方权利及义务</w:t>
      </w:r>
    </w:p>
    <w:p w14:paraId="68BA3CEB">
      <w:pPr>
        <w:spacing w:line="440" w:lineRule="exact"/>
        <w:ind w:firstLine="420" w:firstLineChars="200"/>
        <w:rPr>
          <w:rFonts w:hint="eastAsia" w:ascii="宋体"/>
          <w:color w:val="auto"/>
          <w:szCs w:val="21"/>
          <w:highlight w:val="none"/>
        </w:rPr>
      </w:pPr>
      <w:r>
        <w:rPr>
          <w:rFonts w:hint="eastAsia" w:ascii="宋体"/>
          <w:color w:val="auto"/>
          <w:szCs w:val="21"/>
          <w:highlight w:val="none"/>
        </w:rPr>
        <w:t>1、代表和维护业主、使用人的合法权益；经常听取使用人的意见和建议，并及时将这些反馈给乙方；协调使用人与乙方之间的关系。</w:t>
      </w:r>
    </w:p>
    <w:p w14:paraId="01819589">
      <w:pPr>
        <w:spacing w:line="440" w:lineRule="exact"/>
        <w:ind w:firstLine="420" w:firstLineChars="200"/>
        <w:rPr>
          <w:rFonts w:hint="eastAsia" w:ascii="宋体"/>
          <w:color w:val="auto"/>
          <w:szCs w:val="21"/>
          <w:highlight w:val="none"/>
        </w:rPr>
      </w:pPr>
      <w:r>
        <w:rPr>
          <w:rFonts w:hint="eastAsia" w:ascii="宋体"/>
          <w:color w:val="auto"/>
          <w:szCs w:val="21"/>
          <w:highlight w:val="none"/>
        </w:rPr>
        <w:t>2、监督物业使用人遵守物业共用部位和共用设施设备的使用、公共秩序和环境卫生的维护等方面的管理制度；采取措施督促使用人按时交纳物业管理服务费用。</w:t>
      </w:r>
    </w:p>
    <w:p w14:paraId="4BDCB86E">
      <w:pPr>
        <w:spacing w:line="440" w:lineRule="exact"/>
        <w:ind w:firstLine="420" w:firstLineChars="200"/>
        <w:rPr>
          <w:rFonts w:hint="eastAsia" w:ascii="宋体"/>
          <w:color w:val="auto"/>
          <w:szCs w:val="21"/>
          <w:highlight w:val="none"/>
        </w:rPr>
      </w:pPr>
      <w:r>
        <w:rPr>
          <w:rFonts w:hint="eastAsia" w:ascii="宋体"/>
          <w:color w:val="auto"/>
          <w:szCs w:val="21"/>
          <w:highlight w:val="none"/>
        </w:rPr>
        <w:t>3、审定乙方拟定的物业管理方案。</w:t>
      </w:r>
    </w:p>
    <w:p w14:paraId="75746EB3">
      <w:pPr>
        <w:spacing w:line="440" w:lineRule="exact"/>
        <w:ind w:firstLine="420" w:firstLineChars="200"/>
        <w:rPr>
          <w:rFonts w:hint="eastAsia" w:ascii="宋体"/>
          <w:color w:val="auto"/>
          <w:szCs w:val="21"/>
          <w:highlight w:val="none"/>
        </w:rPr>
      </w:pPr>
      <w:r>
        <w:rPr>
          <w:rFonts w:hint="eastAsia" w:ascii="宋体"/>
          <w:color w:val="auto"/>
          <w:szCs w:val="21"/>
          <w:highlight w:val="none"/>
        </w:rPr>
        <w:t>4、检查监督乙方物业管理方案的实施及制度的执行情况。</w:t>
      </w:r>
    </w:p>
    <w:p w14:paraId="65224318">
      <w:pPr>
        <w:spacing w:line="440" w:lineRule="exact"/>
        <w:ind w:firstLine="420" w:firstLineChars="200"/>
        <w:rPr>
          <w:rFonts w:hint="eastAsia" w:ascii="宋体"/>
          <w:color w:val="auto"/>
          <w:szCs w:val="21"/>
          <w:highlight w:val="none"/>
        </w:rPr>
      </w:pPr>
      <w:r>
        <w:rPr>
          <w:rFonts w:hint="eastAsia" w:ascii="宋体"/>
          <w:color w:val="auto"/>
          <w:szCs w:val="21"/>
          <w:highlight w:val="none"/>
        </w:rPr>
        <w:t>5、审定乙方提出的物业管理服务年度计划、维修养护计划和财务预算及决算报告。</w:t>
      </w:r>
    </w:p>
    <w:p w14:paraId="7D3D7570">
      <w:pPr>
        <w:spacing w:line="440" w:lineRule="exact"/>
        <w:ind w:firstLine="420" w:firstLineChars="200"/>
        <w:rPr>
          <w:rFonts w:hint="eastAsia" w:ascii="宋体"/>
          <w:color w:val="auto"/>
          <w:szCs w:val="21"/>
          <w:highlight w:val="none"/>
        </w:rPr>
      </w:pPr>
      <w:r>
        <w:rPr>
          <w:rFonts w:hint="eastAsia" w:ascii="宋体"/>
          <w:color w:val="auto"/>
          <w:szCs w:val="21"/>
          <w:highlight w:val="none"/>
        </w:rPr>
        <w:t>6、在甲方通知乙方进场后</w:t>
      </w:r>
      <w:r>
        <w:rPr>
          <w:rFonts w:hint="eastAsia" w:ascii="宋体"/>
          <w:color w:val="auto"/>
          <w:szCs w:val="21"/>
          <w:highlight w:val="none"/>
          <w:u w:val="single"/>
        </w:rPr>
        <w:t>3</w:t>
      </w:r>
      <w:r>
        <w:rPr>
          <w:rFonts w:hint="eastAsia" w:ascii="宋体"/>
          <w:color w:val="auto"/>
          <w:szCs w:val="21"/>
          <w:highlight w:val="none"/>
        </w:rPr>
        <w:t>日内无偿向乙方提供物业管理用房。</w:t>
      </w:r>
    </w:p>
    <w:p w14:paraId="1F0D539C">
      <w:pPr>
        <w:spacing w:line="440" w:lineRule="exact"/>
        <w:ind w:firstLine="420" w:firstLineChars="200"/>
        <w:rPr>
          <w:rFonts w:hint="eastAsia" w:ascii="宋体"/>
          <w:color w:val="auto"/>
          <w:szCs w:val="21"/>
          <w:highlight w:val="none"/>
        </w:rPr>
      </w:pPr>
      <w:r>
        <w:rPr>
          <w:rFonts w:hint="eastAsia" w:ascii="宋体"/>
          <w:color w:val="auto"/>
          <w:szCs w:val="21"/>
          <w:highlight w:val="none"/>
        </w:rPr>
        <w:t>7、与乙方办理物业管理验收手续时，应向乙方移交项目相关资料。</w:t>
      </w:r>
    </w:p>
    <w:p w14:paraId="48BB311D">
      <w:pPr>
        <w:spacing w:line="440" w:lineRule="exact"/>
        <w:ind w:firstLine="420" w:firstLineChars="200"/>
        <w:rPr>
          <w:rFonts w:hint="eastAsia" w:ascii="宋体"/>
          <w:color w:val="auto"/>
          <w:szCs w:val="21"/>
          <w:highlight w:val="none"/>
        </w:rPr>
      </w:pPr>
      <w:r>
        <w:rPr>
          <w:rFonts w:hint="eastAsia" w:ascii="宋体"/>
          <w:color w:val="auto"/>
          <w:szCs w:val="21"/>
          <w:highlight w:val="none"/>
        </w:rPr>
        <w:t>8、协助乙方做好物业管理工作和宣传教育、文化活动及完成物业管理各项管理目标。</w:t>
      </w:r>
    </w:p>
    <w:p w14:paraId="2B24AECC">
      <w:pPr>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9、甲方有权指定专业审计机构，对本合同约定的物业管理公共服务费支出状况进行审计，审计费用由乙方承担。 </w:t>
      </w:r>
    </w:p>
    <w:p w14:paraId="308EC21C">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七</w:t>
      </w:r>
      <w:r>
        <w:rPr>
          <w:rFonts w:hint="eastAsia" w:ascii="宋体"/>
          <w:color w:val="auto"/>
          <w:szCs w:val="21"/>
          <w:highlight w:val="none"/>
        </w:rPr>
        <w:t>条  乙方权利及义务</w:t>
      </w:r>
    </w:p>
    <w:p w14:paraId="0E3E856D">
      <w:pPr>
        <w:spacing w:line="440" w:lineRule="exact"/>
        <w:ind w:firstLine="420" w:firstLineChars="200"/>
        <w:rPr>
          <w:rFonts w:hint="eastAsia" w:ascii="宋体"/>
          <w:color w:val="auto"/>
          <w:szCs w:val="21"/>
          <w:highlight w:val="none"/>
        </w:rPr>
      </w:pPr>
      <w:r>
        <w:rPr>
          <w:rFonts w:hint="eastAsia" w:ascii="宋体"/>
          <w:color w:val="auto"/>
          <w:szCs w:val="21"/>
          <w:highlight w:val="none"/>
        </w:rPr>
        <w:t>1、乙方应根据有关法律法规及本合同的约定，在进驻后7日内编制完成本区域物业服务管理年度计划和月度计划，经双方议定后组织实施。乙方应于进驻后3日内在门卫处悬挂物业管理处标识牌（有服务和监督电话），张贴管理人员上岗牌，公布管理制度。制作员工考勤簿、车辆统计簿、车辆出入登记簿、值班记录簿、巡逻记录簿、共用部位和共用设施设备维修养护记录簿、装修及安全检查记录簿、普查记录簿、重大事项记录簿并做好详细登记工作。记录簿设计后要经过甲方审核，要保持洁净、填写完整。7日内制定项目经理、保洁、秩序、管理、安全检查等项管理制度、各岗位工作标准；制定考核和奖惩办法。7日内完成管理处员工手册编印任务。手册须经甲方审核后印发。</w:t>
      </w:r>
    </w:p>
    <w:p w14:paraId="19AE2796">
      <w:pPr>
        <w:spacing w:line="440" w:lineRule="exact"/>
        <w:ind w:firstLine="420" w:firstLineChars="200"/>
        <w:rPr>
          <w:rFonts w:hint="eastAsia" w:ascii="宋体"/>
          <w:color w:val="auto"/>
          <w:szCs w:val="21"/>
          <w:highlight w:val="none"/>
        </w:rPr>
      </w:pPr>
      <w:r>
        <w:rPr>
          <w:rFonts w:hint="eastAsia" w:ascii="宋体"/>
          <w:color w:val="auto"/>
          <w:szCs w:val="21"/>
          <w:highlight w:val="none"/>
        </w:rPr>
        <w:t>2、协调、处理本合同生效前发生的管理遗留问题。</w:t>
      </w:r>
    </w:p>
    <w:p w14:paraId="39485000">
      <w:pPr>
        <w:spacing w:line="440" w:lineRule="exact"/>
        <w:ind w:firstLine="420" w:firstLineChars="200"/>
        <w:rPr>
          <w:rFonts w:hint="eastAsia" w:ascii="宋体"/>
          <w:color w:val="auto"/>
          <w:szCs w:val="21"/>
          <w:highlight w:val="none"/>
        </w:rPr>
      </w:pPr>
      <w:r>
        <w:rPr>
          <w:rFonts w:hint="eastAsia" w:ascii="宋体"/>
          <w:color w:val="auto"/>
          <w:szCs w:val="21"/>
          <w:highlight w:val="none"/>
        </w:rPr>
        <w:t>3、可选聘专营公司承担本物业的专项管理业务，但不得将本物业的管理责任转让给第三方。</w:t>
      </w:r>
    </w:p>
    <w:p w14:paraId="1BF054F7">
      <w:pPr>
        <w:spacing w:line="440" w:lineRule="exact"/>
        <w:ind w:firstLine="420" w:firstLineChars="200"/>
        <w:rPr>
          <w:rFonts w:hint="eastAsia" w:ascii="宋体"/>
          <w:color w:val="auto"/>
          <w:szCs w:val="21"/>
          <w:highlight w:val="none"/>
        </w:rPr>
      </w:pPr>
      <w:r>
        <w:rPr>
          <w:rFonts w:hint="eastAsia" w:ascii="宋体"/>
          <w:color w:val="auto"/>
          <w:szCs w:val="21"/>
          <w:highlight w:val="none"/>
        </w:rPr>
        <w:t>4、向物业使用人告知物业使用的有关规定，当物业使用人装修物业时，书面告知有关注意事项和禁止行为，订立书面约定，并负责日常巡查和监督；对本物业的公共设施不得擅自占用和改变使用功能，如需在本物业内改、扩建或改善配套项目，须征得甲方书面同意后报有关部门批准方可实施。按养护计划和操作规程，对共用设施设备状况进行检查，发现不安全隐患或险情应及时排除。</w:t>
      </w:r>
    </w:p>
    <w:p w14:paraId="18E8D9AC">
      <w:pPr>
        <w:spacing w:line="440" w:lineRule="exact"/>
        <w:ind w:firstLine="420" w:firstLineChars="200"/>
        <w:rPr>
          <w:rFonts w:hint="eastAsia" w:ascii="宋体"/>
          <w:color w:val="auto"/>
          <w:szCs w:val="21"/>
          <w:highlight w:val="none"/>
        </w:rPr>
      </w:pPr>
      <w:r>
        <w:rPr>
          <w:rFonts w:hint="eastAsia" w:ascii="宋体"/>
          <w:color w:val="auto"/>
          <w:szCs w:val="21"/>
          <w:highlight w:val="none"/>
        </w:rPr>
        <w:t>5、对物业使用人违反法规、规章的行为（如违规装修、兴办食宿、私拉乱接电线、违章搭建、垃圾乱倒乱烧、车辆乱停乱放等），乙方必须第一时间制止，第一时间发出停止违章建设、违规行为通知书，第一时间向甲方管理人员报告，第一时间提请公安、消防、行政执法、环境保护等有关部门处理。</w:t>
      </w:r>
    </w:p>
    <w:p w14:paraId="01DAF703">
      <w:pPr>
        <w:spacing w:line="440" w:lineRule="exact"/>
        <w:ind w:firstLine="420" w:firstLineChars="200"/>
        <w:rPr>
          <w:rFonts w:hint="eastAsia" w:ascii="宋体"/>
          <w:color w:val="auto"/>
          <w:szCs w:val="21"/>
          <w:highlight w:val="none"/>
        </w:rPr>
      </w:pPr>
      <w:r>
        <w:rPr>
          <w:rFonts w:hint="eastAsia" w:ascii="宋体"/>
          <w:color w:val="auto"/>
          <w:szCs w:val="21"/>
          <w:highlight w:val="none"/>
        </w:rPr>
        <w:t>6、接受使用人、甲方、物业管理主管部门等的监督，不断完善管理服务，定期向甲方报告本合同履行情况。</w:t>
      </w:r>
    </w:p>
    <w:p w14:paraId="3A72EE62">
      <w:pPr>
        <w:spacing w:line="440" w:lineRule="exact"/>
        <w:ind w:firstLine="420" w:firstLineChars="200"/>
        <w:rPr>
          <w:rFonts w:hint="eastAsia" w:ascii="宋体"/>
          <w:color w:val="auto"/>
          <w:szCs w:val="21"/>
          <w:highlight w:val="none"/>
        </w:rPr>
      </w:pPr>
      <w:r>
        <w:rPr>
          <w:rFonts w:hint="eastAsia" w:ascii="宋体"/>
          <w:color w:val="auto"/>
          <w:szCs w:val="21"/>
          <w:highlight w:val="none"/>
        </w:rPr>
        <w:t>7、建立、妥善保管和正确使用物业管理档案，并负责及时记载有关的变更情况。</w:t>
      </w:r>
    </w:p>
    <w:p w14:paraId="235372EE">
      <w:pPr>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8、合同终止时，乙方必须向甲方移交全部管理用房及物业管理的全部档案资料。 </w:t>
      </w:r>
    </w:p>
    <w:p w14:paraId="64D81EA2">
      <w:pPr>
        <w:spacing w:line="440" w:lineRule="exact"/>
        <w:ind w:firstLine="420" w:firstLineChars="200"/>
        <w:rPr>
          <w:rFonts w:hint="eastAsia" w:ascii="宋体"/>
          <w:color w:val="auto"/>
          <w:szCs w:val="21"/>
          <w:highlight w:val="none"/>
        </w:rPr>
      </w:pPr>
      <w:r>
        <w:rPr>
          <w:rFonts w:hint="eastAsia" w:ascii="宋体"/>
          <w:color w:val="auto"/>
          <w:szCs w:val="21"/>
          <w:highlight w:val="none"/>
        </w:rPr>
        <w:t>9、由于乙方工作不力、监管不到位等自身原因造成的各类损失的，由乙方承担全部经济责任和法律责任。</w:t>
      </w:r>
    </w:p>
    <w:p w14:paraId="22812C5D">
      <w:pPr>
        <w:spacing w:line="440" w:lineRule="exact"/>
        <w:ind w:firstLine="420" w:firstLineChars="200"/>
        <w:rPr>
          <w:rFonts w:hint="eastAsia" w:ascii="宋体"/>
          <w:color w:val="auto"/>
          <w:szCs w:val="21"/>
          <w:highlight w:val="none"/>
        </w:rPr>
      </w:pPr>
      <w:r>
        <w:rPr>
          <w:rFonts w:hint="eastAsia" w:ascii="宋体"/>
          <w:color w:val="auto"/>
          <w:szCs w:val="21"/>
          <w:highlight w:val="none"/>
        </w:rPr>
        <w:t>10、属于在乙方管理范围内治安、消防、用电等安全事项，由乙方承担全部经济责任和法律责任。</w:t>
      </w:r>
    </w:p>
    <w:p w14:paraId="22460171">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五、  物业管理公共服务质量</w:t>
      </w:r>
    </w:p>
    <w:p w14:paraId="46B59104">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八</w:t>
      </w:r>
      <w:r>
        <w:rPr>
          <w:rFonts w:hint="eastAsia" w:ascii="宋体"/>
          <w:color w:val="auto"/>
          <w:szCs w:val="21"/>
          <w:highlight w:val="none"/>
        </w:rPr>
        <w:t>条  乙方须按下列约定，实现目标管理：</w:t>
      </w:r>
    </w:p>
    <w:p w14:paraId="546DBC58">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1、卫生保洁；2、秩序维护；4、房屋管理；5、协助安全检查；6、水电管理；</w:t>
      </w:r>
    </w:p>
    <w:p w14:paraId="7F5BC7AC">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九</w:t>
      </w:r>
      <w:r>
        <w:rPr>
          <w:rFonts w:hint="eastAsia" w:ascii="宋体"/>
          <w:color w:val="auto"/>
          <w:szCs w:val="21"/>
          <w:highlight w:val="none"/>
        </w:rPr>
        <w:t>条 人员配置。</w:t>
      </w:r>
    </w:p>
    <w:p w14:paraId="4AF5F0D5">
      <w:pPr>
        <w:spacing w:line="440" w:lineRule="exact"/>
        <w:ind w:firstLine="420" w:firstLineChars="200"/>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eastAsia="zh-CN"/>
        </w:rPr>
        <w:t>乙方</w:t>
      </w:r>
      <w:r>
        <w:rPr>
          <w:rFonts w:hint="eastAsia" w:ascii="宋体" w:cs="宋体"/>
          <w:color w:val="auto"/>
          <w:kern w:val="0"/>
          <w:szCs w:val="21"/>
          <w:highlight w:val="none"/>
          <w:u w:val="single"/>
          <w:lang w:val="zh-CN"/>
        </w:rPr>
        <w:t>需派出不低于</w:t>
      </w:r>
      <w:r>
        <w:rPr>
          <w:rFonts w:hint="eastAsia" w:ascii="宋体" w:cs="宋体"/>
          <w:color w:val="auto"/>
          <w:kern w:val="0"/>
          <w:szCs w:val="21"/>
          <w:highlight w:val="none"/>
          <w:u w:val="single"/>
          <w:lang w:val="en-US" w:eastAsia="zh-CN"/>
        </w:rPr>
        <w:t xml:space="preserve">  </w:t>
      </w:r>
      <w:r>
        <w:rPr>
          <w:rFonts w:hint="eastAsia" w:ascii="宋体" w:cs="宋体"/>
          <w:color w:val="auto"/>
          <w:kern w:val="0"/>
          <w:szCs w:val="21"/>
          <w:highlight w:val="none"/>
          <w:u w:val="single"/>
          <w:lang w:val="zh-CN"/>
        </w:rPr>
        <w:t>名员工为甲方提供管理服务，其中项目负责人</w:t>
      </w:r>
      <w:r>
        <w:rPr>
          <w:rFonts w:hint="eastAsia" w:ascii="宋体" w:cs="宋体"/>
          <w:color w:val="auto"/>
          <w:kern w:val="0"/>
          <w:szCs w:val="21"/>
          <w:highlight w:val="none"/>
          <w:u w:val="single"/>
          <w:lang w:val="en-US" w:eastAsia="zh-CN"/>
        </w:rPr>
        <w:t xml:space="preserve"> </w:t>
      </w:r>
      <w:r>
        <w:rPr>
          <w:rFonts w:hint="eastAsia" w:ascii="宋体" w:cs="宋体"/>
          <w:color w:val="auto"/>
          <w:kern w:val="0"/>
          <w:szCs w:val="21"/>
          <w:highlight w:val="none"/>
          <w:u w:val="single"/>
          <w:lang w:val="zh-CN"/>
        </w:rPr>
        <w:t>人，保安</w:t>
      </w:r>
      <w:r>
        <w:rPr>
          <w:rFonts w:hint="eastAsia" w:ascii="宋体" w:cs="宋体"/>
          <w:color w:val="auto"/>
          <w:kern w:val="0"/>
          <w:szCs w:val="21"/>
          <w:highlight w:val="none"/>
          <w:u w:val="single"/>
          <w:lang w:val="en-US" w:eastAsia="zh-CN"/>
        </w:rPr>
        <w:t xml:space="preserve"> </w:t>
      </w:r>
      <w:r>
        <w:rPr>
          <w:rFonts w:hint="eastAsia" w:ascii="宋体" w:cs="宋体"/>
          <w:color w:val="auto"/>
          <w:kern w:val="0"/>
          <w:szCs w:val="21"/>
          <w:highlight w:val="none"/>
          <w:u w:val="single"/>
          <w:lang w:val="zh-CN"/>
        </w:rPr>
        <w:t>人，保洁</w:t>
      </w:r>
      <w:r>
        <w:rPr>
          <w:rFonts w:hint="eastAsia" w:ascii="宋体" w:cs="宋体"/>
          <w:color w:val="auto"/>
          <w:kern w:val="0"/>
          <w:szCs w:val="21"/>
          <w:highlight w:val="none"/>
          <w:u w:val="single"/>
          <w:lang w:val="en-US" w:eastAsia="zh-CN"/>
        </w:rPr>
        <w:t xml:space="preserve"> 人，垃圾清运  人</w:t>
      </w:r>
      <w:r>
        <w:rPr>
          <w:rFonts w:hint="eastAsia" w:ascii="宋体"/>
          <w:color w:val="auto"/>
          <w:szCs w:val="21"/>
          <w:highlight w:val="none"/>
        </w:rPr>
        <w:t>。</w:t>
      </w:r>
    </w:p>
    <w:p w14:paraId="1710031A">
      <w:pPr>
        <w:snapToGrid w:val="0"/>
        <w:spacing w:line="440" w:lineRule="exact"/>
        <w:ind w:firstLine="420" w:firstLineChars="200"/>
        <w:rPr>
          <w:rFonts w:hint="default" w:ascii="宋体" w:eastAsiaTheme="minorEastAsia"/>
          <w:color w:val="auto"/>
          <w:szCs w:val="21"/>
          <w:highlight w:val="none"/>
          <w:lang w:val="en-US" w:eastAsia="zh-CN"/>
        </w:rPr>
      </w:pPr>
      <w:r>
        <w:rPr>
          <w:rFonts w:hint="eastAsia" w:ascii="宋体"/>
          <w:color w:val="auto"/>
          <w:szCs w:val="21"/>
          <w:highlight w:val="none"/>
        </w:rPr>
        <w:t>2、</w:t>
      </w:r>
      <w:r>
        <w:rPr>
          <w:rFonts w:hint="eastAsia" w:ascii="宋体" w:cs="宋体"/>
          <w:color w:val="auto"/>
          <w:kern w:val="0"/>
          <w:szCs w:val="21"/>
          <w:highlight w:val="none"/>
          <w:lang w:val="en-US" w:eastAsia="zh-CN"/>
        </w:rPr>
        <w:t>人员须按照招标文件要求进行配备</w:t>
      </w:r>
    </w:p>
    <w:p w14:paraId="17C2F503">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六、物业管理服务费用</w:t>
      </w:r>
    </w:p>
    <w:p w14:paraId="6F2656D2">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第十条  物业管理服务费</w:t>
      </w:r>
    </w:p>
    <w:p w14:paraId="4C71FB41">
      <w:pPr>
        <w:spacing w:line="440" w:lineRule="exact"/>
        <w:ind w:firstLine="420" w:firstLineChars="200"/>
        <w:rPr>
          <w:rFonts w:hint="eastAsia" w:ascii="宋体"/>
          <w:color w:val="auto"/>
          <w:szCs w:val="21"/>
          <w:highlight w:val="none"/>
        </w:rPr>
      </w:pPr>
      <w:r>
        <w:rPr>
          <w:rFonts w:hint="eastAsia" w:ascii="宋体"/>
          <w:color w:val="auto"/>
          <w:szCs w:val="21"/>
          <w:highlight w:val="none"/>
        </w:rPr>
        <w:t>1、物业费为</w:t>
      </w:r>
      <w:r>
        <w:rPr>
          <w:rFonts w:hint="eastAsia" w:ascii="宋体"/>
          <w:color w:val="auto"/>
          <w:szCs w:val="21"/>
          <w:highlight w:val="none"/>
          <w:u w:val="single"/>
        </w:rPr>
        <w:t xml:space="preserve">     </w:t>
      </w:r>
      <w:r>
        <w:rPr>
          <w:rFonts w:hint="eastAsia" w:ascii="宋体"/>
          <w:color w:val="auto"/>
          <w:szCs w:val="21"/>
          <w:highlight w:val="none"/>
        </w:rPr>
        <w:t>万元。</w:t>
      </w:r>
    </w:p>
    <w:p w14:paraId="39369AF9">
      <w:pPr>
        <w:spacing w:line="440" w:lineRule="exact"/>
        <w:ind w:firstLine="422" w:firstLineChars="200"/>
        <w:rPr>
          <w:rFonts w:hint="default" w:ascii="黑体" w:eastAsia="黑体"/>
          <w:b/>
          <w:bCs/>
          <w:color w:val="auto"/>
          <w:szCs w:val="21"/>
          <w:highlight w:val="none"/>
          <w:lang w:val="en-US" w:eastAsia="zh-CN"/>
        </w:rPr>
      </w:pPr>
      <w:r>
        <w:rPr>
          <w:rFonts w:hint="eastAsia" w:ascii="黑体" w:eastAsia="黑体"/>
          <w:b/>
          <w:bCs/>
          <w:color w:val="auto"/>
          <w:szCs w:val="21"/>
          <w:highlight w:val="none"/>
        </w:rPr>
        <w:t>（1）业主方每</w:t>
      </w:r>
      <w:r>
        <w:rPr>
          <w:rFonts w:hint="eastAsia" w:ascii="黑体" w:eastAsia="黑体"/>
          <w:b/>
          <w:bCs/>
          <w:color w:val="auto"/>
          <w:szCs w:val="21"/>
          <w:highlight w:val="none"/>
          <w:lang w:val="en-US" w:eastAsia="zh-CN"/>
        </w:rPr>
        <w:t>季度</w:t>
      </w:r>
      <w:r>
        <w:rPr>
          <w:rFonts w:hint="eastAsia" w:ascii="黑体" w:eastAsia="黑体"/>
          <w:b/>
          <w:bCs/>
          <w:color w:val="auto"/>
          <w:szCs w:val="21"/>
          <w:highlight w:val="none"/>
        </w:rPr>
        <w:t>支付一次物业管理费</w:t>
      </w:r>
      <w:r>
        <w:rPr>
          <w:rFonts w:hint="eastAsia" w:ascii="黑体" w:eastAsia="黑体"/>
          <w:b/>
          <w:bCs/>
          <w:color w:val="auto"/>
          <w:szCs w:val="21"/>
          <w:highlight w:val="none"/>
          <w:lang w:val="en-US" w:eastAsia="zh-CN"/>
        </w:rPr>
        <w:t>，最后一次支付按实际考核情况进行扣减。</w:t>
      </w:r>
    </w:p>
    <w:p w14:paraId="428FF084">
      <w:pPr>
        <w:spacing w:line="440" w:lineRule="exact"/>
        <w:ind w:firstLine="422" w:firstLineChars="200"/>
        <w:rPr>
          <w:rFonts w:hint="eastAsia" w:ascii="黑体" w:hAnsi="Times New Roman" w:eastAsia="黑体" w:cs="Times New Roman"/>
          <w:b/>
          <w:bCs/>
          <w:color w:val="auto"/>
          <w:szCs w:val="21"/>
          <w:highlight w:val="none"/>
          <w:lang w:val="en-US" w:eastAsia="zh-CN"/>
        </w:rPr>
      </w:pPr>
      <w:r>
        <w:rPr>
          <w:rFonts w:hint="eastAsia" w:ascii="黑体" w:eastAsia="黑体"/>
          <w:b/>
          <w:bCs/>
          <w:color w:val="auto"/>
          <w:szCs w:val="21"/>
          <w:highlight w:val="none"/>
        </w:rPr>
        <w:t>（2）全年物业管理费，根据综合考核结果情况支付（具体</w:t>
      </w:r>
      <w:r>
        <w:rPr>
          <w:rFonts w:hint="eastAsia" w:ascii="宋体"/>
          <w:b/>
          <w:bCs/>
          <w:color w:val="auto"/>
          <w:szCs w:val="21"/>
          <w:highlight w:val="none"/>
        </w:rPr>
        <w:t>考核标准见</w:t>
      </w:r>
      <w:r>
        <w:rPr>
          <w:rFonts w:hint="eastAsia" w:ascii="宋体"/>
          <w:b/>
          <w:bCs/>
          <w:color w:val="auto"/>
          <w:szCs w:val="21"/>
          <w:highlight w:val="none"/>
          <w:lang w:val="en-US" w:eastAsia="zh-CN"/>
        </w:rPr>
        <w:t>附件</w:t>
      </w:r>
      <w:r>
        <w:rPr>
          <w:rFonts w:hint="eastAsia" w:ascii="宋体"/>
          <w:b/>
          <w:bCs/>
          <w:color w:val="auto"/>
          <w:szCs w:val="21"/>
          <w:highlight w:val="none"/>
          <w:lang w:eastAsia="zh-CN"/>
        </w:rPr>
        <w:t>）。考核平均分在</w:t>
      </w:r>
      <w:r>
        <w:rPr>
          <w:rFonts w:hint="eastAsia" w:ascii="宋体"/>
          <w:b/>
          <w:bCs/>
          <w:color w:val="auto"/>
          <w:szCs w:val="21"/>
          <w:highlight w:val="none"/>
          <w:lang w:val="en-US" w:eastAsia="zh-CN"/>
        </w:rPr>
        <w:t>95分（含）以上的，全额支付</w:t>
      </w:r>
      <w:r>
        <w:rPr>
          <w:rFonts w:hint="eastAsia" w:ascii="黑体" w:eastAsia="黑体"/>
          <w:b/>
          <w:bCs/>
          <w:color w:val="auto"/>
          <w:szCs w:val="21"/>
          <w:highlight w:val="none"/>
        </w:rPr>
        <w:t>；</w:t>
      </w:r>
      <w:r>
        <w:rPr>
          <w:rFonts w:hint="eastAsia" w:ascii="黑体" w:eastAsia="黑体"/>
          <w:b/>
          <w:bCs/>
          <w:color w:val="auto"/>
          <w:szCs w:val="21"/>
          <w:highlight w:val="none"/>
          <w:lang w:val="en-US" w:eastAsia="zh-CN"/>
        </w:rPr>
        <w:t>90（含）至95分，支付80%；90分以</w:t>
      </w:r>
      <w:r>
        <w:rPr>
          <w:rFonts w:hint="eastAsia" w:ascii="黑体" w:hAnsi="Times New Roman" w:eastAsia="黑体" w:cs="Times New Roman"/>
          <w:b/>
          <w:bCs/>
          <w:color w:val="auto"/>
          <w:szCs w:val="21"/>
          <w:highlight w:val="none"/>
          <w:lang w:val="en-US" w:eastAsia="zh-CN"/>
        </w:rPr>
        <w:t>下的，不予支付。</w:t>
      </w:r>
    </w:p>
    <w:p w14:paraId="0ACF6FAB">
      <w:pPr>
        <w:widowControl/>
        <w:snapToGrid w:val="0"/>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一</w:t>
      </w:r>
      <w:r>
        <w:rPr>
          <w:rFonts w:hint="eastAsia" w:ascii="宋体"/>
          <w:color w:val="auto"/>
          <w:szCs w:val="21"/>
          <w:highlight w:val="none"/>
        </w:rPr>
        <w:t>条 其他费用。乙方受业主、物业使用人的委托对其房屋自用部位、自用设备的维修、养护及其它特约服务的费用，由当事人自行约定。乙方除此之外不得收取物业使用人任何费用，一经发现，没收所得，立即终止合同，通报主管部门，三年内不得参与甲方的任何招投标项目。乙方须在合同签订前按投标须知前附表的要求向甲方支付履约保证金。合同期满，经验收无共用部位、共用设施设备损坏，乙方无重大过错，按投标须知前附表的要求退还全额保证金。若有损坏，按价格扣除，保证金不足部分，甲方保留追诉权。</w:t>
      </w:r>
    </w:p>
    <w:p w14:paraId="1224A896">
      <w:pPr>
        <w:spacing w:line="440" w:lineRule="exact"/>
        <w:jc w:val="center"/>
        <w:rPr>
          <w:rFonts w:hint="eastAsia" w:ascii="黑体" w:hAnsi="Times New Roman" w:eastAsia="黑体" w:cs="Times New Roman"/>
          <w:b/>
          <w:bCs/>
          <w:color w:val="auto"/>
          <w:szCs w:val="21"/>
          <w:highlight w:val="none"/>
        </w:rPr>
      </w:pPr>
      <w:r>
        <w:rPr>
          <w:rFonts w:hint="eastAsia" w:ascii="黑体" w:hAnsi="Times New Roman" w:eastAsia="黑体" w:cs="Times New Roman"/>
          <w:b/>
          <w:bCs/>
          <w:color w:val="auto"/>
          <w:szCs w:val="21"/>
          <w:highlight w:val="none"/>
        </w:rPr>
        <w:t>七、违约责任</w:t>
      </w:r>
    </w:p>
    <w:p w14:paraId="0DABDF23">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二</w:t>
      </w:r>
      <w:r>
        <w:rPr>
          <w:rFonts w:hint="eastAsia" w:ascii="宋体"/>
          <w:color w:val="auto"/>
          <w:szCs w:val="21"/>
          <w:highlight w:val="none"/>
        </w:rPr>
        <w:t>条  甲方未及时支付物业费用的，乙方有权要求甲方在</w:t>
      </w:r>
      <w:r>
        <w:rPr>
          <w:rFonts w:hint="eastAsia" w:ascii="宋体"/>
          <w:color w:val="auto"/>
          <w:szCs w:val="21"/>
          <w:highlight w:val="none"/>
          <w:u w:val="single"/>
        </w:rPr>
        <w:t>30</w:t>
      </w:r>
      <w:r>
        <w:rPr>
          <w:rFonts w:hint="eastAsia" w:ascii="宋体"/>
          <w:color w:val="auto"/>
          <w:szCs w:val="21"/>
          <w:highlight w:val="none"/>
        </w:rPr>
        <w:t>内支付，逾期未支付的，乙方有权终止合同；造成乙方经济损失的，甲方应给予乙方经济赔偿。</w:t>
      </w:r>
    </w:p>
    <w:p w14:paraId="5389617D">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三</w:t>
      </w:r>
      <w:r>
        <w:rPr>
          <w:rFonts w:hint="eastAsia" w:ascii="宋体"/>
          <w:color w:val="auto"/>
          <w:szCs w:val="21"/>
          <w:highlight w:val="none"/>
        </w:rPr>
        <w:t>条 乙方违反本合同约定，未能达到约定的管理目标，甲方有权要求乙方限期整改，并达到合同约定；逾期未整改的，或整改不符合合同约定的，甲方有权终止合同；造成甲方或物业使用人经济损失的，乙方应给予甲方或物业使用人经济赔偿。</w:t>
      </w:r>
    </w:p>
    <w:p w14:paraId="46752316">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四</w:t>
      </w:r>
      <w:r>
        <w:rPr>
          <w:rFonts w:hint="eastAsia" w:ascii="宋体"/>
          <w:color w:val="auto"/>
          <w:szCs w:val="21"/>
          <w:highlight w:val="none"/>
        </w:rPr>
        <w:t>条 因乙方管理不善或操作不当等原因造成重大事故的，由乙方承担责任并负责善后处理。产生质量事故的直接原因，以相关主管部门的鉴定为准。</w:t>
      </w:r>
    </w:p>
    <w:p w14:paraId="2AFC4875">
      <w:pPr>
        <w:spacing w:line="440" w:lineRule="exact"/>
        <w:ind w:firstLine="420" w:firstLineChars="200"/>
        <w:rPr>
          <w:rFonts w:hint="default" w:ascii="宋体" w:eastAsia="宋体"/>
          <w:strike w:val="0"/>
          <w:dstrike w:val="0"/>
          <w:color w:val="auto"/>
          <w:szCs w:val="21"/>
          <w:highlight w:val="none"/>
          <w:u w:val="none"/>
          <w:lang w:val="en-US" w:eastAsia="zh-CN"/>
        </w:rPr>
      </w:pPr>
      <w:r>
        <w:rPr>
          <w:rFonts w:hint="eastAsia" w:ascii="宋体"/>
          <w:color w:val="auto"/>
          <w:szCs w:val="21"/>
          <w:highlight w:val="none"/>
        </w:rPr>
        <w:t>第十</w:t>
      </w:r>
      <w:r>
        <w:rPr>
          <w:rFonts w:hint="eastAsia" w:ascii="宋体"/>
          <w:color w:val="auto"/>
          <w:szCs w:val="21"/>
          <w:highlight w:val="none"/>
          <w:lang w:eastAsia="zh-CN"/>
        </w:rPr>
        <w:t>五</w:t>
      </w:r>
      <w:r>
        <w:rPr>
          <w:rFonts w:hint="eastAsia" w:ascii="宋体"/>
          <w:color w:val="auto"/>
          <w:szCs w:val="21"/>
          <w:highlight w:val="none"/>
        </w:rPr>
        <w:t>条 因违约而需解除本合同的，提出解除合同的一方应及时通知对方，合同自书面通知到达对方时即行解除，并在二十日内办理交接。如有异议，</w:t>
      </w:r>
      <w:r>
        <w:rPr>
          <w:rFonts w:hint="eastAsia" w:ascii="宋体"/>
          <w:strike w:val="0"/>
          <w:dstrike w:val="0"/>
          <w:color w:val="auto"/>
          <w:szCs w:val="21"/>
          <w:highlight w:val="none"/>
          <w:u w:val="single"/>
          <w:lang w:val="en-US" w:eastAsia="zh-CN"/>
        </w:rPr>
        <w:t>请滁州仲裁委员会确认解除合同的效力。</w:t>
      </w:r>
    </w:p>
    <w:p w14:paraId="0EF636B9">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八、其他要求</w:t>
      </w:r>
    </w:p>
    <w:p w14:paraId="25783237">
      <w:pPr>
        <w:pStyle w:val="65"/>
        <w:snapToGrid w:val="0"/>
        <w:spacing w:line="440" w:lineRule="exact"/>
        <w:ind w:firstLine="420" w:firstLineChars="200"/>
        <w:jc w:val="both"/>
        <w:rPr>
          <w:color w:val="auto"/>
          <w:sz w:val="21"/>
          <w:szCs w:val="21"/>
          <w:highlight w:val="none"/>
        </w:rPr>
      </w:pPr>
      <w:r>
        <w:rPr>
          <w:rFonts w:hint="eastAsia"/>
          <w:color w:val="auto"/>
          <w:sz w:val="21"/>
          <w:szCs w:val="21"/>
          <w:highlight w:val="none"/>
        </w:rPr>
        <w:t>第十</w:t>
      </w:r>
      <w:r>
        <w:rPr>
          <w:rFonts w:hint="eastAsia"/>
          <w:color w:val="auto"/>
          <w:sz w:val="21"/>
          <w:szCs w:val="21"/>
          <w:highlight w:val="none"/>
          <w:lang w:eastAsia="zh-CN"/>
        </w:rPr>
        <w:t>六</w:t>
      </w:r>
      <w:r>
        <w:rPr>
          <w:rFonts w:hint="eastAsia"/>
          <w:color w:val="auto"/>
          <w:sz w:val="21"/>
          <w:szCs w:val="21"/>
          <w:highlight w:val="none"/>
        </w:rPr>
        <w:t>条</w:t>
      </w:r>
      <w:r>
        <w:rPr>
          <w:color w:val="auto"/>
          <w:sz w:val="21"/>
          <w:szCs w:val="21"/>
          <w:highlight w:val="none"/>
        </w:rPr>
        <w:t xml:space="preserve">  </w:t>
      </w:r>
      <w:r>
        <w:rPr>
          <w:rFonts w:hint="eastAsia"/>
          <w:color w:val="auto"/>
          <w:sz w:val="21"/>
          <w:szCs w:val="21"/>
          <w:highlight w:val="none"/>
          <w:lang w:val="en-US" w:eastAsia="zh-CN"/>
        </w:rPr>
        <w:t>乙方</w:t>
      </w:r>
      <w:r>
        <w:rPr>
          <w:rFonts w:hint="eastAsia"/>
          <w:color w:val="auto"/>
          <w:sz w:val="21"/>
          <w:szCs w:val="21"/>
          <w:highlight w:val="none"/>
        </w:rPr>
        <w:t>应按照物业管理的相关规定负责物业服务，做好门岗、巡逻岗和监控岗的值守工作，做好共用设施设备的维护工作。由于工作不力、监管不到位等自身原因导致共用设施设备及资产的损毁或被盗的，以及引起的各种事故及造成的各类损失，由物业公司承担相应的法律和经济责任。</w:t>
      </w:r>
    </w:p>
    <w:p w14:paraId="06ED0818">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第十</w:t>
      </w:r>
      <w:r>
        <w:rPr>
          <w:rFonts w:hint="eastAsia" w:ascii="宋体"/>
          <w:color w:val="auto"/>
          <w:szCs w:val="21"/>
          <w:highlight w:val="none"/>
          <w:lang w:eastAsia="zh-CN"/>
        </w:rPr>
        <w:t>七</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需在合同签定后一周内完成本项目人员招聘、培训工作，并组织所有人员做好进场准备（具体进驻时间以招标人通知为准）。</w:t>
      </w:r>
    </w:p>
    <w:p w14:paraId="418618AA">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第十</w:t>
      </w:r>
      <w:r>
        <w:rPr>
          <w:rFonts w:hint="eastAsia" w:ascii="宋体"/>
          <w:color w:val="auto"/>
          <w:szCs w:val="21"/>
          <w:highlight w:val="none"/>
          <w:lang w:eastAsia="zh-CN"/>
        </w:rPr>
        <w:t>八</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进驻后须对地面、围墙、门斗、门卫室内外、车棚、绿化带等处进行彻底保洁。</w:t>
      </w:r>
    </w:p>
    <w:p w14:paraId="5F8635AE">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w:t>
      </w:r>
      <w:r>
        <w:rPr>
          <w:rFonts w:hint="eastAsia" w:ascii="宋体"/>
          <w:color w:val="auto"/>
          <w:szCs w:val="21"/>
          <w:highlight w:val="none"/>
          <w:lang w:eastAsia="zh-CN"/>
        </w:rPr>
        <w:t>十九</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遵守物业法规，承担本项目的物业服务及物业安全责任，达到物业工作质量标准。</w:t>
      </w:r>
    </w:p>
    <w:p w14:paraId="373F6FE6">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 xml:space="preserve">第二十条 </w:t>
      </w:r>
      <w:r>
        <w:rPr>
          <w:rFonts w:hint="eastAsia" w:ascii="宋体"/>
          <w:color w:val="auto"/>
          <w:szCs w:val="21"/>
          <w:highlight w:val="none"/>
          <w:lang w:val="en-US" w:eastAsia="zh-CN"/>
        </w:rPr>
        <w:t>乙方</w:t>
      </w:r>
      <w:r>
        <w:rPr>
          <w:rFonts w:hint="eastAsia" w:ascii="宋体" w:cs="宋体"/>
          <w:color w:val="auto"/>
          <w:kern w:val="0"/>
          <w:szCs w:val="21"/>
          <w:highlight w:val="none"/>
        </w:rPr>
        <w:t>应严格按照物业协议，按规定人数上岗，执行物业岗位职责、服务质量标准，承担物业管理服务、安全运行责任，达到全职全责。</w:t>
      </w:r>
    </w:p>
    <w:p w14:paraId="044D8FFB">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一</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员工必须经培训合格后上岗，胜任本职、本岗工作。凡达不到工作要求的员工，物业公司应及时调换。</w:t>
      </w:r>
    </w:p>
    <w:p w14:paraId="28CCD6F6">
      <w:pPr>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二</w:t>
      </w:r>
      <w:r>
        <w:rPr>
          <w:rFonts w:hint="eastAsia" w:ascii="宋体"/>
          <w:color w:val="auto"/>
          <w:szCs w:val="21"/>
          <w:highlight w:val="none"/>
        </w:rPr>
        <w:t xml:space="preserve">条  </w:t>
      </w:r>
      <w:r>
        <w:rPr>
          <w:rFonts w:hint="eastAsia" w:ascii="宋体" w:cs="宋体"/>
          <w:color w:val="auto"/>
          <w:kern w:val="0"/>
          <w:szCs w:val="21"/>
          <w:highlight w:val="none"/>
        </w:rPr>
        <w:t>凡涉及特种行业操作的，须持证上岗，操作人员须完全达到对设备能够检修、检测、检验能力，并且做到工作岗位记录、确保资料齐全，因其违反规定产生的一切法律和经济责任均由中标人全部负责。</w:t>
      </w:r>
    </w:p>
    <w:p w14:paraId="78082120">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三</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员工文明上岗，统一着装，标志明显，自觉遵守相关规章制度。</w:t>
      </w:r>
    </w:p>
    <w:p w14:paraId="79615658">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四</w:t>
      </w:r>
      <w:r>
        <w:rPr>
          <w:rFonts w:hint="eastAsia" w:ascii="宋体"/>
          <w:color w:val="auto"/>
          <w:szCs w:val="21"/>
          <w:highlight w:val="none"/>
        </w:rPr>
        <w:t xml:space="preserve">条  </w:t>
      </w:r>
      <w:r>
        <w:rPr>
          <w:rFonts w:hint="eastAsia" w:ascii="宋体" w:cs="宋体"/>
          <w:color w:val="auto"/>
          <w:kern w:val="0"/>
          <w:szCs w:val="21"/>
          <w:highlight w:val="none"/>
        </w:rPr>
        <w:t>遇雨雪天气，及时组织人员清理道路、各门门前保证畅通无阻。</w:t>
      </w:r>
    </w:p>
    <w:p w14:paraId="587BFA2E">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五</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甲方</w:t>
      </w:r>
      <w:r>
        <w:rPr>
          <w:rFonts w:hint="eastAsia" w:ascii="宋体" w:cs="宋体"/>
          <w:color w:val="auto"/>
          <w:kern w:val="0"/>
          <w:szCs w:val="21"/>
          <w:highlight w:val="none"/>
        </w:rPr>
        <w:t>对物业公司的物业服务工作，实行专业对口监管和业务工作指导、每季度对物业服务工作进行质量考核，并及时协调工作中出现的问题。</w:t>
      </w:r>
    </w:p>
    <w:p w14:paraId="47F6DAE9">
      <w:pPr>
        <w:spacing w:line="440" w:lineRule="exact"/>
        <w:ind w:firstLine="420" w:firstLineChars="200"/>
        <w:rPr>
          <w:rFonts w:hint="eastAsia" w:ascii="宋体"/>
          <w:color w:val="auto"/>
          <w:szCs w:val="21"/>
          <w:highlight w:val="none"/>
        </w:rPr>
      </w:pPr>
      <w:r>
        <w:rPr>
          <w:rFonts w:hint="eastAsia" w:ascii="宋体"/>
          <w:color w:val="auto"/>
          <w:szCs w:val="21"/>
          <w:highlight w:val="none"/>
        </w:rPr>
        <w:t>第二十</w:t>
      </w:r>
      <w:r>
        <w:rPr>
          <w:rFonts w:hint="eastAsia" w:ascii="宋体"/>
          <w:color w:val="auto"/>
          <w:szCs w:val="21"/>
          <w:highlight w:val="none"/>
          <w:lang w:eastAsia="zh-CN"/>
        </w:rPr>
        <w:t>六</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应自行配备办公类设备（办公桌椅、固定电话、电脑，打印机等办公设施），配备常规保洁、</w:t>
      </w:r>
      <w:r>
        <w:rPr>
          <w:rFonts w:hint="eastAsia" w:ascii="宋体"/>
          <w:color w:val="auto"/>
          <w:szCs w:val="21"/>
          <w:highlight w:val="none"/>
        </w:rPr>
        <w:t>秩序维护、</w:t>
      </w:r>
      <w:r>
        <w:rPr>
          <w:rFonts w:hint="eastAsia" w:ascii="宋体" w:cs="宋体"/>
          <w:color w:val="auto"/>
          <w:kern w:val="0"/>
          <w:szCs w:val="21"/>
          <w:highlight w:val="none"/>
        </w:rPr>
        <w:t>绿化等设备和工具。</w:t>
      </w:r>
    </w:p>
    <w:p w14:paraId="263C83C3">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九、  附  则</w:t>
      </w:r>
    </w:p>
    <w:p w14:paraId="15008B85">
      <w:pPr>
        <w:spacing w:line="440" w:lineRule="exact"/>
        <w:ind w:firstLine="420" w:firstLineChars="200"/>
        <w:rPr>
          <w:rFonts w:hint="eastAsia" w:ascii="宋体"/>
          <w:color w:val="auto"/>
          <w:szCs w:val="21"/>
          <w:highlight w:val="none"/>
        </w:rPr>
      </w:pPr>
      <w:r>
        <w:rPr>
          <w:rFonts w:hint="eastAsia" w:ascii="宋体"/>
          <w:color w:val="auto"/>
          <w:szCs w:val="21"/>
          <w:highlight w:val="none"/>
        </w:rPr>
        <w:t>第二十</w:t>
      </w:r>
      <w:r>
        <w:rPr>
          <w:rFonts w:hint="eastAsia" w:ascii="宋体"/>
          <w:color w:val="auto"/>
          <w:szCs w:val="21"/>
          <w:highlight w:val="none"/>
          <w:lang w:eastAsia="zh-CN"/>
        </w:rPr>
        <w:t>七</w:t>
      </w:r>
      <w:r>
        <w:rPr>
          <w:rFonts w:hint="eastAsia" w:ascii="宋体"/>
          <w:color w:val="auto"/>
          <w:szCs w:val="21"/>
          <w:highlight w:val="none"/>
        </w:rPr>
        <w:t>条  自本合同生效之日起</w:t>
      </w:r>
      <w:r>
        <w:rPr>
          <w:rFonts w:hint="eastAsia" w:ascii="宋体"/>
          <w:color w:val="auto"/>
          <w:szCs w:val="21"/>
          <w:highlight w:val="none"/>
          <w:u w:val="single"/>
        </w:rPr>
        <w:t>15</w:t>
      </w:r>
      <w:r>
        <w:rPr>
          <w:rFonts w:hint="eastAsia" w:ascii="宋体"/>
          <w:color w:val="auto"/>
          <w:szCs w:val="21"/>
          <w:highlight w:val="none"/>
        </w:rPr>
        <w:t>天内，根据甲方委托管理事项，办理完交接验收手续。</w:t>
      </w:r>
    </w:p>
    <w:p w14:paraId="38A2AD38">
      <w:pPr>
        <w:spacing w:line="440" w:lineRule="exact"/>
        <w:ind w:firstLine="420" w:firstLineChars="200"/>
        <w:rPr>
          <w:rFonts w:hint="eastAsia" w:ascii="宋体"/>
          <w:color w:val="auto"/>
          <w:szCs w:val="21"/>
          <w:highlight w:val="none"/>
        </w:rPr>
      </w:pPr>
      <w:r>
        <w:rPr>
          <w:rFonts w:hint="eastAsia" w:ascii="宋体"/>
          <w:color w:val="auto"/>
          <w:szCs w:val="21"/>
          <w:highlight w:val="none"/>
        </w:rPr>
        <w:t>第二十</w:t>
      </w:r>
      <w:r>
        <w:rPr>
          <w:rFonts w:hint="eastAsia" w:ascii="宋体"/>
          <w:color w:val="auto"/>
          <w:szCs w:val="21"/>
          <w:highlight w:val="none"/>
          <w:lang w:eastAsia="zh-CN"/>
        </w:rPr>
        <w:t>八</w:t>
      </w:r>
      <w:r>
        <w:rPr>
          <w:rFonts w:hint="eastAsia" w:ascii="宋体"/>
          <w:color w:val="auto"/>
          <w:szCs w:val="21"/>
          <w:highlight w:val="none"/>
        </w:rPr>
        <w:t>条  为维护公众、业主、使用人的切身利益，在不可预见情况下，如发生漏电、火灾、水管破裂、救助人命、协助公安机关执行任务等突发事件，乙方因采取紧急避险措施。造成业主财产损失的，当事双方按有关法律规定处理。</w:t>
      </w:r>
    </w:p>
    <w:p w14:paraId="45C33C33">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二十九</w:t>
      </w:r>
      <w:r>
        <w:rPr>
          <w:rFonts w:hint="eastAsia" w:ascii="宋体"/>
          <w:color w:val="auto"/>
          <w:szCs w:val="21"/>
          <w:highlight w:val="none"/>
        </w:rPr>
        <w:t>条   双方可对本合同的条款进行补充，以书面形式签订补充协议，补充协议与本合同具有同等效力。</w:t>
      </w:r>
    </w:p>
    <w:p w14:paraId="21B494A6">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第三十条  本合同之附件均为合同有效组成部分。本合同及其附件内，空格部分填写的文字与印刷文字具有同等效力。</w:t>
      </w:r>
    </w:p>
    <w:p w14:paraId="10303997">
      <w:pPr>
        <w:spacing w:line="440" w:lineRule="exact"/>
        <w:ind w:firstLine="420" w:firstLineChars="200"/>
        <w:rPr>
          <w:rFonts w:hint="eastAsia" w:ascii="宋体"/>
          <w:color w:val="auto"/>
          <w:szCs w:val="21"/>
          <w:highlight w:val="none"/>
        </w:rPr>
      </w:pPr>
      <w:r>
        <w:rPr>
          <w:rFonts w:hint="eastAsia" w:ascii="宋体"/>
          <w:color w:val="auto"/>
          <w:szCs w:val="21"/>
          <w:highlight w:val="none"/>
        </w:rPr>
        <w:t>本合同及其附件和补充协议中未规定的事宜，均遵照中华人民共和国有关法律、法规和规章执行。</w:t>
      </w:r>
    </w:p>
    <w:p w14:paraId="35F5D49E">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w:t>
      </w:r>
      <w:r>
        <w:rPr>
          <w:rFonts w:hint="eastAsia" w:ascii="宋体"/>
          <w:color w:val="auto"/>
          <w:szCs w:val="21"/>
          <w:highlight w:val="none"/>
          <w:lang w:eastAsia="zh-CN"/>
        </w:rPr>
        <w:t>一</w:t>
      </w:r>
      <w:r>
        <w:rPr>
          <w:rFonts w:hint="eastAsia" w:ascii="宋体"/>
          <w:color w:val="auto"/>
          <w:szCs w:val="21"/>
          <w:highlight w:val="none"/>
        </w:rPr>
        <w:t>条 本合同正本连同附件共</w:t>
      </w:r>
      <w:r>
        <w:rPr>
          <w:rFonts w:hint="eastAsia" w:ascii="宋体"/>
          <w:color w:val="auto"/>
          <w:szCs w:val="21"/>
          <w:highlight w:val="none"/>
          <w:u w:val="single"/>
        </w:rPr>
        <w:t xml:space="preserve">   </w:t>
      </w:r>
      <w:r>
        <w:rPr>
          <w:rFonts w:hint="eastAsia" w:ascii="宋体"/>
          <w:color w:val="auto"/>
          <w:szCs w:val="21"/>
          <w:highlight w:val="none"/>
        </w:rPr>
        <w:t>页，一式陆份，甲乙双方及物业管理行政主管部门（备案）各执贰份，具有同等法律效力。</w:t>
      </w:r>
    </w:p>
    <w:p w14:paraId="2D93E21B">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w:t>
      </w:r>
      <w:r>
        <w:rPr>
          <w:rFonts w:hint="eastAsia" w:ascii="宋体"/>
          <w:color w:val="auto"/>
          <w:szCs w:val="21"/>
          <w:highlight w:val="none"/>
          <w:lang w:eastAsia="zh-CN"/>
        </w:rPr>
        <w:t>二</w:t>
      </w:r>
      <w:r>
        <w:rPr>
          <w:rFonts w:hint="eastAsia" w:ascii="宋体"/>
          <w:color w:val="auto"/>
          <w:szCs w:val="21"/>
          <w:highlight w:val="none"/>
        </w:rPr>
        <w:t xml:space="preserve">条 </w:t>
      </w:r>
      <w:r>
        <w:rPr>
          <w:rFonts w:hint="eastAsia" w:ascii="宋体"/>
          <w:strike w:val="0"/>
          <w:dstrike w:val="0"/>
          <w:color w:val="auto"/>
          <w:szCs w:val="21"/>
          <w:highlight w:val="none"/>
          <w:u w:val="single"/>
          <w:lang w:val="en-US" w:eastAsia="zh-CN"/>
        </w:rPr>
        <w:t>本合同执行期间，发生争议的，双方先协商解决，协商不成的，向滁州仲裁委员会申请仲裁。</w:t>
      </w:r>
      <w:r>
        <w:rPr>
          <w:rFonts w:hint="eastAsia" w:ascii="宋体"/>
          <w:color w:val="auto"/>
          <w:szCs w:val="21"/>
          <w:highlight w:val="none"/>
        </w:rPr>
        <w:t>如遇不可抗力，致使合同无法履行时，双方应按有关法律规定及时协商处理。</w:t>
      </w:r>
    </w:p>
    <w:p w14:paraId="4BA2D80F">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w:t>
      </w:r>
      <w:r>
        <w:rPr>
          <w:rFonts w:hint="eastAsia" w:ascii="宋体"/>
          <w:color w:val="auto"/>
          <w:szCs w:val="21"/>
          <w:highlight w:val="none"/>
          <w:lang w:eastAsia="zh-CN"/>
        </w:rPr>
        <w:t>三</w:t>
      </w:r>
      <w:r>
        <w:rPr>
          <w:rFonts w:hint="eastAsia" w:ascii="宋体"/>
          <w:color w:val="auto"/>
          <w:szCs w:val="21"/>
          <w:highlight w:val="none"/>
        </w:rPr>
        <w:t>条 本合同</w:t>
      </w:r>
      <w:r>
        <w:rPr>
          <w:rFonts w:hint="eastAsia" w:ascii="宋体"/>
          <w:strike w:val="0"/>
          <w:dstrike w:val="0"/>
          <w:color w:val="auto"/>
          <w:szCs w:val="21"/>
          <w:highlight w:val="none"/>
          <w:u w:val="single"/>
          <w:lang w:val="en-US" w:eastAsia="zh-CN"/>
        </w:rPr>
        <w:t>自双方签字盖章之日</w:t>
      </w:r>
      <w:r>
        <w:rPr>
          <w:rFonts w:hint="eastAsia" w:ascii="宋体"/>
          <w:color w:val="auto"/>
          <w:szCs w:val="21"/>
          <w:highlight w:val="none"/>
        </w:rPr>
        <w:t>起生效</w:t>
      </w:r>
      <w:r>
        <w:rPr>
          <w:rFonts w:hint="eastAsia" w:ascii="宋体"/>
          <w:color w:val="auto"/>
          <w:szCs w:val="21"/>
          <w:highlight w:val="none"/>
          <w:lang w:eastAsia="zh-CN"/>
        </w:rPr>
        <w:t>，</w:t>
      </w:r>
      <w:r>
        <w:rPr>
          <w:rFonts w:hint="eastAsia" w:ascii="宋体"/>
          <w:color w:val="auto"/>
          <w:szCs w:val="21"/>
          <w:highlight w:val="none"/>
        </w:rPr>
        <w:t>期满自然终止。</w:t>
      </w:r>
    </w:p>
    <w:p w14:paraId="1A3D2650">
      <w:pPr>
        <w:spacing w:line="440" w:lineRule="exact"/>
        <w:ind w:firstLine="420" w:firstLineChars="200"/>
        <w:rPr>
          <w:rFonts w:hint="eastAsia" w:ascii="宋体"/>
          <w:color w:val="auto"/>
          <w:szCs w:val="21"/>
          <w:highlight w:val="none"/>
        </w:rPr>
      </w:pPr>
      <w:r>
        <w:rPr>
          <w:rFonts w:hint="eastAsia" w:ascii="宋体"/>
          <w:color w:val="auto"/>
          <w:szCs w:val="21"/>
          <w:highlight w:val="none"/>
        </w:rPr>
        <w:t>甲方（盖章）：                  乙方（盖章）：</w:t>
      </w:r>
    </w:p>
    <w:p w14:paraId="69F9FFFF">
      <w:pPr>
        <w:spacing w:line="440" w:lineRule="exact"/>
        <w:ind w:firstLine="420" w:firstLineChars="200"/>
        <w:rPr>
          <w:rFonts w:hint="eastAsia" w:ascii="宋体"/>
          <w:color w:val="auto"/>
          <w:szCs w:val="21"/>
          <w:highlight w:val="none"/>
        </w:rPr>
      </w:pPr>
      <w:r>
        <w:rPr>
          <w:rFonts w:hint="eastAsia" w:ascii="宋体"/>
          <w:color w:val="auto"/>
          <w:szCs w:val="21"/>
          <w:highlight w:val="none"/>
        </w:rPr>
        <w:t>法人代表或委托人：              法人代表：</w:t>
      </w:r>
    </w:p>
    <w:p w14:paraId="3FCD33D1">
      <w:pPr>
        <w:spacing w:line="440" w:lineRule="exact"/>
        <w:ind w:firstLine="420" w:firstLineChars="200"/>
        <w:rPr>
          <w:rFonts w:hint="eastAsia" w:ascii="宋体"/>
          <w:color w:val="auto"/>
          <w:szCs w:val="21"/>
          <w:highlight w:val="none"/>
        </w:rPr>
      </w:pPr>
      <w:r>
        <w:rPr>
          <w:rFonts w:hint="eastAsia" w:ascii="宋体"/>
          <w:color w:val="auto"/>
          <w:szCs w:val="21"/>
          <w:highlight w:val="none"/>
        </w:rPr>
        <w:t>经办人：                        经办人：</w:t>
      </w:r>
    </w:p>
    <w:p w14:paraId="49E910F0">
      <w:pPr>
        <w:spacing w:line="440" w:lineRule="exact"/>
        <w:ind w:firstLine="420" w:firstLineChars="200"/>
        <w:rPr>
          <w:rFonts w:hint="eastAsia" w:ascii="宋体"/>
          <w:color w:val="auto"/>
          <w:szCs w:val="21"/>
          <w:highlight w:val="none"/>
        </w:rPr>
      </w:pPr>
      <w:r>
        <w:rPr>
          <w:rFonts w:hint="eastAsia" w:ascii="宋体"/>
          <w:color w:val="auto"/>
          <w:szCs w:val="21"/>
          <w:highlight w:val="none"/>
        </w:rPr>
        <w:t>联系电话：                      联系电话：</w:t>
      </w:r>
    </w:p>
    <w:p w14:paraId="1D19367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年   月    日                   年   月    日 </w:t>
      </w:r>
    </w:p>
    <w:p w14:paraId="06580B25">
      <w:pPr>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甲    方:                       乙    方：                          </w:t>
      </w:r>
    </w:p>
    <w:p w14:paraId="088CC7DF">
      <w:pPr>
        <w:ind w:firstLine="420" w:firstLineChars="200"/>
        <w:rPr>
          <w:color w:val="auto"/>
          <w:highlight w:val="none"/>
        </w:rPr>
      </w:pPr>
      <w:r>
        <w:rPr>
          <w:rFonts w:hint="eastAsia" w:ascii="宋体"/>
          <w:color w:val="auto"/>
          <w:szCs w:val="21"/>
          <w:highlight w:val="none"/>
        </w:rPr>
        <w:t>收款单位：                      收款单位：</w:t>
      </w:r>
    </w:p>
    <w:p w14:paraId="175A600C">
      <w:pPr>
        <w:rPr>
          <w:rFonts w:hint="eastAsia" w:ascii="宋体"/>
          <w:b/>
          <w:color w:val="auto"/>
          <w:sz w:val="32"/>
          <w:szCs w:val="32"/>
          <w:highlight w:val="none"/>
        </w:rPr>
      </w:pPr>
      <w:r>
        <w:rPr>
          <w:rFonts w:hint="eastAsia" w:ascii="宋体"/>
          <w:b/>
          <w:color w:val="auto"/>
          <w:sz w:val="32"/>
          <w:szCs w:val="32"/>
          <w:highlight w:val="none"/>
        </w:rPr>
        <w:br w:type="page"/>
      </w:r>
    </w:p>
    <w:p w14:paraId="2E751976">
      <w:pPr>
        <w:pStyle w:val="7"/>
        <w:rPr>
          <w:rFonts w:hint="eastAsia" w:ascii="宋体"/>
          <w:b/>
          <w:bCs/>
          <w:color w:val="auto"/>
          <w:szCs w:val="21"/>
          <w:highlight w:val="none"/>
        </w:rPr>
      </w:pPr>
      <w:r>
        <w:rPr>
          <w:rFonts w:hint="eastAsia"/>
          <w:color w:val="auto"/>
          <w:highlight w:val="none"/>
          <w:lang w:val="en-US" w:eastAsia="zh-CN"/>
        </w:rPr>
        <w:t>合同附件：</w:t>
      </w:r>
      <w:r>
        <w:rPr>
          <w:rFonts w:hint="eastAsia" w:ascii="宋体"/>
          <w:b/>
          <w:bCs/>
          <w:color w:val="auto"/>
          <w:szCs w:val="21"/>
          <w:highlight w:val="none"/>
        </w:rPr>
        <w:t>考核标准</w:t>
      </w:r>
    </w:p>
    <w:p w14:paraId="7BFF286D">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1、工作进行质量考核，具体考核办法如下：</w:t>
      </w:r>
    </w:p>
    <w:p w14:paraId="1EA294D0">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由招标人组织人员采用全面检查、抽查、暗查、满意度调查等方式开展定期或不定期检查，对照服务内容和要求，进行现场评分、亮分，并由</w:t>
      </w:r>
      <w:r>
        <w:rPr>
          <w:rFonts w:hint="eastAsia" w:ascii="宋体"/>
          <w:color w:val="auto"/>
          <w:szCs w:val="28"/>
          <w:highlight w:val="none"/>
        </w:rPr>
        <w:t>中标单位对检查结果认可签字，</w:t>
      </w:r>
      <w:r>
        <w:rPr>
          <w:rFonts w:hint="eastAsia" w:ascii="宋体" w:cs="宋体"/>
          <w:color w:val="auto"/>
          <w:kern w:val="0"/>
          <w:szCs w:val="21"/>
          <w:highlight w:val="none"/>
        </w:rPr>
        <w:t>若中标单位拒不签字，</w:t>
      </w:r>
      <w:r>
        <w:rPr>
          <w:rFonts w:hint="eastAsia" w:ascii="宋体"/>
          <w:color w:val="auto"/>
          <w:szCs w:val="28"/>
          <w:highlight w:val="none"/>
        </w:rPr>
        <w:t>按照考核办法检查照片和现场考核人员两人签字为准，作为考核依据。</w:t>
      </w:r>
    </w:p>
    <w:p w14:paraId="5624E46E">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2、分值评定</w:t>
      </w:r>
    </w:p>
    <w:p w14:paraId="15978A7C">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考核分值为 100 分，作为对中标者物业费支付的依据（详见《考核评分标准》）。</w:t>
      </w:r>
    </w:p>
    <w:p w14:paraId="6FBDEFF9">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3、考核措施</w:t>
      </w:r>
    </w:p>
    <w:p w14:paraId="34501CEC">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考核得分在 95分（含 95 分以上）为优秀，95分（不含95分）~90分（含90分）为合格，90分（不含90分）以下为不合格。存在的问题中标人响应招标人要求限期整改，否则，招标人有权单方面解除合同。</w:t>
      </w:r>
    </w:p>
    <w:p w14:paraId="39053BF7">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4、考核评分标准</w:t>
      </w:r>
    </w:p>
    <w:p w14:paraId="3D1E2C22">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招标人对物业管理单位按下述考核标准进行考核，如果物业管理公司经考核得分在95分（含）以上的，全额支付；90（含）至95分，支付80%；90分以下的，不予支付。</w:t>
      </w:r>
    </w:p>
    <w:p w14:paraId="6639AE1D">
      <w:pPr>
        <w:pStyle w:val="7"/>
        <w:rPr>
          <w:rFonts w:hint="eastAsia" w:ascii="宋体" w:cs="宋体"/>
          <w:color w:val="auto"/>
          <w:kern w:val="0"/>
          <w:szCs w:val="21"/>
          <w:highlight w:val="none"/>
        </w:rPr>
      </w:pPr>
      <w:r>
        <w:rPr>
          <w:rFonts w:hint="eastAsia" w:ascii="宋体" w:cs="宋体"/>
          <w:color w:val="auto"/>
          <w:kern w:val="0"/>
          <w:szCs w:val="21"/>
          <w:highlight w:val="none"/>
        </w:rPr>
        <w:br w:type="page"/>
      </w:r>
    </w:p>
    <w:tbl>
      <w:tblPr>
        <w:tblStyle w:val="25"/>
        <w:tblpPr w:leftFromText="180" w:rightFromText="180" w:vertAnchor="text" w:horzAnchor="page" w:tblpX="823" w:tblpY="689"/>
        <w:tblOverlap w:val="never"/>
        <w:tblW w:w="104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0"/>
        <w:gridCol w:w="1290"/>
        <w:gridCol w:w="2820"/>
        <w:gridCol w:w="690"/>
        <w:gridCol w:w="1830"/>
        <w:gridCol w:w="1050"/>
        <w:gridCol w:w="1125"/>
        <w:gridCol w:w="936"/>
      </w:tblGrid>
      <w:tr w14:paraId="4966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0431" w:type="dxa"/>
            <w:gridSpan w:val="8"/>
            <w:tcBorders>
              <w:top w:val="nil"/>
              <w:left w:val="nil"/>
              <w:bottom w:val="nil"/>
              <w:right w:val="nil"/>
            </w:tcBorders>
            <w:noWrap/>
            <w:vAlign w:val="bottom"/>
          </w:tcPr>
          <w:p w14:paraId="75042335">
            <w:pPr>
              <w:numPr>
                <w:ilvl w:val="0"/>
                <w:numId w:val="5"/>
              </w:numPr>
              <w:autoSpaceDE w:val="0"/>
              <w:autoSpaceDN w:val="0"/>
              <w:adjustRightInd w:val="0"/>
              <w:spacing w:line="440" w:lineRule="exact"/>
              <w:ind w:firstLine="422" w:firstLineChars="200"/>
              <w:rPr>
                <w:rFonts w:ascii="仿宋_GB2312" w:hAnsi="宋体" w:eastAsia="仿宋_GB2312" w:cs="仿宋_GB2312"/>
                <w:i w:val="0"/>
                <w:iCs w:val="0"/>
                <w:color w:val="auto"/>
                <w:sz w:val="24"/>
                <w:szCs w:val="24"/>
                <w:highlight w:val="none"/>
                <w:u w:val="none"/>
              </w:rPr>
            </w:pPr>
            <w:r>
              <w:rPr>
                <w:rFonts w:hint="eastAsia" w:ascii="黑体" w:hAnsi="Times New Roman" w:eastAsia="黑体" w:cs="宋体"/>
                <w:b/>
                <w:bCs/>
                <w:color w:val="auto"/>
                <w:kern w:val="0"/>
                <w:szCs w:val="21"/>
                <w:highlight w:val="none"/>
                <w:lang w:val="zh-CN"/>
              </w:rPr>
              <w:t>考核评分标准</w:t>
            </w:r>
          </w:p>
          <w:p w14:paraId="707ED02C">
            <w:pPr>
              <w:numPr>
                <w:ilvl w:val="0"/>
                <w:numId w:val="0"/>
              </w:numPr>
              <w:autoSpaceDE w:val="0"/>
              <w:autoSpaceDN w:val="0"/>
              <w:adjustRightInd w:val="0"/>
              <w:spacing w:line="440" w:lineRule="exact"/>
              <w:jc w:val="right"/>
              <w:rPr>
                <w:rFonts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考核周期：    年  月  日至    年  月  日</w:t>
            </w:r>
          </w:p>
        </w:tc>
      </w:tr>
      <w:tr w14:paraId="44D8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CB7A609">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考核类别</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9B82348">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考核内容</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26AF2284">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考核标准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4A200E5">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总分</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F8A9C79">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评分标准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EED889">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应加/扣分值</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4B292E">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扣/加分说明</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A0AC3CE">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备注</w:t>
            </w:r>
          </w:p>
        </w:tc>
      </w:tr>
      <w:tr w14:paraId="2BC30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9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C84644">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秩</w:t>
            </w:r>
          </w:p>
          <w:p w14:paraId="084B6FFA">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序</w:t>
            </w:r>
          </w:p>
          <w:p w14:paraId="4618DCA1">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管</w:t>
            </w:r>
          </w:p>
          <w:p w14:paraId="100F83EA">
            <w:pPr>
              <w:keepNext w:val="0"/>
              <w:keepLines w:val="0"/>
              <w:widowControl/>
              <w:suppressLineNumbers w:val="0"/>
              <w:jc w:val="center"/>
              <w:textAlignment w:val="center"/>
              <w:rPr>
                <w:rFonts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理</w:t>
            </w:r>
          </w:p>
        </w:tc>
        <w:tc>
          <w:tcPr>
            <w:tcW w:w="1290" w:type="dxa"/>
            <w:vMerge w:val="restart"/>
            <w:tcBorders>
              <w:top w:val="single" w:color="000000" w:sz="4" w:space="0"/>
              <w:left w:val="single" w:color="000000" w:sz="4" w:space="0"/>
              <w:right w:val="single" w:color="000000" w:sz="4" w:space="0"/>
            </w:tcBorders>
            <w:noWrap w:val="0"/>
            <w:vAlign w:val="center"/>
          </w:tcPr>
          <w:p w14:paraId="0ABEA741">
            <w:pPr>
              <w:keepNext w:val="0"/>
              <w:keepLines w:val="0"/>
              <w:widowControl/>
              <w:suppressLineNumbers w:val="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门岗</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627F5F4">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实行24小时门岗值班，有交接班记录</w:t>
            </w:r>
            <w:r>
              <w:rPr>
                <w:rFonts w:hint="eastAsia" w:ascii="仿宋_GB2312" w:hAnsi="宋体" w:eastAsia="仿宋_GB2312" w:cs="仿宋_GB2312"/>
                <w:i w:val="0"/>
                <w:iCs w:val="0"/>
                <w:color w:val="auto"/>
                <w:kern w:val="0"/>
                <w:sz w:val="24"/>
                <w:szCs w:val="24"/>
                <w:highlight w:val="none"/>
                <w:u w:val="none"/>
                <w:lang w:val="en-US" w:eastAsia="zh-CN" w:bidi="ar"/>
              </w:rPr>
              <w:t>，落实人员进出登记</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25929DDE">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85C9A22">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1F98A4A">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5433FF">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05CBA5E">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26E3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A4A0E">
            <w:pPr>
              <w:jc w:val="center"/>
              <w:rPr>
                <w:rFonts w:hint="eastAsia" w:ascii="楷体" w:hAnsi="楷体" w:eastAsia="楷体" w:cs="楷体"/>
                <w:b/>
                <w:bCs/>
                <w:i w:val="0"/>
                <w:iCs w:val="0"/>
                <w:color w:val="auto"/>
                <w:sz w:val="24"/>
                <w:szCs w:val="24"/>
                <w:highlight w:val="none"/>
                <w:u w:val="none"/>
              </w:rPr>
            </w:pPr>
          </w:p>
        </w:tc>
        <w:tc>
          <w:tcPr>
            <w:tcW w:w="1290" w:type="dxa"/>
            <w:vMerge w:val="continue"/>
            <w:tcBorders>
              <w:left w:val="single" w:color="000000" w:sz="4" w:space="0"/>
              <w:right w:val="single" w:color="000000" w:sz="4" w:space="0"/>
            </w:tcBorders>
            <w:noWrap w:val="0"/>
            <w:vAlign w:val="center"/>
          </w:tcPr>
          <w:p w14:paraId="7AD17D71">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0AC08B1C">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工人实名制核验</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FB980C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9D6CE5F">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53F3A3B">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E97638">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CFD587B">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20DC8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49FD5">
            <w:pPr>
              <w:jc w:val="center"/>
              <w:rPr>
                <w:rFonts w:hint="eastAsia" w:ascii="楷体" w:hAnsi="楷体" w:eastAsia="楷体" w:cs="楷体"/>
                <w:b/>
                <w:bCs/>
                <w:i w:val="0"/>
                <w:iCs w:val="0"/>
                <w:color w:val="auto"/>
                <w:sz w:val="24"/>
                <w:szCs w:val="24"/>
                <w:highlight w:val="none"/>
                <w:u w:val="none"/>
              </w:rPr>
            </w:pPr>
          </w:p>
        </w:tc>
        <w:tc>
          <w:tcPr>
            <w:tcW w:w="1290" w:type="dxa"/>
            <w:vMerge w:val="continue"/>
            <w:tcBorders>
              <w:left w:val="single" w:color="000000" w:sz="4" w:space="0"/>
              <w:bottom w:val="single" w:color="000000" w:sz="4" w:space="0"/>
              <w:right w:val="single" w:color="000000" w:sz="4" w:space="0"/>
            </w:tcBorders>
            <w:noWrap w:val="0"/>
            <w:vAlign w:val="center"/>
          </w:tcPr>
          <w:p w14:paraId="26D4D9EF">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2FC06CC">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进出车辆物资管理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5D48FE4">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3A98729">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D3F22F0">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DF21AA">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DEA28A1">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06A2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516E66">
            <w:pPr>
              <w:jc w:val="center"/>
              <w:rPr>
                <w:rFonts w:hint="eastAsia" w:ascii="楷体" w:hAnsi="楷体" w:eastAsia="楷体" w:cs="楷体"/>
                <w:b/>
                <w:bCs/>
                <w:i w:val="0"/>
                <w:iCs w:val="0"/>
                <w:color w:val="auto"/>
                <w:sz w:val="24"/>
                <w:szCs w:val="24"/>
                <w:highlight w:val="none"/>
                <w:u w:val="none"/>
              </w:rPr>
            </w:pPr>
          </w:p>
        </w:tc>
        <w:tc>
          <w:tcPr>
            <w:tcW w:w="1290" w:type="dxa"/>
            <w:vMerge w:val="restart"/>
            <w:tcBorders>
              <w:top w:val="single" w:color="000000" w:sz="4" w:space="0"/>
              <w:left w:val="single" w:color="000000" w:sz="4" w:space="0"/>
              <w:right w:val="single" w:color="000000" w:sz="4" w:space="0"/>
            </w:tcBorders>
            <w:noWrap w:val="0"/>
            <w:vAlign w:val="center"/>
          </w:tcPr>
          <w:p w14:paraId="7D3B389C">
            <w:pPr>
              <w:keepNext w:val="0"/>
              <w:keepLines w:val="0"/>
              <w:widowControl/>
              <w:suppressLineNumbers w:val="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巡逻岗</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08357B0">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巡逻人员定时、定区域巡逻，发现问题及时处理，有巡查记录和交接班记录</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9872EED">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B202FB0">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F719F16">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6754666">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34B7665">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60CFA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3F192">
            <w:pPr>
              <w:jc w:val="center"/>
              <w:rPr>
                <w:rFonts w:hint="eastAsia" w:ascii="楷体" w:hAnsi="楷体" w:eastAsia="楷体" w:cs="楷体"/>
                <w:b/>
                <w:bCs/>
                <w:i w:val="0"/>
                <w:iCs w:val="0"/>
                <w:color w:val="auto"/>
                <w:sz w:val="24"/>
                <w:szCs w:val="24"/>
                <w:highlight w:val="none"/>
                <w:u w:val="none"/>
              </w:rPr>
            </w:pPr>
          </w:p>
        </w:tc>
        <w:tc>
          <w:tcPr>
            <w:tcW w:w="1290" w:type="dxa"/>
            <w:vMerge w:val="continue"/>
            <w:tcBorders>
              <w:left w:val="single" w:color="000000" w:sz="4" w:space="0"/>
              <w:bottom w:val="single" w:color="000000" w:sz="4" w:space="0"/>
              <w:right w:val="single" w:color="000000" w:sz="4" w:space="0"/>
            </w:tcBorders>
            <w:noWrap w:val="0"/>
            <w:vAlign w:val="center"/>
          </w:tcPr>
          <w:p w14:paraId="4B45486E">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167162EB">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工地日常治安秩序维护</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049447D">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0ABD5A9">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D92377E">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7643FA">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16480BD">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p>
        </w:tc>
      </w:tr>
      <w:tr w14:paraId="4078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E69CC24">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环</w:t>
            </w:r>
          </w:p>
          <w:p w14:paraId="09E026C7">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境</w:t>
            </w:r>
          </w:p>
          <w:p w14:paraId="1A065906">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管</w:t>
            </w:r>
          </w:p>
          <w:p w14:paraId="054DB82A">
            <w:pPr>
              <w:keepNext w:val="0"/>
              <w:keepLines w:val="0"/>
              <w:widowControl/>
              <w:suppressLineNumbers w:val="0"/>
              <w:jc w:val="center"/>
              <w:textAlignment w:val="center"/>
              <w:rPr>
                <w:rFonts w:hint="eastAsia"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理</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E78B5">
            <w:pPr>
              <w:keepNext w:val="0"/>
              <w:keepLines w:val="0"/>
              <w:widowControl/>
              <w:suppressLineNumbers w:val="0"/>
              <w:jc w:val="center"/>
              <w:textAlignment w:val="center"/>
              <w:rPr>
                <w:rFonts w:hint="default" w:ascii="仿宋_GB2312" w:hAnsi="宋体" w:eastAsia="仿宋_GB2312" w:cs="仿宋_GB2312"/>
                <w:b/>
                <w:bCs/>
                <w:i w:val="0"/>
                <w:iCs w:val="0"/>
                <w:color w:val="auto"/>
                <w:kern w:val="2"/>
                <w:sz w:val="24"/>
                <w:szCs w:val="24"/>
                <w:highlight w:val="none"/>
                <w:u w:val="none"/>
                <w:lang w:val="en-US" w:eastAsia="zh-CN" w:bidi="ar-SA"/>
              </w:rPr>
            </w:pPr>
            <w:r>
              <w:rPr>
                <w:rFonts w:hint="default" w:ascii="仿宋_GB2312" w:hAnsi="宋体" w:eastAsia="仿宋_GB2312" w:cs="仿宋_GB2312"/>
                <w:b/>
                <w:bCs/>
                <w:i w:val="0"/>
                <w:iCs w:val="0"/>
                <w:color w:val="auto"/>
                <w:kern w:val="0"/>
                <w:sz w:val="24"/>
                <w:szCs w:val="24"/>
                <w:highlight w:val="none"/>
                <w:u w:val="none"/>
                <w:lang w:val="en-US" w:eastAsia="zh-CN" w:bidi="ar"/>
              </w:rPr>
              <w:t>责任制</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FF82F">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有专职的保洁人员和明确的责任范围，实行标准化保洁有保洁责任牌</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0DCEA">
            <w:pPr>
              <w:keepNext w:val="0"/>
              <w:keepLines w:val="0"/>
              <w:widowControl/>
              <w:suppressLineNumbers w:val="0"/>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13</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A17AD">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10D96E">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BF408F">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9EE9DF">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看现场，统计保洁人数</w:t>
            </w:r>
          </w:p>
        </w:tc>
      </w:tr>
      <w:tr w14:paraId="17AA0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85677">
            <w:pPr>
              <w:jc w:val="center"/>
              <w:rPr>
                <w:rFonts w:hint="eastAsia" w:ascii="楷体" w:hAnsi="楷体" w:eastAsia="楷体" w:cs="楷体"/>
                <w:b/>
                <w:bCs/>
                <w:i w:val="0"/>
                <w:iCs w:val="0"/>
                <w:color w:val="auto"/>
                <w:sz w:val="24"/>
                <w:szCs w:val="24"/>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10054E">
            <w:pPr>
              <w:keepNext w:val="0"/>
              <w:keepLines w:val="0"/>
              <w:widowControl/>
              <w:suppressLineNumbers w:val="0"/>
              <w:jc w:val="center"/>
              <w:textAlignment w:val="center"/>
              <w:rPr>
                <w:rFonts w:hint="default" w:ascii="仿宋_GB2312" w:hAnsi="宋体" w:eastAsia="仿宋_GB2312" w:cs="仿宋_GB2312"/>
                <w:b/>
                <w:bCs/>
                <w:i w:val="0"/>
                <w:iCs w:val="0"/>
                <w:color w:val="auto"/>
                <w:kern w:val="2"/>
                <w:sz w:val="24"/>
                <w:szCs w:val="24"/>
                <w:highlight w:val="none"/>
                <w:u w:val="none"/>
                <w:lang w:val="en-US" w:eastAsia="zh-CN" w:bidi="ar-SA"/>
              </w:rPr>
            </w:pPr>
            <w:r>
              <w:rPr>
                <w:rFonts w:hint="default" w:ascii="仿宋_GB2312" w:hAnsi="宋体" w:eastAsia="仿宋_GB2312" w:cs="仿宋_GB2312"/>
                <w:b/>
                <w:bCs/>
                <w:i w:val="0"/>
                <w:iCs w:val="0"/>
                <w:color w:val="auto"/>
                <w:kern w:val="0"/>
                <w:sz w:val="24"/>
                <w:szCs w:val="24"/>
                <w:highlight w:val="none"/>
                <w:u w:val="none"/>
                <w:lang w:val="en-US" w:eastAsia="zh-CN" w:bidi="ar"/>
              </w:rPr>
              <w:t>公共保洁</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5BD80">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办公区室内外保洁、施工道口保洁、卫生间保洁</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37A77">
            <w:pPr>
              <w:keepNext w:val="0"/>
              <w:keepLines w:val="0"/>
              <w:widowControl/>
              <w:suppressLineNumbers w:val="0"/>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12</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FD117">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EECBA">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F1524">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FC123">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看现场</w:t>
            </w:r>
          </w:p>
        </w:tc>
      </w:tr>
      <w:tr w14:paraId="09C3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859F3">
            <w:pPr>
              <w:jc w:val="center"/>
              <w:rPr>
                <w:rFonts w:hint="eastAsia" w:ascii="楷体" w:hAnsi="楷体" w:eastAsia="楷体" w:cs="楷体"/>
                <w:b/>
                <w:bCs/>
                <w:i w:val="0"/>
                <w:iCs w:val="0"/>
                <w:color w:val="auto"/>
                <w:sz w:val="24"/>
                <w:szCs w:val="24"/>
                <w:highlight w:val="none"/>
                <w:u w:val="none"/>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5BBA85B">
            <w:pPr>
              <w:keepNext w:val="0"/>
              <w:keepLines w:val="0"/>
              <w:widowControl/>
              <w:suppressLineNumbers w:val="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垃圾清运</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AE38537">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生活垃圾集中收集，及时外运</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1AE986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FD81FE1">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39B7506">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0F975C">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8DCBA06">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看现场</w:t>
            </w:r>
          </w:p>
        </w:tc>
      </w:tr>
      <w:tr w14:paraId="46987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AB8B239">
            <w:pPr>
              <w:keepNext w:val="0"/>
              <w:keepLines w:val="0"/>
              <w:widowControl/>
              <w:suppressLineNumbers w:val="0"/>
              <w:jc w:val="center"/>
              <w:textAlignment w:val="center"/>
              <w:rPr>
                <w:rFonts w:hint="eastAsia" w:ascii="仿宋_GB2312" w:hAnsi="宋体" w:eastAsia="仿宋_GB2312" w:cs="仿宋_GB2312"/>
                <w:b/>
                <w:bCs/>
                <w:i w:val="0"/>
                <w:iCs w:val="0"/>
                <w:color w:val="auto"/>
                <w:kern w:val="0"/>
                <w:sz w:val="24"/>
                <w:szCs w:val="24"/>
                <w:highlight w:val="none"/>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DDE3C72">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r>
              <w:rPr>
                <w:rFonts w:hint="eastAsia" w:ascii="仿宋_GB2312" w:hAnsi="宋体" w:eastAsia="仿宋_GB2312" w:cs="仿宋_GB2312"/>
                <w:b/>
                <w:bCs/>
                <w:i w:val="0"/>
                <w:iCs w:val="0"/>
                <w:color w:val="auto"/>
                <w:kern w:val="0"/>
                <w:sz w:val="24"/>
                <w:szCs w:val="24"/>
                <w:highlight w:val="none"/>
                <w:u w:val="none"/>
                <w:lang w:val="en-US" w:eastAsia="zh-CN" w:bidi="ar"/>
              </w:rPr>
              <w:t>专项保洁</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76D86E">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项目迎检专项保洁完成度</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DB68AAD">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91FF27D">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E82CE47">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59E957">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4CBFD72">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r>
    </w:tbl>
    <w:p w14:paraId="13044AD3">
      <w:pPr>
        <w:keepNext w:val="0"/>
        <w:keepLines w:val="0"/>
        <w:widowControl/>
        <w:suppressLineNumbers w:val="0"/>
        <w:jc w:val="center"/>
        <w:textAlignment w:val="center"/>
        <w:rPr>
          <w:rFonts w:hint="eastAsia" w:ascii="仿宋_GB2312" w:hAnsi="宋体" w:eastAsia="仿宋_GB2312" w:cs="仿宋_GB2312"/>
          <w:b/>
          <w:bCs/>
          <w:i w:val="0"/>
          <w:iCs w:val="0"/>
          <w:color w:val="auto"/>
          <w:kern w:val="0"/>
          <w:sz w:val="24"/>
          <w:szCs w:val="24"/>
          <w:highlight w:val="none"/>
          <w:u w:val="none"/>
          <w:lang w:val="zh-CN" w:eastAsia="zh-CN" w:bidi="ar"/>
        </w:rPr>
      </w:pPr>
    </w:p>
    <w:p w14:paraId="7F9C6DBA">
      <w:pPr>
        <w:rPr>
          <w:color w:val="auto"/>
          <w:highlight w:val="none"/>
        </w:rPr>
      </w:pPr>
    </w:p>
    <w:p w14:paraId="606B11BC">
      <w:pP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2004A733">
      <w:pPr>
        <w:jc w:val="cente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第七章 投标文件格式</w:t>
      </w:r>
    </w:p>
    <w:p w14:paraId="134563AE">
      <w:pPr>
        <w:jc w:val="center"/>
        <w:outlineLvl w:val="1"/>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566ECF43">
      <w:pPr>
        <w:jc w:val="center"/>
        <w:rPr>
          <w:rFonts w:hint="eastAsia" w:eastAsia="黑体"/>
          <w:color w:val="auto"/>
          <w:sz w:val="20"/>
          <w:highlight w:val="none"/>
        </w:rPr>
      </w:pPr>
    </w:p>
    <w:p w14:paraId="01411376">
      <w:pPr>
        <w:rPr>
          <w:rFonts w:hint="eastAsia" w:eastAsia="黑体"/>
          <w:color w:val="auto"/>
          <w:sz w:val="20"/>
          <w:highlight w:val="none"/>
        </w:rPr>
      </w:pPr>
    </w:p>
    <w:p w14:paraId="718886C6">
      <w:pPr>
        <w:jc w:val="center"/>
        <w:outlineLvl w:val="2"/>
        <w:rPr>
          <w:rFonts w:hint="eastAsia" w:ascii="宋体"/>
          <w:b/>
          <w:color w:val="auto"/>
          <w:sz w:val="44"/>
          <w:szCs w:val="44"/>
          <w:highlight w:val="none"/>
        </w:rPr>
      </w:pPr>
      <w:bookmarkStart w:id="96" w:name="_Toc350698753"/>
      <w:bookmarkStart w:id="97" w:name="_Toc449028949"/>
      <w:r>
        <w:rPr>
          <w:rFonts w:hint="eastAsia" w:ascii="宋体"/>
          <w:b/>
          <w:color w:val="auto"/>
          <w:sz w:val="44"/>
          <w:szCs w:val="44"/>
          <w:highlight w:val="none"/>
        </w:rPr>
        <w:t>资信证明文件</w:t>
      </w:r>
      <w:bookmarkEnd w:id="96"/>
      <w:bookmarkEnd w:id="97"/>
    </w:p>
    <w:p w14:paraId="23FB7F32">
      <w:pPr>
        <w:jc w:val="center"/>
        <w:rPr>
          <w:rFonts w:hint="eastAsia" w:ascii="宋体"/>
          <w:color w:val="auto"/>
          <w:sz w:val="32"/>
          <w:szCs w:val="32"/>
          <w:highlight w:val="none"/>
        </w:rPr>
      </w:pPr>
      <w:r>
        <w:rPr>
          <w:rFonts w:hint="eastAsia" w:ascii="宋体"/>
          <w:color w:val="auto"/>
          <w:sz w:val="32"/>
          <w:szCs w:val="32"/>
          <w:highlight w:val="none"/>
        </w:rPr>
        <w:t>（投标文件一）</w:t>
      </w:r>
    </w:p>
    <w:p w14:paraId="5C59F460">
      <w:pPr>
        <w:jc w:val="center"/>
        <w:rPr>
          <w:rFonts w:hint="eastAsia" w:eastAsia="黑体"/>
          <w:color w:val="auto"/>
          <w:sz w:val="44"/>
          <w:szCs w:val="44"/>
          <w:highlight w:val="none"/>
        </w:rPr>
      </w:pPr>
    </w:p>
    <w:p w14:paraId="225DBE31">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25080814">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22394209">
      <w:pPr>
        <w:rPr>
          <w:rFonts w:hint="eastAsia" w:ascii="宋体"/>
          <w:color w:val="auto"/>
          <w:sz w:val="28"/>
          <w:szCs w:val="28"/>
          <w:highlight w:val="none"/>
        </w:rPr>
      </w:pPr>
    </w:p>
    <w:p w14:paraId="0799BC03">
      <w:pPr>
        <w:rPr>
          <w:rFonts w:hint="eastAsia" w:ascii="宋体"/>
          <w:color w:val="auto"/>
          <w:sz w:val="28"/>
          <w:szCs w:val="28"/>
          <w:highlight w:val="none"/>
        </w:rPr>
      </w:pPr>
    </w:p>
    <w:p w14:paraId="3CE74951">
      <w:pPr>
        <w:rPr>
          <w:rFonts w:hint="eastAsia" w:ascii="宋体"/>
          <w:color w:val="auto"/>
          <w:sz w:val="28"/>
          <w:szCs w:val="28"/>
          <w:highlight w:val="none"/>
        </w:rPr>
      </w:pPr>
    </w:p>
    <w:p w14:paraId="3DB0F348">
      <w:pPr>
        <w:rPr>
          <w:rFonts w:hint="eastAsia" w:ascii="宋体"/>
          <w:color w:val="auto"/>
          <w:sz w:val="28"/>
          <w:szCs w:val="28"/>
          <w:highlight w:val="none"/>
        </w:rPr>
      </w:pPr>
    </w:p>
    <w:p w14:paraId="1B698C4B">
      <w:pPr>
        <w:rPr>
          <w:rFonts w:hint="eastAsia" w:ascii="宋体"/>
          <w:color w:val="auto"/>
          <w:sz w:val="28"/>
          <w:szCs w:val="28"/>
          <w:highlight w:val="none"/>
        </w:rPr>
      </w:pPr>
    </w:p>
    <w:p w14:paraId="51B9E144">
      <w:pPr>
        <w:pStyle w:val="7"/>
        <w:rPr>
          <w:rFonts w:hint="eastAsia" w:ascii="宋体"/>
          <w:color w:val="auto"/>
          <w:sz w:val="28"/>
          <w:szCs w:val="28"/>
          <w:highlight w:val="none"/>
        </w:rPr>
      </w:pPr>
    </w:p>
    <w:p w14:paraId="477B3CD2">
      <w:pPr>
        <w:rPr>
          <w:rFonts w:hint="eastAsia" w:ascii="宋体"/>
          <w:color w:val="auto"/>
          <w:sz w:val="28"/>
          <w:szCs w:val="28"/>
          <w:highlight w:val="none"/>
        </w:rPr>
      </w:pPr>
    </w:p>
    <w:p w14:paraId="6C01BBF8">
      <w:pPr>
        <w:pStyle w:val="7"/>
        <w:rPr>
          <w:rFonts w:hint="eastAsia"/>
          <w:color w:val="auto"/>
          <w:highlight w:val="none"/>
        </w:rPr>
      </w:pPr>
    </w:p>
    <w:p w14:paraId="3D13A983">
      <w:pPr>
        <w:rPr>
          <w:rFonts w:hint="eastAsia" w:ascii="宋体"/>
          <w:color w:val="auto"/>
          <w:sz w:val="28"/>
          <w:szCs w:val="28"/>
          <w:highlight w:val="none"/>
        </w:rPr>
      </w:pPr>
    </w:p>
    <w:p w14:paraId="345BA538">
      <w:pPr>
        <w:rPr>
          <w:rFonts w:hint="eastAsia" w:ascii="宋体"/>
          <w:color w:val="auto"/>
          <w:sz w:val="28"/>
          <w:szCs w:val="28"/>
          <w:highlight w:val="none"/>
        </w:rPr>
      </w:pPr>
    </w:p>
    <w:p w14:paraId="159F5C7F">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签章</w:t>
      </w:r>
      <w:r>
        <w:rPr>
          <w:rFonts w:hint="eastAsia" w:ascii="宋体"/>
          <w:color w:val="auto"/>
          <w:sz w:val="28"/>
          <w:szCs w:val="28"/>
          <w:highlight w:val="none"/>
        </w:rPr>
        <w:t>）</w:t>
      </w:r>
    </w:p>
    <w:p w14:paraId="6CD864BA">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27A1C299">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36C67FEE">
      <w:pPr>
        <w:spacing w:line="720" w:lineRule="auto"/>
        <w:jc w:val="center"/>
        <w:rPr>
          <w:rFonts w:hint="eastAsia" w:ascii="宋体"/>
          <w:b/>
          <w:color w:val="auto"/>
          <w:sz w:val="36"/>
          <w:szCs w:val="36"/>
          <w:highlight w:val="none"/>
        </w:rPr>
      </w:pPr>
    </w:p>
    <w:p w14:paraId="0782A5E2">
      <w:pPr>
        <w:spacing w:line="400" w:lineRule="exact"/>
        <w:ind w:firstLine="4130" w:firstLineChars="935"/>
        <w:rPr>
          <w:rFonts w:hint="eastAsia"/>
          <w:b/>
          <w:color w:val="auto"/>
          <w:sz w:val="44"/>
          <w:szCs w:val="44"/>
          <w:highlight w:val="none"/>
        </w:rPr>
      </w:pPr>
    </w:p>
    <w:p w14:paraId="130B625F">
      <w:pPr>
        <w:jc w:val="center"/>
        <w:rPr>
          <w:rFonts w:hint="eastAsia"/>
          <w:b/>
          <w:color w:val="auto"/>
          <w:sz w:val="44"/>
          <w:szCs w:val="44"/>
          <w:highlight w:val="none"/>
        </w:rPr>
      </w:pPr>
      <w:r>
        <w:rPr>
          <w:rFonts w:hint="eastAsia"/>
          <w:b/>
          <w:color w:val="auto"/>
          <w:sz w:val="36"/>
          <w:szCs w:val="36"/>
          <w:highlight w:val="none"/>
        </w:rPr>
        <w:t>目   录</w:t>
      </w:r>
    </w:p>
    <w:p w14:paraId="6B6DCB5F">
      <w:pPr>
        <w:spacing w:line="400" w:lineRule="exact"/>
        <w:ind w:firstLine="562" w:firstLineChars="200"/>
        <w:rPr>
          <w:rFonts w:hint="eastAsia"/>
          <w:b/>
          <w:color w:val="auto"/>
          <w:sz w:val="28"/>
          <w:szCs w:val="28"/>
          <w:highlight w:val="none"/>
        </w:rPr>
      </w:pPr>
    </w:p>
    <w:p w14:paraId="2082F3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（1）法定代表人身份证明及其有效身份证（或法定代表人授权委托书及其有效身份证）（格式见附件）；</w:t>
      </w:r>
    </w:p>
    <w:p w14:paraId="725F51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（2）投标人有效的营业执照、税务登记证、组织机构代码证（或三合一证书）；</w:t>
      </w:r>
    </w:p>
    <w:p w14:paraId="034352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诚信投标承诺书；</w:t>
      </w:r>
    </w:p>
    <w:p w14:paraId="6C3410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）服务承诺：是否响应招标文件要求的说明和服务承诺书（格式见附件）；</w:t>
      </w:r>
    </w:p>
    <w:p w14:paraId="4EC6E814">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招标文件中要求的资信标评审及其他支持资料。</w:t>
      </w:r>
    </w:p>
    <w:p w14:paraId="2D8756FF">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6）其他资料（如有）。</w:t>
      </w:r>
    </w:p>
    <w:p w14:paraId="41494D8B">
      <w:pPr>
        <w:spacing w:line="360" w:lineRule="auto"/>
        <w:ind w:firstLine="420" w:firstLineChars="200"/>
        <w:rPr>
          <w:rFonts w:hint="eastAsia" w:ascii="宋体" w:hAnsi="宋体" w:eastAsia="宋体" w:cs="宋体"/>
          <w:color w:val="auto"/>
          <w:szCs w:val="21"/>
          <w:highlight w:val="none"/>
        </w:rPr>
      </w:pPr>
    </w:p>
    <w:p w14:paraId="68D51202">
      <w:pPr>
        <w:spacing w:line="400" w:lineRule="exact"/>
        <w:ind w:firstLine="562" w:firstLineChars="200"/>
        <w:rPr>
          <w:rFonts w:hint="eastAsia"/>
          <w:b/>
          <w:color w:val="auto"/>
          <w:sz w:val="28"/>
          <w:szCs w:val="28"/>
          <w:highlight w:val="none"/>
        </w:rPr>
      </w:pPr>
    </w:p>
    <w:p w14:paraId="68259B39">
      <w:pPr>
        <w:spacing w:line="400" w:lineRule="exact"/>
        <w:ind w:firstLine="562" w:firstLineChars="200"/>
        <w:rPr>
          <w:rFonts w:hint="eastAsia"/>
          <w:b/>
          <w:color w:val="auto"/>
          <w:sz w:val="28"/>
          <w:szCs w:val="28"/>
          <w:highlight w:val="none"/>
        </w:rPr>
      </w:pPr>
    </w:p>
    <w:p w14:paraId="493BF9A4">
      <w:pPr>
        <w:spacing w:line="400" w:lineRule="exact"/>
        <w:ind w:firstLine="562" w:firstLineChars="200"/>
        <w:rPr>
          <w:rFonts w:hint="eastAsia"/>
          <w:b/>
          <w:color w:val="auto"/>
          <w:sz w:val="28"/>
          <w:szCs w:val="28"/>
          <w:highlight w:val="none"/>
        </w:rPr>
      </w:pPr>
    </w:p>
    <w:p w14:paraId="62E142D8">
      <w:pPr>
        <w:spacing w:line="400" w:lineRule="exact"/>
        <w:rPr>
          <w:b/>
          <w:color w:val="auto"/>
          <w:sz w:val="28"/>
          <w:szCs w:val="28"/>
          <w:highlight w:val="none"/>
        </w:rPr>
        <w:sectPr>
          <w:pgSz w:w="11906" w:h="16838"/>
          <w:pgMar w:top="1417" w:right="1361" w:bottom="1417" w:left="147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599332CF">
      <w:pPr>
        <w:spacing w:line="360" w:lineRule="auto"/>
        <w:rPr>
          <w:rFonts w:hint="eastAsia"/>
          <w:b/>
          <w:color w:val="auto"/>
          <w:sz w:val="28"/>
          <w:szCs w:val="28"/>
          <w:highlight w:val="none"/>
        </w:rPr>
      </w:pPr>
      <w:r>
        <w:rPr>
          <w:rFonts w:hint="eastAsia"/>
          <w:b/>
          <w:color w:val="auto"/>
          <w:sz w:val="28"/>
          <w:szCs w:val="28"/>
          <w:highlight w:val="none"/>
        </w:rPr>
        <w:t>附件1</w:t>
      </w:r>
    </w:p>
    <w:p w14:paraId="66BC03E6">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181C7EC7">
      <w:pPr>
        <w:pStyle w:val="51"/>
        <w:spacing w:before="312" w:beforeLines="100" w:after="312" w:afterLines="100" w:line="480" w:lineRule="exact"/>
        <w:ind w:firstLine="180" w:firstLineChars="75"/>
        <w:outlineLvl w:val="2"/>
        <w:rPr>
          <w:rFonts w:hint="eastAsia" w:ascii="宋体"/>
          <w:b/>
          <w:color w:val="auto"/>
          <w:sz w:val="24"/>
          <w:szCs w:val="24"/>
          <w:highlight w:val="none"/>
        </w:rPr>
      </w:pPr>
      <w:r>
        <w:rPr>
          <w:rFonts w:hint="eastAsia" w:ascii="宋体"/>
          <w:color w:val="auto"/>
          <w:sz w:val="24"/>
          <w:szCs w:val="24"/>
          <w:highlight w:val="none"/>
        </w:rPr>
        <w:t>1.法定代表人身份证明</w:t>
      </w:r>
    </w:p>
    <w:p w14:paraId="2FE83659">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517DEC7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32B0714D">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93B48FE">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01C55C55">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09978DB9">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2EF6CE87">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6E659ECC">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0FB5D0E7">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348C126C">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0EF5A935">
      <w:pPr>
        <w:spacing w:before="312" w:beforeLines="100" w:after="312" w:afterLines="100" w:line="480" w:lineRule="exact"/>
        <w:ind w:firstLine="3654" w:firstLineChars="1305"/>
        <w:outlineLvl w:val="2"/>
        <w:rPr>
          <w:rFonts w:hint="eastAsia" w:ascii="宋体"/>
          <w:color w:val="auto"/>
          <w:sz w:val="28"/>
          <w:szCs w:val="28"/>
          <w:highlight w:val="none"/>
        </w:rPr>
      </w:pPr>
      <w:r>
        <w:rPr>
          <w:rFonts w:hint="eastAsia" w:ascii="宋体"/>
          <w:color w:val="auto"/>
          <w:sz w:val="28"/>
          <w:szCs w:val="28"/>
          <w:highlight w:val="none"/>
        </w:rPr>
        <w:t>2.授权委托书</w:t>
      </w:r>
    </w:p>
    <w:p w14:paraId="6AC9B623">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25E9DD19">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D18AD96">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283B5405">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0778EF0D">
      <w:pPr>
        <w:spacing w:line="480" w:lineRule="exact"/>
        <w:rPr>
          <w:rFonts w:hint="eastAsia" w:ascii="宋体"/>
          <w:color w:val="auto"/>
          <w:sz w:val="24"/>
          <w:highlight w:val="none"/>
        </w:rPr>
      </w:pPr>
      <w:r>
        <w:rPr>
          <w:rFonts w:hint="eastAsia" w:ascii="宋体"/>
          <w:color w:val="auto"/>
          <w:sz w:val="24"/>
          <w:highlight w:val="none"/>
        </w:rPr>
        <w:t xml:space="preserve">                                     投标人：             （盖单位章）</w:t>
      </w:r>
    </w:p>
    <w:p w14:paraId="77C758F4">
      <w:pPr>
        <w:spacing w:line="480" w:lineRule="exact"/>
        <w:jc w:val="right"/>
        <w:rPr>
          <w:rFonts w:hint="eastAsia" w:ascii="宋体"/>
          <w:color w:val="auto"/>
          <w:sz w:val="24"/>
          <w:highlight w:val="none"/>
        </w:rPr>
      </w:pPr>
      <w:r>
        <w:rPr>
          <w:rFonts w:hint="eastAsia" w:ascii="宋体"/>
          <w:color w:val="auto"/>
          <w:sz w:val="24"/>
          <w:highlight w:val="none"/>
        </w:rPr>
        <w:t>法定代表人（身份证号码）：             （签章）</w:t>
      </w:r>
    </w:p>
    <w:p w14:paraId="0091C2C8">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54D84AC8">
      <w:pPr>
        <w:spacing w:line="360" w:lineRule="exact"/>
        <w:ind w:firstLine="413" w:firstLineChars="147"/>
        <w:rPr>
          <w:rFonts w:hint="eastAsia"/>
          <w:b/>
          <w:color w:val="auto"/>
          <w:sz w:val="28"/>
          <w:szCs w:val="28"/>
          <w:highlight w:val="none"/>
          <w:u w:val="single"/>
        </w:rPr>
      </w:pPr>
    </w:p>
    <w:p w14:paraId="6A664EB0">
      <w:pPr>
        <w:spacing w:line="360" w:lineRule="exact"/>
        <w:ind w:firstLine="413" w:firstLineChars="147"/>
        <w:rPr>
          <w:rFonts w:hint="eastAsia"/>
          <w:b/>
          <w:color w:val="auto"/>
          <w:sz w:val="28"/>
          <w:szCs w:val="28"/>
          <w:highlight w:val="none"/>
          <w:u w:val="single"/>
        </w:rPr>
      </w:pPr>
    </w:p>
    <w:p w14:paraId="4C6C395C">
      <w:pPr>
        <w:spacing w:line="360" w:lineRule="exact"/>
        <w:ind w:firstLine="443" w:firstLineChars="147"/>
        <w:outlineLvl w:val="3"/>
        <w:rPr>
          <w:rFonts w:hint="eastAsia" w:ascii="宋体"/>
          <w:b/>
          <w:color w:val="auto"/>
          <w:sz w:val="30"/>
          <w:szCs w:val="30"/>
          <w:highlight w:val="none"/>
        </w:rPr>
      </w:pPr>
      <w:r>
        <w:rPr>
          <w:rFonts w:hint="eastAsia" w:ascii="宋体"/>
          <w:b/>
          <w:color w:val="auto"/>
          <w:sz w:val="30"/>
          <w:szCs w:val="30"/>
          <w:highlight w:val="none"/>
        </w:rPr>
        <w:t>附件2</w:t>
      </w:r>
    </w:p>
    <w:p w14:paraId="25914BC4">
      <w:pPr>
        <w:spacing w:line="360" w:lineRule="exact"/>
        <w:ind w:firstLine="413" w:firstLineChars="147"/>
        <w:jc w:val="center"/>
        <w:outlineLvl w:val="3"/>
        <w:rPr>
          <w:rFonts w:hint="eastAsia"/>
          <w:b/>
          <w:color w:val="auto"/>
          <w:sz w:val="28"/>
          <w:szCs w:val="28"/>
          <w:highlight w:val="none"/>
        </w:rPr>
      </w:pPr>
      <w:r>
        <w:rPr>
          <w:rFonts w:hint="eastAsia"/>
          <w:b/>
          <w:color w:val="auto"/>
          <w:sz w:val="28"/>
          <w:szCs w:val="28"/>
          <w:highlight w:val="none"/>
        </w:rPr>
        <w:t>（2）诚信投标承诺书</w:t>
      </w:r>
    </w:p>
    <w:p w14:paraId="39F95862">
      <w:pPr>
        <w:adjustRightInd w:val="0"/>
        <w:snapToGrid w:val="0"/>
        <w:spacing w:line="560" w:lineRule="exact"/>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21D1043A">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一、将遵循公</w:t>
      </w:r>
      <w:bookmarkStart w:id="98" w:name="_Toc503196197"/>
      <w:bookmarkStart w:id="99" w:name="_Toc506107356"/>
      <w:bookmarkStart w:id="100" w:name="_Toc26598"/>
      <w:r>
        <w:rPr>
          <w:rFonts w:hint="eastAsia" w:ascii="宋体" w:hAnsi="宋体"/>
          <w:color w:val="auto"/>
          <w:szCs w:val="21"/>
          <w:highlight w:val="none"/>
        </w:rPr>
        <w:t>开、公正和诚实信用</w:t>
      </w:r>
      <w:bookmarkEnd w:id="98"/>
      <w:bookmarkEnd w:id="99"/>
      <w:r>
        <w:rPr>
          <w:rFonts w:hint="eastAsia" w:ascii="宋体" w:hAnsi="宋体"/>
          <w:color w:val="auto"/>
          <w:szCs w:val="21"/>
          <w:highlight w:val="none"/>
        </w:rPr>
        <w:t>的</w:t>
      </w:r>
      <w:bookmarkEnd w:id="100"/>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51B068DB">
      <w:pPr>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6EB96A1A">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5B01015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5FF53C4">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58FD4AB">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建造师）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8、</w:t>
      </w:r>
      <w:r>
        <w:rPr>
          <w:rFonts w:hint="eastAsia"/>
          <w:color w:val="auto"/>
          <w:szCs w:val="21"/>
          <w:highlight w:val="none"/>
          <w:lang w:eastAsia="zh-CN"/>
        </w:rPr>
        <w:t>被列入省级、市级农民工工资支付异常名录的施工企业，限制其参加全市范围内项目投标；列入县级异常名录的施工企业，限制其参加本行政区域内项目投标。</w:t>
      </w:r>
      <w:r>
        <w:rPr>
          <w:rFonts w:hint="eastAsia"/>
          <w:color w:val="auto"/>
          <w:szCs w:val="21"/>
          <w:highlight w:val="none"/>
        </w:rPr>
        <w:t>（若招标文件对投标人所属分公司、办事处等分支机构有上述1-8项信誉要求，在此一并承诺我公司所属分公司、办事处等分支机构没有上述1-8项情形）</w:t>
      </w:r>
    </w:p>
    <w:p w14:paraId="1C8C04B7">
      <w:pPr>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4D354C94">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7EA3710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1386578A">
      <w:pPr>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39B84C69">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79D2CA6">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6C2E963D">
      <w:pPr>
        <w:adjustRightInd w:val="0"/>
        <w:snapToGrid w:val="0"/>
        <w:spacing w:line="560" w:lineRule="exact"/>
        <w:ind w:firstLine="420" w:firstLineChars="200"/>
        <w:rPr>
          <w:rFonts w:hint="eastAsia" w:ascii="宋体" w:hAnsi="宋体"/>
          <w:color w:val="auto"/>
          <w:szCs w:val="21"/>
          <w:highlight w:val="none"/>
        </w:rPr>
      </w:pPr>
    </w:p>
    <w:p w14:paraId="3199A60C">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w:t>
      </w:r>
    </w:p>
    <w:p w14:paraId="6928EC3F">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开户银行：                          基本账户：</w:t>
      </w:r>
    </w:p>
    <w:p w14:paraId="05760E4F">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投标单位（签章或盖章）：          法定代表人（签字或签章）：</w:t>
      </w:r>
    </w:p>
    <w:p w14:paraId="41EA814F">
      <w:pPr>
        <w:spacing w:line="360" w:lineRule="exact"/>
        <w:ind w:firstLine="420" w:firstLineChars="200"/>
        <w:rPr>
          <w:rFonts w:hint="eastAsia" w:ascii="宋体" w:hAnsi="宋体"/>
          <w:color w:val="auto"/>
          <w:szCs w:val="21"/>
          <w:highlight w:val="none"/>
        </w:rPr>
      </w:pPr>
    </w:p>
    <w:p w14:paraId="7F58E927">
      <w:pPr>
        <w:spacing w:line="360" w:lineRule="exact"/>
        <w:jc w:val="right"/>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EC375F3">
      <w:pPr>
        <w:spacing w:line="360" w:lineRule="exact"/>
        <w:ind w:firstLine="420" w:firstLineChars="200"/>
        <w:rPr>
          <w:rFonts w:hint="eastAsia" w:ascii="宋体" w:hAnsi="宋体"/>
          <w:color w:val="auto"/>
          <w:szCs w:val="21"/>
          <w:highlight w:val="none"/>
        </w:rPr>
      </w:pPr>
    </w:p>
    <w:p w14:paraId="11EECB83">
      <w:pPr>
        <w:adjustRightInd w:val="0"/>
        <w:snapToGrid w:val="0"/>
        <w:spacing w:line="560" w:lineRule="exact"/>
        <w:jc w:val="center"/>
        <w:rPr>
          <w:rFonts w:hint="eastAsia"/>
          <w:b/>
          <w:color w:val="auto"/>
          <w:sz w:val="28"/>
          <w:szCs w:val="28"/>
          <w:highlight w:val="none"/>
          <w:lang w:eastAsia="zh-CN"/>
        </w:rPr>
      </w:pPr>
    </w:p>
    <w:p w14:paraId="2A951E1F">
      <w:pPr>
        <w:jc w:val="center"/>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br w:type="page"/>
      </w:r>
    </w:p>
    <w:p w14:paraId="48C551DA">
      <w:pPr>
        <w:spacing w:line="360" w:lineRule="exact"/>
        <w:ind w:firstLine="443" w:firstLineChars="147"/>
        <w:outlineLvl w:val="3"/>
        <w:rPr>
          <w:rFonts w:hint="default" w:ascii="宋体" w:hAnsi="Times New Roman" w:eastAsia="宋体" w:cs="Times New Roman"/>
          <w:b/>
          <w:color w:val="auto"/>
          <w:sz w:val="30"/>
          <w:szCs w:val="30"/>
          <w:highlight w:val="none"/>
          <w:lang w:val="en-US" w:eastAsia="zh-CN"/>
        </w:rPr>
      </w:pPr>
      <w:r>
        <w:rPr>
          <w:rFonts w:hint="eastAsia" w:ascii="宋体" w:hAnsi="Times New Roman" w:eastAsia="宋体" w:cs="Times New Roman"/>
          <w:b/>
          <w:color w:val="auto"/>
          <w:sz w:val="30"/>
          <w:szCs w:val="30"/>
          <w:highlight w:val="none"/>
          <w:lang w:val="en-US" w:eastAsia="zh-CN"/>
        </w:rPr>
        <w:t>附件3：</w:t>
      </w:r>
    </w:p>
    <w:p w14:paraId="5ACF74D6">
      <w:pPr>
        <w:jc w:val="center"/>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lang w:val="en-US" w:eastAsia="zh-CN"/>
        </w:rPr>
        <w:t>（3）</w:t>
      </w:r>
      <w:r>
        <w:rPr>
          <w:rFonts w:hint="eastAsia" w:ascii="Times New Roman" w:hAnsi="Times New Roman" w:eastAsia="宋体" w:cs="Times New Roman"/>
          <w:b/>
          <w:color w:val="auto"/>
          <w:sz w:val="28"/>
          <w:szCs w:val="28"/>
          <w:highlight w:val="none"/>
        </w:rPr>
        <w:t>服务承诺书</w:t>
      </w:r>
    </w:p>
    <w:p w14:paraId="25DDD308">
      <w:pPr>
        <w:ind w:firstLine="480" w:firstLineChars="200"/>
        <w:rPr>
          <w:rFonts w:hint="eastAsia" w:ascii="宋体"/>
          <w:color w:val="auto"/>
          <w:sz w:val="24"/>
          <w:highlight w:val="none"/>
        </w:rPr>
      </w:pPr>
    </w:p>
    <w:p w14:paraId="769E26A0">
      <w:pPr>
        <w:spacing w:line="500" w:lineRule="exact"/>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招标人</w:t>
      </w:r>
      <w:r>
        <w:rPr>
          <w:rFonts w:hint="eastAsia" w:ascii="宋体"/>
          <w:color w:val="auto"/>
          <w:sz w:val="24"/>
          <w:highlight w:val="none"/>
          <w:u w:val="single"/>
        </w:rPr>
        <w:t>）</w:t>
      </w:r>
      <w:r>
        <w:rPr>
          <w:rFonts w:hint="eastAsia" w:ascii="宋体"/>
          <w:color w:val="auto"/>
          <w:sz w:val="24"/>
          <w:highlight w:val="none"/>
        </w:rPr>
        <w:t>：</w:t>
      </w:r>
    </w:p>
    <w:p w14:paraId="7AC3E61D">
      <w:pPr>
        <w:spacing w:line="500" w:lineRule="exact"/>
        <w:ind w:firstLine="480" w:firstLineChars="200"/>
        <w:rPr>
          <w:rFonts w:hint="eastAsia" w:ascii="宋体"/>
          <w:color w:val="auto"/>
          <w:sz w:val="24"/>
          <w:highlight w:val="none"/>
        </w:rPr>
      </w:pPr>
      <w:r>
        <w:rPr>
          <w:rFonts w:hint="eastAsia" w:ascii="宋体"/>
          <w:color w:val="auto"/>
          <w:sz w:val="24"/>
          <w:highlight w:val="none"/>
        </w:rPr>
        <w:t>说明：本单位承诺对本招标文件的相关要求完全响应，配备人员不低于采购需求的要求。</w:t>
      </w:r>
      <w:r>
        <w:rPr>
          <w:rFonts w:hint="eastAsia" w:ascii="宋体" w:hAnsi="宋体"/>
          <w:color w:val="auto"/>
          <w:sz w:val="24"/>
          <w:highlight w:val="none"/>
        </w:rPr>
        <w:t>若有幸成为中标人将严格按照以上承诺进行服务。</w:t>
      </w:r>
    </w:p>
    <w:p w14:paraId="3EF21FB2">
      <w:pPr>
        <w:spacing w:line="5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0AF07A8A">
      <w:pPr>
        <w:spacing w:line="500" w:lineRule="exact"/>
        <w:ind w:firstLine="480" w:firstLineChars="200"/>
        <w:rPr>
          <w:rFonts w:hint="eastAsia" w:ascii="宋体"/>
          <w:color w:val="auto"/>
          <w:sz w:val="24"/>
          <w:highlight w:val="none"/>
        </w:rPr>
      </w:pPr>
    </w:p>
    <w:p w14:paraId="799C03BE">
      <w:pPr>
        <w:spacing w:line="480" w:lineRule="auto"/>
        <w:ind w:firstLine="480" w:firstLineChars="200"/>
        <w:jc w:val="right"/>
        <w:rPr>
          <w:rFonts w:hint="eastAsia" w:ascii="宋体" w:hAnsi="宋体"/>
          <w:color w:val="auto"/>
          <w:sz w:val="24"/>
          <w:highlight w:val="none"/>
        </w:rPr>
      </w:pPr>
    </w:p>
    <w:p w14:paraId="5A815FC5">
      <w:pPr>
        <w:spacing w:line="480" w:lineRule="auto"/>
        <w:jc w:val="center"/>
        <w:rPr>
          <w:rFonts w:hint="eastAsia" w:ascii="宋体" w:hAnsi="宋体"/>
          <w:color w:val="auto"/>
          <w:sz w:val="24"/>
          <w:highlight w:val="none"/>
        </w:rPr>
      </w:pPr>
      <w:r>
        <w:rPr>
          <w:rFonts w:hint="eastAsia" w:ascii="宋体" w:hAnsi="宋体"/>
          <w:color w:val="auto"/>
          <w:sz w:val="24"/>
          <w:highlight w:val="none"/>
        </w:rPr>
        <w:t xml:space="preserve">      投标人：</w:t>
      </w:r>
    </w:p>
    <w:p w14:paraId="7472F17F">
      <w:pPr>
        <w:spacing w:line="480" w:lineRule="auto"/>
        <w:jc w:val="right"/>
        <w:rPr>
          <w:b/>
          <w:color w:val="auto"/>
          <w:sz w:val="36"/>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06DA1E0B">
      <w:pPr>
        <w:adjustRightInd w:val="0"/>
        <w:snapToGrid w:val="0"/>
        <w:spacing w:line="560" w:lineRule="exact"/>
        <w:ind w:firstLine="420" w:firstLineChars="200"/>
        <w:rPr>
          <w:rFonts w:hint="eastAsia" w:ascii="宋体" w:hAnsi="宋体" w:eastAsia="宋体" w:cs="Times New Roman"/>
          <w:color w:val="auto"/>
          <w:szCs w:val="21"/>
          <w:highlight w:val="none"/>
          <w:lang w:val="en-US" w:eastAsia="zh-CN"/>
        </w:rPr>
      </w:pPr>
    </w:p>
    <w:p w14:paraId="268A6254">
      <w:pPr>
        <w:rPr>
          <w:rFonts w:hint="eastAsia" w:ascii="宋体" w:hAnsi="宋体"/>
          <w:b/>
          <w:color w:val="auto"/>
          <w:sz w:val="28"/>
          <w:szCs w:val="28"/>
          <w:highlight w:val="none"/>
        </w:rPr>
      </w:pPr>
      <w:r>
        <w:rPr>
          <w:rFonts w:hint="eastAsia" w:ascii="宋体" w:hAnsi="宋体"/>
          <w:b/>
          <w:color w:val="auto"/>
          <w:sz w:val="28"/>
          <w:szCs w:val="28"/>
          <w:highlight w:val="none"/>
        </w:rPr>
        <w:br w:type="page"/>
      </w:r>
    </w:p>
    <w:p w14:paraId="356300C7">
      <w:pPr>
        <w:jc w:val="center"/>
        <w:outlineLvl w:val="1"/>
        <w:rPr>
          <w:rFonts w:hint="eastAsia" w:ascii="宋体"/>
          <w:color w:val="auto"/>
          <w:sz w:val="24"/>
          <w:highlight w:val="none"/>
        </w:rPr>
      </w:pPr>
      <w:r>
        <w:rPr>
          <w:rFonts w:hint="eastAsia" w:ascii="宋体" w:hAnsi="宋体"/>
          <w:b/>
          <w:color w:val="auto"/>
          <w:sz w:val="28"/>
          <w:szCs w:val="28"/>
          <w:highlight w:val="none"/>
          <w:lang w:val="en-US" w:eastAsia="zh-CN"/>
        </w:rPr>
        <w:t>二</w:t>
      </w:r>
      <w:r>
        <w:rPr>
          <w:rFonts w:hint="eastAsia" w:ascii="宋体" w:hAnsi="宋体"/>
          <w:b/>
          <w:color w:val="auto"/>
          <w:sz w:val="28"/>
          <w:szCs w:val="28"/>
          <w:highlight w:val="none"/>
        </w:rPr>
        <w:t>、</w:t>
      </w:r>
      <w:r>
        <w:rPr>
          <w:rFonts w:hint="eastAsia" w:ascii="宋体" w:hAnsi="宋体"/>
          <w:b/>
          <w:color w:val="auto"/>
          <w:sz w:val="28"/>
          <w:szCs w:val="28"/>
          <w:highlight w:val="none"/>
          <w:lang w:val="en-US" w:eastAsia="zh-CN"/>
        </w:rPr>
        <w:t>技术</w:t>
      </w:r>
      <w:r>
        <w:rPr>
          <w:rFonts w:hint="eastAsia" w:ascii="宋体" w:hAnsi="宋体"/>
          <w:b/>
          <w:color w:val="auto"/>
          <w:sz w:val="28"/>
          <w:szCs w:val="28"/>
          <w:highlight w:val="none"/>
        </w:rPr>
        <w:t>标格式文件</w:t>
      </w:r>
    </w:p>
    <w:p w14:paraId="4BD3FF83">
      <w:pPr>
        <w:jc w:val="center"/>
        <w:rPr>
          <w:rFonts w:hint="eastAsia" w:eastAsia="黑体"/>
          <w:color w:val="auto"/>
          <w:sz w:val="20"/>
          <w:highlight w:val="none"/>
        </w:rPr>
      </w:pPr>
    </w:p>
    <w:p w14:paraId="6B48020F">
      <w:pPr>
        <w:rPr>
          <w:rFonts w:hint="eastAsia" w:ascii="宋体"/>
          <w:color w:val="auto"/>
          <w:sz w:val="20"/>
          <w:highlight w:val="none"/>
        </w:rPr>
      </w:pPr>
    </w:p>
    <w:p w14:paraId="19311343">
      <w:pPr>
        <w:pStyle w:val="7"/>
        <w:ind w:firstLine="400"/>
        <w:rPr>
          <w:rFonts w:hint="eastAsia"/>
          <w:color w:val="auto"/>
          <w:highlight w:val="none"/>
        </w:rPr>
      </w:pPr>
    </w:p>
    <w:p w14:paraId="4146CFB7">
      <w:pPr>
        <w:jc w:val="center"/>
        <w:rPr>
          <w:rFonts w:hint="eastAsia" w:ascii="宋体"/>
          <w:b/>
          <w:color w:val="auto"/>
          <w:sz w:val="44"/>
          <w:szCs w:val="44"/>
          <w:highlight w:val="none"/>
        </w:rPr>
      </w:pPr>
      <w:r>
        <w:rPr>
          <w:rFonts w:hint="eastAsia" w:ascii="宋体"/>
          <w:b/>
          <w:color w:val="auto"/>
          <w:sz w:val="44"/>
          <w:szCs w:val="44"/>
          <w:highlight w:val="none"/>
          <w:lang w:val="en-US" w:eastAsia="zh-CN"/>
        </w:rPr>
        <w:t>技术</w:t>
      </w:r>
      <w:r>
        <w:rPr>
          <w:rFonts w:hint="eastAsia" w:ascii="宋体"/>
          <w:b/>
          <w:color w:val="auto"/>
          <w:sz w:val="44"/>
          <w:szCs w:val="44"/>
          <w:highlight w:val="none"/>
        </w:rPr>
        <w:t>标</w:t>
      </w:r>
    </w:p>
    <w:p w14:paraId="76C45AAF">
      <w:pPr>
        <w:jc w:val="center"/>
        <w:rPr>
          <w:rFonts w:hint="eastAsia"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w:t>
      </w:r>
      <w:r>
        <w:rPr>
          <w:rFonts w:hint="eastAsia" w:ascii="宋体"/>
          <w:color w:val="auto"/>
          <w:sz w:val="36"/>
          <w:szCs w:val="36"/>
          <w:highlight w:val="none"/>
          <w:lang w:val="en-US" w:eastAsia="zh-CN"/>
        </w:rPr>
        <w:t>二</w:t>
      </w:r>
      <w:r>
        <w:rPr>
          <w:rFonts w:hint="eastAsia" w:ascii="宋体"/>
          <w:color w:val="auto"/>
          <w:sz w:val="36"/>
          <w:szCs w:val="36"/>
          <w:highlight w:val="none"/>
        </w:rPr>
        <w:t>）</w:t>
      </w:r>
    </w:p>
    <w:p w14:paraId="6F40FBB2">
      <w:pPr>
        <w:jc w:val="center"/>
        <w:rPr>
          <w:rFonts w:hint="eastAsia" w:ascii="宋体"/>
          <w:color w:val="auto"/>
          <w:sz w:val="36"/>
          <w:szCs w:val="36"/>
          <w:highlight w:val="none"/>
        </w:rPr>
      </w:pPr>
    </w:p>
    <w:p w14:paraId="149FB4EC">
      <w:pPr>
        <w:jc w:val="center"/>
        <w:outlineLvl w:val="2"/>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649293CB">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03F295AB">
      <w:pPr>
        <w:rPr>
          <w:rFonts w:hint="eastAsia" w:ascii="宋体"/>
          <w:color w:val="auto"/>
          <w:sz w:val="28"/>
          <w:szCs w:val="28"/>
          <w:highlight w:val="none"/>
        </w:rPr>
      </w:pPr>
    </w:p>
    <w:p w14:paraId="0DB33BF4">
      <w:pPr>
        <w:rPr>
          <w:rFonts w:hint="eastAsia" w:ascii="宋体"/>
          <w:color w:val="auto"/>
          <w:sz w:val="28"/>
          <w:szCs w:val="28"/>
          <w:highlight w:val="none"/>
        </w:rPr>
      </w:pPr>
    </w:p>
    <w:p w14:paraId="59339112">
      <w:pPr>
        <w:rPr>
          <w:rFonts w:hint="eastAsia" w:ascii="宋体"/>
          <w:color w:val="auto"/>
          <w:sz w:val="28"/>
          <w:szCs w:val="28"/>
          <w:highlight w:val="none"/>
        </w:rPr>
      </w:pPr>
    </w:p>
    <w:p w14:paraId="35ADDDAC">
      <w:pPr>
        <w:rPr>
          <w:rFonts w:hint="eastAsia" w:ascii="宋体"/>
          <w:color w:val="auto"/>
          <w:sz w:val="28"/>
          <w:szCs w:val="28"/>
          <w:highlight w:val="none"/>
        </w:rPr>
      </w:pPr>
    </w:p>
    <w:p w14:paraId="07F625FE">
      <w:pPr>
        <w:rPr>
          <w:rFonts w:hint="eastAsia" w:ascii="宋体"/>
          <w:color w:val="auto"/>
          <w:sz w:val="28"/>
          <w:szCs w:val="28"/>
          <w:highlight w:val="none"/>
        </w:rPr>
      </w:pPr>
    </w:p>
    <w:p w14:paraId="1A3DD364">
      <w:pPr>
        <w:rPr>
          <w:rFonts w:hint="eastAsia" w:ascii="宋体"/>
          <w:color w:val="auto"/>
          <w:sz w:val="28"/>
          <w:szCs w:val="28"/>
          <w:highlight w:val="none"/>
        </w:rPr>
      </w:pPr>
    </w:p>
    <w:p w14:paraId="75EED5FA">
      <w:pPr>
        <w:rPr>
          <w:rFonts w:hint="eastAsia" w:ascii="宋体"/>
          <w:color w:val="auto"/>
          <w:sz w:val="28"/>
          <w:szCs w:val="28"/>
          <w:highlight w:val="none"/>
        </w:rPr>
      </w:pPr>
    </w:p>
    <w:p w14:paraId="78889832">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268CD92">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0E9D851C">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628FD5E8">
      <w:pPr>
        <w:spacing w:line="720" w:lineRule="auto"/>
        <w:jc w:val="center"/>
        <w:rPr>
          <w:rFonts w:hint="eastAsia" w:ascii="宋体"/>
          <w:b/>
          <w:color w:val="auto"/>
          <w:sz w:val="36"/>
          <w:szCs w:val="36"/>
          <w:highlight w:val="none"/>
        </w:rPr>
      </w:pPr>
    </w:p>
    <w:p w14:paraId="19B460ED">
      <w:pPr>
        <w:spacing w:line="400" w:lineRule="exact"/>
        <w:ind w:firstLine="562" w:firstLineChars="200"/>
        <w:rPr>
          <w:rFonts w:hint="eastAsia"/>
          <w:b/>
          <w:color w:val="auto"/>
          <w:sz w:val="28"/>
          <w:szCs w:val="28"/>
          <w:highlight w:val="none"/>
        </w:rPr>
      </w:pPr>
    </w:p>
    <w:p w14:paraId="1C975AF5">
      <w:pPr>
        <w:spacing w:line="400" w:lineRule="exact"/>
        <w:jc w:val="center"/>
        <w:rPr>
          <w:rFonts w:hint="eastAsia"/>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435D9961">
      <w:pPr>
        <w:spacing w:line="400" w:lineRule="exact"/>
        <w:ind w:firstLine="4130" w:firstLineChars="935"/>
        <w:rPr>
          <w:rFonts w:hint="eastAsia"/>
          <w:b/>
          <w:color w:val="auto"/>
          <w:sz w:val="44"/>
          <w:szCs w:val="44"/>
          <w:highlight w:val="none"/>
        </w:rPr>
      </w:pPr>
    </w:p>
    <w:p w14:paraId="7E89CF7F">
      <w:pPr>
        <w:spacing w:line="440" w:lineRule="exact"/>
        <w:ind w:left="420"/>
        <w:jc w:val="left"/>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详见技术标评审细则</w:t>
      </w:r>
      <w:r>
        <w:rPr>
          <w:rFonts w:hint="eastAsia" w:ascii="宋体"/>
          <w:color w:val="auto"/>
          <w:szCs w:val="21"/>
          <w:highlight w:val="none"/>
        </w:rPr>
        <w:t>；</w:t>
      </w:r>
    </w:p>
    <w:p w14:paraId="72B42921">
      <w:pPr>
        <w:spacing w:line="440" w:lineRule="exact"/>
        <w:ind w:firstLine="424" w:firstLineChars="202"/>
        <w:jc w:val="left"/>
        <w:rPr>
          <w:rFonts w:hint="eastAsia" w:ascii="宋体"/>
          <w:color w:val="auto"/>
          <w:szCs w:val="21"/>
          <w:highlight w:val="none"/>
        </w:rPr>
      </w:pPr>
      <w:r>
        <w:rPr>
          <w:rFonts w:hint="eastAsia" w:ascii="宋体"/>
          <w:color w:val="auto"/>
          <w:szCs w:val="21"/>
          <w:highlight w:val="none"/>
        </w:rPr>
        <w:t>（2）投标人认为需要提供的其他材料。</w:t>
      </w:r>
    </w:p>
    <w:p w14:paraId="5A784242">
      <w:pPr>
        <w:jc w:val="center"/>
        <w:rPr>
          <w:rFonts w:hint="eastAsia" w:ascii="宋体"/>
          <w:b/>
          <w:color w:val="auto"/>
          <w:sz w:val="28"/>
          <w:szCs w:val="28"/>
          <w:highlight w:val="none"/>
        </w:rPr>
      </w:pPr>
    </w:p>
    <w:p w14:paraId="1A0BE885">
      <w:pPr>
        <w:snapToGrid w:val="0"/>
        <w:spacing w:line="460" w:lineRule="exact"/>
        <w:ind w:left="2940" w:leftChars="1400" w:firstLine="964" w:firstLineChars="300"/>
        <w:rPr>
          <w:rFonts w:hint="eastAsia" w:ascii="宋体"/>
          <w:b/>
          <w:color w:val="auto"/>
          <w:sz w:val="32"/>
          <w:szCs w:val="32"/>
          <w:highlight w:val="none"/>
        </w:rPr>
      </w:pPr>
    </w:p>
    <w:p w14:paraId="0DA5FA9B">
      <w:pPr>
        <w:snapToGrid w:val="0"/>
        <w:spacing w:line="460" w:lineRule="exact"/>
        <w:ind w:left="2940" w:leftChars="1400" w:firstLine="964" w:firstLineChars="300"/>
        <w:rPr>
          <w:rFonts w:hint="eastAsia" w:ascii="宋体"/>
          <w:b/>
          <w:color w:val="auto"/>
          <w:sz w:val="32"/>
          <w:szCs w:val="32"/>
          <w:highlight w:val="none"/>
        </w:rPr>
      </w:pPr>
    </w:p>
    <w:p w14:paraId="61B36866">
      <w:pPr>
        <w:snapToGrid w:val="0"/>
        <w:spacing w:line="460" w:lineRule="exact"/>
        <w:ind w:left="2940" w:leftChars="1400" w:firstLine="964" w:firstLineChars="300"/>
        <w:rPr>
          <w:rFonts w:hint="eastAsia" w:ascii="宋体"/>
          <w:b/>
          <w:color w:val="auto"/>
          <w:sz w:val="32"/>
          <w:szCs w:val="32"/>
          <w:highlight w:val="none"/>
        </w:rPr>
      </w:pPr>
    </w:p>
    <w:p w14:paraId="4B33E3D8">
      <w:pPr>
        <w:snapToGrid w:val="0"/>
        <w:spacing w:line="460" w:lineRule="exact"/>
        <w:ind w:left="2940" w:leftChars="1400" w:firstLine="964" w:firstLineChars="300"/>
        <w:rPr>
          <w:rFonts w:hint="eastAsia" w:ascii="宋体"/>
          <w:b/>
          <w:color w:val="auto"/>
          <w:sz w:val="32"/>
          <w:szCs w:val="32"/>
          <w:highlight w:val="none"/>
        </w:rPr>
      </w:pPr>
    </w:p>
    <w:p w14:paraId="664A5201">
      <w:pPr>
        <w:snapToGrid w:val="0"/>
        <w:spacing w:line="460" w:lineRule="exact"/>
        <w:ind w:left="2940" w:leftChars="1400" w:firstLine="964" w:firstLineChars="300"/>
        <w:rPr>
          <w:rFonts w:hint="eastAsia" w:ascii="宋体"/>
          <w:b/>
          <w:color w:val="auto"/>
          <w:sz w:val="32"/>
          <w:szCs w:val="32"/>
          <w:highlight w:val="none"/>
        </w:rPr>
      </w:pPr>
    </w:p>
    <w:p w14:paraId="1E4031E5">
      <w:pPr>
        <w:snapToGrid w:val="0"/>
        <w:spacing w:line="460" w:lineRule="exact"/>
        <w:ind w:left="2940" w:leftChars="1400" w:firstLine="964" w:firstLineChars="300"/>
        <w:rPr>
          <w:rFonts w:hint="eastAsia" w:ascii="宋体"/>
          <w:b/>
          <w:color w:val="auto"/>
          <w:sz w:val="32"/>
          <w:szCs w:val="32"/>
          <w:highlight w:val="none"/>
        </w:rPr>
      </w:pPr>
    </w:p>
    <w:p w14:paraId="065D612E">
      <w:pPr>
        <w:snapToGrid w:val="0"/>
        <w:spacing w:line="460" w:lineRule="exact"/>
        <w:ind w:left="2940" w:leftChars="1400" w:firstLine="964" w:firstLineChars="300"/>
        <w:rPr>
          <w:rFonts w:hint="eastAsia" w:ascii="宋体"/>
          <w:b/>
          <w:color w:val="auto"/>
          <w:sz w:val="32"/>
          <w:szCs w:val="32"/>
          <w:highlight w:val="none"/>
        </w:rPr>
      </w:pPr>
    </w:p>
    <w:p w14:paraId="06763E30">
      <w:pPr>
        <w:snapToGrid w:val="0"/>
        <w:spacing w:line="460" w:lineRule="exact"/>
        <w:ind w:left="2940" w:leftChars="1400" w:firstLine="964" w:firstLineChars="300"/>
        <w:rPr>
          <w:rFonts w:hint="eastAsia" w:ascii="宋体"/>
          <w:b/>
          <w:color w:val="auto"/>
          <w:sz w:val="32"/>
          <w:szCs w:val="32"/>
          <w:highlight w:val="none"/>
        </w:rPr>
      </w:pPr>
    </w:p>
    <w:p w14:paraId="09767A60">
      <w:pPr>
        <w:snapToGrid w:val="0"/>
        <w:spacing w:line="460" w:lineRule="exact"/>
        <w:ind w:left="2940" w:leftChars="1400" w:firstLine="964" w:firstLineChars="300"/>
        <w:rPr>
          <w:rFonts w:hint="eastAsia" w:ascii="宋体"/>
          <w:b/>
          <w:color w:val="auto"/>
          <w:sz w:val="32"/>
          <w:szCs w:val="32"/>
          <w:highlight w:val="none"/>
        </w:rPr>
      </w:pPr>
    </w:p>
    <w:p w14:paraId="7DE1B805">
      <w:pPr>
        <w:snapToGrid w:val="0"/>
        <w:spacing w:line="460" w:lineRule="exact"/>
        <w:ind w:left="2940" w:leftChars="1400" w:firstLine="964" w:firstLineChars="300"/>
        <w:rPr>
          <w:rFonts w:hint="eastAsia" w:ascii="宋体"/>
          <w:b/>
          <w:color w:val="auto"/>
          <w:sz w:val="32"/>
          <w:szCs w:val="32"/>
          <w:highlight w:val="none"/>
        </w:rPr>
      </w:pPr>
    </w:p>
    <w:p w14:paraId="221CC5AB">
      <w:pPr>
        <w:snapToGrid w:val="0"/>
        <w:spacing w:line="460" w:lineRule="exact"/>
        <w:ind w:left="2940" w:leftChars="1400" w:firstLine="964" w:firstLineChars="300"/>
        <w:rPr>
          <w:rFonts w:hint="eastAsia" w:ascii="宋体"/>
          <w:b/>
          <w:color w:val="auto"/>
          <w:sz w:val="32"/>
          <w:szCs w:val="32"/>
          <w:highlight w:val="none"/>
        </w:rPr>
      </w:pPr>
    </w:p>
    <w:p w14:paraId="16702FA0">
      <w:pPr>
        <w:snapToGrid w:val="0"/>
        <w:spacing w:line="460" w:lineRule="exact"/>
        <w:ind w:left="2940" w:leftChars="1400" w:firstLine="964" w:firstLineChars="300"/>
        <w:rPr>
          <w:rFonts w:hint="eastAsia" w:ascii="宋体"/>
          <w:b/>
          <w:color w:val="auto"/>
          <w:sz w:val="32"/>
          <w:szCs w:val="32"/>
          <w:highlight w:val="none"/>
        </w:rPr>
      </w:pPr>
    </w:p>
    <w:p w14:paraId="588FADC0">
      <w:pPr>
        <w:snapToGrid w:val="0"/>
        <w:spacing w:line="460" w:lineRule="exact"/>
        <w:ind w:left="2940" w:leftChars="1400" w:firstLine="964" w:firstLineChars="300"/>
        <w:rPr>
          <w:rFonts w:hint="eastAsia" w:ascii="宋体"/>
          <w:b/>
          <w:color w:val="auto"/>
          <w:sz w:val="32"/>
          <w:szCs w:val="32"/>
          <w:highlight w:val="none"/>
        </w:rPr>
      </w:pPr>
    </w:p>
    <w:p w14:paraId="1834CA97">
      <w:pPr>
        <w:snapToGrid w:val="0"/>
        <w:spacing w:line="460" w:lineRule="exact"/>
        <w:ind w:left="2940" w:leftChars="1400" w:firstLine="964" w:firstLineChars="300"/>
        <w:rPr>
          <w:rFonts w:hint="eastAsia" w:ascii="宋体"/>
          <w:b/>
          <w:color w:val="auto"/>
          <w:sz w:val="32"/>
          <w:szCs w:val="32"/>
          <w:highlight w:val="none"/>
        </w:rPr>
      </w:pPr>
    </w:p>
    <w:p w14:paraId="656C03EA">
      <w:pPr>
        <w:snapToGrid w:val="0"/>
        <w:spacing w:line="460" w:lineRule="exact"/>
        <w:ind w:left="2940" w:leftChars="1400" w:firstLine="964" w:firstLineChars="300"/>
        <w:rPr>
          <w:rFonts w:hint="eastAsia" w:ascii="宋体"/>
          <w:b/>
          <w:color w:val="auto"/>
          <w:sz w:val="32"/>
          <w:szCs w:val="32"/>
          <w:highlight w:val="none"/>
        </w:rPr>
      </w:pPr>
    </w:p>
    <w:p w14:paraId="016F6CF9">
      <w:pPr>
        <w:snapToGrid w:val="0"/>
        <w:spacing w:line="460" w:lineRule="exact"/>
        <w:ind w:left="2940" w:leftChars="1400" w:firstLine="964" w:firstLineChars="300"/>
        <w:rPr>
          <w:rFonts w:hint="eastAsia" w:ascii="宋体"/>
          <w:b/>
          <w:color w:val="auto"/>
          <w:sz w:val="32"/>
          <w:szCs w:val="32"/>
          <w:highlight w:val="none"/>
        </w:rPr>
      </w:pPr>
    </w:p>
    <w:p w14:paraId="0575B92C">
      <w:pPr>
        <w:snapToGrid w:val="0"/>
        <w:spacing w:line="460" w:lineRule="exact"/>
        <w:ind w:left="2940" w:leftChars="1400" w:firstLine="964" w:firstLineChars="300"/>
        <w:rPr>
          <w:rFonts w:hint="eastAsia" w:ascii="宋体"/>
          <w:b/>
          <w:color w:val="auto"/>
          <w:sz w:val="32"/>
          <w:szCs w:val="32"/>
          <w:highlight w:val="none"/>
        </w:rPr>
      </w:pPr>
    </w:p>
    <w:p w14:paraId="052A46EB">
      <w:pPr>
        <w:snapToGrid w:val="0"/>
        <w:spacing w:line="460" w:lineRule="exact"/>
        <w:ind w:left="2940" w:leftChars="1400" w:firstLine="964" w:firstLineChars="300"/>
        <w:rPr>
          <w:rFonts w:hint="eastAsia" w:ascii="宋体"/>
          <w:b/>
          <w:color w:val="auto"/>
          <w:sz w:val="32"/>
          <w:szCs w:val="32"/>
          <w:highlight w:val="none"/>
        </w:rPr>
      </w:pPr>
    </w:p>
    <w:p w14:paraId="33D15A1E">
      <w:pPr>
        <w:snapToGrid w:val="0"/>
        <w:spacing w:line="460" w:lineRule="exact"/>
        <w:ind w:left="2940" w:leftChars="1400" w:firstLine="964" w:firstLineChars="300"/>
        <w:rPr>
          <w:rFonts w:hint="eastAsia" w:ascii="宋体"/>
          <w:b/>
          <w:color w:val="auto"/>
          <w:sz w:val="32"/>
          <w:szCs w:val="32"/>
          <w:highlight w:val="none"/>
        </w:rPr>
      </w:pPr>
    </w:p>
    <w:p w14:paraId="587364DC">
      <w:pPr>
        <w:snapToGrid w:val="0"/>
        <w:spacing w:line="460" w:lineRule="exact"/>
        <w:ind w:left="2940" w:leftChars="1400" w:firstLine="964" w:firstLineChars="300"/>
        <w:rPr>
          <w:rFonts w:hint="eastAsia" w:ascii="宋体"/>
          <w:b/>
          <w:color w:val="auto"/>
          <w:sz w:val="32"/>
          <w:szCs w:val="32"/>
          <w:highlight w:val="none"/>
        </w:rPr>
      </w:pPr>
    </w:p>
    <w:p w14:paraId="70F8A69C">
      <w:pPr>
        <w:snapToGrid w:val="0"/>
        <w:spacing w:line="460" w:lineRule="exact"/>
        <w:ind w:left="2940" w:leftChars="1400" w:firstLine="964" w:firstLineChars="300"/>
        <w:rPr>
          <w:rFonts w:hint="eastAsia" w:ascii="宋体"/>
          <w:b/>
          <w:color w:val="auto"/>
          <w:sz w:val="32"/>
          <w:szCs w:val="32"/>
          <w:highlight w:val="none"/>
        </w:rPr>
      </w:pPr>
    </w:p>
    <w:p w14:paraId="1B2A3668">
      <w:pPr>
        <w:snapToGrid w:val="0"/>
        <w:spacing w:line="460" w:lineRule="exact"/>
        <w:ind w:left="2940" w:leftChars="1400" w:firstLine="964" w:firstLineChars="300"/>
        <w:rPr>
          <w:rFonts w:hint="eastAsia" w:ascii="宋体"/>
          <w:b/>
          <w:color w:val="auto"/>
          <w:sz w:val="32"/>
          <w:szCs w:val="32"/>
          <w:highlight w:val="none"/>
        </w:rPr>
      </w:pPr>
    </w:p>
    <w:p w14:paraId="74C5568B">
      <w:pPr>
        <w:snapToGrid w:val="0"/>
        <w:spacing w:line="460" w:lineRule="exact"/>
        <w:ind w:left="2940" w:leftChars="1400" w:firstLine="964" w:firstLineChars="300"/>
        <w:rPr>
          <w:rFonts w:hint="eastAsia" w:ascii="宋体"/>
          <w:b/>
          <w:color w:val="auto"/>
          <w:sz w:val="32"/>
          <w:szCs w:val="32"/>
          <w:highlight w:val="none"/>
        </w:rPr>
      </w:pPr>
    </w:p>
    <w:p w14:paraId="2909FF63">
      <w:pPr>
        <w:snapToGrid w:val="0"/>
        <w:spacing w:line="460" w:lineRule="exact"/>
        <w:ind w:left="2940" w:leftChars="1400" w:firstLine="964" w:firstLineChars="300"/>
        <w:rPr>
          <w:rFonts w:hint="eastAsia" w:ascii="宋体"/>
          <w:b/>
          <w:color w:val="auto"/>
          <w:sz w:val="32"/>
          <w:szCs w:val="32"/>
          <w:highlight w:val="none"/>
        </w:rPr>
      </w:pPr>
    </w:p>
    <w:p w14:paraId="5A7D7B6F">
      <w:pPr>
        <w:snapToGrid w:val="0"/>
        <w:spacing w:line="460" w:lineRule="exact"/>
        <w:ind w:left="2940" w:leftChars="1400" w:firstLine="964" w:firstLineChars="300"/>
        <w:rPr>
          <w:rFonts w:hint="eastAsia" w:ascii="宋体"/>
          <w:b/>
          <w:color w:val="auto"/>
          <w:sz w:val="32"/>
          <w:szCs w:val="32"/>
          <w:highlight w:val="none"/>
        </w:rPr>
      </w:pPr>
    </w:p>
    <w:p w14:paraId="07CE96CE">
      <w:pPr>
        <w:jc w:val="center"/>
        <w:outlineLvl w:val="1"/>
        <w:rPr>
          <w:rFonts w:hint="eastAsia" w:ascii="宋体"/>
          <w:color w:val="auto"/>
          <w:sz w:val="24"/>
          <w:highlight w:val="none"/>
        </w:rPr>
      </w:pPr>
      <w:r>
        <w:rPr>
          <w:rFonts w:hint="eastAsia" w:ascii="宋体" w:hAnsi="宋体"/>
          <w:b/>
          <w:color w:val="auto"/>
          <w:sz w:val="28"/>
          <w:szCs w:val="28"/>
          <w:highlight w:val="none"/>
          <w:lang w:val="en-US" w:eastAsia="zh-CN"/>
        </w:rPr>
        <w:t>三</w:t>
      </w:r>
      <w:r>
        <w:rPr>
          <w:rFonts w:hint="eastAsia" w:ascii="宋体" w:hAnsi="宋体"/>
          <w:b/>
          <w:color w:val="auto"/>
          <w:sz w:val="28"/>
          <w:szCs w:val="28"/>
          <w:highlight w:val="none"/>
        </w:rPr>
        <w:t>、商务标格式文件</w:t>
      </w:r>
    </w:p>
    <w:p w14:paraId="06CB3F24">
      <w:pPr>
        <w:jc w:val="center"/>
        <w:rPr>
          <w:rFonts w:hint="eastAsia" w:eastAsia="黑体"/>
          <w:color w:val="auto"/>
          <w:sz w:val="20"/>
          <w:highlight w:val="none"/>
        </w:rPr>
      </w:pPr>
    </w:p>
    <w:p w14:paraId="12C6F3F4">
      <w:pPr>
        <w:rPr>
          <w:rFonts w:hint="eastAsia" w:ascii="宋体"/>
          <w:color w:val="auto"/>
          <w:sz w:val="20"/>
          <w:highlight w:val="none"/>
        </w:rPr>
      </w:pPr>
    </w:p>
    <w:p w14:paraId="031261A8">
      <w:pPr>
        <w:pStyle w:val="7"/>
        <w:ind w:firstLine="400"/>
        <w:rPr>
          <w:rFonts w:hint="eastAsia"/>
          <w:color w:val="auto"/>
          <w:highlight w:val="none"/>
        </w:rPr>
      </w:pPr>
    </w:p>
    <w:p w14:paraId="05086BFA">
      <w:pPr>
        <w:jc w:val="center"/>
        <w:rPr>
          <w:rFonts w:hint="eastAsia" w:ascii="宋体"/>
          <w:b/>
          <w:color w:val="auto"/>
          <w:sz w:val="44"/>
          <w:szCs w:val="44"/>
          <w:highlight w:val="none"/>
        </w:rPr>
      </w:pPr>
      <w:bookmarkStart w:id="101" w:name="_Toc449028954"/>
      <w:r>
        <w:rPr>
          <w:rFonts w:hint="eastAsia" w:ascii="宋体"/>
          <w:b/>
          <w:color w:val="auto"/>
          <w:sz w:val="44"/>
          <w:szCs w:val="44"/>
          <w:highlight w:val="none"/>
        </w:rPr>
        <w:t>商务标</w:t>
      </w:r>
      <w:bookmarkEnd w:id="101"/>
    </w:p>
    <w:p w14:paraId="550CA294">
      <w:pPr>
        <w:jc w:val="center"/>
        <w:rPr>
          <w:rFonts w:hint="eastAsia"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w:t>
      </w:r>
      <w:r>
        <w:rPr>
          <w:rFonts w:hint="eastAsia" w:ascii="宋体"/>
          <w:color w:val="auto"/>
          <w:sz w:val="36"/>
          <w:szCs w:val="36"/>
          <w:highlight w:val="none"/>
          <w:lang w:val="en-US" w:eastAsia="zh-CN"/>
        </w:rPr>
        <w:t>三</w:t>
      </w:r>
      <w:r>
        <w:rPr>
          <w:rFonts w:hint="eastAsia" w:ascii="宋体"/>
          <w:color w:val="auto"/>
          <w:sz w:val="36"/>
          <w:szCs w:val="36"/>
          <w:highlight w:val="none"/>
        </w:rPr>
        <w:t>）</w:t>
      </w:r>
    </w:p>
    <w:p w14:paraId="2D28631A">
      <w:pPr>
        <w:jc w:val="center"/>
        <w:rPr>
          <w:rFonts w:hint="eastAsia" w:ascii="宋体"/>
          <w:color w:val="auto"/>
          <w:sz w:val="36"/>
          <w:szCs w:val="36"/>
          <w:highlight w:val="none"/>
        </w:rPr>
      </w:pPr>
    </w:p>
    <w:p w14:paraId="66E2D6CD">
      <w:pPr>
        <w:jc w:val="center"/>
        <w:outlineLvl w:val="2"/>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29C1ADE9">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2D33026E">
      <w:pPr>
        <w:rPr>
          <w:rFonts w:hint="eastAsia" w:ascii="宋体"/>
          <w:color w:val="auto"/>
          <w:sz w:val="28"/>
          <w:szCs w:val="28"/>
          <w:highlight w:val="none"/>
        </w:rPr>
      </w:pPr>
    </w:p>
    <w:p w14:paraId="2DA01A1C">
      <w:pPr>
        <w:rPr>
          <w:rFonts w:hint="eastAsia" w:ascii="宋体"/>
          <w:color w:val="auto"/>
          <w:sz w:val="28"/>
          <w:szCs w:val="28"/>
          <w:highlight w:val="none"/>
        </w:rPr>
      </w:pPr>
    </w:p>
    <w:p w14:paraId="53A81B0C">
      <w:pPr>
        <w:rPr>
          <w:rFonts w:hint="eastAsia" w:ascii="宋体"/>
          <w:color w:val="auto"/>
          <w:sz w:val="28"/>
          <w:szCs w:val="28"/>
          <w:highlight w:val="none"/>
        </w:rPr>
      </w:pPr>
    </w:p>
    <w:p w14:paraId="6AEEB076">
      <w:pPr>
        <w:rPr>
          <w:rFonts w:hint="eastAsia" w:ascii="宋体"/>
          <w:color w:val="auto"/>
          <w:sz w:val="28"/>
          <w:szCs w:val="28"/>
          <w:highlight w:val="none"/>
        </w:rPr>
      </w:pPr>
    </w:p>
    <w:p w14:paraId="15F1CF36">
      <w:pPr>
        <w:rPr>
          <w:rFonts w:hint="eastAsia" w:ascii="宋体"/>
          <w:color w:val="auto"/>
          <w:sz w:val="28"/>
          <w:szCs w:val="28"/>
          <w:highlight w:val="none"/>
        </w:rPr>
      </w:pPr>
    </w:p>
    <w:p w14:paraId="523DA255">
      <w:pPr>
        <w:rPr>
          <w:rFonts w:hint="eastAsia" w:ascii="宋体"/>
          <w:color w:val="auto"/>
          <w:sz w:val="28"/>
          <w:szCs w:val="28"/>
          <w:highlight w:val="none"/>
        </w:rPr>
      </w:pPr>
    </w:p>
    <w:p w14:paraId="4D88DE8E">
      <w:pPr>
        <w:rPr>
          <w:rFonts w:hint="eastAsia" w:ascii="宋体"/>
          <w:color w:val="auto"/>
          <w:sz w:val="28"/>
          <w:szCs w:val="28"/>
          <w:highlight w:val="none"/>
        </w:rPr>
      </w:pPr>
    </w:p>
    <w:p w14:paraId="1572BB7D">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117DA71D">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5B3F5240">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773CAFAF">
      <w:pPr>
        <w:spacing w:line="720" w:lineRule="auto"/>
        <w:jc w:val="center"/>
        <w:rPr>
          <w:rFonts w:hint="eastAsia" w:ascii="宋体"/>
          <w:b/>
          <w:color w:val="auto"/>
          <w:sz w:val="36"/>
          <w:szCs w:val="36"/>
          <w:highlight w:val="none"/>
        </w:rPr>
      </w:pPr>
    </w:p>
    <w:p w14:paraId="3F729950">
      <w:pPr>
        <w:spacing w:line="400" w:lineRule="exact"/>
        <w:ind w:firstLine="562" w:firstLineChars="200"/>
        <w:rPr>
          <w:rFonts w:hint="eastAsia"/>
          <w:b/>
          <w:color w:val="auto"/>
          <w:sz w:val="28"/>
          <w:szCs w:val="28"/>
          <w:highlight w:val="none"/>
        </w:rPr>
      </w:pPr>
    </w:p>
    <w:p w14:paraId="237953FD">
      <w:pPr>
        <w:spacing w:line="400" w:lineRule="exact"/>
        <w:jc w:val="center"/>
        <w:rPr>
          <w:rFonts w:hint="eastAsia"/>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4FAB169F">
      <w:pPr>
        <w:spacing w:line="400" w:lineRule="exact"/>
        <w:ind w:firstLine="4130" w:firstLineChars="935"/>
        <w:rPr>
          <w:rFonts w:hint="eastAsia"/>
          <w:b/>
          <w:color w:val="auto"/>
          <w:sz w:val="44"/>
          <w:szCs w:val="44"/>
          <w:highlight w:val="none"/>
        </w:rPr>
      </w:pPr>
    </w:p>
    <w:p w14:paraId="0CA3BCC1">
      <w:pPr>
        <w:spacing w:line="440" w:lineRule="exact"/>
        <w:ind w:left="420"/>
        <w:jc w:val="left"/>
        <w:rPr>
          <w:rFonts w:hint="eastAsia" w:ascii="宋体"/>
          <w:color w:val="auto"/>
          <w:szCs w:val="21"/>
          <w:highlight w:val="none"/>
        </w:rPr>
      </w:pPr>
      <w:r>
        <w:rPr>
          <w:rFonts w:hint="eastAsia" w:ascii="宋体"/>
          <w:color w:val="auto"/>
          <w:szCs w:val="21"/>
          <w:highlight w:val="none"/>
        </w:rPr>
        <w:t>（1）开标一览表（格式见附件）；</w:t>
      </w:r>
    </w:p>
    <w:p w14:paraId="68FABDA5">
      <w:pPr>
        <w:spacing w:line="440" w:lineRule="exact"/>
        <w:ind w:left="420"/>
        <w:jc w:val="left"/>
        <w:rPr>
          <w:rFonts w:hint="eastAsia" w:ascii="宋体"/>
          <w:color w:val="auto"/>
          <w:szCs w:val="21"/>
          <w:highlight w:val="none"/>
        </w:rPr>
      </w:pPr>
      <w:r>
        <w:rPr>
          <w:rFonts w:hint="eastAsia" w:ascii="宋体"/>
          <w:color w:val="auto"/>
          <w:szCs w:val="21"/>
          <w:highlight w:val="none"/>
        </w:rPr>
        <w:t>（2）投标函（格式见附件）；</w:t>
      </w:r>
    </w:p>
    <w:p w14:paraId="1BA87880">
      <w:pPr>
        <w:spacing w:line="440" w:lineRule="exact"/>
        <w:ind w:firstLine="424" w:firstLineChars="202"/>
        <w:jc w:val="left"/>
        <w:rPr>
          <w:rFonts w:hint="default" w:ascii="宋体"/>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3）分项报价清单（格式见附件）；</w:t>
      </w:r>
    </w:p>
    <w:p w14:paraId="4F07F2DC">
      <w:pPr>
        <w:spacing w:line="440" w:lineRule="exact"/>
        <w:ind w:firstLine="424" w:firstLineChars="202"/>
        <w:jc w:val="left"/>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）投标人认为需要提供的其他材料。</w:t>
      </w:r>
    </w:p>
    <w:p w14:paraId="41D89D1A">
      <w:pPr>
        <w:jc w:val="center"/>
        <w:rPr>
          <w:rFonts w:hint="eastAsia" w:ascii="宋体"/>
          <w:b/>
          <w:color w:val="auto"/>
          <w:sz w:val="28"/>
          <w:szCs w:val="28"/>
          <w:highlight w:val="none"/>
        </w:rPr>
      </w:pPr>
    </w:p>
    <w:p w14:paraId="2F8359EA">
      <w:pPr>
        <w:snapToGrid w:val="0"/>
        <w:spacing w:line="460" w:lineRule="exact"/>
        <w:ind w:left="2940" w:leftChars="1400" w:firstLine="964" w:firstLineChars="300"/>
        <w:rPr>
          <w:rFonts w:hint="eastAsia" w:ascii="宋体"/>
          <w:b/>
          <w:color w:val="auto"/>
          <w:sz w:val="32"/>
          <w:szCs w:val="32"/>
          <w:highlight w:val="none"/>
        </w:rPr>
      </w:pPr>
    </w:p>
    <w:p w14:paraId="082BF226">
      <w:pPr>
        <w:snapToGrid w:val="0"/>
        <w:spacing w:line="460" w:lineRule="exact"/>
        <w:ind w:left="2940" w:leftChars="1400" w:firstLine="964" w:firstLineChars="300"/>
        <w:rPr>
          <w:rFonts w:hint="eastAsia" w:ascii="宋体"/>
          <w:b/>
          <w:color w:val="auto"/>
          <w:sz w:val="32"/>
          <w:szCs w:val="32"/>
          <w:highlight w:val="none"/>
        </w:rPr>
      </w:pPr>
    </w:p>
    <w:p w14:paraId="0C864022">
      <w:pPr>
        <w:snapToGrid w:val="0"/>
        <w:spacing w:line="460" w:lineRule="exact"/>
        <w:ind w:left="2940" w:leftChars="1400" w:firstLine="964" w:firstLineChars="300"/>
        <w:rPr>
          <w:rFonts w:hint="eastAsia" w:ascii="宋体"/>
          <w:b/>
          <w:color w:val="auto"/>
          <w:sz w:val="32"/>
          <w:szCs w:val="32"/>
          <w:highlight w:val="none"/>
        </w:rPr>
      </w:pPr>
    </w:p>
    <w:p w14:paraId="590CD22E">
      <w:pPr>
        <w:snapToGrid w:val="0"/>
        <w:spacing w:line="460" w:lineRule="exact"/>
        <w:ind w:left="2940" w:leftChars="1400" w:firstLine="964" w:firstLineChars="300"/>
        <w:rPr>
          <w:rFonts w:hint="eastAsia" w:ascii="宋体"/>
          <w:b/>
          <w:color w:val="auto"/>
          <w:sz w:val="32"/>
          <w:szCs w:val="32"/>
          <w:highlight w:val="none"/>
        </w:rPr>
      </w:pPr>
    </w:p>
    <w:p w14:paraId="5E701B79">
      <w:pPr>
        <w:snapToGrid w:val="0"/>
        <w:spacing w:line="460" w:lineRule="exact"/>
        <w:ind w:left="2940" w:leftChars="1400" w:firstLine="964" w:firstLineChars="300"/>
        <w:rPr>
          <w:rFonts w:hint="eastAsia" w:ascii="宋体"/>
          <w:b/>
          <w:color w:val="auto"/>
          <w:sz w:val="32"/>
          <w:szCs w:val="32"/>
          <w:highlight w:val="none"/>
        </w:rPr>
      </w:pPr>
    </w:p>
    <w:p w14:paraId="06CF5FAF">
      <w:pPr>
        <w:snapToGrid w:val="0"/>
        <w:spacing w:line="460" w:lineRule="exact"/>
        <w:ind w:left="2940" w:leftChars="1400" w:firstLine="964" w:firstLineChars="300"/>
        <w:rPr>
          <w:rFonts w:hint="eastAsia" w:ascii="宋体"/>
          <w:b/>
          <w:color w:val="auto"/>
          <w:sz w:val="32"/>
          <w:szCs w:val="32"/>
          <w:highlight w:val="none"/>
        </w:rPr>
      </w:pPr>
    </w:p>
    <w:p w14:paraId="2008F609">
      <w:pPr>
        <w:spacing w:line="360" w:lineRule="exact"/>
        <w:rPr>
          <w:rFonts w:hint="eastAsia"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1F66BD67">
      <w:pPr>
        <w:spacing w:line="360" w:lineRule="exact"/>
        <w:ind w:firstLine="472" w:firstLineChars="147"/>
        <w:jc w:val="center"/>
        <w:rPr>
          <w:rFonts w:hint="eastAsia" w:ascii="宋体"/>
          <w:b/>
          <w:color w:val="auto"/>
          <w:sz w:val="32"/>
          <w:szCs w:val="32"/>
          <w:highlight w:val="none"/>
        </w:rPr>
      </w:pPr>
    </w:p>
    <w:p w14:paraId="2A85CAFC">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tbl>
      <w:tblPr>
        <w:tblStyle w:val="2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06DB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noWrap w:val="0"/>
            <w:vAlign w:val="center"/>
          </w:tcPr>
          <w:p w14:paraId="442382FC">
            <w:pPr>
              <w:spacing w:line="70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12F66EE0">
            <w:pPr>
              <w:spacing w:line="700" w:lineRule="exact"/>
              <w:jc w:val="left"/>
              <w:rPr>
                <w:rFonts w:hint="eastAsia"/>
                <w:color w:val="auto"/>
                <w:sz w:val="24"/>
                <w:highlight w:val="none"/>
              </w:rPr>
            </w:pPr>
            <w:r>
              <w:rPr>
                <w:rFonts w:hint="eastAsia"/>
                <w:color w:val="auto"/>
                <w:sz w:val="24"/>
                <w:highlight w:val="none"/>
              </w:rPr>
              <w:t xml:space="preserve">         </w:t>
            </w:r>
          </w:p>
        </w:tc>
      </w:tr>
      <w:tr w14:paraId="6A5C6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4411DFA9">
            <w:pPr>
              <w:spacing w:line="70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7D9CDE6A">
            <w:pPr>
              <w:spacing w:line="700" w:lineRule="exact"/>
              <w:rPr>
                <w:rFonts w:hint="eastAsia" w:ascii="宋体"/>
                <w:color w:val="auto"/>
                <w:sz w:val="24"/>
                <w:highlight w:val="none"/>
              </w:rPr>
            </w:pPr>
          </w:p>
        </w:tc>
      </w:tr>
      <w:tr w14:paraId="0CDBB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5A304009">
            <w:pPr>
              <w:spacing w:line="70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1DF57252">
            <w:pPr>
              <w:pStyle w:val="16"/>
              <w:spacing w:line="700" w:lineRule="exact"/>
              <w:ind w:left="86" w:leftChars="41"/>
              <w:rPr>
                <w:rFonts w:hint="eastAsia" w:ascii="宋体" w:eastAsia="宋体"/>
                <w:color w:val="auto"/>
                <w:sz w:val="24"/>
                <w:szCs w:val="24"/>
                <w:highlight w:val="none"/>
              </w:rPr>
            </w:pPr>
          </w:p>
        </w:tc>
      </w:tr>
      <w:tr w14:paraId="3C835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81" w:hRule="exact"/>
        </w:trPr>
        <w:tc>
          <w:tcPr>
            <w:tcW w:w="1803" w:type="dxa"/>
            <w:tcBorders>
              <w:right w:val="single" w:color="auto" w:sz="12" w:space="0"/>
            </w:tcBorders>
            <w:noWrap w:val="0"/>
            <w:vAlign w:val="center"/>
          </w:tcPr>
          <w:p w14:paraId="6DE62A49">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noWrap w:val="0"/>
            <w:vAlign w:val="center"/>
          </w:tcPr>
          <w:p w14:paraId="25F1F076">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宋体" w:hAnsi="宋体"/>
                <w:color w:val="auto"/>
                <w:sz w:val="24"/>
                <w:highlight w:val="none"/>
              </w:rPr>
            </w:pPr>
            <w:r>
              <w:rPr>
                <w:rFonts w:hint="eastAsia" w:ascii="宋体" w:hAnsi="宋体"/>
                <w:color w:val="auto"/>
                <w:sz w:val="24"/>
                <w:highlight w:val="none"/>
              </w:rPr>
              <w:t>投标报价</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每月）</w:t>
            </w:r>
            <w:r>
              <w:rPr>
                <w:rFonts w:hint="eastAsia" w:ascii="宋体" w:hAnsi="宋体"/>
                <w:color w:val="auto"/>
                <w:sz w:val="24"/>
                <w:highlight w:val="none"/>
              </w:rPr>
              <w:t>：</w:t>
            </w:r>
          </w:p>
          <w:p w14:paraId="29E0F1BA">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宋体" w:hAnsi="宋体"/>
                <w:color w:val="auto"/>
                <w:sz w:val="24"/>
                <w:highlight w:val="none"/>
              </w:rPr>
            </w:pPr>
            <w:r>
              <w:rPr>
                <w:rFonts w:hint="eastAsia" w:ascii="宋体" w:hAnsi="宋体"/>
                <w:color w:val="auto"/>
                <w:sz w:val="24"/>
                <w:highlight w:val="none"/>
              </w:rPr>
              <w:t>（大写）：</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  </w:t>
            </w:r>
          </w:p>
          <w:p w14:paraId="58DB2647">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宋体" w:hAnsi="宋体"/>
                <w:color w:val="auto"/>
                <w:sz w:val="24"/>
                <w:highlight w:val="none"/>
              </w:rPr>
            </w:pPr>
            <w:r>
              <w:rPr>
                <w:rFonts w:hint="eastAsia" w:ascii="宋体" w:hAnsi="宋体"/>
                <w:color w:val="auto"/>
                <w:sz w:val="24"/>
                <w:highlight w:val="none"/>
              </w:rPr>
              <w:t>(小写)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      </w:t>
            </w:r>
          </w:p>
          <w:p w14:paraId="078D52A6">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default" w:ascii="宋体" w:hAnsi="宋体"/>
                <w:color w:val="auto"/>
                <w:sz w:val="24"/>
                <w:highlight w:val="none"/>
                <w:lang w:val="en-US" w:eastAsia="zh-CN"/>
              </w:rPr>
            </w:pPr>
            <w:r>
              <w:rPr>
                <w:rFonts w:hint="eastAsia" w:ascii="宋体" w:hAnsi="宋体" w:eastAsia="宋体" w:cs="Times New Roman"/>
                <w:color w:val="auto"/>
                <w:sz w:val="24"/>
                <w:highlight w:val="none"/>
                <w:lang w:val="en-US" w:eastAsia="zh-CN"/>
              </w:rPr>
              <w:t xml:space="preserve">合同履行期限： </w:t>
            </w:r>
            <w:r>
              <w:rPr>
                <w:rFonts w:hint="eastAsia" w:ascii="宋体" w:hAnsi="宋体" w:cs="Times New Roman"/>
                <w:color w:val="auto"/>
                <w:sz w:val="24"/>
                <w:highlight w:val="none"/>
                <w:lang w:val="en-US" w:eastAsia="zh-CN"/>
              </w:rPr>
              <w:t xml:space="preserve"> </w:t>
            </w:r>
          </w:p>
        </w:tc>
      </w:tr>
    </w:tbl>
    <w:p w14:paraId="79E90D7F">
      <w:pPr>
        <w:snapToGrid w:val="0"/>
        <w:spacing w:line="460" w:lineRule="exact"/>
        <w:ind w:left="2940" w:leftChars="1400" w:firstLine="723" w:firstLineChars="300"/>
        <w:rPr>
          <w:rFonts w:hint="eastAsia" w:ascii="宋体"/>
          <w:b/>
          <w:color w:val="auto"/>
          <w:sz w:val="24"/>
          <w:highlight w:val="none"/>
        </w:rPr>
      </w:pPr>
    </w:p>
    <w:p w14:paraId="5D3BC229">
      <w:pPr>
        <w:rPr>
          <w:rFonts w:hint="eastAsia" w:ascii="宋体"/>
          <w:color w:val="auto"/>
          <w:sz w:val="24"/>
          <w:highlight w:val="none"/>
        </w:rPr>
      </w:pPr>
      <w:r>
        <w:rPr>
          <w:rFonts w:hint="eastAsia" w:ascii="宋体"/>
          <w:color w:val="auto"/>
          <w:sz w:val="24"/>
          <w:highlight w:val="none"/>
        </w:rPr>
        <w:t>法定代表人（签章）：         投标人（盖单位章）：</w:t>
      </w:r>
    </w:p>
    <w:p w14:paraId="7F090D22">
      <w:pPr>
        <w:snapToGrid w:val="0"/>
        <w:spacing w:before="312" w:beforeLines="100" w:after="312" w:afterLines="100" w:line="360" w:lineRule="auto"/>
        <w:jc w:val="center"/>
        <w:rPr>
          <w:rFonts w:cs="Arial"/>
          <w:b/>
          <w:bCs/>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69F3F4E9">
      <w:pPr>
        <w:spacing w:line="360" w:lineRule="exact"/>
        <w:ind w:firstLine="443" w:firstLineChars="147"/>
        <w:rPr>
          <w:rFonts w:hint="eastAsia" w:ascii="宋体" w:hAnsi="宋体"/>
          <w:b/>
          <w:color w:val="auto"/>
          <w:sz w:val="30"/>
          <w:szCs w:val="30"/>
          <w:highlight w:val="none"/>
        </w:rPr>
      </w:pPr>
      <w:r>
        <w:rPr>
          <w:rFonts w:hint="eastAsia" w:ascii="宋体" w:hAnsi="宋体"/>
          <w:b/>
          <w:color w:val="auto"/>
          <w:sz w:val="30"/>
          <w:szCs w:val="30"/>
          <w:highlight w:val="none"/>
        </w:rPr>
        <w:t>附件2</w:t>
      </w:r>
    </w:p>
    <w:p w14:paraId="21B69924">
      <w:pPr>
        <w:spacing w:line="360" w:lineRule="exact"/>
        <w:ind w:firstLine="531" w:firstLineChars="147"/>
        <w:jc w:val="center"/>
        <w:rPr>
          <w:rFonts w:hint="eastAsia" w:ascii="宋体"/>
          <w:color w:val="auto"/>
          <w:sz w:val="24"/>
          <w:highlight w:val="none"/>
        </w:rPr>
      </w:pPr>
      <w:r>
        <w:rPr>
          <w:rFonts w:hint="eastAsia" w:ascii="宋体"/>
          <w:b/>
          <w:color w:val="auto"/>
          <w:sz w:val="36"/>
          <w:szCs w:val="36"/>
          <w:highlight w:val="none"/>
        </w:rPr>
        <w:t>投  标  函</w:t>
      </w:r>
    </w:p>
    <w:p w14:paraId="64CC36CB">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431BD5EA">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548DE19">
      <w:pPr>
        <w:spacing w:line="500" w:lineRule="exact"/>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（项目编号）”项目的服务，投标报价为</w:t>
      </w:r>
      <w:r>
        <w:rPr>
          <w:rFonts w:hint="eastAsia" w:ascii="宋体" w:hAnsi="宋体" w:cs="宋体"/>
          <w:color w:val="auto"/>
          <w:sz w:val="24"/>
          <w:highlight w:val="none"/>
          <w:u w:val="single"/>
        </w:rPr>
        <w:t xml:space="preserve">       </w:t>
      </w:r>
      <w:bookmarkStart w:id="103" w:name="_GoBack"/>
      <w:bookmarkEnd w:id="103"/>
      <w:r>
        <w:rPr>
          <w:rFonts w:hint="eastAsia" w:ascii="宋体" w:hAnsi="宋体" w:cs="宋体"/>
          <w:color w:val="auto"/>
          <w:sz w:val="24"/>
          <w:highlight w:val="none"/>
          <w:u w:val="single"/>
        </w:rPr>
        <w:t>元</w:t>
      </w:r>
      <w:r>
        <w:rPr>
          <w:rFonts w:hint="eastAsia" w:ascii="宋体" w:hAnsi="宋体" w:cs="宋体"/>
          <w:color w:val="auto"/>
          <w:sz w:val="24"/>
          <w:highlight w:val="none"/>
          <w:u w:val="single"/>
          <w:lang w:val="en-US" w:eastAsia="zh-CN"/>
        </w:rPr>
        <w:t>/月</w:t>
      </w:r>
      <w:r>
        <w:rPr>
          <w:rFonts w:hint="eastAsia" w:ascii="宋体" w:hAnsi="宋体" w:cs="宋体"/>
          <w:color w:val="auto"/>
          <w:sz w:val="24"/>
          <w:highlight w:val="none"/>
          <w:u w:val="single"/>
          <w:lang w:eastAsia="zh-CN"/>
        </w:rPr>
        <w:t>。</w:t>
      </w:r>
    </w:p>
    <w:p w14:paraId="00F76AEF">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一旦我方成为合同签字人，我方将严格履行合同规定的责任和义务。</w:t>
      </w:r>
    </w:p>
    <w:p w14:paraId="5A57B755">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若我方中标，愿意为本项目提交的纸质投标文件一式三份，其中正本一份、副本二份。</w:t>
      </w:r>
    </w:p>
    <w:p w14:paraId="50C75C66">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我方愿意提供可能另外要求的、与采购投标有关的文件资料，并保证我方已提供和将要提供的文件是真实的、准确的。</w:t>
      </w:r>
    </w:p>
    <w:p w14:paraId="2AA2566C">
      <w:pPr>
        <w:pStyle w:val="7"/>
        <w:spacing w:after="0" w:line="500" w:lineRule="exact"/>
        <w:ind w:left="0" w:leftChars="0" w:firstLine="480"/>
        <w:jc w:val="left"/>
        <w:outlineLvl w:val="2"/>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投标有效期为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 xml:space="preserve">0  </w:t>
      </w:r>
      <w:r>
        <w:rPr>
          <w:rFonts w:hint="eastAsia" w:ascii="宋体" w:hAnsi="宋体" w:cs="宋体"/>
          <w:color w:val="auto"/>
          <w:sz w:val="24"/>
          <w:highlight w:val="none"/>
        </w:rPr>
        <w:t>日历天（从投标截止之日算起）。</w:t>
      </w:r>
    </w:p>
    <w:p w14:paraId="2EE9B49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3AC30B32">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0710FA0F">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7843FC21">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3CF18AFA">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67624DA3">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38AF3785">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38FE641B">
      <w:pPr>
        <w:spacing w:line="500" w:lineRule="exact"/>
        <w:ind w:right="-178" w:rightChars="-85" w:firstLine="3360" w:firstLineChars="1400"/>
        <w:jc w:val="left"/>
        <w:rPr>
          <w:rFonts w:hint="eastAsia" w:ascii="宋体" w:hAnsi="宋体"/>
          <w:b/>
          <w:color w:val="auto"/>
          <w:sz w:val="30"/>
          <w:szCs w:val="30"/>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1B8FFA92">
      <w:pPr>
        <w:rPr>
          <w:rFonts w:hint="eastAsia" w:ascii="宋体" w:hAnsi="宋体"/>
          <w:b/>
          <w:color w:val="auto"/>
          <w:sz w:val="30"/>
          <w:szCs w:val="30"/>
          <w:highlight w:val="none"/>
        </w:rPr>
      </w:pPr>
    </w:p>
    <w:p w14:paraId="444FC666">
      <w:pPr>
        <w:rPr>
          <w:rFonts w:hint="eastAsia" w:ascii="宋体" w:hAnsi="宋体"/>
          <w:b/>
          <w:color w:val="auto"/>
          <w:sz w:val="30"/>
          <w:szCs w:val="30"/>
          <w:highlight w:val="none"/>
        </w:rPr>
      </w:pPr>
    </w:p>
    <w:p w14:paraId="77CA78EA">
      <w:pPr>
        <w:outlineLvl w:val="3"/>
        <w:rPr>
          <w:rFonts w:hint="eastAsia" w:ascii="宋体" w:hAnsi="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3</w:t>
      </w:r>
    </w:p>
    <w:p w14:paraId="4A0BFAB4">
      <w:pPr>
        <w:spacing w:line="360" w:lineRule="exact"/>
        <w:ind w:firstLine="531" w:firstLineChars="147"/>
        <w:jc w:val="center"/>
        <w:rPr>
          <w:rFonts w:hint="default" w:ascii="宋体"/>
          <w:b/>
          <w:color w:val="auto"/>
          <w:sz w:val="36"/>
          <w:szCs w:val="36"/>
          <w:highlight w:val="none"/>
          <w:lang w:val="en-US" w:eastAsia="zh-CN"/>
        </w:rPr>
      </w:pPr>
      <w:r>
        <w:rPr>
          <w:rFonts w:hint="eastAsia" w:ascii="宋体"/>
          <w:b/>
          <w:color w:val="auto"/>
          <w:sz w:val="36"/>
          <w:szCs w:val="36"/>
          <w:highlight w:val="none"/>
          <w:lang w:val="en-US" w:eastAsia="zh-CN"/>
        </w:rPr>
        <w:t>分项报价清单</w:t>
      </w:r>
    </w:p>
    <w:tbl>
      <w:tblPr>
        <w:tblStyle w:val="25"/>
        <w:tblW w:w="8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847"/>
        <w:gridCol w:w="768"/>
        <w:gridCol w:w="2171"/>
        <w:gridCol w:w="1675"/>
        <w:gridCol w:w="1549"/>
      </w:tblGrid>
      <w:tr w14:paraId="1776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02" w:type="dxa"/>
            <w:noWrap w:val="0"/>
            <w:vAlign w:val="center"/>
          </w:tcPr>
          <w:p w14:paraId="39A1929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847" w:type="dxa"/>
            <w:noWrap w:val="0"/>
            <w:vAlign w:val="center"/>
          </w:tcPr>
          <w:p w14:paraId="36E0CC7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768" w:type="dxa"/>
            <w:noWrap w:val="0"/>
            <w:vAlign w:val="center"/>
          </w:tcPr>
          <w:p w14:paraId="7735A61C">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数量</w:t>
            </w:r>
          </w:p>
        </w:tc>
        <w:tc>
          <w:tcPr>
            <w:tcW w:w="2171" w:type="dxa"/>
            <w:noWrap w:val="0"/>
            <w:vAlign w:val="center"/>
          </w:tcPr>
          <w:p w14:paraId="32E93F57">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最高限价</w:t>
            </w:r>
            <w:r>
              <w:rPr>
                <w:rFonts w:hint="eastAsia" w:ascii="宋体" w:hAnsi="宋体" w:eastAsia="宋体" w:cs="宋体"/>
                <w:color w:val="auto"/>
                <w:szCs w:val="21"/>
                <w:highlight w:val="none"/>
              </w:rPr>
              <w:t>单价（元/月）</w:t>
            </w:r>
          </w:p>
        </w:tc>
        <w:tc>
          <w:tcPr>
            <w:tcW w:w="1675" w:type="dxa"/>
            <w:noWrap w:val="0"/>
            <w:vAlign w:val="center"/>
          </w:tcPr>
          <w:p w14:paraId="55FC033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单价</w:t>
            </w:r>
          </w:p>
          <w:p w14:paraId="1A46DEB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（元/月）</w:t>
            </w:r>
          </w:p>
        </w:tc>
        <w:tc>
          <w:tcPr>
            <w:tcW w:w="1549" w:type="dxa"/>
            <w:noWrap w:val="0"/>
            <w:vAlign w:val="center"/>
          </w:tcPr>
          <w:p w14:paraId="06239FE9">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B0C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2" w:type="dxa"/>
            <w:noWrap w:val="0"/>
            <w:vAlign w:val="center"/>
          </w:tcPr>
          <w:p w14:paraId="3B746101">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847" w:type="dxa"/>
            <w:shd w:val="clear" w:color="auto" w:fill="auto"/>
            <w:noWrap w:val="0"/>
            <w:vAlign w:val="center"/>
          </w:tcPr>
          <w:p w14:paraId="30C2DB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项目负责人</w:t>
            </w:r>
          </w:p>
        </w:tc>
        <w:tc>
          <w:tcPr>
            <w:tcW w:w="768" w:type="dxa"/>
            <w:shd w:val="clear" w:color="auto" w:fill="auto"/>
            <w:noWrap w:val="0"/>
            <w:vAlign w:val="center"/>
          </w:tcPr>
          <w:p w14:paraId="7513F8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2171" w:type="dxa"/>
            <w:shd w:val="clear" w:color="auto" w:fill="auto"/>
            <w:noWrap w:val="0"/>
            <w:vAlign w:val="center"/>
          </w:tcPr>
          <w:p w14:paraId="6F0F8F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6000</w:t>
            </w:r>
          </w:p>
        </w:tc>
        <w:tc>
          <w:tcPr>
            <w:tcW w:w="1675" w:type="dxa"/>
            <w:noWrap w:val="0"/>
            <w:vAlign w:val="center"/>
          </w:tcPr>
          <w:p w14:paraId="02563FB0">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3E43436B">
            <w:pPr>
              <w:spacing w:line="340" w:lineRule="exact"/>
              <w:jc w:val="center"/>
              <w:rPr>
                <w:rFonts w:hint="eastAsia" w:ascii="宋体" w:hAnsi="宋体" w:eastAsia="宋体" w:cs="宋体"/>
                <w:color w:val="auto"/>
                <w:szCs w:val="21"/>
                <w:highlight w:val="none"/>
              </w:rPr>
            </w:pPr>
          </w:p>
        </w:tc>
      </w:tr>
      <w:tr w14:paraId="1F93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2" w:type="dxa"/>
            <w:noWrap w:val="0"/>
            <w:vAlign w:val="center"/>
          </w:tcPr>
          <w:p w14:paraId="3A9D9FF2">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847" w:type="dxa"/>
            <w:shd w:val="clear" w:color="auto" w:fill="auto"/>
            <w:noWrap w:val="0"/>
            <w:vAlign w:val="center"/>
          </w:tcPr>
          <w:p w14:paraId="14E5D8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保安队员（55岁以下）</w:t>
            </w:r>
          </w:p>
        </w:tc>
        <w:tc>
          <w:tcPr>
            <w:tcW w:w="768" w:type="dxa"/>
            <w:shd w:val="clear" w:color="auto" w:fill="auto"/>
            <w:noWrap w:val="0"/>
            <w:vAlign w:val="center"/>
          </w:tcPr>
          <w:p w14:paraId="517460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w:t>
            </w:r>
          </w:p>
        </w:tc>
        <w:tc>
          <w:tcPr>
            <w:tcW w:w="2171" w:type="dxa"/>
            <w:shd w:val="clear" w:color="auto" w:fill="auto"/>
            <w:noWrap w:val="0"/>
            <w:vAlign w:val="center"/>
          </w:tcPr>
          <w:p w14:paraId="0FBEDB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4800</w:t>
            </w:r>
          </w:p>
        </w:tc>
        <w:tc>
          <w:tcPr>
            <w:tcW w:w="1675" w:type="dxa"/>
            <w:noWrap w:val="0"/>
            <w:vAlign w:val="center"/>
          </w:tcPr>
          <w:p w14:paraId="62D1EA52">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6BD2162F">
            <w:pPr>
              <w:spacing w:line="340" w:lineRule="exact"/>
              <w:jc w:val="center"/>
              <w:rPr>
                <w:rFonts w:hint="eastAsia" w:ascii="宋体" w:hAnsi="宋体" w:eastAsia="宋体" w:cs="宋体"/>
                <w:color w:val="auto"/>
                <w:szCs w:val="21"/>
                <w:highlight w:val="none"/>
              </w:rPr>
            </w:pPr>
          </w:p>
        </w:tc>
      </w:tr>
      <w:tr w14:paraId="3385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2" w:type="dxa"/>
            <w:noWrap w:val="0"/>
            <w:vAlign w:val="center"/>
          </w:tcPr>
          <w:p w14:paraId="66B6D651">
            <w:pPr>
              <w:spacing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847" w:type="dxa"/>
            <w:shd w:val="clear" w:color="auto" w:fill="auto"/>
            <w:noWrap w:val="0"/>
            <w:vAlign w:val="center"/>
          </w:tcPr>
          <w:p w14:paraId="3FBAE3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HAnsi" w:hAnsiTheme="minorHAnsi" w:eastAsiaTheme="minorEastAsia" w:cstheme="minorBidi"/>
                <w:kern w:val="2"/>
                <w:sz w:val="20"/>
                <w:szCs w:val="22"/>
                <w:lang w:val="en-US" w:eastAsia="zh-CN" w:bidi="ar-SA"/>
              </w:rPr>
            </w:pPr>
            <w:r>
              <w:rPr>
                <w:rFonts w:hint="eastAsia" w:ascii="仿宋" w:hAnsi="仿宋" w:eastAsia="仿宋" w:cs="仿宋"/>
                <w:sz w:val="24"/>
                <w:szCs w:val="24"/>
                <w:lang w:val="en-US" w:eastAsia="zh-CN"/>
              </w:rPr>
              <w:t>保安队员（55-60岁）</w:t>
            </w:r>
          </w:p>
        </w:tc>
        <w:tc>
          <w:tcPr>
            <w:tcW w:w="768" w:type="dxa"/>
            <w:shd w:val="clear" w:color="auto" w:fill="auto"/>
            <w:noWrap w:val="0"/>
            <w:vAlign w:val="center"/>
          </w:tcPr>
          <w:p w14:paraId="228A81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w:t>
            </w:r>
          </w:p>
        </w:tc>
        <w:tc>
          <w:tcPr>
            <w:tcW w:w="2171" w:type="dxa"/>
            <w:shd w:val="clear" w:color="auto" w:fill="auto"/>
            <w:noWrap w:val="0"/>
            <w:vAlign w:val="center"/>
          </w:tcPr>
          <w:p w14:paraId="633246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4200</w:t>
            </w:r>
          </w:p>
        </w:tc>
        <w:tc>
          <w:tcPr>
            <w:tcW w:w="1675" w:type="dxa"/>
            <w:noWrap w:val="0"/>
            <w:vAlign w:val="center"/>
          </w:tcPr>
          <w:p w14:paraId="6CEC69AA">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08F5429D">
            <w:pPr>
              <w:spacing w:line="340" w:lineRule="exact"/>
              <w:jc w:val="center"/>
              <w:rPr>
                <w:rFonts w:hint="eastAsia" w:ascii="宋体" w:hAnsi="宋体" w:eastAsia="宋体" w:cs="宋体"/>
                <w:color w:val="auto"/>
                <w:szCs w:val="21"/>
                <w:highlight w:val="none"/>
              </w:rPr>
            </w:pPr>
          </w:p>
        </w:tc>
      </w:tr>
      <w:tr w14:paraId="2028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2" w:type="dxa"/>
            <w:noWrap w:val="0"/>
            <w:vAlign w:val="center"/>
          </w:tcPr>
          <w:p w14:paraId="3F71E602">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p>
        </w:tc>
        <w:tc>
          <w:tcPr>
            <w:tcW w:w="1847" w:type="dxa"/>
            <w:shd w:val="clear" w:color="auto" w:fill="auto"/>
            <w:noWrap w:val="0"/>
            <w:vAlign w:val="center"/>
          </w:tcPr>
          <w:p w14:paraId="0858EF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HAnsi" w:hAnsiTheme="minorHAnsi" w:eastAsiaTheme="minorEastAsia" w:cstheme="minorBidi"/>
                <w:kern w:val="2"/>
                <w:sz w:val="20"/>
                <w:szCs w:val="22"/>
                <w:lang w:val="en-US" w:eastAsia="zh-CN" w:bidi="ar-SA"/>
              </w:rPr>
            </w:pPr>
            <w:r>
              <w:rPr>
                <w:rFonts w:hint="eastAsia" w:ascii="仿宋" w:hAnsi="仿宋" w:eastAsia="仿宋" w:cs="仿宋"/>
                <w:sz w:val="24"/>
                <w:szCs w:val="24"/>
                <w:lang w:val="en-US" w:eastAsia="zh-CN"/>
              </w:rPr>
              <w:t>保洁员工（60岁以下）</w:t>
            </w:r>
          </w:p>
        </w:tc>
        <w:tc>
          <w:tcPr>
            <w:tcW w:w="768" w:type="dxa"/>
            <w:shd w:val="clear" w:color="auto" w:fill="auto"/>
            <w:noWrap w:val="0"/>
            <w:vAlign w:val="center"/>
          </w:tcPr>
          <w:p w14:paraId="43E52C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w:t>
            </w:r>
          </w:p>
        </w:tc>
        <w:tc>
          <w:tcPr>
            <w:tcW w:w="2171" w:type="dxa"/>
            <w:shd w:val="clear" w:color="auto" w:fill="auto"/>
            <w:noWrap w:val="0"/>
            <w:vAlign w:val="center"/>
          </w:tcPr>
          <w:p w14:paraId="2564F5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3200</w:t>
            </w:r>
          </w:p>
        </w:tc>
        <w:tc>
          <w:tcPr>
            <w:tcW w:w="1675" w:type="dxa"/>
            <w:noWrap w:val="0"/>
            <w:vAlign w:val="center"/>
          </w:tcPr>
          <w:p w14:paraId="502EA7B6">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05BCE25A">
            <w:pPr>
              <w:spacing w:line="340" w:lineRule="exact"/>
              <w:jc w:val="center"/>
              <w:rPr>
                <w:rFonts w:hint="eastAsia" w:ascii="宋体" w:hAnsi="宋体" w:eastAsia="宋体" w:cs="宋体"/>
                <w:color w:val="auto"/>
                <w:szCs w:val="21"/>
                <w:highlight w:val="none"/>
              </w:rPr>
            </w:pPr>
          </w:p>
        </w:tc>
      </w:tr>
      <w:tr w14:paraId="32AB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2" w:type="dxa"/>
            <w:noWrap w:val="0"/>
            <w:vAlign w:val="center"/>
          </w:tcPr>
          <w:p w14:paraId="64B184E1">
            <w:pPr>
              <w:spacing w:line="3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合计</w:t>
            </w:r>
          </w:p>
        </w:tc>
        <w:tc>
          <w:tcPr>
            <w:tcW w:w="8010" w:type="dxa"/>
            <w:gridSpan w:val="5"/>
            <w:shd w:val="clear" w:color="auto" w:fill="auto"/>
            <w:noWrap w:val="0"/>
            <w:vAlign w:val="center"/>
          </w:tcPr>
          <w:p w14:paraId="0173D6B8">
            <w:pPr>
              <w:spacing w:line="340" w:lineRule="exact"/>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大写：      小写：</w:t>
            </w:r>
          </w:p>
        </w:tc>
      </w:tr>
    </w:tbl>
    <w:p w14:paraId="16FD4F3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b/>
          <w:color w:val="auto"/>
          <w:sz w:val="21"/>
          <w:szCs w:val="21"/>
          <w:highlight w:val="none"/>
          <w:lang w:val="en-US" w:eastAsia="zh-CN"/>
        </w:rPr>
      </w:pPr>
      <w:r>
        <w:rPr>
          <w:rFonts w:hint="eastAsia" w:ascii="宋体" w:hAnsi="宋体"/>
          <w:b/>
          <w:color w:val="auto"/>
          <w:sz w:val="21"/>
          <w:szCs w:val="21"/>
          <w:highlight w:val="none"/>
          <w:lang w:val="en-US" w:eastAsia="zh-CN"/>
        </w:rPr>
        <w:t>注：1.报价保留两位小数点，第三位四舍五入。</w:t>
      </w:r>
    </w:p>
    <w:p w14:paraId="36F2CACE">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2"/>
        <w:rPr>
          <w:rFonts w:hint="eastAsia" w:ascii="宋体" w:hAnsi="宋体" w:eastAsia="宋体" w:cs="Times New Roman"/>
          <w:b/>
          <w:color w:val="auto"/>
          <w:sz w:val="21"/>
          <w:szCs w:val="21"/>
          <w:highlight w:val="none"/>
          <w:lang w:val="en-US" w:eastAsia="zh-CN"/>
        </w:rPr>
      </w:pPr>
      <w:r>
        <w:rPr>
          <w:rFonts w:hint="eastAsia" w:ascii="宋体" w:hAnsi="宋体" w:eastAsia="宋体" w:cs="Times New Roman"/>
          <w:b/>
          <w:color w:val="auto"/>
          <w:sz w:val="21"/>
          <w:szCs w:val="21"/>
          <w:highlight w:val="none"/>
          <w:lang w:val="en-US" w:eastAsia="zh-CN"/>
        </w:rPr>
        <w:t>2.所有投标只能选择一种方案，单价和合价的报价只能是唯一。</w:t>
      </w:r>
    </w:p>
    <w:p w14:paraId="26C1873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Times New Roman"/>
          <w:b/>
          <w:color w:val="0000FF"/>
          <w:sz w:val="21"/>
          <w:szCs w:val="21"/>
          <w:highlight w:val="none"/>
          <w:lang w:val="en-US" w:eastAsia="zh-CN"/>
        </w:rPr>
      </w:pPr>
      <w:r>
        <w:rPr>
          <w:rFonts w:hint="eastAsia" w:ascii="宋体" w:hAnsi="宋体" w:eastAsia="宋体" w:cs="Times New Roman"/>
          <w:b/>
          <w:color w:val="auto"/>
          <w:sz w:val="21"/>
          <w:szCs w:val="21"/>
          <w:highlight w:val="none"/>
          <w:lang w:val="en-US" w:eastAsia="zh-CN"/>
        </w:rPr>
        <w:t>3.本项目投标最高限价：</w:t>
      </w:r>
      <w:r>
        <w:rPr>
          <w:rFonts w:hint="eastAsia" w:ascii="宋体" w:hAnsi="宋体" w:cs="Times New Roman"/>
          <w:b/>
          <w:color w:val="auto"/>
          <w:sz w:val="21"/>
          <w:szCs w:val="21"/>
          <w:highlight w:val="none"/>
          <w:lang w:val="en-US" w:eastAsia="zh-CN"/>
        </w:rPr>
        <w:t>57400元/月</w:t>
      </w:r>
      <w:r>
        <w:rPr>
          <w:rFonts w:hint="eastAsia" w:ascii="宋体" w:hAnsi="宋体" w:eastAsia="宋体" w:cs="Times New Roman"/>
          <w:b/>
          <w:color w:val="auto"/>
          <w:sz w:val="21"/>
          <w:szCs w:val="21"/>
          <w:highlight w:val="none"/>
          <w:lang w:val="en-US" w:eastAsia="zh-CN"/>
        </w:rPr>
        <w:t>；投标报价总价和单价均高于（不含等于）最高限价的，按无效投标处理。</w:t>
      </w:r>
      <w:r>
        <w:rPr>
          <w:rFonts w:hint="eastAsia" w:ascii="宋体" w:hAnsi="宋体" w:eastAsia="宋体" w:cs="Times New Roman"/>
          <w:b/>
          <w:color w:val="0000FF"/>
          <w:sz w:val="21"/>
          <w:szCs w:val="21"/>
          <w:highlight w:val="none"/>
          <w:lang w:val="en-US" w:eastAsia="zh-CN"/>
        </w:rPr>
        <w:t>人员必须按照上述人员要求进行配备，否则不予结算费用。</w:t>
      </w:r>
    </w:p>
    <w:p w14:paraId="353AA3B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Times New Roman"/>
          <w:b/>
          <w:color w:val="auto"/>
          <w:sz w:val="21"/>
          <w:szCs w:val="21"/>
          <w:highlight w:val="none"/>
          <w:lang w:val="en-US" w:eastAsia="zh-CN"/>
        </w:rPr>
      </w:pPr>
      <w:r>
        <w:rPr>
          <w:rFonts w:hint="eastAsia" w:ascii="宋体" w:hAnsi="宋体" w:eastAsia="宋体" w:cs="Times New Roman"/>
          <w:b/>
          <w:color w:val="auto"/>
          <w:sz w:val="21"/>
          <w:szCs w:val="21"/>
          <w:highlight w:val="none"/>
          <w:lang w:val="en-US" w:eastAsia="zh-CN"/>
        </w:rPr>
        <w:t>4.投标报价中应包含包含物业服务内容所需的全部人员工资、奖金、保险费用，各种加班费、夜餐费、食宿与交通、设备及工具、器材、安保消耗材料、服装、办公、招标代理费用、各类保洁易耗品费用、接待等应急安全保卫及保洁卫生费用、</w:t>
      </w:r>
      <w:r>
        <w:rPr>
          <w:rFonts w:hint="eastAsia" w:ascii="宋体" w:hAnsi="宋体" w:eastAsia="宋体" w:cs="Times New Roman"/>
          <w:b/>
          <w:color w:val="0000FF"/>
          <w:sz w:val="21"/>
          <w:szCs w:val="21"/>
          <w:highlight w:val="none"/>
          <w:lang w:val="en-US" w:eastAsia="zh-CN"/>
        </w:rPr>
        <w:t>生活垃圾收集外运、</w:t>
      </w:r>
      <w:r>
        <w:rPr>
          <w:rFonts w:hint="eastAsia" w:ascii="宋体" w:hAnsi="宋体" w:eastAsia="宋体" w:cs="Times New Roman"/>
          <w:b/>
          <w:color w:val="auto"/>
          <w:sz w:val="21"/>
          <w:szCs w:val="21"/>
          <w:highlight w:val="none"/>
          <w:lang w:val="en-US" w:eastAsia="zh-CN"/>
        </w:rPr>
        <w:t>税费、利润、完成合同所需的所有工作开支费用以及合同包含的所有风险、责任等全部费用</w:t>
      </w:r>
    </w:p>
    <w:p w14:paraId="54C3E601">
      <w:pPr>
        <w:pStyle w:val="7"/>
        <w:ind w:left="0" w:leftChars="0" w:firstLine="0" w:firstLineChars="0"/>
        <w:rPr>
          <w:rFonts w:hint="eastAsia"/>
          <w:color w:val="auto"/>
          <w:highlight w:val="none"/>
        </w:rPr>
      </w:pPr>
    </w:p>
    <w:p w14:paraId="613B0CD2">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4C4AFE0">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0C783599">
      <w:pPr>
        <w:pStyle w:val="7"/>
        <w:keepNext w:val="0"/>
        <w:keepLines w:val="0"/>
        <w:pageBreakBefore w:val="0"/>
        <w:widowControl w:val="0"/>
        <w:kinsoku/>
        <w:wordWrap/>
        <w:overflowPunct/>
        <w:topLinePunct w:val="0"/>
        <w:autoSpaceDE/>
        <w:autoSpaceDN/>
        <w:bidi w:val="0"/>
        <w:adjustRightInd/>
        <w:snapToGrid/>
        <w:spacing w:after="0" w:afterLines="0" w:line="500" w:lineRule="exact"/>
        <w:ind w:firstLine="2160" w:firstLineChars="900"/>
        <w:jc w:val="both"/>
        <w:textAlignment w:val="auto"/>
        <w:rPr>
          <w:rFonts w:hint="eastAsia"/>
          <w:color w:val="auto"/>
          <w:highlight w:val="none"/>
          <w:u w:val="none"/>
        </w:rPr>
      </w:pPr>
      <w:r>
        <w:rPr>
          <w:rFonts w:hint="eastAsia" w:ascii="宋体" w:hAnsi="宋体" w:cs="宋体"/>
          <w:color w:val="auto"/>
          <w:sz w:val="24"/>
          <w:highlight w:val="none"/>
        </w:rPr>
        <w:t xml:space="preserve">日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期：</w:t>
      </w:r>
    </w:p>
    <w:p w14:paraId="7D1A729F">
      <w:pPr>
        <w:rPr>
          <w:rFonts w:hint="eastAsia"/>
          <w:color w:val="auto"/>
          <w:highlight w:val="none"/>
        </w:rPr>
      </w:pPr>
    </w:p>
    <w:p w14:paraId="134AF229">
      <w:pPr>
        <w:rPr>
          <w:rFonts w:hint="eastAsia" w:ascii="宋体" w:hAnsi="宋体"/>
          <w:b/>
          <w:color w:val="auto"/>
          <w:sz w:val="30"/>
          <w:szCs w:val="30"/>
          <w:highlight w:val="none"/>
        </w:rPr>
      </w:pPr>
    </w:p>
    <w:p w14:paraId="5B2A4907">
      <w:pPr>
        <w:outlineLvl w:val="1"/>
        <w:rPr>
          <w:rFonts w:hint="eastAsia" w:eastAsia="宋体"/>
          <w:color w:val="auto"/>
          <w:sz w:val="24"/>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4E8C0D3">
      <w:pPr>
        <w:spacing w:line="380" w:lineRule="exact"/>
        <w:ind w:firstLine="424" w:firstLineChars="202"/>
        <w:rPr>
          <w:rFonts w:hint="eastAsia" w:ascii="宋体"/>
          <w:color w:val="auto"/>
          <w:szCs w:val="21"/>
          <w:highlight w:val="none"/>
        </w:rPr>
      </w:pPr>
      <w:r>
        <w:rPr>
          <w:rFonts w:hint="eastAsia" w:ascii="宋体"/>
          <w:color w:val="auto"/>
          <w:szCs w:val="21"/>
          <w:highlight w:val="none"/>
        </w:rPr>
        <w:t>投标人认为需要提供的其他材料（如有）</w:t>
      </w:r>
    </w:p>
    <w:p w14:paraId="079B92E0">
      <w:pPr>
        <w:spacing w:line="440" w:lineRule="exact"/>
        <w:rPr>
          <w:rFonts w:ascii="宋体" w:hAnsi="宋体" w:cs="宋体"/>
          <w:color w:val="auto"/>
          <w:kern w:val="0"/>
          <w:sz w:val="24"/>
          <w:highlight w:val="none"/>
        </w:rPr>
      </w:pPr>
      <w:r>
        <w:rPr>
          <w:rFonts w:ascii="宋体" w:hAnsi="宋体" w:cs="宋体"/>
          <w:b/>
          <w:bCs/>
          <w:color w:val="auto"/>
          <w:kern w:val="0"/>
          <w:sz w:val="24"/>
          <w:highlight w:val="none"/>
        </w:rPr>
        <w:t> </w:t>
      </w:r>
    </w:p>
    <w:p w14:paraId="559B2CF2">
      <w:pPr>
        <w:pStyle w:val="7"/>
        <w:rPr>
          <w:color w:val="auto"/>
          <w:highlight w:val="none"/>
        </w:rPr>
      </w:pPr>
    </w:p>
    <w:p w14:paraId="7E1DB5B5">
      <w:pPr>
        <w:widowControl/>
        <w:spacing w:line="357" w:lineRule="atLeast"/>
        <w:rPr>
          <w:rFonts w:asciiTheme="majorEastAsia" w:hAnsiTheme="majorEastAsia" w:eastAsiaTheme="majorEastAsia" w:cstheme="majorEastAsia"/>
          <w:color w:val="auto"/>
          <w:sz w:val="20"/>
          <w:szCs w:val="20"/>
          <w:highlight w:val="none"/>
        </w:rPr>
      </w:pPr>
    </w:p>
    <w:p w14:paraId="67F044F4">
      <w:pPr>
        <w:rPr>
          <w:rFonts w:asciiTheme="majorEastAsia" w:hAnsiTheme="majorEastAsia" w:eastAsiaTheme="majorEastAsia" w:cstheme="majorEastAsia"/>
          <w:b/>
          <w:color w:val="auto"/>
          <w:sz w:val="32"/>
          <w:szCs w:val="32"/>
          <w:highlight w:val="none"/>
        </w:rPr>
      </w:pPr>
      <w:bookmarkStart w:id="102" w:name="_Toc6275_WPSOffice_Level1"/>
      <w:bookmarkEnd w:id="102"/>
      <w:r>
        <w:rPr>
          <w:rFonts w:hint="eastAsia" w:asciiTheme="majorEastAsia" w:hAnsiTheme="majorEastAsia" w:eastAsiaTheme="majorEastAsia" w:cstheme="majorEastAsia"/>
          <w:b/>
          <w:color w:val="auto"/>
          <w:sz w:val="32"/>
          <w:szCs w:val="32"/>
          <w:highlight w:val="none"/>
        </w:rPr>
        <w:br w:type="page"/>
      </w:r>
    </w:p>
    <w:p w14:paraId="02A260DB">
      <w:pPr>
        <w:pStyle w:val="23"/>
        <w:spacing w:beforeAutospacing="0" w:afterAutospacing="0" w:line="375" w:lineRule="atLeast"/>
        <w:jc w:val="center"/>
        <w:outlineLvl w:val="0"/>
        <w:rPr>
          <w:rFonts w:hint="default" w:asciiTheme="majorEastAsia" w:hAnsiTheme="majorEastAsia" w:eastAsiaTheme="majorEastAsia" w:cstheme="majorEastAsia"/>
          <w:b/>
          <w:color w:val="auto"/>
          <w:sz w:val="32"/>
          <w:szCs w:val="32"/>
          <w:highlight w:val="none"/>
        </w:rPr>
      </w:pPr>
      <w:r>
        <w:rPr>
          <w:rFonts w:asciiTheme="majorEastAsia" w:hAnsiTheme="majorEastAsia" w:eastAsiaTheme="majorEastAsia" w:cstheme="majorEastAsia"/>
          <w:b/>
          <w:color w:val="auto"/>
          <w:sz w:val="32"/>
          <w:szCs w:val="32"/>
          <w:highlight w:val="none"/>
        </w:rPr>
        <w:t>第八章   招标人、招标代理机构对本招标文件的确认</w:t>
      </w:r>
    </w:p>
    <w:tbl>
      <w:tblPr>
        <w:tblStyle w:val="25"/>
        <w:tblW w:w="8554" w:type="dxa"/>
        <w:tblInd w:w="288" w:type="dxa"/>
        <w:tblLayout w:type="fixed"/>
        <w:tblCellMar>
          <w:top w:w="0" w:type="dxa"/>
          <w:left w:w="108" w:type="dxa"/>
          <w:bottom w:w="0" w:type="dxa"/>
          <w:right w:w="108" w:type="dxa"/>
        </w:tblCellMar>
      </w:tblPr>
      <w:tblGrid>
        <w:gridCol w:w="8554"/>
      </w:tblGrid>
      <w:tr w14:paraId="509671FF">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126122A">
            <w:pPr>
              <w:spacing w:line="440" w:lineRule="exact"/>
              <w:ind w:firstLine="560" w:firstLineChars="200"/>
              <w:rPr>
                <w:rFonts w:hint="eastAsia" w:ascii="宋体" w:cs="宋体"/>
                <w:color w:val="auto"/>
                <w:sz w:val="28"/>
                <w:szCs w:val="28"/>
                <w:highlight w:val="none"/>
              </w:rPr>
            </w:pPr>
          </w:p>
          <w:p w14:paraId="2BFF0661">
            <w:pPr>
              <w:spacing w:after="156" w:afterLines="5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eastAsia="zh-CN"/>
              </w:rPr>
              <w:t>滁州工投企业服务有限公司管理施工工地物业服务外包项目</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3385FEA5">
            <w:pPr>
              <w:spacing w:line="54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val="en-US" w:eastAsia="zh-CN"/>
              </w:rPr>
              <w:t>滁州工投企业服务有限公司</w:t>
            </w:r>
          </w:p>
          <w:p w14:paraId="1666ED05">
            <w:pPr>
              <w:spacing w:line="540" w:lineRule="exact"/>
              <w:ind w:firstLine="560" w:firstLineChars="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委托代理人：</w:t>
            </w:r>
            <w:r>
              <w:rPr>
                <w:rFonts w:hint="eastAsia" w:ascii="宋体" w:cs="宋体"/>
                <w:color w:val="auto"/>
                <w:sz w:val="28"/>
                <w:szCs w:val="28"/>
                <w:highlight w:val="none"/>
                <w:lang w:val="en-US" w:eastAsia="zh-CN"/>
              </w:rPr>
              <w:t>王昊</w:t>
            </w:r>
          </w:p>
          <w:p w14:paraId="39AAB2D4">
            <w:pPr>
              <w:spacing w:line="540" w:lineRule="exact"/>
              <w:ind w:firstLine="560" w:firstLineChars="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15556335448</w:t>
            </w:r>
          </w:p>
          <w:p w14:paraId="72655CF8">
            <w:pPr>
              <w:spacing w:line="540" w:lineRule="exact"/>
              <w:ind w:firstLine="7140" w:firstLineChars="2550"/>
              <w:jc w:val="center"/>
              <w:rPr>
                <w:rFonts w:hint="eastAsia" w:ascii="宋体" w:cs="宋体"/>
                <w:color w:val="auto"/>
                <w:sz w:val="28"/>
                <w:szCs w:val="28"/>
                <w:highlight w:val="none"/>
              </w:rPr>
            </w:pPr>
          </w:p>
          <w:p w14:paraId="792E675B">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C6B0BE3">
            <w:pPr>
              <w:spacing w:line="540" w:lineRule="exact"/>
              <w:jc w:val="right"/>
              <w:rPr>
                <w:rFonts w:hint="eastAsia" w:asciiTheme="majorEastAsia" w:hAnsiTheme="majorEastAsia" w:eastAsiaTheme="majorEastAsia" w:cstheme="majorEastAsia"/>
                <w:color w:val="auto"/>
                <w:sz w:val="28"/>
                <w:szCs w:val="28"/>
                <w:highlight w:val="none"/>
                <w:lang w:eastAsia="zh-CN"/>
              </w:rPr>
            </w:pPr>
            <w:r>
              <w:rPr>
                <w:rFonts w:hint="eastAsia" w:ascii="宋体" w:cs="宋体" w:eastAsiaTheme="majorEastAsia"/>
                <w:color w:val="auto"/>
                <w:sz w:val="28"/>
                <w:szCs w:val="28"/>
                <w:highlight w:val="none"/>
                <w:lang w:eastAsia="zh-CN"/>
              </w:rPr>
              <w:t>2026年8月</w:t>
            </w:r>
          </w:p>
        </w:tc>
      </w:tr>
      <w:tr w14:paraId="0EC76D1F">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31A9CF46">
            <w:pPr>
              <w:spacing w:line="440" w:lineRule="exact"/>
              <w:rPr>
                <w:rFonts w:hint="eastAsia" w:ascii="宋体" w:cs="宋体"/>
                <w:color w:val="auto"/>
                <w:sz w:val="28"/>
                <w:szCs w:val="28"/>
                <w:highlight w:val="none"/>
              </w:rPr>
            </w:pPr>
          </w:p>
          <w:p w14:paraId="2412F2EE">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61184E9D">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经办人：</w:t>
            </w:r>
            <w:r>
              <w:rPr>
                <w:rFonts w:hint="eastAsia" w:ascii="宋体" w:cs="宋体"/>
                <w:color w:val="auto"/>
                <w:sz w:val="28"/>
                <w:szCs w:val="28"/>
                <w:highlight w:val="none"/>
                <w:lang w:eastAsia="zh-CN"/>
              </w:rPr>
              <w:t>曹思敏</w:t>
            </w:r>
          </w:p>
          <w:p w14:paraId="18AD554E">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电  话：</w:t>
            </w:r>
            <w:r>
              <w:rPr>
                <w:rFonts w:hint="eastAsia" w:ascii="宋体" w:cs="宋体"/>
                <w:color w:val="auto"/>
                <w:sz w:val="28"/>
                <w:szCs w:val="28"/>
                <w:highlight w:val="none"/>
                <w:lang w:eastAsia="zh-CN"/>
              </w:rPr>
              <w:t>0550-35195</w:t>
            </w:r>
            <w:r>
              <w:rPr>
                <w:rFonts w:hint="eastAsia" w:ascii="宋体" w:cs="宋体"/>
                <w:color w:val="auto"/>
                <w:sz w:val="28"/>
                <w:szCs w:val="28"/>
                <w:highlight w:val="none"/>
                <w:lang w:val="en-US" w:eastAsia="zh-CN"/>
              </w:rPr>
              <w:t>16、</w:t>
            </w:r>
            <w:r>
              <w:rPr>
                <w:rFonts w:hint="eastAsia" w:ascii="宋体" w:cs="宋体"/>
                <w:color w:val="auto"/>
                <w:sz w:val="28"/>
                <w:szCs w:val="28"/>
                <w:highlight w:val="none"/>
                <w:lang w:eastAsia="zh-CN"/>
              </w:rPr>
              <w:t>18712012204</w:t>
            </w:r>
          </w:p>
          <w:p w14:paraId="0A93CB8F">
            <w:pPr>
              <w:spacing w:line="520" w:lineRule="exact"/>
              <w:ind w:firstLine="6300" w:firstLineChars="2250"/>
              <w:rPr>
                <w:rFonts w:hint="eastAsia" w:ascii="宋体" w:cs="宋体"/>
                <w:color w:val="auto"/>
                <w:sz w:val="28"/>
                <w:szCs w:val="28"/>
                <w:highlight w:val="none"/>
              </w:rPr>
            </w:pPr>
          </w:p>
          <w:p w14:paraId="14FC86E4">
            <w:pPr>
              <w:pStyle w:val="7"/>
              <w:rPr>
                <w:rFonts w:hint="eastAsia"/>
                <w:color w:val="auto"/>
                <w:kern w:val="2"/>
                <w:sz w:val="21"/>
                <w:szCs w:val="24"/>
                <w:highlight w:val="none"/>
              </w:rPr>
            </w:pPr>
          </w:p>
          <w:p w14:paraId="17345486">
            <w:pPr>
              <w:spacing w:line="520" w:lineRule="exact"/>
              <w:ind w:firstLine="6580" w:firstLineChars="2350"/>
              <w:rPr>
                <w:rFonts w:hint="eastAsia" w:ascii="宋体" w:cs="宋体"/>
                <w:color w:val="auto"/>
                <w:sz w:val="28"/>
                <w:szCs w:val="28"/>
                <w:highlight w:val="none"/>
              </w:rPr>
            </w:pPr>
          </w:p>
          <w:p w14:paraId="74DF5F5A">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293632E">
            <w:pPr>
              <w:spacing w:line="540" w:lineRule="exact"/>
              <w:jc w:val="right"/>
              <w:rPr>
                <w:rFonts w:hint="eastAsia" w:asciiTheme="majorEastAsia" w:hAnsiTheme="majorEastAsia" w:eastAsiaTheme="majorEastAsia" w:cstheme="majorEastAsia"/>
                <w:color w:val="auto"/>
                <w:sz w:val="28"/>
                <w:szCs w:val="28"/>
                <w:highlight w:val="none"/>
                <w:lang w:eastAsia="zh-CN"/>
              </w:rPr>
            </w:pPr>
            <w:r>
              <w:rPr>
                <w:rFonts w:hint="eastAsia" w:ascii="宋体" w:cs="宋体" w:eastAsiaTheme="majorEastAsia"/>
                <w:color w:val="auto"/>
                <w:sz w:val="28"/>
                <w:szCs w:val="28"/>
                <w:highlight w:val="none"/>
                <w:lang w:eastAsia="zh-CN"/>
              </w:rPr>
              <w:t>2026年8月</w:t>
            </w:r>
          </w:p>
        </w:tc>
      </w:tr>
    </w:tbl>
    <w:p w14:paraId="1E956306">
      <w:pPr>
        <w:rPr>
          <w:rFonts w:asciiTheme="majorEastAsia" w:hAnsiTheme="majorEastAsia" w:eastAsiaTheme="majorEastAsia" w:cstheme="majorEastAsia"/>
          <w:color w:val="auto"/>
          <w:highlight w:val="none"/>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AC920">
    <w:pPr>
      <w:pStyle w:val="18"/>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20322">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EC20322">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124F">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ADCE1">
                          <w:pPr>
                            <w:pStyle w:val="1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7ADCE1">
                    <w:pPr>
                      <w:pStyle w:val="1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54991">
    <w:pPr>
      <w:pStyle w:val="19"/>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FE622913"/>
    <w:multiLevelType w:val="singleLevel"/>
    <w:tmpl w:val="FE622913"/>
    <w:lvl w:ilvl="0" w:tentative="0">
      <w:start w:val="5"/>
      <w:numFmt w:val="chineseCounting"/>
      <w:suff w:val="nothing"/>
      <w:lvlText w:val="%1、"/>
      <w:lvlJc w:val="left"/>
      <w:rPr>
        <w:rFonts w:hint="eastAsia"/>
      </w:rPr>
    </w:lvl>
  </w:abstractNum>
  <w:abstractNum w:abstractNumId="2">
    <w:nsid w:val="23A1DDC5"/>
    <w:multiLevelType w:val="singleLevel"/>
    <w:tmpl w:val="23A1DDC5"/>
    <w:lvl w:ilvl="0" w:tentative="0">
      <w:start w:val="1"/>
      <w:numFmt w:val="chineseCounting"/>
      <w:suff w:val="nothing"/>
      <w:lvlText w:val="（%1）"/>
      <w:lvlJc w:val="left"/>
      <w:rPr>
        <w:rFonts w:hint="eastAsia"/>
      </w:rPr>
    </w:lvl>
  </w:abstractNum>
  <w:abstractNum w:abstractNumId="3">
    <w:nsid w:val="6FBF3256"/>
    <w:multiLevelType w:val="multilevel"/>
    <w:tmpl w:val="6FBF3256"/>
    <w:lvl w:ilvl="0" w:tentative="0">
      <w:start w:val="1"/>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E4A495E"/>
    <w:multiLevelType w:val="singleLevel"/>
    <w:tmpl w:val="7E4A495E"/>
    <w:lvl w:ilvl="0" w:tentative="0">
      <w:start w:val="5"/>
      <w:numFmt w:val="chineseCounting"/>
      <w:suff w:val="space"/>
      <w:lvlText w:val="第%1章"/>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0ZWM2N2ZiNzgxZDlkOGI3YmNjYjQ2ODI1NGIxMWEifQ=="/>
  </w:docVars>
  <w:rsids>
    <w:rsidRoot w:val="440F4D94"/>
    <w:rsid w:val="001278CA"/>
    <w:rsid w:val="00191AC6"/>
    <w:rsid w:val="00215DD1"/>
    <w:rsid w:val="00254F18"/>
    <w:rsid w:val="0035357E"/>
    <w:rsid w:val="003D6A8F"/>
    <w:rsid w:val="00477B59"/>
    <w:rsid w:val="00497627"/>
    <w:rsid w:val="0053254C"/>
    <w:rsid w:val="00563AB8"/>
    <w:rsid w:val="005F6229"/>
    <w:rsid w:val="007649A7"/>
    <w:rsid w:val="00774DF4"/>
    <w:rsid w:val="007A3E07"/>
    <w:rsid w:val="00814934"/>
    <w:rsid w:val="009220AA"/>
    <w:rsid w:val="009458C5"/>
    <w:rsid w:val="00950983"/>
    <w:rsid w:val="009C0878"/>
    <w:rsid w:val="009F5848"/>
    <w:rsid w:val="00A53472"/>
    <w:rsid w:val="00AE40C7"/>
    <w:rsid w:val="00C50B26"/>
    <w:rsid w:val="00CF79B1"/>
    <w:rsid w:val="00D1434D"/>
    <w:rsid w:val="00D73F18"/>
    <w:rsid w:val="00D823F2"/>
    <w:rsid w:val="00DF5DD9"/>
    <w:rsid w:val="00E65463"/>
    <w:rsid w:val="00E81111"/>
    <w:rsid w:val="00E8756E"/>
    <w:rsid w:val="00E97C83"/>
    <w:rsid w:val="00F8044F"/>
    <w:rsid w:val="015801B6"/>
    <w:rsid w:val="019452C6"/>
    <w:rsid w:val="01D118B5"/>
    <w:rsid w:val="01E872A1"/>
    <w:rsid w:val="01F1594A"/>
    <w:rsid w:val="02E76A60"/>
    <w:rsid w:val="032031D0"/>
    <w:rsid w:val="032B6341"/>
    <w:rsid w:val="033B5616"/>
    <w:rsid w:val="05026925"/>
    <w:rsid w:val="054642EE"/>
    <w:rsid w:val="059E36F3"/>
    <w:rsid w:val="05A818A3"/>
    <w:rsid w:val="06222576"/>
    <w:rsid w:val="06D54ED0"/>
    <w:rsid w:val="0733430F"/>
    <w:rsid w:val="07774E2B"/>
    <w:rsid w:val="07C425FF"/>
    <w:rsid w:val="07CC2D2C"/>
    <w:rsid w:val="07E07FF3"/>
    <w:rsid w:val="08E8254D"/>
    <w:rsid w:val="09D71F94"/>
    <w:rsid w:val="0A3208AE"/>
    <w:rsid w:val="0A9126E0"/>
    <w:rsid w:val="0AFF501E"/>
    <w:rsid w:val="0B286E8D"/>
    <w:rsid w:val="0BB17EDE"/>
    <w:rsid w:val="0BB97912"/>
    <w:rsid w:val="0C6408D3"/>
    <w:rsid w:val="0CEF01A1"/>
    <w:rsid w:val="0D027CEC"/>
    <w:rsid w:val="0D4228C9"/>
    <w:rsid w:val="0D9E6986"/>
    <w:rsid w:val="0DBA7538"/>
    <w:rsid w:val="0EBB3464"/>
    <w:rsid w:val="0EC559EB"/>
    <w:rsid w:val="0F00541F"/>
    <w:rsid w:val="0F5A3543"/>
    <w:rsid w:val="0F7A2ADB"/>
    <w:rsid w:val="101C4945"/>
    <w:rsid w:val="108A2BE9"/>
    <w:rsid w:val="11273F56"/>
    <w:rsid w:val="11795E61"/>
    <w:rsid w:val="12431559"/>
    <w:rsid w:val="13BA1693"/>
    <w:rsid w:val="13D87196"/>
    <w:rsid w:val="1404150D"/>
    <w:rsid w:val="14240424"/>
    <w:rsid w:val="14334ED5"/>
    <w:rsid w:val="14B12EA3"/>
    <w:rsid w:val="14DF1632"/>
    <w:rsid w:val="14F40980"/>
    <w:rsid w:val="156D5A04"/>
    <w:rsid w:val="162403C8"/>
    <w:rsid w:val="18C65B97"/>
    <w:rsid w:val="19472437"/>
    <w:rsid w:val="19A24EC3"/>
    <w:rsid w:val="19B04300"/>
    <w:rsid w:val="1A274AC9"/>
    <w:rsid w:val="1A2C0203"/>
    <w:rsid w:val="1A7A2730"/>
    <w:rsid w:val="1A903BBD"/>
    <w:rsid w:val="1B0B6A26"/>
    <w:rsid w:val="1B5468D6"/>
    <w:rsid w:val="1B7E3953"/>
    <w:rsid w:val="1BBE249A"/>
    <w:rsid w:val="1BC65E20"/>
    <w:rsid w:val="1C67332C"/>
    <w:rsid w:val="1CD81BA2"/>
    <w:rsid w:val="1CF617FA"/>
    <w:rsid w:val="1DD7722D"/>
    <w:rsid w:val="1E474369"/>
    <w:rsid w:val="1E767AD1"/>
    <w:rsid w:val="1ECF44C6"/>
    <w:rsid w:val="1EF62CA5"/>
    <w:rsid w:val="1FBE5586"/>
    <w:rsid w:val="2035457B"/>
    <w:rsid w:val="204506D8"/>
    <w:rsid w:val="204F36D5"/>
    <w:rsid w:val="20B327AC"/>
    <w:rsid w:val="20DE3A7A"/>
    <w:rsid w:val="20F63292"/>
    <w:rsid w:val="21391D2B"/>
    <w:rsid w:val="21FC6157"/>
    <w:rsid w:val="222D5B93"/>
    <w:rsid w:val="223B79D6"/>
    <w:rsid w:val="22D532AE"/>
    <w:rsid w:val="22FF181D"/>
    <w:rsid w:val="239955A4"/>
    <w:rsid w:val="253813EE"/>
    <w:rsid w:val="258B1255"/>
    <w:rsid w:val="259C5338"/>
    <w:rsid w:val="265A01EA"/>
    <w:rsid w:val="27427F5F"/>
    <w:rsid w:val="278542BB"/>
    <w:rsid w:val="283A0B22"/>
    <w:rsid w:val="287E4991"/>
    <w:rsid w:val="2A1C25CC"/>
    <w:rsid w:val="2A68414C"/>
    <w:rsid w:val="2D0363AE"/>
    <w:rsid w:val="2D574004"/>
    <w:rsid w:val="2D937732"/>
    <w:rsid w:val="2DEA131C"/>
    <w:rsid w:val="2E0B6A2C"/>
    <w:rsid w:val="2E42138D"/>
    <w:rsid w:val="2F171C9D"/>
    <w:rsid w:val="31830302"/>
    <w:rsid w:val="32013042"/>
    <w:rsid w:val="32182C88"/>
    <w:rsid w:val="323852C9"/>
    <w:rsid w:val="326F45EB"/>
    <w:rsid w:val="3278635D"/>
    <w:rsid w:val="32812567"/>
    <w:rsid w:val="3310712F"/>
    <w:rsid w:val="337604AB"/>
    <w:rsid w:val="33F942A2"/>
    <w:rsid w:val="344F5EC1"/>
    <w:rsid w:val="34D06BE1"/>
    <w:rsid w:val="36F154C9"/>
    <w:rsid w:val="374F5419"/>
    <w:rsid w:val="37AD0351"/>
    <w:rsid w:val="37F42885"/>
    <w:rsid w:val="38141FF1"/>
    <w:rsid w:val="386131E4"/>
    <w:rsid w:val="39A81897"/>
    <w:rsid w:val="3C687FDC"/>
    <w:rsid w:val="3CFF3CA7"/>
    <w:rsid w:val="3D0F0D16"/>
    <w:rsid w:val="3D7F110E"/>
    <w:rsid w:val="3D8B68BD"/>
    <w:rsid w:val="3EF43DA9"/>
    <w:rsid w:val="3F0D0952"/>
    <w:rsid w:val="3F3A5217"/>
    <w:rsid w:val="3FB84DD6"/>
    <w:rsid w:val="3FDC1609"/>
    <w:rsid w:val="40585B1F"/>
    <w:rsid w:val="40E262C9"/>
    <w:rsid w:val="416A2100"/>
    <w:rsid w:val="419A509B"/>
    <w:rsid w:val="41A113DC"/>
    <w:rsid w:val="41C76417"/>
    <w:rsid w:val="41ED1471"/>
    <w:rsid w:val="42AB7679"/>
    <w:rsid w:val="42F926AD"/>
    <w:rsid w:val="42F933B2"/>
    <w:rsid w:val="43843A68"/>
    <w:rsid w:val="43E358A1"/>
    <w:rsid w:val="43E3619A"/>
    <w:rsid w:val="440F4D94"/>
    <w:rsid w:val="44121234"/>
    <w:rsid w:val="444C1099"/>
    <w:rsid w:val="45132EF4"/>
    <w:rsid w:val="45602117"/>
    <w:rsid w:val="45ED50AE"/>
    <w:rsid w:val="46501639"/>
    <w:rsid w:val="46A9191C"/>
    <w:rsid w:val="46BB2C64"/>
    <w:rsid w:val="4740402F"/>
    <w:rsid w:val="474318BA"/>
    <w:rsid w:val="47DC16A5"/>
    <w:rsid w:val="491938C4"/>
    <w:rsid w:val="49560276"/>
    <w:rsid w:val="49CF51F6"/>
    <w:rsid w:val="4AC00FE3"/>
    <w:rsid w:val="4B8A2C90"/>
    <w:rsid w:val="4C1F3CB2"/>
    <w:rsid w:val="4C3857CB"/>
    <w:rsid w:val="4C8A18C5"/>
    <w:rsid w:val="4CA11390"/>
    <w:rsid w:val="4EC8490A"/>
    <w:rsid w:val="4F522371"/>
    <w:rsid w:val="4FA1515E"/>
    <w:rsid w:val="4FF40E35"/>
    <w:rsid w:val="510E11AC"/>
    <w:rsid w:val="5190705D"/>
    <w:rsid w:val="51C3302A"/>
    <w:rsid w:val="51DD247A"/>
    <w:rsid w:val="51EE0E17"/>
    <w:rsid w:val="529A7C24"/>
    <w:rsid w:val="536D4E93"/>
    <w:rsid w:val="53B65679"/>
    <w:rsid w:val="5523352E"/>
    <w:rsid w:val="562B40FC"/>
    <w:rsid w:val="56EF4104"/>
    <w:rsid w:val="574C062F"/>
    <w:rsid w:val="579C48DF"/>
    <w:rsid w:val="57D3727A"/>
    <w:rsid w:val="58387F0B"/>
    <w:rsid w:val="58EC3CC6"/>
    <w:rsid w:val="59783AD0"/>
    <w:rsid w:val="5AA91A93"/>
    <w:rsid w:val="5AB972A9"/>
    <w:rsid w:val="5AC41FE9"/>
    <w:rsid w:val="5BC6051C"/>
    <w:rsid w:val="5BEE0E8A"/>
    <w:rsid w:val="5CB20421"/>
    <w:rsid w:val="5D2B5019"/>
    <w:rsid w:val="5D7002D3"/>
    <w:rsid w:val="5DFE3E44"/>
    <w:rsid w:val="5E263388"/>
    <w:rsid w:val="5E495730"/>
    <w:rsid w:val="5E5E6654"/>
    <w:rsid w:val="5F0A1BB0"/>
    <w:rsid w:val="5FB60F31"/>
    <w:rsid w:val="5FC66C44"/>
    <w:rsid w:val="604D11B9"/>
    <w:rsid w:val="611E1EFE"/>
    <w:rsid w:val="614F38C7"/>
    <w:rsid w:val="61AB00FF"/>
    <w:rsid w:val="62446173"/>
    <w:rsid w:val="62C47C43"/>
    <w:rsid w:val="6509245E"/>
    <w:rsid w:val="6626043C"/>
    <w:rsid w:val="668A652A"/>
    <w:rsid w:val="66F135E8"/>
    <w:rsid w:val="672152A7"/>
    <w:rsid w:val="674A63AC"/>
    <w:rsid w:val="67DC5256"/>
    <w:rsid w:val="681C5653"/>
    <w:rsid w:val="68715574"/>
    <w:rsid w:val="687A1374"/>
    <w:rsid w:val="697C7043"/>
    <w:rsid w:val="699368D6"/>
    <w:rsid w:val="6EA934B6"/>
    <w:rsid w:val="706E041E"/>
    <w:rsid w:val="70C02467"/>
    <w:rsid w:val="722F578A"/>
    <w:rsid w:val="72A03324"/>
    <w:rsid w:val="739B6F6A"/>
    <w:rsid w:val="741C4DD8"/>
    <w:rsid w:val="746B63CF"/>
    <w:rsid w:val="746C0AE0"/>
    <w:rsid w:val="74AB263E"/>
    <w:rsid w:val="74C85615"/>
    <w:rsid w:val="75843174"/>
    <w:rsid w:val="760F0C92"/>
    <w:rsid w:val="76B7003F"/>
    <w:rsid w:val="777728A5"/>
    <w:rsid w:val="77816F5B"/>
    <w:rsid w:val="77BDBDB6"/>
    <w:rsid w:val="78C3318D"/>
    <w:rsid w:val="78CC2324"/>
    <w:rsid w:val="78D12489"/>
    <w:rsid w:val="78DD5A24"/>
    <w:rsid w:val="79757E4E"/>
    <w:rsid w:val="79D63AE0"/>
    <w:rsid w:val="7A2A6204"/>
    <w:rsid w:val="7A376ADB"/>
    <w:rsid w:val="7AF5326F"/>
    <w:rsid w:val="7B5D7ABB"/>
    <w:rsid w:val="7BFE44E8"/>
    <w:rsid w:val="7CBC6927"/>
    <w:rsid w:val="7D256A57"/>
    <w:rsid w:val="7D5C22EA"/>
    <w:rsid w:val="7DB00B43"/>
    <w:rsid w:val="7DC425BD"/>
    <w:rsid w:val="7DF21006"/>
    <w:rsid w:val="7E8D57A7"/>
    <w:rsid w:val="7FCC035D"/>
    <w:rsid w:val="FFB90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41"/>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paragraph" w:styleId="3">
    <w:name w:val="heading 3"/>
    <w:basedOn w:val="1"/>
    <w:next w:val="1"/>
    <w:autoRedefine/>
    <w:qFormat/>
    <w:uiPriority w:val="0"/>
    <w:pPr>
      <w:keepNext/>
      <w:keepLines/>
      <w:outlineLvl w:val="2"/>
    </w:pPr>
    <w:rPr>
      <w:kern w:val="0"/>
      <w:sz w:val="28"/>
      <w:szCs w:val="20"/>
    </w:rPr>
  </w:style>
  <w:style w:type="paragraph" w:styleId="4">
    <w:name w:val="heading 4"/>
    <w:basedOn w:val="1"/>
    <w:next w:val="1"/>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39"/>
    <w:pPr>
      <w:ind w:left="1260"/>
      <w:jc w:val="left"/>
    </w:pPr>
    <w:rPr>
      <w:sz w:val="18"/>
      <w:szCs w:val="18"/>
    </w:rPr>
  </w:style>
  <w:style w:type="paragraph" w:styleId="6">
    <w:name w:val="Normal Indent"/>
    <w:basedOn w:val="1"/>
    <w:next w:val="7"/>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7">
    <w:name w:val="Body Text First Indent 2"/>
    <w:basedOn w:val="8"/>
    <w:next w:val="10"/>
    <w:link w:val="48"/>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8">
    <w:name w:val="Body Text Indent"/>
    <w:basedOn w:val="1"/>
    <w:next w:val="9"/>
    <w:link w:val="47"/>
    <w:autoRedefine/>
    <w:qFormat/>
    <w:uiPriority w:val="0"/>
    <w:pPr>
      <w:spacing w:after="120"/>
      <w:ind w:left="420" w:leftChars="200"/>
    </w:pPr>
  </w:style>
  <w:style w:type="paragraph" w:styleId="9">
    <w:name w:val="envelope return"/>
    <w:basedOn w:val="1"/>
    <w:autoRedefine/>
    <w:qFormat/>
    <w:uiPriority w:val="0"/>
    <w:pPr>
      <w:snapToGrid w:val="0"/>
    </w:pPr>
    <w:rPr>
      <w:rFonts w:ascii="Arial" w:hAnsi="Arial"/>
    </w:rPr>
  </w:style>
  <w:style w:type="paragraph" w:styleId="10">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Body Text"/>
    <w:basedOn w:val="1"/>
    <w:autoRedefine/>
    <w:qFormat/>
    <w:uiPriority w:val="0"/>
    <w:pPr>
      <w:snapToGrid w:val="0"/>
      <w:spacing w:line="360" w:lineRule="auto"/>
    </w:pPr>
    <w:rPr>
      <w:rFonts w:ascii="Arial" w:hAnsi="Arial" w:eastAsia="仿宋_GB2312"/>
      <w:sz w:val="31"/>
    </w:rPr>
  </w:style>
  <w:style w:type="paragraph" w:styleId="14">
    <w:name w:val="toc 3"/>
    <w:basedOn w:val="1"/>
    <w:next w:val="1"/>
    <w:autoRedefine/>
    <w:qFormat/>
    <w:uiPriority w:val="39"/>
    <w:pPr>
      <w:jc w:val="left"/>
    </w:pPr>
    <w:rPr>
      <w:rFonts w:ascii="Calibri" w:hAnsi="Calibri"/>
      <w:smallCaps/>
      <w:sz w:val="22"/>
      <w:szCs w:val="22"/>
    </w:rPr>
  </w:style>
  <w:style w:type="paragraph" w:styleId="15">
    <w:name w:val="Plain Text"/>
    <w:basedOn w:val="1"/>
    <w:link w:val="50"/>
    <w:autoRedefine/>
    <w:qFormat/>
    <w:uiPriority w:val="0"/>
    <w:rPr>
      <w:rFonts w:hint="eastAsia" w:ascii="宋体" w:hAnsi="宋体" w:eastAsia="宋体" w:cs="Times New Roman"/>
      <w:szCs w:val="21"/>
    </w:rPr>
  </w:style>
  <w:style w:type="paragraph" w:styleId="16">
    <w:name w:val="Date"/>
    <w:basedOn w:val="1"/>
    <w:next w:val="1"/>
    <w:link w:val="49"/>
    <w:autoRedefine/>
    <w:qFormat/>
    <w:uiPriority w:val="0"/>
    <w:rPr>
      <w:rFonts w:ascii="Arial" w:hAnsi="Arial" w:eastAsia="仿宋_GB2312" w:cs="Times New Roman"/>
      <w:color w:val="000000"/>
      <w:sz w:val="32"/>
      <w:szCs w:val="32"/>
      <w:u w:color="000000"/>
    </w:rPr>
  </w:style>
  <w:style w:type="paragraph" w:styleId="17">
    <w:name w:val="Body Text Indent 2"/>
    <w:basedOn w:val="1"/>
    <w:next w:val="1"/>
    <w:qFormat/>
    <w:uiPriority w:val="0"/>
    <w:pPr>
      <w:spacing w:line="360" w:lineRule="exact"/>
      <w:ind w:firstLine="600" w:firstLineChars="250"/>
      <w:jc w:val="left"/>
    </w:pPr>
    <w:rPr>
      <w:sz w:val="24"/>
    </w:rPr>
  </w:style>
  <w:style w:type="paragraph" w:styleId="18">
    <w:name w:val="footer"/>
    <w:basedOn w:val="1"/>
    <w:link w:val="43"/>
    <w:autoRedefine/>
    <w:qFormat/>
    <w:uiPriority w:val="0"/>
    <w:pPr>
      <w:tabs>
        <w:tab w:val="center" w:pos="4153"/>
        <w:tab w:val="right" w:pos="8306"/>
      </w:tabs>
      <w:snapToGrid w:val="0"/>
      <w:jc w:val="left"/>
    </w:pPr>
    <w:rPr>
      <w:sz w:val="18"/>
    </w:rPr>
  </w:style>
  <w:style w:type="paragraph" w:styleId="19">
    <w:name w:val="header"/>
    <w:basedOn w:val="1"/>
    <w:link w:val="4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autoRedefine/>
    <w:qFormat/>
    <w:uiPriority w:val="39"/>
    <w:pPr>
      <w:spacing w:before="120" w:after="120"/>
      <w:jc w:val="left"/>
    </w:pPr>
    <w:rPr>
      <w:b/>
      <w:bCs/>
      <w:caps/>
      <w:sz w:val="20"/>
    </w:rPr>
  </w:style>
  <w:style w:type="paragraph" w:styleId="21">
    <w:name w:val="footnote text"/>
    <w:basedOn w:val="1"/>
    <w:autoRedefine/>
    <w:semiHidden/>
    <w:unhideWhenUsed/>
    <w:qFormat/>
    <w:uiPriority w:val="99"/>
    <w:pPr>
      <w:snapToGrid w:val="0"/>
      <w:jc w:val="left"/>
    </w:pPr>
    <w:rPr>
      <w:sz w:val="18"/>
    </w:rPr>
  </w:style>
  <w:style w:type="paragraph" w:styleId="22">
    <w:name w:val="Body Text 2"/>
    <w:basedOn w:val="1"/>
    <w:autoRedefine/>
    <w:qFormat/>
    <w:uiPriority w:val="0"/>
    <w:rPr>
      <w:kern w:val="0"/>
      <w:sz w:val="24"/>
    </w:rPr>
  </w:style>
  <w:style w:type="paragraph" w:styleId="23">
    <w:name w:val="Normal (Web)"/>
    <w:basedOn w:val="1"/>
    <w:next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24">
    <w:name w:val="Body Text First Indent"/>
    <w:basedOn w:val="13"/>
    <w:autoRedefine/>
    <w:qFormat/>
    <w:uiPriority w:val="0"/>
    <w:pPr>
      <w:spacing w:after="120" w:line="240" w:lineRule="auto"/>
      <w:ind w:firstLine="420" w:firstLineChars="100"/>
    </w:p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bCs/>
    </w:rPr>
  </w:style>
  <w:style w:type="character" w:styleId="29">
    <w:name w:val="FollowedHyperlink"/>
    <w:basedOn w:val="27"/>
    <w:qFormat/>
    <w:uiPriority w:val="0"/>
    <w:rPr>
      <w:color w:val="800080"/>
      <w:u w:val="none"/>
    </w:rPr>
  </w:style>
  <w:style w:type="character" w:styleId="30">
    <w:name w:val="Emphasis"/>
    <w:basedOn w:val="27"/>
    <w:qFormat/>
    <w:uiPriority w:val="0"/>
    <w:rPr>
      <w:b/>
      <w:bCs/>
    </w:rPr>
  </w:style>
  <w:style w:type="character" w:styleId="31">
    <w:name w:val="HTML Definition"/>
    <w:basedOn w:val="27"/>
    <w:qFormat/>
    <w:uiPriority w:val="0"/>
  </w:style>
  <w:style w:type="character" w:styleId="32">
    <w:name w:val="HTML Typewriter"/>
    <w:basedOn w:val="27"/>
    <w:qFormat/>
    <w:uiPriority w:val="0"/>
    <w:rPr>
      <w:rFonts w:ascii="monospace" w:hAnsi="monospace" w:eastAsia="monospace" w:cs="monospace"/>
      <w:sz w:val="20"/>
    </w:rPr>
  </w:style>
  <w:style w:type="character" w:styleId="33">
    <w:name w:val="HTML Acronym"/>
    <w:basedOn w:val="27"/>
    <w:qFormat/>
    <w:uiPriority w:val="0"/>
  </w:style>
  <w:style w:type="character" w:styleId="34">
    <w:name w:val="HTML Variable"/>
    <w:basedOn w:val="27"/>
    <w:qFormat/>
    <w:uiPriority w:val="0"/>
  </w:style>
  <w:style w:type="character" w:styleId="35">
    <w:name w:val="Hyperlink"/>
    <w:autoRedefine/>
    <w:qFormat/>
    <w:uiPriority w:val="99"/>
    <w:rPr>
      <w:color w:val="0000FF"/>
      <w:u w:val="single"/>
    </w:rPr>
  </w:style>
  <w:style w:type="character" w:styleId="36">
    <w:name w:val="HTML Code"/>
    <w:basedOn w:val="27"/>
    <w:qFormat/>
    <w:uiPriority w:val="0"/>
    <w:rPr>
      <w:rFonts w:hint="default" w:ascii="monospace" w:hAnsi="monospace" w:eastAsia="monospace" w:cs="monospace"/>
      <w:sz w:val="20"/>
    </w:rPr>
  </w:style>
  <w:style w:type="character" w:styleId="37">
    <w:name w:val="HTML Cite"/>
    <w:basedOn w:val="27"/>
    <w:qFormat/>
    <w:uiPriority w:val="0"/>
    <w:rPr>
      <w:bdr w:val="single" w:color="DBDEC1" w:sz="6" w:space="0"/>
      <w:shd w:val="clear" w:fill="FFFFFF"/>
    </w:rPr>
  </w:style>
  <w:style w:type="character" w:styleId="38">
    <w:name w:val="footnote reference"/>
    <w:basedOn w:val="27"/>
    <w:autoRedefine/>
    <w:semiHidden/>
    <w:unhideWhenUsed/>
    <w:qFormat/>
    <w:uiPriority w:val="99"/>
    <w:rPr>
      <w:vertAlign w:val="superscript"/>
    </w:rPr>
  </w:style>
  <w:style w:type="character" w:styleId="39">
    <w:name w:val="HTML Keyboard"/>
    <w:basedOn w:val="27"/>
    <w:qFormat/>
    <w:uiPriority w:val="0"/>
    <w:rPr>
      <w:rFonts w:hint="default" w:ascii="monospace" w:hAnsi="monospace" w:eastAsia="monospace" w:cs="monospace"/>
      <w:sz w:val="20"/>
    </w:rPr>
  </w:style>
  <w:style w:type="character" w:styleId="40">
    <w:name w:val="HTML Sample"/>
    <w:basedOn w:val="27"/>
    <w:qFormat/>
    <w:uiPriority w:val="0"/>
    <w:rPr>
      <w:rFonts w:hint="default" w:ascii="monospace" w:hAnsi="monospace" w:eastAsia="monospace" w:cs="monospace"/>
    </w:rPr>
  </w:style>
  <w:style w:type="character" w:customStyle="1" w:styleId="41">
    <w:name w:val="标题 2 Char"/>
    <w:basedOn w:val="27"/>
    <w:link w:val="2"/>
    <w:autoRedefine/>
    <w:qFormat/>
    <w:uiPriority w:val="0"/>
    <w:rPr>
      <w:rFonts w:hint="default" w:ascii="Times New Roman" w:hAnsi="Times New Roman" w:eastAsia="宋体" w:cs="Times New Roman"/>
      <w:kern w:val="0"/>
      <w:sz w:val="24"/>
      <w:szCs w:val="24"/>
    </w:rPr>
  </w:style>
  <w:style w:type="character" w:customStyle="1" w:styleId="42">
    <w:name w:val="页眉 Char"/>
    <w:basedOn w:val="27"/>
    <w:link w:val="19"/>
    <w:autoRedefine/>
    <w:qFormat/>
    <w:uiPriority w:val="0"/>
    <w:rPr>
      <w:rFonts w:hint="default" w:ascii="Times New Roman" w:hAnsi="Times New Roman" w:eastAsia="宋体" w:cs="Times New Roman"/>
      <w:color w:val="000000"/>
      <w:kern w:val="0"/>
      <w:sz w:val="18"/>
      <w:szCs w:val="18"/>
      <w:u w:color="000000"/>
    </w:rPr>
  </w:style>
  <w:style w:type="character" w:customStyle="1" w:styleId="43">
    <w:name w:val="页脚 Char"/>
    <w:basedOn w:val="27"/>
    <w:link w:val="18"/>
    <w:autoRedefine/>
    <w:qFormat/>
    <w:uiPriority w:val="0"/>
    <w:rPr>
      <w:rFonts w:hint="default" w:ascii="Times New Roman" w:hAnsi="Times New Roman" w:eastAsia="宋体" w:cs="Times New Roman"/>
      <w:color w:val="000000"/>
      <w:kern w:val="0"/>
      <w:sz w:val="18"/>
      <w:szCs w:val="18"/>
      <w:u w:color="000000"/>
    </w:rPr>
  </w:style>
  <w:style w:type="paragraph" w:customStyle="1" w:styleId="44">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45">
    <w:name w:val="正文文字 8"/>
    <w:basedOn w:val="1"/>
    <w:next w:val="1"/>
    <w:autoRedefine/>
    <w:qFormat/>
    <w:uiPriority w:val="0"/>
    <w:pPr>
      <w:ind w:left="240"/>
    </w:pPr>
    <w:rPr>
      <w:sz w:val="16"/>
    </w:rPr>
  </w:style>
  <w:style w:type="paragraph" w:customStyle="1" w:styleId="46">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47">
    <w:name w:val="正文文本缩进 Char"/>
    <w:basedOn w:val="27"/>
    <w:link w:val="8"/>
    <w:autoRedefine/>
    <w:qFormat/>
    <w:uiPriority w:val="0"/>
    <w:rPr>
      <w:rFonts w:hint="default" w:ascii="Times New Roman" w:hAnsi="Times New Roman" w:eastAsia="宋体" w:cs="Times New Roman"/>
      <w:color w:val="000000"/>
      <w:kern w:val="0"/>
      <w:szCs w:val="21"/>
      <w:u w:color="000000"/>
    </w:rPr>
  </w:style>
  <w:style w:type="character" w:customStyle="1" w:styleId="48">
    <w:name w:val="正文首行缩进 2 Char"/>
    <w:basedOn w:val="47"/>
    <w:link w:val="7"/>
    <w:autoRedefine/>
    <w:qFormat/>
    <w:uiPriority w:val="0"/>
    <w:rPr>
      <w:rFonts w:hint="default" w:ascii="Times New Roman" w:hAnsi="Times New Roman" w:eastAsia="宋体" w:cs="Times New Roman"/>
      <w:color w:val="000000"/>
      <w:kern w:val="0"/>
      <w:szCs w:val="21"/>
      <w:u w:color="000000"/>
    </w:rPr>
  </w:style>
  <w:style w:type="character" w:customStyle="1" w:styleId="49">
    <w:name w:val="日期 Char"/>
    <w:basedOn w:val="27"/>
    <w:link w:val="16"/>
    <w:autoRedefine/>
    <w:qFormat/>
    <w:uiPriority w:val="0"/>
    <w:rPr>
      <w:rFonts w:ascii="Arial" w:hAnsi="Arial" w:eastAsia="仿宋_GB2312" w:cs="Arial"/>
      <w:color w:val="000000"/>
      <w:sz w:val="32"/>
      <w:szCs w:val="32"/>
      <w:u w:color="000000"/>
    </w:rPr>
  </w:style>
  <w:style w:type="character" w:customStyle="1" w:styleId="50">
    <w:name w:val="纯文本 Char"/>
    <w:basedOn w:val="27"/>
    <w:link w:val="15"/>
    <w:autoRedefine/>
    <w:qFormat/>
    <w:uiPriority w:val="0"/>
    <w:rPr>
      <w:rFonts w:hint="eastAsia" w:ascii="宋体" w:hAnsi="宋体" w:eastAsia="宋体" w:cs="宋体"/>
      <w:szCs w:val="21"/>
    </w:rPr>
  </w:style>
  <w:style w:type="paragraph" w:customStyle="1" w:styleId="51">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52">
    <w:name w:val="List Paragraph"/>
    <w:basedOn w:val="1"/>
    <w:autoRedefine/>
    <w:qFormat/>
    <w:uiPriority w:val="0"/>
    <w:pPr>
      <w:ind w:firstLine="200" w:firstLineChars="200"/>
    </w:pPr>
    <w:rPr>
      <w:u w:color="000000"/>
    </w:rPr>
  </w:style>
  <w:style w:type="character" w:customStyle="1" w:styleId="53">
    <w:name w:val="NormalCharacter"/>
    <w:autoRedefine/>
    <w:semiHidden/>
    <w:qFormat/>
    <w:uiPriority w:val="0"/>
    <w:rPr>
      <w:rFonts w:asciiTheme="minorHAnsi" w:hAnsiTheme="minorHAnsi" w:eastAsiaTheme="minorEastAsia" w:cstheme="minorBidi"/>
      <w:kern w:val="2"/>
      <w:sz w:val="21"/>
      <w:szCs w:val="24"/>
      <w:lang w:val="en-US" w:eastAsia="zh-CN" w:bidi="ar-SA"/>
    </w:rPr>
  </w:style>
  <w:style w:type="character" w:customStyle="1" w:styleId="54">
    <w:name w:val="font51"/>
    <w:basedOn w:val="27"/>
    <w:autoRedefine/>
    <w:qFormat/>
    <w:uiPriority w:val="0"/>
    <w:rPr>
      <w:rFonts w:hint="eastAsia" w:ascii="宋体" w:hAnsi="宋体" w:eastAsia="宋体" w:cs="宋体"/>
      <w:color w:val="000000"/>
      <w:sz w:val="22"/>
      <w:szCs w:val="22"/>
      <w:u w:val="none"/>
    </w:rPr>
  </w:style>
  <w:style w:type="character" w:customStyle="1" w:styleId="55">
    <w:name w:val="font31"/>
    <w:basedOn w:val="27"/>
    <w:autoRedefine/>
    <w:qFormat/>
    <w:uiPriority w:val="0"/>
    <w:rPr>
      <w:rFonts w:hint="default" w:ascii="Times New Roman" w:hAnsi="Times New Roman" w:cs="Times New Roman"/>
      <w:color w:val="000000"/>
      <w:sz w:val="22"/>
      <w:szCs w:val="22"/>
      <w:u w:val="none"/>
    </w:rPr>
  </w:style>
  <w:style w:type="character" w:customStyle="1" w:styleId="56">
    <w:name w:val="font61"/>
    <w:basedOn w:val="27"/>
    <w:autoRedefine/>
    <w:qFormat/>
    <w:uiPriority w:val="0"/>
    <w:rPr>
      <w:rFonts w:hint="default" w:ascii="Times New Roman" w:hAnsi="Times New Roman" w:cs="Times New Roman"/>
      <w:color w:val="000000"/>
      <w:sz w:val="21"/>
      <w:szCs w:val="21"/>
      <w:u w:val="none"/>
    </w:rPr>
  </w:style>
  <w:style w:type="character" w:customStyle="1" w:styleId="57">
    <w:name w:val="font71"/>
    <w:basedOn w:val="27"/>
    <w:autoRedefine/>
    <w:qFormat/>
    <w:uiPriority w:val="0"/>
    <w:rPr>
      <w:rFonts w:hint="eastAsia" w:ascii="宋体" w:hAnsi="宋体" w:eastAsia="宋体" w:cs="宋体"/>
      <w:color w:val="000000"/>
      <w:sz w:val="21"/>
      <w:szCs w:val="21"/>
      <w:u w:val="none"/>
    </w:rPr>
  </w:style>
  <w:style w:type="character" w:customStyle="1" w:styleId="58">
    <w:name w:val="font01"/>
    <w:basedOn w:val="27"/>
    <w:autoRedefine/>
    <w:qFormat/>
    <w:uiPriority w:val="0"/>
    <w:rPr>
      <w:rFonts w:hint="eastAsia" w:ascii="宋体" w:hAnsi="宋体" w:eastAsia="宋体" w:cs="宋体"/>
      <w:color w:val="000000"/>
      <w:sz w:val="22"/>
      <w:szCs w:val="22"/>
      <w:u w:val="none"/>
    </w:rPr>
  </w:style>
  <w:style w:type="character" w:customStyle="1" w:styleId="59">
    <w:name w:val="font11"/>
    <w:basedOn w:val="27"/>
    <w:autoRedefine/>
    <w:qFormat/>
    <w:uiPriority w:val="0"/>
    <w:rPr>
      <w:rFonts w:hint="eastAsia" w:ascii="宋体" w:hAnsi="宋体" w:eastAsia="宋体" w:cs="宋体"/>
      <w:color w:val="000000"/>
      <w:sz w:val="21"/>
      <w:szCs w:val="21"/>
      <w:u w:val="none"/>
    </w:rPr>
  </w:style>
  <w:style w:type="character" w:customStyle="1" w:styleId="60">
    <w:name w:val="font41"/>
    <w:basedOn w:val="27"/>
    <w:autoRedefine/>
    <w:qFormat/>
    <w:uiPriority w:val="0"/>
    <w:rPr>
      <w:rFonts w:hint="default" w:ascii="Times New Roman" w:hAnsi="Times New Roman" w:cs="Times New Roman"/>
      <w:color w:val="000000"/>
      <w:sz w:val="22"/>
      <w:szCs w:val="22"/>
      <w:u w:val="none"/>
    </w:rPr>
  </w:style>
  <w:style w:type="paragraph" w:customStyle="1" w:styleId="61">
    <w:name w:val="二级标题"/>
    <w:basedOn w:val="1"/>
    <w:next w:val="1"/>
    <w:autoRedefine/>
    <w:qFormat/>
    <w:uiPriority w:val="0"/>
    <w:rPr>
      <w:rFonts w:hint="eastAsia" w:eastAsia="楷体"/>
    </w:rPr>
  </w:style>
  <w:style w:type="paragraph" w:customStyle="1" w:styleId="62">
    <w:name w:val="首行缩进"/>
    <w:basedOn w:val="1"/>
    <w:autoRedefine/>
    <w:qFormat/>
    <w:uiPriority w:val="0"/>
    <w:pPr>
      <w:ind w:firstLine="480" w:firstLineChars="200"/>
    </w:pPr>
    <w:rPr>
      <w:rFonts w:eastAsia="楷体_GB2312"/>
      <w:lang w:val="zh-CN"/>
    </w:rPr>
  </w:style>
  <w:style w:type="paragraph" w:customStyle="1" w:styleId="63">
    <w:name w:val="Table Paragraph"/>
    <w:basedOn w:val="1"/>
    <w:autoRedefine/>
    <w:qFormat/>
    <w:uiPriority w:val="1"/>
    <w:rPr>
      <w:rFonts w:ascii="宋体" w:hAnsi="宋体" w:eastAsia="宋体" w:cs="宋体"/>
      <w:lang w:val="zh-CN" w:bidi="zh-CN"/>
    </w:rPr>
  </w:style>
  <w:style w:type="paragraph" w:customStyle="1" w:styleId="64">
    <w:name w:val="正文不加"/>
    <w:basedOn w:val="1"/>
    <w:autoRedefine/>
    <w:qFormat/>
    <w:uiPriority w:val="0"/>
    <w:pPr>
      <w:snapToGrid w:val="0"/>
      <w:spacing w:line="360" w:lineRule="auto"/>
      <w:ind w:firstLine="200" w:firstLineChars="200"/>
    </w:pPr>
    <w:rPr>
      <w:rFonts w:ascii="宋体"/>
      <w:color w:val="000000"/>
      <w:sz w:val="24"/>
      <w:szCs w:val="21"/>
    </w:rPr>
  </w:style>
  <w:style w:type="paragraph" w:customStyle="1" w:styleId="65">
    <w:name w:val="样式"/>
    <w:autoRedefine/>
    <w:qFormat/>
    <w:uiPriority w:val="0"/>
    <w:pPr>
      <w:widowControl w:val="0"/>
      <w:autoSpaceDE w:val="0"/>
      <w:autoSpaceDN w:val="0"/>
      <w:adjustRightInd w:val="0"/>
    </w:pPr>
    <w:rPr>
      <w:rFonts w:ascii="宋体" w:hAnsi="Calibri" w:eastAsia="宋体" w:cs="宋体"/>
      <w:sz w:val="24"/>
      <w:szCs w:val="24"/>
      <w:lang w:val="en-US" w:eastAsia="zh-CN" w:bidi="ar-SA"/>
    </w:rPr>
  </w:style>
  <w:style w:type="paragraph" w:customStyle="1" w:styleId="66">
    <w:name w:val="Table Text"/>
    <w:basedOn w:val="1"/>
    <w:semiHidden/>
    <w:qFormat/>
    <w:uiPriority w:val="0"/>
    <w:rPr>
      <w:rFonts w:ascii="宋体" w:hAnsi="宋体" w:eastAsia="宋体" w:cs="宋体"/>
      <w:sz w:val="24"/>
      <w:szCs w:val="24"/>
      <w:lang w:val="en-US" w:eastAsia="en-US" w:bidi="ar-SA"/>
    </w:rPr>
  </w:style>
  <w:style w:type="table" w:customStyle="1" w:styleId="6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7893</Words>
  <Characters>9045</Characters>
  <Lines>160</Lines>
  <Paragraphs>45</Paragraphs>
  <TotalTime>37</TotalTime>
  <ScaleCrop>false</ScaleCrop>
  <LinksUpToDate>false</LinksUpToDate>
  <CharactersWithSpaces>9294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2021-12-21T09:48:00Z</dcterms:created>
  <dc:creator>傻傻一辈子</dc:creator>
  <cp:lastModifiedBy>Pim Pom丶</cp:lastModifiedBy>
  <cp:lastPrinted>2024-04-20T11:10:00Z</cp:lastPrinted>
  <dcterms:modified xsi:type="dcterms:W3CDTF">2026-08-14T09:01:19Z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2BFCC4C48A8A4480A37BF765FE51E4FC_13</vt:lpwstr>
  </property>
  <property fmtid="{D5CDD505-2E9C-101B-9397-08002B2CF9AE}" pid="4" name="KSOTemplateDocerSaveRecord">
    <vt:lpwstr>eyJoZGlkIjoiOTk1OGJkZDZlMmJiZjgxZThhZWQ4YzE0YWIxYTUyMmQiLCJ1c2VySWQiOiI0MDkyMjI1MTkifQ==</vt:lpwstr>
  </property>
</Properties>
</file>