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BEA7F1">
      <w:pPr>
        <w:pStyle w:val="14"/>
        <w:ind w:left="0" w:leftChars="0" w:firstLine="0" w:firstLineChars="0"/>
        <w:rPr>
          <w:highlight w:val="none"/>
        </w:rPr>
      </w:pPr>
      <w:bookmarkStart w:id="0" w:name="_Toc296602400"/>
      <w:bookmarkStart w:id="1" w:name="_Toc461631222"/>
      <w:bookmarkStart w:id="2" w:name="_Toc247085669"/>
      <w:bookmarkStart w:id="3" w:name="_Toc506107265"/>
      <w:bookmarkStart w:id="4" w:name="_Toc246996898"/>
      <w:bookmarkStart w:id="5" w:name="_Toc15058843"/>
      <w:bookmarkStart w:id="6" w:name="_Toc324404811"/>
      <w:bookmarkStart w:id="7" w:name="OLE_LINK5"/>
      <w:bookmarkStart w:id="8" w:name="OLE_LINK4"/>
      <w:bookmarkStart w:id="9" w:name="OLE_LINK2"/>
      <w:bookmarkStart w:id="10" w:name="OLE_LINK3"/>
      <w:bookmarkStart w:id="11" w:name="OLE_LINK1"/>
    </w:p>
    <w:p w14:paraId="2CED046A">
      <w:pPr>
        <w:pStyle w:val="14"/>
        <w:ind w:left="0" w:leftChars="0" w:firstLine="0" w:firstLineChars="0"/>
        <w:jc w:val="center"/>
        <w:rPr>
          <w:rFonts w:hint="eastAsia" w:hAnsi="宋体" w:cs="宋体"/>
          <w:b/>
          <w:color w:val="auto"/>
          <w:kern w:val="0"/>
          <w:sz w:val="56"/>
          <w:szCs w:val="56"/>
          <w:highlight w:val="none"/>
          <w:lang w:eastAsia="zh-CN"/>
        </w:rPr>
      </w:pPr>
    </w:p>
    <w:p w14:paraId="2A2621CC">
      <w:pPr>
        <w:pStyle w:val="14"/>
        <w:ind w:left="0" w:leftChars="0" w:firstLine="0" w:firstLineChars="0"/>
        <w:jc w:val="center"/>
      </w:pPr>
      <w:r>
        <w:rPr>
          <w:rFonts w:hint="eastAsia" w:hAnsi="宋体" w:cs="宋体"/>
          <w:b/>
          <w:color w:val="auto"/>
          <w:kern w:val="0"/>
          <w:sz w:val="56"/>
          <w:szCs w:val="56"/>
          <w:highlight w:val="none"/>
          <w:lang w:eastAsia="zh-CN"/>
        </w:rPr>
        <w:t>滁宁城际控制中心南侧地块规划方案研究项目</w:t>
      </w:r>
    </w:p>
    <w:p w14:paraId="6386BAEC">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14"/>
        <w:rPr>
          <w:color w:val="auto"/>
          <w:highlight w:val="none"/>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276FE2C2">
      <w:pPr>
        <w:pStyle w:val="14"/>
        <w:rPr>
          <w:color w:val="auto"/>
          <w:highlight w:val="none"/>
        </w:rPr>
      </w:pPr>
    </w:p>
    <w:p w14:paraId="6EBADFFD"/>
    <w:p w14:paraId="57C971B3">
      <w:pPr>
        <w:pStyle w:val="14"/>
      </w:pPr>
    </w:p>
    <w:p w14:paraId="00CEC72B"/>
    <w:p w14:paraId="0FB3EFCA">
      <w:pPr>
        <w:pStyle w:val="14"/>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ascii="宋体" w:cs="Times New Roman"/>
          <w:sz w:val="30"/>
          <w:szCs w:val="30"/>
          <w:highlight w:val="none"/>
          <w:u w:val="single"/>
          <w:lang w:eastAsia="zh-CN"/>
        </w:rPr>
        <w:t>滁州市滁宁城际铁路开发建设有限公司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5</w:t>
      </w:r>
      <w:r>
        <w:rPr>
          <w:rFonts w:hint="eastAsia" w:ascii="宋体" w:hAnsi="宋体"/>
          <w:color w:val="auto"/>
          <w:sz w:val="30"/>
          <w:szCs w:val="30"/>
          <w:highlight w:val="none"/>
        </w:rPr>
        <w:t>月</w:t>
      </w:r>
    </w:p>
    <w:p w14:paraId="68344BF2">
      <w:pPr>
        <w:jc w:val="center"/>
        <w:rPr>
          <w:sz w:val="44"/>
          <w:szCs w:val="44"/>
          <w:highlight w:val="none"/>
        </w:rPr>
        <w:sectPr>
          <w:headerReference r:id="rId4" w:type="first"/>
          <w:footerReference r:id="rId6" w:type="first"/>
          <w:headerReference r:id="rId3" w:type="default"/>
          <w:footerReference r:id="rId5" w:type="default"/>
          <w:pgSz w:w="11906" w:h="16838"/>
          <w:pgMar w:top="1134" w:right="1417" w:bottom="1134" w:left="1417" w:header="851" w:footer="992" w:gutter="0"/>
          <w:pgNumType w:fmt="decimal"/>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79632527"/>
      <w:bookmarkStart w:id="13" w:name="_Toc152045511"/>
      <w:bookmarkStart w:id="14" w:name="_Toc152042287"/>
      <w:bookmarkStart w:id="15" w:name="_Toc144974479"/>
    </w:p>
    <w:p w14:paraId="5640D69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 …………………………………………………………………1</w:t>
      </w:r>
    </w:p>
    <w:p w14:paraId="3C99874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468EC88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7411295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w:t>
      </w:r>
      <w:r>
        <w:rPr>
          <w:rFonts w:hint="eastAsia" w:ascii="宋体" w:hAnsi="宋体" w:cs="宋体"/>
          <w:color w:val="000000"/>
          <w:kern w:val="0"/>
          <w:sz w:val="24"/>
          <w:szCs w:val="24"/>
          <w:highlight w:val="none"/>
          <w:u w:color="000000"/>
          <w:lang w:val="en-US" w:eastAsia="zh-CN" w:bidi="ar"/>
        </w:rPr>
        <w:t>5</w:t>
      </w:r>
    </w:p>
    <w:p w14:paraId="7020586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采购需求…………………………………………………………………</w:t>
      </w:r>
      <w:r>
        <w:rPr>
          <w:rFonts w:hint="eastAsia" w:ascii="宋体" w:hAnsi="宋体" w:cs="宋体"/>
          <w:color w:val="000000"/>
          <w:kern w:val="0"/>
          <w:sz w:val="24"/>
          <w:szCs w:val="24"/>
          <w:highlight w:val="none"/>
          <w:u w:color="000000"/>
          <w:lang w:val="en-US" w:eastAsia="zh-CN" w:bidi="ar"/>
        </w:rPr>
        <w:t>21</w:t>
      </w:r>
    </w:p>
    <w:p w14:paraId="69E987B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w:t>
      </w:r>
      <w:r>
        <w:rPr>
          <w:rFonts w:hint="eastAsia" w:ascii="宋体" w:hAnsi="宋体" w:cs="宋体"/>
          <w:color w:val="000000"/>
          <w:kern w:val="0"/>
          <w:sz w:val="24"/>
          <w:szCs w:val="24"/>
          <w:highlight w:val="none"/>
          <w:u w:color="000000"/>
          <w:lang w:val="en-US" w:eastAsia="zh-CN" w:bidi="ar"/>
        </w:rPr>
        <w:t>5</w:t>
      </w:r>
    </w:p>
    <w:p w14:paraId="3370645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w:t>
      </w:r>
      <w:r>
        <w:rPr>
          <w:rFonts w:hint="eastAsia" w:ascii="宋体" w:hAnsi="宋体" w:cs="宋体"/>
          <w:color w:val="000000"/>
          <w:kern w:val="0"/>
          <w:sz w:val="24"/>
          <w:szCs w:val="24"/>
          <w:highlight w:val="none"/>
          <w:u w:color="000000"/>
          <w:lang w:val="en-US" w:eastAsia="zh-CN" w:bidi="ar"/>
        </w:rPr>
        <w:t>29</w:t>
      </w:r>
    </w:p>
    <w:p w14:paraId="319E7688">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w:t>
      </w:r>
      <w:r>
        <w:rPr>
          <w:rFonts w:hint="eastAsia" w:ascii="宋体" w:hAnsi="宋体" w:cs="宋体"/>
          <w:color w:val="000000"/>
          <w:kern w:val="0"/>
          <w:sz w:val="24"/>
          <w:szCs w:val="24"/>
          <w:highlight w:val="none"/>
          <w:u w:color="000000"/>
          <w:lang w:val="en-US" w:eastAsia="zh-CN" w:bidi="ar"/>
        </w:rPr>
        <w:t>39</w:t>
      </w:r>
    </w:p>
    <w:p w14:paraId="6F3E9F9B">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7"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48ABFA16">
      <w:pPr>
        <w:pStyle w:val="44"/>
        <w:spacing w:beforeLines="50" w:afterLines="50" w:line="440" w:lineRule="exact"/>
        <w:rPr>
          <w:rFonts w:hint="eastAsia"/>
          <w:bCs/>
          <w:szCs w:val="32"/>
          <w:highlight w:val="none"/>
          <w:lang w:val="en-US"/>
        </w:rPr>
      </w:pPr>
      <w:bookmarkStart w:id="16" w:name="_Toc246996916"/>
      <w:bookmarkStart w:id="17" w:name="_Toc179632544"/>
      <w:bookmarkStart w:id="18" w:name="_Toc324404813"/>
      <w:bookmarkStart w:id="19" w:name="_Toc15058844"/>
      <w:bookmarkStart w:id="20" w:name="_Toc246996173"/>
      <w:bookmarkStart w:id="21" w:name="_Toc152045527"/>
      <w:bookmarkStart w:id="22" w:name="_Toc78803321"/>
      <w:bookmarkStart w:id="23" w:name="_Toc144974495"/>
      <w:bookmarkStart w:id="24" w:name="_Toc35425050"/>
      <w:bookmarkStart w:id="25" w:name="_Toc247085687"/>
      <w:bookmarkStart w:id="26" w:name="_Toc35424883"/>
      <w:bookmarkStart w:id="27" w:name="_Toc506107267"/>
      <w:bookmarkStart w:id="28" w:name="_Toc152042303"/>
      <w:r>
        <w:rPr>
          <w:rFonts w:hint="eastAsia"/>
          <w:bCs/>
          <w:szCs w:val="32"/>
          <w:highlight w:val="none"/>
          <w:lang w:eastAsia="zh-CN"/>
        </w:rPr>
        <w:t>第一章</w:t>
      </w:r>
      <w:r>
        <w:rPr>
          <w:rFonts w:hint="eastAsia"/>
          <w:bCs/>
          <w:szCs w:val="32"/>
          <w:highlight w:val="none"/>
          <w:lang w:val="en-US"/>
        </w:rPr>
        <w:t xml:space="preserve">  </w:t>
      </w:r>
      <w:bookmarkStart w:id="29" w:name="_Toc18980_WPSOffice_Level1"/>
      <w:bookmarkEnd w:id="29"/>
      <w:bookmarkStart w:id="30" w:name="_Toc7358"/>
      <w:bookmarkEnd w:id="30"/>
      <w:r>
        <w:rPr>
          <w:rFonts w:hint="eastAsia"/>
          <w:bCs/>
          <w:szCs w:val="32"/>
          <w:highlight w:val="none"/>
          <w:lang w:eastAsia="zh-CN"/>
        </w:rPr>
        <w:t>招标公告</w:t>
      </w:r>
    </w:p>
    <w:p w14:paraId="18589C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31" w:name="_Toc28359002"/>
      <w:bookmarkEnd w:id="31"/>
      <w:bookmarkStart w:id="32" w:name="_Toc35393621"/>
      <w:bookmarkEnd w:id="32"/>
      <w:bookmarkStart w:id="33" w:name="_Toc28359079"/>
      <w:bookmarkEnd w:id="33"/>
      <w:bookmarkStart w:id="34" w:name="_Toc58430305"/>
      <w:bookmarkEnd w:id="34"/>
      <w:bookmarkStart w:id="35" w:name="_Toc35393790"/>
      <w:r>
        <w:rPr>
          <w:rFonts w:hint="eastAsia" w:ascii="宋体" w:hAnsi="宋体" w:eastAsia="宋体" w:cs="宋体"/>
          <w:color w:val="000000"/>
          <w:kern w:val="0"/>
          <w:sz w:val="24"/>
          <w:szCs w:val="24"/>
          <w:highlight w:val="none"/>
          <w:u w:color="000000"/>
          <w:lang w:val="en-US" w:eastAsia="zh-CN" w:bidi="ar"/>
        </w:rPr>
        <w:t>项目概况</w:t>
      </w:r>
    </w:p>
    <w:p w14:paraId="0F96E57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cs="宋体"/>
          <w:color w:val="000000"/>
          <w:kern w:val="0"/>
          <w:sz w:val="24"/>
          <w:szCs w:val="24"/>
          <w:highlight w:val="none"/>
          <w:u w:color="000000"/>
          <w:lang w:val="en-US" w:eastAsia="zh-CN" w:bidi="ar"/>
        </w:rPr>
        <w:t>滁宁城际控制中心南侧地块规划方案研究项目</w:t>
      </w:r>
      <w:r>
        <w:rPr>
          <w:rFonts w:hint="eastAsia" w:ascii="宋体" w:hAnsi="宋体" w:eastAsia="宋体" w:cs="宋体"/>
          <w:color w:val="000000"/>
          <w:kern w:val="0"/>
          <w:sz w:val="24"/>
          <w:szCs w:val="24"/>
          <w:highlight w:val="none"/>
          <w:u w:color="000000"/>
          <w:lang w:val="en-US" w:eastAsia="zh-CN" w:bidi="ar"/>
        </w:rPr>
        <w:t>的潜在投标人应在</w:t>
      </w:r>
      <w:r>
        <w:rPr>
          <w:rFonts w:hint="eastAsia" w:ascii="宋体" w:hAnsi="宋体" w:cs="宋体"/>
          <w:color w:val="000000"/>
          <w:kern w:val="0"/>
          <w:sz w:val="24"/>
          <w:szCs w:val="24"/>
          <w:highlight w:val="none"/>
          <w:u w:color="000000"/>
          <w:lang w:val="en-US" w:eastAsia="zh-CN" w:bidi="ar"/>
        </w:rPr>
        <w:t>滁州市滁宁城际铁路开发建设有限公司</w:t>
      </w:r>
      <w:r>
        <w:rPr>
          <w:rFonts w:hint="eastAsia" w:ascii="宋体" w:hAnsi="宋体" w:eastAsia="宋体" w:cs="宋体"/>
          <w:color w:val="000000"/>
          <w:kern w:val="0"/>
          <w:sz w:val="24"/>
          <w:szCs w:val="24"/>
          <w:highlight w:val="none"/>
          <w:u w:color="000000"/>
          <w:lang w:val="en-US" w:eastAsia="zh-CN" w:bidi="ar"/>
        </w:rPr>
        <w:t>网站（http://czctgs.cn/）获取招标文件，并于20</w:t>
      </w:r>
      <w:r>
        <w:rPr>
          <w:rFonts w:hint="eastAsia" w:ascii="宋体" w:hAnsi="宋体" w:cs="宋体"/>
          <w:color w:val="000000"/>
          <w:kern w:val="0"/>
          <w:sz w:val="24"/>
          <w:szCs w:val="24"/>
          <w:highlight w:val="none"/>
          <w:u w:color="000000"/>
          <w:lang w:val="en-US" w:eastAsia="zh-CN" w:bidi="ar"/>
        </w:rPr>
        <w:t>26</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cs="宋体"/>
          <w:color w:val="000000"/>
          <w:kern w:val="0"/>
          <w:sz w:val="24"/>
          <w:szCs w:val="24"/>
          <w:highlight w:val="none"/>
          <w:u w:color="000000"/>
          <w:lang w:val="en-US" w:eastAsia="zh-CN" w:bidi="ar"/>
        </w:rPr>
        <w:t>5</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cs="宋体"/>
          <w:color w:val="000000"/>
          <w:kern w:val="0"/>
          <w:sz w:val="24"/>
          <w:szCs w:val="24"/>
          <w:highlight w:val="none"/>
          <w:u w:color="000000"/>
          <w:lang w:val="en-US" w:eastAsia="zh-CN" w:bidi="ar"/>
        </w:rPr>
        <w:t xml:space="preserve">  21</w:t>
      </w:r>
      <w:r>
        <w:rPr>
          <w:rFonts w:hint="eastAsia" w:ascii="宋体" w:hAnsi="宋体" w:eastAsia="宋体" w:cs="宋体"/>
          <w:color w:val="000000"/>
          <w:kern w:val="0"/>
          <w:sz w:val="24"/>
          <w:szCs w:val="24"/>
          <w:highlight w:val="none"/>
          <w:u w:color="000000"/>
          <w:lang w:val="en-US" w:eastAsia="zh-CN" w:bidi="ar"/>
        </w:rPr>
        <w:t>日</w:t>
      </w:r>
      <w:r>
        <w:rPr>
          <w:rFonts w:hint="eastAsia" w:ascii="宋体" w:hAnsi="宋体" w:cs="宋体"/>
          <w:color w:val="000000"/>
          <w:kern w:val="0"/>
          <w:sz w:val="24"/>
          <w:szCs w:val="24"/>
          <w:highlight w:val="none"/>
          <w:u w:color="000000"/>
          <w:lang w:val="en-US" w:eastAsia="zh-CN" w:bidi="ar"/>
        </w:rPr>
        <w:t>9</w:t>
      </w:r>
      <w:r>
        <w:rPr>
          <w:rFonts w:hint="eastAsia" w:ascii="宋体" w:hAnsi="宋体" w:eastAsia="宋体" w:cs="宋体"/>
          <w:color w:val="000000"/>
          <w:kern w:val="0"/>
          <w:sz w:val="24"/>
          <w:szCs w:val="24"/>
          <w:highlight w:val="none"/>
          <w:u w:color="000000"/>
          <w:lang w:val="en-US" w:eastAsia="zh-CN" w:bidi="ar"/>
        </w:rPr>
        <w:t>时</w:t>
      </w:r>
      <w:r>
        <w:rPr>
          <w:rFonts w:hint="eastAsia" w:ascii="宋体" w:hAnsi="宋体" w:cs="宋体"/>
          <w:color w:val="000000"/>
          <w:kern w:val="0"/>
          <w:sz w:val="24"/>
          <w:szCs w:val="24"/>
          <w:highlight w:val="none"/>
          <w:u w:color="000000"/>
          <w:lang w:val="en-US" w:eastAsia="zh-CN" w:bidi="ar"/>
        </w:rPr>
        <w:t>3</w:t>
      </w:r>
      <w:r>
        <w:rPr>
          <w:rFonts w:hint="eastAsia" w:ascii="宋体" w:hAnsi="宋体" w:eastAsia="宋体" w:cs="宋体"/>
          <w:color w:val="000000"/>
          <w:kern w:val="0"/>
          <w:sz w:val="24"/>
          <w:szCs w:val="24"/>
          <w:highlight w:val="none"/>
          <w:u w:color="000000"/>
          <w:lang w:val="en-US" w:eastAsia="zh-CN" w:bidi="ar"/>
        </w:rPr>
        <w:t>0分（北京时间）前递交投标文件。</w:t>
      </w:r>
    </w:p>
    <w:p w14:paraId="3A2F58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35"/>
    </w:p>
    <w:p w14:paraId="15E445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项目名称：</w:t>
      </w:r>
      <w:r>
        <w:rPr>
          <w:rFonts w:hint="eastAsia" w:ascii="宋体" w:hAnsi="宋体" w:cs="宋体"/>
          <w:b w:val="0"/>
          <w:bCs w:val="0"/>
          <w:color w:val="000000"/>
          <w:kern w:val="0"/>
          <w:sz w:val="24"/>
          <w:szCs w:val="24"/>
          <w:highlight w:val="none"/>
          <w:u w:color="000000"/>
          <w:lang w:val="en-US" w:eastAsia="zh-CN" w:bidi="ar"/>
        </w:rPr>
        <w:t>滁宁城际控制中心南侧地块规划方案研究项目</w:t>
      </w:r>
    </w:p>
    <w:p w14:paraId="7B23B9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预算金额：</w:t>
      </w:r>
      <w:r>
        <w:rPr>
          <w:rFonts w:hint="eastAsia" w:ascii="宋体" w:hAnsi="宋体" w:cs="宋体"/>
          <w:b w:val="0"/>
          <w:bCs w:val="0"/>
          <w:color w:val="000000"/>
          <w:kern w:val="0"/>
          <w:sz w:val="24"/>
          <w:szCs w:val="24"/>
          <w:highlight w:val="none"/>
          <w:u w:color="000000"/>
          <w:lang w:val="en-US" w:eastAsia="zh-CN" w:bidi="ar"/>
        </w:rPr>
        <w:t>11</w:t>
      </w:r>
      <w:r>
        <w:rPr>
          <w:rFonts w:hint="eastAsia" w:ascii="宋体" w:hAnsi="宋体" w:eastAsia="宋体" w:cs="宋体"/>
          <w:b w:val="0"/>
          <w:bCs w:val="0"/>
          <w:color w:val="000000"/>
          <w:kern w:val="0"/>
          <w:sz w:val="24"/>
          <w:szCs w:val="24"/>
          <w:highlight w:val="none"/>
          <w:u w:color="000000"/>
          <w:lang w:val="en-US" w:eastAsia="zh-CN" w:bidi="ar"/>
        </w:rPr>
        <w:t>0000.00元</w:t>
      </w:r>
    </w:p>
    <w:p w14:paraId="6E6B8C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最高限价：本项目最高限价为（人民币）</w:t>
      </w:r>
      <w:r>
        <w:rPr>
          <w:rFonts w:hint="eastAsia" w:ascii="宋体" w:hAnsi="宋体" w:cs="宋体"/>
          <w:b w:val="0"/>
          <w:bCs w:val="0"/>
          <w:color w:val="000000"/>
          <w:kern w:val="0"/>
          <w:sz w:val="24"/>
          <w:szCs w:val="24"/>
          <w:highlight w:val="none"/>
          <w:u w:color="000000"/>
          <w:lang w:val="en-US" w:eastAsia="zh-CN" w:bidi="ar"/>
        </w:rPr>
        <w:t>11</w:t>
      </w:r>
      <w:r>
        <w:rPr>
          <w:rFonts w:hint="eastAsia" w:ascii="宋体" w:hAnsi="宋体" w:eastAsia="宋体" w:cs="宋体"/>
          <w:b w:val="0"/>
          <w:bCs w:val="0"/>
          <w:color w:val="000000"/>
          <w:kern w:val="0"/>
          <w:sz w:val="24"/>
          <w:szCs w:val="24"/>
          <w:highlight w:val="none"/>
          <w:u w:color="000000"/>
          <w:lang w:val="en-US" w:eastAsia="zh-CN" w:bidi="ar"/>
        </w:rPr>
        <w:t>0000.00元，投标报价不得超过最高限价，否则按无效投标处理。</w:t>
      </w:r>
    </w:p>
    <w:p w14:paraId="14B2EE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采购需求：</w:t>
      </w:r>
      <w:r>
        <w:rPr>
          <w:rFonts w:hint="eastAsia" w:ascii="宋体" w:hAnsi="宋体" w:cs="宋体"/>
          <w:b w:val="0"/>
          <w:bCs w:val="0"/>
          <w:color w:val="000000"/>
          <w:kern w:val="0"/>
          <w:sz w:val="24"/>
          <w:szCs w:val="24"/>
          <w:highlight w:val="none"/>
          <w:u w:color="000000"/>
          <w:lang w:val="en-US" w:eastAsia="zh-CN" w:bidi="ar"/>
        </w:rPr>
        <w:t>详见第五章《采购需求》</w:t>
      </w:r>
      <w:r>
        <w:rPr>
          <w:rFonts w:hint="eastAsia" w:ascii="宋体" w:hAnsi="宋体" w:eastAsia="宋体" w:cs="宋体"/>
          <w:b w:val="0"/>
          <w:bCs w:val="0"/>
          <w:color w:val="000000"/>
          <w:kern w:val="0"/>
          <w:sz w:val="24"/>
          <w:szCs w:val="24"/>
          <w:highlight w:val="none"/>
          <w:u w:color="000000"/>
          <w:lang w:val="en-US" w:eastAsia="zh-CN" w:bidi="ar"/>
        </w:rPr>
        <w:t>。</w:t>
      </w:r>
    </w:p>
    <w:p w14:paraId="4663973A">
      <w:pPr>
        <w:tabs>
          <w:tab w:val="left" w:pos="720"/>
        </w:tabs>
        <w:spacing w:after="0" w:line="360" w:lineRule="auto"/>
        <w:ind w:firstLine="480" w:firstLineChars="200"/>
        <w:jc w:val="both"/>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服务期：</w:t>
      </w:r>
      <w:r>
        <w:rPr>
          <w:rFonts w:hint="eastAsia" w:ascii="宋体" w:hAnsi="宋体" w:cs="宋体"/>
          <w:b w:val="0"/>
          <w:bCs w:val="0"/>
          <w:color w:val="000000"/>
          <w:kern w:val="0"/>
          <w:sz w:val="24"/>
          <w:szCs w:val="24"/>
          <w:highlight w:val="none"/>
          <w:u w:color="000000"/>
          <w:lang w:val="en-US" w:eastAsia="zh-CN" w:bidi="ar"/>
        </w:rPr>
        <w:t>总服务周期20个日历天。合同签订后10个日历天内完成《滁宁城际控制中心南侧地块规划方案研究》初步成果，合同签订后20个日历天内完成最终成果并提交全部成果文件</w:t>
      </w:r>
      <w:r>
        <w:rPr>
          <w:rFonts w:hint="eastAsia" w:ascii="宋体" w:hAnsi="宋体" w:eastAsia="宋体" w:cs="宋体"/>
          <w:b w:val="0"/>
          <w:bCs w:val="0"/>
          <w:color w:val="000000"/>
          <w:kern w:val="0"/>
          <w:sz w:val="24"/>
          <w:szCs w:val="24"/>
          <w:highlight w:val="none"/>
          <w:u w:color="000000"/>
          <w:lang w:val="en-US" w:eastAsia="zh-CN" w:bidi="ar"/>
        </w:rPr>
        <w:t>。</w:t>
      </w:r>
    </w:p>
    <w:p w14:paraId="7C79C6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27FDF9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05B45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1.投标人须具有独立法人资格且具备相应服务能力。</w:t>
      </w:r>
    </w:p>
    <w:p w14:paraId="7B0D8E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2.具备须城乡规划编制乙级或以上资质。</w:t>
      </w:r>
    </w:p>
    <w:p w14:paraId="636BD57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05BD6AC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 xml:space="preserve"> 5 </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 xml:space="preserve"> 15 </w:t>
      </w:r>
      <w:r>
        <w:rPr>
          <w:rFonts w:hint="eastAsia" w:ascii="宋体" w:hAnsi="宋体" w:eastAsia="宋体" w:cs="宋体"/>
          <w:color w:val="000000"/>
          <w:kern w:val="0"/>
          <w:sz w:val="24"/>
          <w:szCs w:val="24"/>
          <w:highlight w:val="none"/>
          <w:u w:val="single" w:color="000000"/>
          <w:lang w:val="en-US" w:eastAsia="zh-CN" w:bidi="ar"/>
        </w:rPr>
        <w:t>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w:t>
      </w:r>
      <w:r>
        <w:rPr>
          <w:rFonts w:hint="eastAsia" w:ascii="宋体" w:hAnsi="宋体" w:cs="宋体"/>
          <w:color w:val="000000"/>
          <w:kern w:val="0"/>
          <w:sz w:val="24"/>
          <w:szCs w:val="24"/>
          <w:highlight w:val="none"/>
          <w:u w:val="single" w:color="000000"/>
          <w:lang w:val="en-US" w:eastAsia="zh-CN" w:bidi="ar"/>
        </w:rPr>
        <w:t>6</w:t>
      </w:r>
      <w:r>
        <w:rPr>
          <w:rFonts w:hint="eastAsia" w:ascii="宋体" w:hAnsi="宋体" w:eastAsia="宋体" w:cs="宋体"/>
          <w:color w:val="000000"/>
          <w:kern w:val="0"/>
          <w:sz w:val="24"/>
          <w:szCs w:val="24"/>
          <w:highlight w:val="none"/>
          <w:u w:val="single" w:color="000000"/>
          <w:lang w:val="en-US" w:eastAsia="zh-CN" w:bidi="ar"/>
        </w:rPr>
        <w:t>年</w:t>
      </w:r>
      <w:r>
        <w:rPr>
          <w:rFonts w:hint="eastAsia" w:ascii="宋体" w:hAnsi="宋体" w:cs="宋体"/>
          <w:color w:val="000000"/>
          <w:kern w:val="0"/>
          <w:sz w:val="24"/>
          <w:szCs w:val="24"/>
          <w:highlight w:val="none"/>
          <w:u w:val="single" w:color="000000"/>
          <w:lang w:val="en-US" w:eastAsia="zh-CN" w:bidi="ar"/>
        </w:rPr>
        <w:t xml:space="preserve"> 5 </w:t>
      </w:r>
      <w:r>
        <w:rPr>
          <w:rFonts w:hint="eastAsia" w:ascii="宋体" w:hAnsi="宋体" w:eastAsia="宋体" w:cs="宋体"/>
          <w:color w:val="000000"/>
          <w:kern w:val="0"/>
          <w:sz w:val="24"/>
          <w:szCs w:val="24"/>
          <w:highlight w:val="none"/>
          <w:u w:val="single" w:color="000000"/>
          <w:lang w:val="en-US" w:eastAsia="zh-CN" w:bidi="ar"/>
        </w:rPr>
        <w:t>月</w:t>
      </w:r>
      <w:r>
        <w:rPr>
          <w:rFonts w:hint="eastAsia" w:ascii="宋体" w:hAnsi="宋体" w:cs="宋体"/>
          <w:color w:val="000000"/>
          <w:kern w:val="0"/>
          <w:sz w:val="24"/>
          <w:szCs w:val="24"/>
          <w:highlight w:val="none"/>
          <w:u w:val="single" w:color="000000"/>
          <w:lang w:val="en-US" w:eastAsia="zh-CN" w:bidi="ar"/>
        </w:rPr>
        <w:t xml:space="preserve"> 21 </w:t>
      </w:r>
      <w:r>
        <w:rPr>
          <w:rFonts w:hint="eastAsia" w:ascii="宋体" w:hAnsi="宋体" w:eastAsia="宋体" w:cs="宋体"/>
          <w:color w:val="000000"/>
          <w:kern w:val="0"/>
          <w:sz w:val="24"/>
          <w:szCs w:val="24"/>
          <w:highlight w:val="none"/>
          <w:u w:val="single" w:color="000000"/>
          <w:lang w:val="en-US" w:eastAsia="zh-CN" w:bidi="ar"/>
        </w:rPr>
        <w:t>日</w:t>
      </w:r>
    </w:p>
    <w:p w14:paraId="378273C7">
      <w:pPr>
        <w:keepNext w:val="0"/>
        <w:keepLines w:val="0"/>
        <w:pageBreakBefore w:val="0"/>
        <w:kinsoku/>
        <w:overflowPunct/>
        <w:topLinePunct w:val="0"/>
        <w:autoSpaceDE/>
        <w:autoSpaceDN/>
        <w:bidi w:val="0"/>
        <w:adjustRightInd/>
        <w:snapToGrid/>
        <w:spacing w:line="360" w:lineRule="auto"/>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0DF687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8E8277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7730048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宋体"/>
          <w:b/>
          <w:bCs w:val="0"/>
          <w:sz w:val="24"/>
          <w:szCs w:val="24"/>
          <w:highlight w:val="none"/>
          <w:lang w:val="en-US" w:eastAsia="zh-CN"/>
        </w:rPr>
      </w:pPr>
      <w:bookmarkStart w:id="36" w:name="_Toc28359082"/>
      <w:bookmarkEnd w:id="36"/>
      <w:bookmarkStart w:id="37" w:name="_Toc58430308"/>
      <w:bookmarkEnd w:id="37"/>
      <w:bookmarkStart w:id="38" w:name="_Toc28359005"/>
      <w:bookmarkEnd w:id="38"/>
      <w:bookmarkStart w:id="39" w:name="_Toc35393793"/>
      <w:bookmarkEnd w:id="39"/>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递交方式</w:t>
      </w:r>
    </w:p>
    <w:p w14:paraId="7607F42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w:t>
      </w:r>
      <w:r>
        <w:rPr>
          <w:rFonts w:hint="eastAsia" w:ascii="宋体" w:hAnsi="宋体" w:cs="宋体"/>
          <w:bCs/>
          <w:color w:val="000000"/>
          <w:kern w:val="0"/>
          <w:sz w:val="24"/>
          <w:szCs w:val="24"/>
          <w:highlight w:val="none"/>
          <w:u w:val="single" w:color="000000"/>
          <w:lang w:val="en-US" w:eastAsia="zh-CN" w:bidi="ar"/>
        </w:rPr>
        <w:t>6</w:t>
      </w:r>
      <w:r>
        <w:rPr>
          <w:rFonts w:hint="eastAsia" w:ascii="宋体" w:hAnsi="宋体" w:eastAsia="宋体" w:cs="宋体"/>
          <w:bCs/>
          <w:color w:val="000000"/>
          <w:kern w:val="0"/>
          <w:sz w:val="24"/>
          <w:szCs w:val="24"/>
          <w:highlight w:val="none"/>
          <w:u w:val="single" w:color="000000"/>
          <w:lang w:val="en-US" w:eastAsia="zh-CN" w:bidi="ar"/>
        </w:rPr>
        <w:t>年</w:t>
      </w:r>
      <w:r>
        <w:rPr>
          <w:rFonts w:hint="eastAsia" w:ascii="宋体" w:hAnsi="宋体" w:cs="宋体"/>
          <w:bCs/>
          <w:color w:val="000000"/>
          <w:kern w:val="0"/>
          <w:sz w:val="24"/>
          <w:szCs w:val="24"/>
          <w:highlight w:val="none"/>
          <w:u w:val="single" w:color="000000"/>
          <w:lang w:val="en-US" w:eastAsia="zh-CN" w:bidi="ar"/>
        </w:rPr>
        <w:t xml:space="preserve"> 5 </w:t>
      </w:r>
      <w:r>
        <w:rPr>
          <w:rFonts w:hint="eastAsia" w:ascii="宋体" w:hAnsi="宋体" w:eastAsia="宋体" w:cs="宋体"/>
          <w:bCs/>
          <w:color w:val="000000"/>
          <w:kern w:val="0"/>
          <w:sz w:val="24"/>
          <w:szCs w:val="24"/>
          <w:highlight w:val="none"/>
          <w:u w:val="single" w:color="000000"/>
          <w:lang w:val="en-US" w:eastAsia="zh-CN" w:bidi="ar"/>
        </w:rPr>
        <w:t>月</w:t>
      </w:r>
      <w:r>
        <w:rPr>
          <w:rFonts w:hint="eastAsia" w:ascii="宋体" w:hAnsi="宋体" w:cs="宋体"/>
          <w:bCs/>
          <w:color w:val="000000"/>
          <w:kern w:val="0"/>
          <w:sz w:val="24"/>
          <w:szCs w:val="24"/>
          <w:highlight w:val="none"/>
          <w:u w:val="single" w:color="000000"/>
          <w:lang w:val="en-US" w:eastAsia="zh-CN" w:bidi="ar"/>
        </w:rPr>
        <w:t xml:space="preserve"> 21 </w:t>
      </w:r>
      <w:r>
        <w:rPr>
          <w:rFonts w:hint="eastAsia" w:ascii="宋体" w:hAnsi="宋体" w:eastAsia="宋体" w:cs="宋体"/>
          <w:bCs/>
          <w:color w:val="000000"/>
          <w:kern w:val="0"/>
          <w:sz w:val="24"/>
          <w:szCs w:val="24"/>
          <w:highlight w:val="none"/>
          <w:u w:val="single" w:color="000000"/>
          <w:lang w:val="en-US" w:eastAsia="zh-CN" w:bidi="ar"/>
        </w:rPr>
        <w:t>日</w:t>
      </w:r>
      <w:r>
        <w:rPr>
          <w:rFonts w:hint="eastAsia" w:ascii="宋体" w:hAnsi="宋体" w:cs="宋体"/>
          <w:bCs/>
          <w:color w:val="000000"/>
          <w:kern w:val="0"/>
          <w:sz w:val="24"/>
          <w:szCs w:val="24"/>
          <w:highlight w:val="none"/>
          <w:u w:val="single" w:color="000000"/>
          <w:lang w:val="en-US" w:eastAsia="zh-CN" w:bidi="ar"/>
        </w:rPr>
        <w:t>9</w:t>
      </w:r>
      <w:r>
        <w:rPr>
          <w:rFonts w:hint="eastAsia" w:ascii="宋体" w:hAnsi="宋体" w:eastAsia="宋体" w:cs="宋体"/>
          <w:bCs/>
          <w:color w:val="000000"/>
          <w:kern w:val="0"/>
          <w:sz w:val="24"/>
          <w:szCs w:val="24"/>
          <w:highlight w:val="none"/>
          <w:u w:val="single" w:color="000000"/>
          <w:lang w:val="en-US" w:eastAsia="zh-CN" w:bidi="ar"/>
        </w:rPr>
        <w:t>时</w:t>
      </w:r>
      <w:r>
        <w:rPr>
          <w:rFonts w:hint="eastAsia" w:ascii="宋体" w:hAnsi="宋体" w:cs="宋体"/>
          <w:bCs/>
          <w:color w:val="000000"/>
          <w:kern w:val="0"/>
          <w:sz w:val="24"/>
          <w:szCs w:val="24"/>
          <w:highlight w:val="none"/>
          <w:u w:val="single" w:color="000000"/>
          <w:lang w:val="en-US" w:eastAsia="zh-CN" w:bidi="ar"/>
        </w:rPr>
        <w:t>3</w:t>
      </w:r>
      <w:r>
        <w:rPr>
          <w:rFonts w:hint="eastAsia" w:ascii="宋体" w:hAnsi="宋体" w:eastAsia="宋体" w:cs="宋体"/>
          <w:bCs/>
          <w:color w:val="000000"/>
          <w:kern w:val="0"/>
          <w:sz w:val="24"/>
          <w:szCs w:val="24"/>
          <w:highlight w:val="none"/>
          <w:u w:val="single" w:color="000000"/>
          <w:lang w:val="en-US" w:eastAsia="zh-CN" w:bidi="ar"/>
        </w:rPr>
        <w:t>0分</w:t>
      </w:r>
      <w:r>
        <w:rPr>
          <w:rFonts w:hint="eastAsia" w:ascii="宋体" w:hAnsi="宋体" w:eastAsia="宋体" w:cs="宋体"/>
          <w:bCs/>
          <w:color w:val="000000"/>
          <w:kern w:val="0"/>
          <w:sz w:val="24"/>
          <w:szCs w:val="24"/>
          <w:highlight w:val="none"/>
          <w:u w:color="000000"/>
          <w:lang w:val="en-US" w:eastAsia="zh-CN" w:bidi="ar"/>
        </w:rPr>
        <w:t>（北京时间）</w:t>
      </w:r>
    </w:p>
    <w:p w14:paraId="75F86DE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Calibri" w:eastAsia="宋体" w:cs="Times New Roman"/>
          <w:color w:val="auto"/>
          <w:sz w:val="21"/>
          <w:szCs w:val="21"/>
          <w:highlight w:val="none"/>
          <w:lang w:val="en-US" w:eastAsia="zh-CN"/>
        </w:rPr>
      </w:pPr>
      <w:r>
        <w:rPr>
          <w:rFonts w:hint="eastAsia" w:ascii="宋体" w:hAnsi="宋体" w:cs="宋体"/>
          <w:color w:val="auto"/>
          <w:sz w:val="24"/>
          <w:szCs w:val="24"/>
          <w:highlight w:val="none"/>
          <w:lang w:val="en-US" w:eastAsia="zh-CN"/>
        </w:rPr>
        <w:t>投标文件递交方式：</w:t>
      </w:r>
      <w:r>
        <w:rPr>
          <w:rFonts w:hint="default" w:ascii="宋体" w:hAnsi="宋体" w:cs="宋体"/>
          <w:color w:val="auto"/>
          <w:sz w:val="24"/>
          <w:szCs w:val="24"/>
          <w:highlight w:val="none"/>
          <w:lang w:val="en-US" w:eastAsia="zh-CN"/>
        </w:rPr>
        <w:t>①</w:t>
      </w:r>
      <w:r>
        <w:rPr>
          <w:rFonts w:hint="eastAsia" w:ascii="宋体" w:hAnsi="宋体" w:cs="宋体"/>
          <w:color w:val="auto"/>
          <w:sz w:val="24"/>
          <w:szCs w:val="24"/>
          <w:highlight w:val="none"/>
          <w:lang w:val="en-US" w:eastAsia="zh-CN"/>
        </w:rPr>
        <w:t>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"mailto:2、在递交截止时间后30分钟内，将解压密码通过邮箱发送至代理机构邮箱（czsctgczx@163.com）" </w:instrText>
      </w:r>
      <w:r>
        <w:rPr>
          <w:rFonts w:hint="eastAsia" w:ascii="宋体" w:hAnsi="宋体" w:cs="宋体"/>
          <w:color w:val="auto"/>
          <w:sz w:val="24"/>
          <w:szCs w:val="24"/>
          <w:highlight w:val="none"/>
          <w:lang w:val="en-US" w:eastAsia="zh-CN"/>
        </w:rPr>
        <w:fldChar w:fldCharType="separate"/>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在投标截止时间后30分钟内，将投标文件密码通过邮箱发送至滁州市城投工程咨询管理有限公司邮箱（czsctzx@163.com）</w: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，未在规定时间内发送密码或发送的密码无法正确打开投标文件的，投标文件将被拒绝。</w:t>
      </w:r>
    </w:p>
    <w:p w14:paraId="30ED522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1482384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30219B9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bookmarkStart w:id="40" w:name="_Toc28359087"/>
      <w:r>
        <w:rPr>
          <w:rFonts w:hint="eastAsia" w:ascii="宋体" w:hAnsi="宋体" w:eastAsia="宋体" w:cs="宋体"/>
          <w:bCs/>
          <w:color w:val="000000"/>
          <w:kern w:val="0"/>
          <w:sz w:val="24"/>
          <w:highlight w:val="none"/>
          <w:u w:color="000000"/>
          <w:lang w:bidi="ar"/>
        </w:rPr>
        <w:t>名称：</w:t>
      </w:r>
      <w:r>
        <w:rPr>
          <w:rFonts w:hint="eastAsia" w:ascii="宋体" w:hAnsi="宋体" w:cs="宋体"/>
          <w:bCs/>
          <w:color w:val="000000"/>
          <w:kern w:val="0"/>
          <w:sz w:val="24"/>
          <w:highlight w:val="none"/>
          <w:u w:color="000000"/>
          <w:lang w:eastAsia="zh-CN" w:bidi="ar"/>
        </w:rPr>
        <w:t>滁州市滁宁城际铁路开发建设有限公司</w:t>
      </w:r>
    </w:p>
    <w:p w14:paraId="0A32F28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eastAsia="zh-CN" w:bidi="ar"/>
        </w:rPr>
      </w:pPr>
      <w:r>
        <w:rPr>
          <w:rFonts w:hint="eastAsia" w:ascii="宋体" w:hAnsi="宋体" w:eastAsia="宋体" w:cs="宋体"/>
          <w:bCs/>
          <w:color w:val="000000"/>
          <w:kern w:val="0"/>
          <w:sz w:val="24"/>
          <w:highlight w:val="none"/>
          <w:u w:color="000000"/>
          <w:lang w:bidi="ar"/>
        </w:rPr>
        <w:t>地址：</w:t>
      </w:r>
      <w:r>
        <w:rPr>
          <w:rFonts w:hint="eastAsia" w:ascii="宋体" w:hAnsi="宋体" w:cs="宋体"/>
          <w:bCs/>
          <w:color w:val="000000"/>
          <w:kern w:val="0"/>
          <w:sz w:val="24"/>
          <w:highlight w:val="none"/>
          <w:u w:color="000000"/>
          <w:lang w:eastAsia="zh-CN" w:bidi="ar"/>
        </w:rPr>
        <w:t>滁州市徽州路与扬子路交叉口东南侧7楼</w:t>
      </w:r>
    </w:p>
    <w:p w14:paraId="1F74C4A8">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联系方式：</w:t>
      </w:r>
      <w:bookmarkStart w:id="41" w:name="_Toc28359086"/>
      <w:bookmarkStart w:id="42" w:name="_Toc28359009"/>
      <w:r>
        <w:rPr>
          <w:rFonts w:hint="eastAsia" w:ascii="宋体" w:hAnsi="宋体" w:cs="宋体"/>
          <w:bCs/>
          <w:color w:val="000000"/>
          <w:kern w:val="0"/>
          <w:sz w:val="24"/>
          <w:highlight w:val="none"/>
          <w:u w:color="000000"/>
          <w:lang w:eastAsia="zh-CN" w:bidi="ar"/>
        </w:rPr>
        <w:t>0550-2350288</w:t>
      </w:r>
    </w:p>
    <w:bookmarkEnd w:id="41"/>
    <w:bookmarkEnd w:id="42"/>
    <w:p w14:paraId="75CB189C">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40"/>
      <w:r>
        <w:rPr>
          <w:rFonts w:hint="eastAsia" w:ascii="宋体" w:hAnsi="宋体" w:eastAsia="宋体" w:cs="宋体"/>
          <w:bCs/>
          <w:color w:val="000000"/>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cs="宋体"/>
          <w:bCs/>
          <w:color w:val="000000"/>
          <w:kern w:val="0"/>
          <w:sz w:val="24"/>
          <w:highlight w:val="none"/>
          <w:u w:color="000000"/>
          <w:lang w:val="en-US" w:eastAsia="zh-CN" w:bidi="ar"/>
        </w:rPr>
        <w:t>杨雅辰</w:t>
      </w:r>
      <w:r>
        <w:rPr>
          <w:rFonts w:hint="eastAsia" w:ascii="宋体" w:hAnsi="宋体" w:eastAsia="宋体" w:cs="宋体"/>
          <w:bCs/>
          <w:color w:val="000000"/>
          <w:kern w:val="0"/>
          <w:sz w:val="24"/>
          <w:highlight w:val="none"/>
          <w:u w:color="000000"/>
          <w:lang w:bidi="ar"/>
        </w:rPr>
        <w:t xml:space="preserve">、周蓓蕾       </w:t>
      </w:r>
    </w:p>
    <w:p w14:paraId="06AAFC0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w:t>
      </w:r>
      <w:r>
        <w:rPr>
          <w:rFonts w:hint="eastAsia" w:ascii="宋体" w:hAnsi="宋体" w:eastAsia="宋体" w:cs="宋体"/>
          <w:bCs/>
          <w:color w:val="000000"/>
          <w:kern w:val="0"/>
          <w:sz w:val="24"/>
          <w:highlight w:val="none"/>
          <w:u w:color="000000"/>
          <w:lang w:eastAsia="zh-CN" w:bidi="ar"/>
        </w:rPr>
        <w:t>13339207910</w:t>
      </w:r>
      <w:r>
        <w:rPr>
          <w:rFonts w:hint="eastAsia" w:ascii="宋体" w:hAnsi="宋体" w:eastAsia="宋体" w:cs="宋体"/>
          <w:bCs/>
          <w:color w:val="000000"/>
          <w:kern w:val="0"/>
          <w:sz w:val="24"/>
          <w:highlight w:val="none"/>
          <w:u w:color="000000"/>
          <w:lang w:bidi="ar"/>
        </w:rPr>
        <w:t>、18005505728</w:t>
      </w:r>
    </w:p>
    <w:p w14:paraId="7C1F8FDB">
      <w:pPr>
        <w:pStyle w:val="44"/>
        <w:spacing w:beforeLines="50" w:afterLines="50" w:line="440" w:lineRule="exact"/>
        <w:rPr>
          <w:rFonts w:hint="eastAsia"/>
          <w:bCs/>
          <w:szCs w:val="32"/>
          <w:highlight w:val="none"/>
          <w:lang w:val="en-US" w:eastAsia="zh-CN"/>
        </w:rPr>
      </w:pPr>
      <w:r>
        <w:rPr>
          <w:rFonts w:hint="eastAsia"/>
          <w:bCs/>
          <w:szCs w:val="32"/>
          <w:highlight w:val="none"/>
        </w:rPr>
        <w:br w:type="page"/>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Cs/>
          <w:szCs w:val="32"/>
          <w:highlight w:val="none"/>
          <w:lang w:val="en-US" w:eastAsia="zh-CN"/>
        </w:rPr>
        <w:t xml:space="preserve">  第二章 投标人须知</w:t>
      </w:r>
      <w:bookmarkStart w:id="43" w:name="_Toc9559"/>
      <w:bookmarkEnd w:id="43"/>
      <w:bookmarkStart w:id="44" w:name="_Toc324404814"/>
      <w:bookmarkStart w:id="45" w:name="_Toc152045528"/>
      <w:bookmarkStart w:id="46" w:name="_Toc247085688"/>
      <w:bookmarkStart w:id="47" w:name="_Toc35424884"/>
      <w:bookmarkStart w:id="48" w:name="_Toc246996174"/>
      <w:bookmarkStart w:id="49" w:name="_Toc35425051"/>
      <w:bookmarkStart w:id="50" w:name="_Toc152042304"/>
      <w:bookmarkStart w:id="51" w:name="_Toc15058845"/>
      <w:bookmarkStart w:id="52" w:name="_Toc179632545"/>
      <w:bookmarkStart w:id="53" w:name="_Toc246996917"/>
      <w:bookmarkStart w:id="54" w:name="_Toc506107268"/>
      <w:bookmarkStart w:id="55" w:name="_Toc144974496"/>
    </w:p>
    <w:p w14:paraId="594BBBF6">
      <w:pPr>
        <w:pStyle w:val="44"/>
        <w:spacing w:beforeLines="50" w:afterLines="50" w:line="440" w:lineRule="exact"/>
        <w:rPr>
          <w:b/>
          <w:bCs/>
          <w:sz w:val="28"/>
          <w:szCs w:val="28"/>
          <w:highlight w:val="none"/>
        </w:rPr>
      </w:pPr>
      <w:r>
        <w:rPr>
          <w:rFonts w:hint="eastAsia"/>
          <w:b/>
          <w:bCs/>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7"/>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700257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47A66D15">
            <w:pPr>
              <w:pStyle w:val="26"/>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bookmarkStart w:id="56" w:name="_Toc152045529"/>
            <w:bookmarkStart w:id="57" w:name="_Toc15058846"/>
            <w:bookmarkStart w:id="58" w:name="_Toc179632546"/>
            <w:bookmarkStart w:id="59" w:name="_Toc35424887"/>
            <w:bookmarkStart w:id="60" w:name="_Toc246996918"/>
            <w:bookmarkStart w:id="61" w:name="_Toc144974497"/>
            <w:bookmarkStart w:id="62" w:name="_Toc152042305"/>
            <w:bookmarkStart w:id="63" w:name="_Toc324404815"/>
            <w:bookmarkStart w:id="64" w:name="_Toc247085689"/>
            <w:bookmarkStart w:id="65" w:name="_Toc35425053"/>
            <w:bookmarkStart w:id="66" w:name="_Toc5813"/>
            <w:bookmarkStart w:id="67" w:name="_Toc78803322"/>
            <w:bookmarkStart w:id="68" w:name="_Toc506107269"/>
            <w:bookmarkStart w:id="69" w:name="_Toc246996175"/>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594100DD">
            <w:pPr>
              <w:pStyle w:val="26"/>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83DA0C9">
            <w:pPr>
              <w:pStyle w:val="26"/>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1094E6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5758D1A">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F5B747">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AB18A">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cs="Times New Roman"/>
                <w:highlight w:val="none"/>
                <w:lang w:val="en-US" w:eastAsia="zh-CN"/>
              </w:rPr>
            </w:pPr>
            <w:r>
              <w:rPr>
                <w:rFonts w:hint="eastAsia" w:cs="Times New Roman"/>
                <w:highlight w:val="none"/>
                <w:lang w:val="en-US" w:eastAsia="zh-CN"/>
              </w:rPr>
              <w:t>滁宁城际控制中心南侧地块规划方案研究项目</w:t>
            </w:r>
          </w:p>
        </w:tc>
      </w:tr>
      <w:tr w14:paraId="00F762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DF98EA">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6436667">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ascii="宋体" w:hAnsi="宋体" w:eastAsia="宋体" w:cs="Times New Roman"/>
                <w:highlight w:val="none"/>
                <w:lang w:val="en-US"/>
              </w:rPr>
            </w:pPr>
            <w:r>
              <w:rPr>
                <w:rFonts w:hint="eastAsia" w:cs="Times New Roman"/>
                <w:highlight w:val="none"/>
                <w:lang w:val="en-US" w:eastAsia="zh-CN"/>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859BC4">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51D5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B6A10">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99B68D">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建项目</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A7DC1C">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highlight w:val="none"/>
                <w:lang w:val="en-US"/>
              </w:rPr>
            </w:pPr>
            <w:r>
              <w:rPr>
                <w:rFonts w:hint="eastAsia" w:ascii="宋体" w:hAnsi="宋体" w:eastAsia="宋体" w:cs="宋体"/>
                <w:color w:val="000000"/>
                <w:szCs w:val="21"/>
                <w:highlight w:val="none"/>
                <w:lang w:val="en-US" w:eastAsia="zh-CN"/>
              </w:rPr>
              <w:t>招标人指定地点</w:t>
            </w:r>
          </w:p>
        </w:tc>
      </w:tr>
      <w:tr w14:paraId="27087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573FA24">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BACA72">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3E1BAA">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cs="宋体"/>
                <w:highlight w:val="none"/>
                <w:lang w:val="en-US" w:eastAsia="zh-CN"/>
              </w:rPr>
              <w:t>杨雅辰</w:t>
            </w:r>
            <w:r>
              <w:rPr>
                <w:rFonts w:hint="eastAsia" w:ascii="宋体" w:hAnsi="宋体" w:eastAsia="宋体" w:cs="宋体"/>
                <w:highlight w:val="none"/>
              </w:rPr>
              <w:t xml:space="preserve">  </w:t>
            </w:r>
            <w:r>
              <w:rPr>
                <w:rFonts w:hint="eastAsia" w:ascii="宋体" w:hAnsi="宋体" w:eastAsia="宋体" w:cs="宋体"/>
                <w:highlight w:val="none"/>
                <w:lang w:eastAsia="zh-CN"/>
              </w:rPr>
              <w:t>13339207910</w:t>
            </w:r>
          </w:p>
        </w:tc>
      </w:tr>
      <w:tr w14:paraId="0473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07BAC8">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06E67FA">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8478BB">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highlight w:val="none"/>
                <w:lang w:val="en-US"/>
              </w:rPr>
            </w:pPr>
            <w:r>
              <w:rPr>
                <w:rFonts w:hint="eastAsia" w:ascii="宋体" w:hAnsi="宋体" w:eastAsia="宋体" w:cs="宋体"/>
                <w:highlight w:val="none"/>
              </w:rPr>
              <w:t xml:space="preserve">周蓓蕾 </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rPr>
              <w:t>0550-3519519  18005505728</w:t>
            </w:r>
          </w:p>
        </w:tc>
      </w:tr>
      <w:tr w14:paraId="71E730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D46A87">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4D8AC4">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EF74E4A">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自筹资金</w:t>
            </w:r>
          </w:p>
        </w:tc>
      </w:tr>
      <w:tr w14:paraId="79EABF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67D64">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8E1709">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5C6E93">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110000.00元</w:t>
            </w:r>
          </w:p>
        </w:tc>
      </w:tr>
      <w:tr w14:paraId="38A50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8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B22ED3">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236DCD">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CDE3C66">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ascii="宋体" w:hAnsi="宋体" w:cs="宋体"/>
                <w:bCs/>
                <w:color w:val="000000"/>
                <w:szCs w:val="21"/>
                <w:highlight w:val="none"/>
                <w:lang w:val="en-US" w:eastAsia="zh-CN"/>
              </w:rPr>
              <w:t>110000.00元</w:t>
            </w:r>
            <w:r>
              <w:rPr>
                <w:rFonts w:hint="eastAsia" w:ascii="宋体" w:hAnsi="宋体" w:eastAsia="宋体" w:cs="宋体"/>
                <w:bCs/>
                <w:color w:val="000000"/>
                <w:szCs w:val="21"/>
                <w:highlight w:val="none"/>
                <w:lang w:val="en-US" w:eastAsia="zh-CN"/>
              </w:rPr>
              <w:t>，投标报价不得超过最高限价，否则按无效投标处理。</w:t>
            </w:r>
          </w:p>
        </w:tc>
      </w:tr>
      <w:tr w14:paraId="2BF56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5C7E64">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9493BA">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5665B0F">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4EF94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7B3C99">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A480FC">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5470FC">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7EB9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980FE8">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4B21C">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A0820B">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4137AF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6BC84A">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FE82CD">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FC2F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7650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0BB2">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6F3ADA">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A31F89">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34B7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7E94C">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C10255">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210882">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B13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128AA3">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FA6039">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25BE35">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 w:val="0"/>
                <w:bCs w:val="0"/>
                <w:highlight w:val="none"/>
                <w:lang w:val="en-US"/>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cs="宋体"/>
                <w:b w:val="0"/>
                <w:bCs w:val="0"/>
                <w:highlight w:val="none"/>
                <w:lang w:val="en-US" w:eastAsia="zh-CN"/>
              </w:rPr>
              <w:t>6</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5</w:t>
            </w:r>
            <w:r>
              <w:rPr>
                <w:rFonts w:hint="eastAsia" w:ascii="宋体" w:hAnsi="宋体" w:eastAsia="宋体" w:cs="宋体"/>
                <w:b w:val="0"/>
                <w:bCs w:val="0"/>
                <w:highlight w:val="none"/>
              </w:rPr>
              <w:t>月</w:t>
            </w:r>
            <w:r>
              <w:rPr>
                <w:rFonts w:hint="eastAsia" w:ascii="宋体" w:hAnsi="宋体" w:cs="宋体"/>
                <w:b w:val="0"/>
                <w:bCs w:val="0"/>
                <w:highlight w:val="none"/>
                <w:lang w:val="en-US" w:eastAsia="zh-CN"/>
              </w:rPr>
              <w:t>18</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rPr>
              <w:t>1</w:t>
            </w:r>
            <w:r>
              <w:rPr>
                <w:rFonts w:hint="eastAsia" w:ascii="宋体" w:hAnsi="宋体" w:cs="宋体"/>
                <w:b w:val="0"/>
                <w:bCs w:val="0"/>
                <w:highlight w:val="none"/>
                <w:lang w:val="en-US" w:eastAsia="zh-CN"/>
              </w:rPr>
              <w:t>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czsctzx@163.com</w:t>
            </w:r>
            <w:r>
              <w:rPr>
                <w:rFonts w:hint="eastAsia" w:ascii="宋体" w:hAnsi="宋体" w:eastAsia="宋体" w:cs="宋体"/>
                <w:b w:val="0"/>
                <w:bCs w:val="0"/>
                <w:highlight w:val="none"/>
              </w:rPr>
              <w:t>）。</w:t>
            </w:r>
          </w:p>
        </w:tc>
      </w:tr>
      <w:tr w14:paraId="3B1A25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87AB22E">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92CEA6">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DD75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宋体"/>
                <w:b w:val="0"/>
                <w:bCs w:val="0"/>
                <w:color w:val="auto"/>
                <w:kern w:val="2"/>
                <w:sz w:val="21"/>
                <w:szCs w:val="21"/>
                <w:highlight w:val="none"/>
                <w:u w:color="auto"/>
                <w:lang w:val="en-US" w:eastAsia="zh-CN" w:bidi="ar"/>
              </w:rPr>
              <w:t>202</w:t>
            </w:r>
            <w:r>
              <w:rPr>
                <w:rFonts w:hint="eastAsia" w:ascii="宋体" w:hAnsi="宋体" w:cs="宋体"/>
                <w:b w:val="0"/>
                <w:bCs w:val="0"/>
                <w:color w:val="auto"/>
                <w:kern w:val="2"/>
                <w:sz w:val="21"/>
                <w:szCs w:val="21"/>
                <w:highlight w:val="none"/>
                <w:u w:color="auto"/>
                <w:lang w:val="en-US" w:eastAsia="zh-CN" w:bidi="ar"/>
              </w:rPr>
              <w:t>6</w:t>
            </w:r>
            <w:r>
              <w:rPr>
                <w:rFonts w:hint="eastAsia" w:ascii="宋体" w:hAnsi="宋体" w:eastAsia="宋体" w:cs="宋体"/>
                <w:b w:val="0"/>
                <w:bCs w:val="0"/>
                <w:color w:val="auto"/>
                <w:kern w:val="2"/>
                <w:sz w:val="21"/>
                <w:szCs w:val="21"/>
                <w:highlight w:val="none"/>
                <w:u w:color="auto"/>
                <w:lang w:val="en-US" w:eastAsia="zh-CN" w:bidi="ar"/>
              </w:rPr>
              <w:t>年</w:t>
            </w:r>
            <w:r>
              <w:rPr>
                <w:rFonts w:hint="eastAsia" w:ascii="宋体" w:hAnsi="宋体" w:cs="宋体"/>
                <w:b w:val="0"/>
                <w:bCs w:val="0"/>
                <w:color w:val="auto"/>
                <w:kern w:val="2"/>
                <w:sz w:val="21"/>
                <w:szCs w:val="21"/>
                <w:highlight w:val="none"/>
                <w:u w:color="auto"/>
                <w:lang w:val="en-US" w:eastAsia="zh-CN" w:bidi="ar"/>
              </w:rPr>
              <w:t>5</w:t>
            </w:r>
            <w:r>
              <w:rPr>
                <w:rFonts w:hint="eastAsia" w:ascii="宋体" w:hAnsi="宋体" w:eastAsia="宋体" w:cs="宋体"/>
                <w:b w:val="0"/>
                <w:bCs w:val="0"/>
                <w:color w:val="auto"/>
                <w:kern w:val="2"/>
                <w:sz w:val="21"/>
                <w:szCs w:val="21"/>
                <w:highlight w:val="none"/>
                <w:u w:color="auto"/>
                <w:lang w:val="en-US" w:eastAsia="zh-CN" w:bidi="ar"/>
              </w:rPr>
              <w:t>月</w:t>
            </w:r>
            <w:r>
              <w:rPr>
                <w:rFonts w:hint="eastAsia" w:ascii="宋体" w:hAnsi="宋体" w:cs="宋体"/>
                <w:b w:val="0"/>
                <w:bCs w:val="0"/>
                <w:color w:val="auto"/>
                <w:kern w:val="2"/>
                <w:sz w:val="21"/>
                <w:szCs w:val="21"/>
                <w:highlight w:val="none"/>
                <w:u w:color="auto"/>
                <w:lang w:val="en-US" w:eastAsia="zh-CN" w:bidi="ar"/>
              </w:rPr>
              <w:t>18</w:t>
            </w:r>
            <w:r>
              <w:rPr>
                <w:rFonts w:hint="eastAsia" w:ascii="宋体" w:hAnsi="宋体" w:eastAsia="宋体" w:cs="宋体"/>
                <w:b w:val="0"/>
                <w:bCs w:val="0"/>
                <w:color w:val="auto"/>
                <w:kern w:val="2"/>
                <w:sz w:val="21"/>
                <w:szCs w:val="21"/>
                <w:highlight w:val="none"/>
                <w:u w:color="auto"/>
                <w:lang w:val="en-US" w:eastAsia="zh-CN" w:bidi="ar"/>
              </w:rPr>
              <w:t>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hAnsi="宋体" w:cs="宋体"/>
                <w:szCs w:val="21"/>
                <w:highlight w:val="none"/>
                <w:lang w:eastAsia="zh-CN"/>
              </w:rPr>
              <w:t>滁州市滁宁城际铁路开发建设有限公司</w:t>
            </w:r>
            <w:r>
              <w:rPr>
                <w:rFonts w:hint="eastAsia" w:ascii="宋体" w:hAnsi="宋体" w:eastAsia="宋体" w:cs="宋体"/>
                <w:szCs w:val="21"/>
                <w:highlight w:val="none"/>
                <w:lang w:val="en-US" w:eastAsia="zh-CN"/>
              </w:rPr>
              <w:t>网站</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http://czctgs.cn/</w:t>
            </w:r>
            <w:r>
              <w:rPr>
                <w:rFonts w:hint="eastAsia" w:ascii="宋体" w:hAnsi="宋体" w:eastAsia="宋体" w:cs="宋体"/>
                <w:szCs w:val="21"/>
                <w:highlight w:val="none"/>
              </w:rPr>
              <w:t>）发布。</w:t>
            </w:r>
          </w:p>
        </w:tc>
      </w:tr>
      <w:tr w14:paraId="7BAA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C9316A">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0E28CE">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0FDACB">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07C0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93D0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E23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ED71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w:t>
            </w:r>
            <w:r>
              <w:rPr>
                <w:rFonts w:hint="eastAsia" w:ascii="宋体" w:hAnsi="宋体" w:cs="宋体"/>
                <w:color w:val="000000"/>
                <w:kern w:val="2"/>
                <w:sz w:val="21"/>
                <w:szCs w:val="21"/>
                <w:highlight w:val="none"/>
                <w:u w:color="000000"/>
                <w:lang w:val="en-US" w:eastAsia="zh-CN" w:bidi="ar"/>
              </w:rPr>
              <w:t>2000</w:t>
            </w:r>
            <w:r>
              <w:rPr>
                <w:rFonts w:hint="eastAsia" w:ascii="宋体" w:hAnsi="宋体" w:eastAsia="宋体" w:cs="宋体"/>
                <w:color w:val="000000"/>
                <w:kern w:val="2"/>
                <w:sz w:val="21"/>
                <w:szCs w:val="21"/>
                <w:highlight w:val="none"/>
                <w:u w:color="000000"/>
                <w:lang w:val="en-US" w:eastAsia="zh-CN" w:bidi="ar"/>
              </w:rPr>
              <w:t>元，不含专家评审费（专家评审费用以实际支付为准，预计2000元整）。</w:t>
            </w:r>
          </w:p>
          <w:p w14:paraId="79F68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337FD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687F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AD7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05F0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095D2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3F3FFE">
            <w:pPr>
              <w:pStyle w:val="26"/>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6F23E6">
            <w:pPr>
              <w:pStyle w:val="26"/>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D95535">
            <w:pPr>
              <w:pStyle w:val="26"/>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9ADB8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7C91D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BF5B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AC6FA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71AD8C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C50D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7CC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FD7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17F2F4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05B7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0CC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519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 5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21 </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0分</w:t>
            </w:r>
            <w:r>
              <w:rPr>
                <w:rFonts w:hint="eastAsia" w:ascii="宋体" w:hAnsi="宋体" w:cs="宋体"/>
                <w:bCs/>
                <w:spacing w:val="-4"/>
                <w:kern w:val="0"/>
                <w:szCs w:val="21"/>
                <w:highlight w:val="none"/>
              </w:rPr>
              <w:t>（北京时间）</w:t>
            </w:r>
          </w:p>
        </w:tc>
      </w:tr>
      <w:tr w14:paraId="0F849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CAF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02FE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F0A9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494B49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813D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45A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D41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开标时间：202</w:t>
            </w:r>
            <w:r>
              <w:rPr>
                <w:rFonts w:hint="eastAsia" w:ascii="宋体" w:hAnsi="宋体" w:cs="宋体"/>
                <w:color w:val="000000"/>
                <w:kern w:val="2"/>
                <w:sz w:val="21"/>
                <w:szCs w:val="21"/>
                <w:highlight w:val="none"/>
                <w:u w:color="000000"/>
                <w:lang w:val="en-US" w:eastAsia="zh-CN" w:bidi="ar"/>
              </w:rPr>
              <w:t>6</w:t>
            </w:r>
            <w:r>
              <w:rPr>
                <w:rFonts w:hint="eastAsia" w:ascii="宋体" w:hAnsi="宋体" w:eastAsia="宋体" w:cs="宋体"/>
                <w:color w:val="000000"/>
                <w:kern w:val="2"/>
                <w:sz w:val="21"/>
                <w:szCs w:val="21"/>
                <w:highlight w:val="none"/>
                <w:u w:color="000000"/>
                <w:lang w:val="en-US" w:eastAsia="zh-CN" w:bidi="ar"/>
              </w:rPr>
              <w:t>年</w:t>
            </w:r>
            <w:r>
              <w:rPr>
                <w:rFonts w:hint="eastAsia" w:ascii="宋体" w:hAnsi="宋体" w:cs="宋体"/>
                <w:color w:val="000000"/>
                <w:kern w:val="2"/>
                <w:sz w:val="21"/>
                <w:szCs w:val="21"/>
                <w:highlight w:val="none"/>
                <w:u w:color="000000"/>
                <w:lang w:val="en-US" w:eastAsia="zh-CN" w:bidi="ar"/>
              </w:rPr>
              <w:t>5</w:t>
            </w:r>
            <w:r>
              <w:rPr>
                <w:rFonts w:hint="eastAsia" w:ascii="宋体" w:hAnsi="宋体" w:eastAsia="宋体" w:cs="宋体"/>
                <w:color w:val="000000"/>
                <w:kern w:val="2"/>
                <w:sz w:val="21"/>
                <w:szCs w:val="21"/>
                <w:highlight w:val="none"/>
                <w:u w:color="000000"/>
                <w:lang w:val="en-US" w:eastAsia="zh-CN" w:bidi="ar"/>
              </w:rPr>
              <w:t>月</w:t>
            </w:r>
            <w:r>
              <w:rPr>
                <w:rFonts w:hint="eastAsia" w:ascii="宋体" w:hAnsi="宋体" w:cs="宋体"/>
                <w:color w:val="000000"/>
                <w:kern w:val="2"/>
                <w:sz w:val="21"/>
                <w:szCs w:val="21"/>
                <w:highlight w:val="none"/>
                <w:u w:color="000000"/>
                <w:lang w:val="en-US" w:eastAsia="zh-CN" w:bidi="ar"/>
              </w:rPr>
              <w:t>21</w:t>
            </w:r>
            <w:r>
              <w:rPr>
                <w:rFonts w:hint="eastAsia" w:ascii="宋体" w:hAnsi="宋体" w:eastAsia="宋体" w:cs="宋体"/>
                <w:color w:val="000000"/>
                <w:kern w:val="2"/>
                <w:sz w:val="21"/>
                <w:szCs w:val="21"/>
                <w:highlight w:val="none"/>
                <w:u w:color="000000"/>
                <w:lang w:val="en-US" w:eastAsia="zh-CN" w:bidi="ar"/>
              </w:rPr>
              <w:t>日</w:t>
            </w:r>
            <w:r>
              <w:rPr>
                <w:rFonts w:hint="eastAsia" w:ascii="宋体" w:hAnsi="宋体" w:cs="宋体"/>
                <w:color w:val="000000"/>
                <w:kern w:val="2"/>
                <w:sz w:val="21"/>
                <w:szCs w:val="21"/>
                <w:highlight w:val="none"/>
                <w:u w:color="000000"/>
                <w:lang w:val="en-US" w:eastAsia="zh-CN" w:bidi="ar"/>
              </w:rPr>
              <w:t>9</w:t>
            </w:r>
            <w:r>
              <w:rPr>
                <w:rFonts w:hint="eastAsia" w:ascii="宋体" w:hAnsi="宋体" w:eastAsia="宋体" w:cs="宋体"/>
                <w:color w:val="000000"/>
                <w:kern w:val="2"/>
                <w:sz w:val="21"/>
                <w:szCs w:val="21"/>
                <w:highlight w:val="none"/>
                <w:u w:color="000000"/>
                <w:lang w:val="en-US" w:eastAsia="zh-CN" w:bidi="ar"/>
              </w:rPr>
              <w:t>时</w:t>
            </w:r>
            <w:r>
              <w:rPr>
                <w:rFonts w:hint="eastAsia" w:ascii="宋体" w:hAnsi="宋体" w:cs="宋体"/>
                <w:color w:val="000000"/>
                <w:kern w:val="2"/>
                <w:sz w:val="21"/>
                <w:szCs w:val="21"/>
                <w:highlight w:val="none"/>
                <w:u w:color="000000"/>
                <w:lang w:val="en-US" w:eastAsia="zh-CN" w:bidi="ar"/>
              </w:rPr>
              <w:t>3</w:t>
            </w:r>
            <w:r>
              <w:rPr>
                <w:rFonts w:hint="eastAsia" w:ascii="宋体" w:hAnsi="宋体" w:eastAsia="宋体" w:cs="宋体"/>
                <w:color w:val="000000"/>
                <w:kern w:val="2"/>
                <w:sz w:val="21"/>
                <w:szCs w:val="21"/>
                <w:highlight w:val="none"/>
                <w:u w:color="000000"/>
                <w:lang w:val="en-US" w:eastAsia="zh-CN" w:bidi="ar"/>
              </w:rPr>
              <w:t>0分（北京时间）</w:t>
            </w:r>
          </w:p>
          <w:p w14:paraId="325F25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w:t>
            </w:r>
            <w:r>
              <w:rPr>
                <w:rFonts w:hint="eastAsia" w:ascii="宋体" w:hAnsi="宋体" w:cs="宋体"/>
                <w:color w:val="000000"/>
                <w:kern w:val="2"/>
                <w:sz w:val="21"/>
                <w:szCs w:val="21"/>
                <w:highlight w:val="none"/>
                <w:u w:color="000000"/>
                <w:lang w:val="en-US" w:eastAsia="zh-CN" w:bidi="ar"/>
              </w:rPr>
              <w:t>控制中心五楼会议室</w:t>
            </w:r>
            <w:r>
              <w:rPr>
                <w:rFonts w:hint="eastAsia" w:ascii="宋体" w:hAnsi="宋体" w:eastAsia="宋体" w:cs="宋体"/>
                <w:color w:val="000000"/>
                <w:kern w:val="2"/>
                <w:sz w:val="21"/>
                <w:szCs w:val="21"/>
                <w:highlight w:val="none"/>
                <w:u w:color="000000"/>
                <w:lang w:val="en-US" w:eastAsia="zh-CN" w:bidi="ar"/>
              </w:rPr>
              <w:t xml:space="preserve"> (滁州市徽州路与扬子路交叉口东南侧)。</w:t>
            </w:r>
          </w:p>
        </w:tc>
      </w:tr>
      <w:tr w14:paraId="21895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9ECE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1241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B77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F7A0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8370E4">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D1B6BA">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C2E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2F9371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77FF74">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FBF4CA">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36FA09">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116BD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98F76B">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110AC3">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DDA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166E425">
            <w:pPr>
              <w:pStyle w:val="26"/>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49D09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ECE8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C00E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349A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F6CC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78DD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7490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7F11DB0C">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履约担保的形式：支持银行转账、银行保函（见索即付无条件保函）、担保保函、商业保险、第三方担保（无条件担保）使用</w:t>
            </w:r>
          </w:p>
          <w:p w14:paraId="01DFB2C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履约担保的金额</w:t>
            </w:r>
            <w:r>
              <w:rPr>
                <w:rFonts w:hint="eastAsia"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中标合同金额</w:t>
            </w:r>
            <w:r>
              <w:rPr>
                <w:rFonts w:hint="default" w:ascii="Arial" w:hAnsi="Arial" w:cs="Arial"/>
                <w:color w:val="auto"/>
                <w:sz w:val="21"/>
                <w:szCs w:val="21"/>
                <w:highlight w:val="none"/>
                <w:lang w:val="en-US" w:eastAsia="zh-CN"/>
              </w:rPr>
              <w:t>×</w:t>
            </w:r>
            <w:r>
              <w:rPr>
                <w:rFonts w:hint="eastAsia" w:cs="宋体"/>
                <w:color w:val="auto"/>
                <w:sz w:val="21"/>
                <w:szCs w:val="21"/>
                <w:highlight w:val="none"/>
                <w:lang w:val="en-US" w:eastAsia="zh-CN"/>
              </w:rPr>
              <w:t>10%</w:t>
            </w:r>
          </w:p>
          <w:p w14:paraId="0AB68E0F">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D08028A">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270F3007">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54215B9D">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E2E96B9">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履约保证金退还时限：履约保证金在合同履行期满后一个月内无息退还。</w:t>
            </w:r>
          </w:p>
          <w:p w14:paraId="78D2EB15">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4CFEF352">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221D9EFB">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269E4ED8">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7AB31801">
            <w:pPr>
              <w:pStyle w:val="4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56104A7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025A2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9BEA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A120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中标人提交研究设计方案后一次性支付合同价款的100%。</w:t>
            </w:r>
          </w:p>
        </w:tc>
      </w:tr>
      <w:tr w14:paraId="4C5D0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52900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C6B4F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26AE7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77CC6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F05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31E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B0B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06E4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3E3D1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7F98C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E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92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54777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DE91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CD0D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、本项目严禁非法转包，一经发现，招标人依法处理。</w:t>
            </w:r>
          </w:p>
          <w:p w14:paraId="17F40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rPr>
              <w:t>、本文件的最终解释权归招标人、招标代理机构所有。</w:t>
            </w:r>
          </w:p>
        </w:tc>
      </w:tr>
      <w:tr w14:paraId="44117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499AD6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11CF7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1、评标委员会只依靠投标人递交的投标文件及其按照招标文件要求提供的所有证明材料进行评审，而不依靠任何外来的证明材料。</w:t>
            </w:r>
          </w:p>
          <w:p w14:paraId="627B7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2、招标人对本项目执行过程中的所有争议拥有最终的裁决权，投标人应无条件地服从招标人的裁决，不得以任何理由提出增加本项目合同费用和延误本项目工期。</w:t>
            </w:r>
          </w:p>
          <w:p w14:paraId="48DFD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eastAsia="宋体"/>
                <w:highlight w:val="none"/>
                <w:lang w:val="en-US" w:eastAsia="zh-CN"/>
              </w:rPr>
            </w:pPr>
            <w:r>
              <w:rPr>
                <w:rFonts w:hint="eastAsia"/>
                <w:highlight w:val="none"/>
                <w:lang w:val="en-US" w:eastAsia="zh-CN"/>
              </w:rPr>
              <w:t>3、本项目严禁非法转包，一经发现，招标人依法处理。</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56"/>
    <w:bookmarkEnd w:id="57"/>
    <w:bookmarkEnd w:id="58"/>
    <w:bookmarkEnd w:id="59"/>
    <w:bookmarkEnd w:id="60"/>
    <w:bookmarkEnd w:id="61"/>
    <w:bookmarkEnd w:id="62"/>
    <w:bookmarkEnd w:id="63"/>
    <w:bookmarkEnd w:id="64"/>
    <w:bookmarkEnd w:id="65"/>
    <w:bookmarkEnd w:id="66"/>
    <w:bookmarkEnd w:id="67"/>
    <w:bookmarkEnd w:id="68"/>
    <w:bookmarkEnd w:id="69"/>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70" w:name="_Toc14421_WPSOffice_Level3"/>
      <w:bookmarkStart w:id="71" w:name="_Toc324404864"/>
      <w:bookmarkStart w:id="72" w:name="_Toc35424939"/>
      <w:bookmarkStart w:id="73" w:name="_Toc35425105"/>
      <w:bookmarkStart w:id="74" w:name="_Toc15058902"/>
      <w:bookmarkStart w:id="75" w:name="_Toc506107317"/>
      <w:bookmarkStart w:id="76" w:name="_Toc296602475"/>
      <w:r>
        <w:rPr>
          <w:rFonts w:hint="eastAsia" w:ascii="宋体" w:hAnsi="宋体" w:eastAsia="宋体" w:cs="宋体"/>
          <w:b/>
          <w:bCs w:val="0"/>
          <w:color w:val="000000"/>
          <w:kern w:val="0"/>
          <w:sz w:val="28"/>
          <w:szCs w:val="28"/>
          <w:highlight w:val="none"/>
          <w:u w:color="000000"/>
          <w:lang w:val="en-US" w:eastAsia="zh-CN" w:bidi="ar"/>
        </w:rPr>
        <w:t>（一）总  则</w:t>
      </w:r>
      <w:bookmarkEnd w:id="70"/>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宋体" w:cs="宋体"/>
          <w:color w:val="000000"/>
          <w:kern w:val="0"/>
          <w:sz w:val="21"/>
          <w:szCs w:val="21"/>
          <w:highlight w:val="none"/>
          <w:u w:color="000000"/>
          <w:lang w:val="en-US" w:eastAsia="zh-CN" w:bidi="ar"/>
        </w:rPr>
        <w:t>服务期</w:t>
      </w:r>
      <w:r>
        <w:rPr>
          <w:rFonts w:hint="eastAsia" w:ascii="宋体" w:hAnsi="宋体" w:eastAsia="宋体" w:cs="宋体"/>
          <w:color w:val="000000"/>
          <w:kern w:val="0"/>
          <w:sz w:val="21"/>
          <w:szCs w:val="21"/>
          <w:highlight w:val="none"/>
          <w:u w:color="000000"/>
          <w:lang w:val="en-US" w:eastAsia="zh-CN" w:bidi="ar"/>
        </w:rPr>
        <w:t>：见投标人须知前附表。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宋体" w:cs="宋体"/>
          <w:color w:val="000000"/>
          <w:kern w:val="0"/>
          <w:sz w:val="21"/>
          <w:szCs w:val="21"/>
          <w:highlight w:val="none"/>
          <w:u w:color="000000"/>
          <w:lang w:val="en-US" w:eastAsia="zh-CN" w:bidi="ar"/>
        </w:rPr>
        <w:t>项目</w:t>
      </w:r>
      <w:r>
        <w:rPr>
          <w:rFonts w:hint="eastAsia" w:ascii="宋体" w:hAnsi="宋体" w:eastAsia="宋体" w:cs="宋体"/>
          <w:color w:val="000000"/>
          <w:kern w:val="0"/>
          <w:sz w:val="21"/>
          <w:szCs w:val="21"/>
          <w:highlight w:val="none"/>
          <w:u w:color="000000"/>
          <w:lang w:val="en-US" w:eastAsia="zh-CN" w:bidi="ar"/>
        </w:rPr>
        <w:t>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28F0C4EC">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w:t>
      </w:r>
      <w:r>
        <w:rPr>
          <w:rFonts w:hint="eastAsia" w:ascii="宋体" w:hAnsi="宋体" w:cs="宋体"/>
          <w:color w:val="000000"/>
          <w:kern w:val="0"/>
          <w:sz w:val="21"/>
          <w:szCs w:val="21"/>
          <w:highlight w:val="none"/>
          <w:u w:val="single" w:color="000000"/>
          <w:lang w:val="en-US" w:eastAsia="zh-CN" w:bidi="ar"/>
        </w:rPr>
        <w:t>总</w:t>
      </w:r>
      <w:r>
        <w:rPr>
          <w:rFonts w:hint="eastAsia" w:ascii="宋体" w:hAnsi="宋体" w:eastAsia="宋体" w:cs="宋体"/>
          <w:color w:val="000000"/>
          <w:kern w:val="0"/>
          <w:sz w:val="21"/>
          <w:szCs w:val="21"/>
          <w:highlight w:val="none"/>
          <w:u w:val="single" w:color="000000"/>
          <w:lang w:val="en-US" w:eastAsia="zh-CN" w:bidi="ar"/>
        </w:rPr>
        <w:t>价 。</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w:t>
      </w:r>
      <w:r>
        <w:rPr>
          <w:rFonts w:hint="eastAsia" w:ascii="宋体" w:hAnsi="宋体" w:cs="宋体"/>
          <w:color w:val="000000"/>
          <w:kern w:val="0"/>
          <w:sz w:val="21"/>
          <w:szCs w:val="21"/>
          <w:highlight w:val="none"/>
          <w:u w:color="000000"/>
          <w:lang w:val="en-US" w:eastAsia="zh-CN" w:bidi="ar"/>
        </w:rPr>
        <w:t>四</w:t>
      </w:r>
      <w:r>
        <w:rPr>
          <w:rFonts w:hint="eastAsia" w:ascii="宋体" w:hAnsi="宋体" w:eastAsia="宋体" w:cs="宋体"/>
          <w:color w:val="000000"/>
          <w:kern w:val="0"/>
          <w:sz w:val="21"/>
          <w:szCs w:val="21"/>
          <w:highlight w:val="none"/>
          <w:u w:color="000000"/>
          <w:lang w:val="en-US" w:eastAsia="zh-CN" w:bidi="ar"/>
        </w:rPr>
        <w:t>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77" w:name="_Toc152045539"/>
      <w:bookmarkEnd w:id="77"/>
      <w:bookmarkStart w:id="78" w:name="_Toc247527563"/>
      <w:bookmarkEnd w:id="78"/>
      <w:bookmarkStart w:id="79" w:name="_Toc152042315"/>
      <w:bookmarkEnd w:id="79"/>
      <w:bookmarkStart w:id="80" w:name="_Toc144974507"/>
      <w:bookmarkEnd w:id="80"/>
      <w:bookmarkStart w:id="81" w:name="_Toc247513962"/>
      <w:bookmarkEnd w:id="81"/>
      <w:bookmarkStart w:id="82" w:name="_Toc296602429"/>
      <w:bookmarkEnd w:id="82"/>
      <w:bookmarkStart w:id="83"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83"/>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84" w:name="_Toc24655"/>
      <w:bookmarkEnd w:id="84"/>
      <w:bookmarkStart w:id="85" w:name="_Toc10668_WPSOffice_Level3"/>
      <w:bookmarkEnd w:id="85"/>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19471F5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w:t>
      </w:r>
      <w:r>
        <w:rPr>
          <w:rFonts w:hint="eastAsia" w:ascii="宋体" w:hAnsi="宋体" w:cs="宋体"/>
          <w:color w:val="000000"/>
          <w:kern w:val="0"/>
          <w:sz w:val="21"/>
          <w:szCs w:val="21"/>
          <w:highlight w:val="none"/>
          <w:u w:color="000000"/>
          <w:lang w:val="en-US" w:eastAsia="zh-CN" w:bidi="ar"/>
        </w:rPr>
        <w:t>三</w:t>
      </w:r>
      <w:r>
        <w:rPr>
          <w:rFonts w:hint="eastAsia" w:ascii="宋体" w:hAnsi="宋体" w:eastAsia="宋体" w:cs="宋体"/>
          <w:color w:val="000000"/>
          <w:kern w:val="0"/>
          <w:sz w:val="21"/>
          <w:szCs w:val="21"/>
          <w:highlight w:val="none"/>
          <w:u w:color="000000"/>
          <w:lang w:val="en-US" w:eastAsia="zh-CN" w:bidi="ar"/>
        </w:rPr>
        <w:t>章</w:t>
      </w:r>
      <w:r>
        <w:rPr>
          <w:rFonts w:hint="eastAsia" w:ascii="宋体" w:hAnsi="宋体" w:cs="宋体"/>
          <w:color w:val="000000"/>
          <w:kern w:val="0"/>
          <w:sz w:val="21"/>
          <w:szCs w:val="21"/>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资格审查办法</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w:t>
      </w:r>
      <w:r>
        <w:rPr>
          <w:rFonts w:hint="eastAsia" w:ascii="宋体" w:hAnsi="宋体" w:cs="宋体"/>
          <w:color w:val="000000"/>
          <w:kern w:val="0"/>
          <w:sz w:val="21"/>
          <w:szCs w:val="21"/>
          <w:highlight w:val="none"/>
          <w:u w:color="000000"/>
          <w:lang w:val="en-US" w:eastAsia="zh-CN" w:bidi="ar"/>
        </w:rPr>
        <w:t>四</w:t>
      </w:r>
      <w:r>
        <w:rPr>
          <w:rFonts w:hint="eastAsia" w:ascii="宋体" w:hAnsi="宋体" w:eastAsia="宋体" w:cs="宋体"/>
          <w:color w:val="000000"/>
          <w:kern w:val="0"/>
          <w:sz w:val="21"/>
          <w:szCs w:val="21"/>
          <w:highlight w:val="none"/>
          <w:u w:color="000000"/>
          <w:lang w:val="en-US" w:eastAsia="zh-CN" w:bidi="ar"/>
        </w:rPr>
        <w:t>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w:t>
      </w:r>
      <w:r>
        <w:rPr>
          <w:rFonts w:hint="eastAsia" w:ascii="宋体" w:hAnsi="宋体" w:cs="宋体"/>
          <w:color w:val="000000"/>
          <w:kern w:val="0"/>
          <w:sz w:val="21"/>
          <w:szCs w:val="21"/>
          <w:highlight w:val="none"/>
          <w:u w:color="000000"/>
          <w:lang w:val="en-US" w:eastAsia="zh-CN" w:bidi="ar"/>
        </w:rPr>
        <w:t>五</w:t>
      </w:r>
      <w:r>
        <w:rPr>
          <w:rFonts w:hint="eastAsia" w:ascii="宋体" w:hAnsi="宋体" w:eastAsia="宋体" w:cs="宋体"/>
          <w:color w:val="000000"/>
          <w:kern w:val="0"/>
          <w:sz w:val="21"/>
          <w:szCs w:val="21"/>
          <w:highlight w:val="none"/>
          <w:u w:color="000000"/>
          <w:lang w:val="en-US" w:eastAsia="zh-CN" w:bidi="ar"/>
        </w:rPr>
        <w:t xml:space="preserve">章  </w:t>
      </w:r>
      <w:r>
        <w:rPr>
          <w:rFonts w:hint="eastAsia" w:ascii="宋体" w:cs="宋体"/>
          <w:color w:val="auto"/>
          <w:szCs w:val="21"/>
          <w:highlight w:val="none"/>
          <w:lang w:val="en-US" w:eastAsia="zh-CN"/>
        </w:rPr>
        <w:t>采购需求</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w:t>
      </w:r>
      <w:r>
        <w:rPr>
          <w:rFonts w:hint="eastAsia" w:ascii="宋体" w:hAnsi="宋体" w:cs="宋体"/>
          <w:color w:val="000000"/>
          <w:kern w:val="0"/>
          <w:sz w:val="21"/>
          <w:szCs w:val="21"/>
          <w:highlight w:val="none"/>
          <w:u w:color="000000"/>
          <w:lang w:val="en-US" w:eastAsia="zh-CN" w:bidi="ar"/>
        </w:rPr>
        <w:t>六</w:t>
      </w:r>
      <w:r>
        <w:rPr>
          <w:rFonts w:hint="eastAsia" w:ascii="宋体" w:hAnsi="宋体" w:eastAsia="宋体" w:cs="宋体"/>
          <w:color w:val="000000"/>
          <w:kern w:val="0"/>
          <w:sz w:val="21"/>
          <w:szCs w:val="21"/>
          <w:highlight w:val="none"/>
          <w:u w:color="000000"/>
          <w:lang w:val="en-US" w:eastAsia="zh-CN" w:bidi="ar"/>
        </w:rPr>
        <w:t>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w:t>
      </w:r>
      <w:r>
        <w:rPr>
          <w:rFonts w:hint="eastAsia" w:ascii="宋体" w:hAnsi="宋体" w:cs="宋体"/>
          <w:color w:val="000000"/>
          <w:kern w:val="0"/>
          <w:sz w:val="21"/>
          <w:szCs w:val="21"/>
          <w:highlight w:val="none"/>
          <w:u w:color="000000"/>
          <w:lang w:val="en-US" w:eastAsia="zh-CN" w:bidi="ar"/>
        </w:rPr>
        <w:t>七</w:t>
      </w:r>
      <w:r>
        <w:rPr>
          <w:rFonts w:hint="eastAsia" w:ascii="宋体" w:hAnsi="宋体" w:eastAsia="宋体" w:cs="宋体"/>
          <w:color w:val="000000"/>
          <w:kern w:val="0"/>
          <w:sz w:val="21"/>
          <w:szCs w:val="21"/>
          <w:highlight w:val="none"/>
          <w:u w:color="000000"/>
          <w:lang w:val="en-US" w:eastAsia="zh-CN" w:bidi="ar"/>
        </w:rPr>
        <w:t>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w:t>
      </w:r>
      <w:r>
        <w:rPr>
          <w:rFonts w:hint="eastAsia" w:ascii="宋体" w:hAnsi="宋体" w:cs="宋体"/>
          <w:color w:val="000000"/>
          <w:kern w:val="0"/>
          <w:sz w:val="21"/>
          <w:szCs w:val="21"/>
          <w:highlight w:val="none"/>
          <w:u w:color="000000"/>
          <w:lang w:val="en-US" w:eastAsia="zh-CN" w:bidi="ar"/>
        </w:rPr>
        <w:t>八</w:t>
      </w:r>
      <w:r>
        <w:rPr>
          <w:rFonts w:hint="eastAsia" w:ascii="宋体" w:hAnsi="宋体" w:eastAsia="宋体" w:cs="宋体"/>
          <w:color w:val="000000"/>
          <w:kern w:val="0"/>
          <w:sz w:val="21"/>
          <w:szCs w:val="21"/>
          <w:highlight w:val="none"/>
          <w:u w:color="000000"/>
          <w:lang w:val="en-US" w:eastAsia="zh-CN" w:bidi="ar"/>
        </w:rPr>
        <w:t>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cs="宋体"/>
          <w:color w:val="000000"/>
          <w:kern w:val="0"/>
          <w:sz w:val="21"/>
          <w:szCs w:val="21"/>
          <w:highlight w:val="none"/>
          <w:u w:color="000000"/>
          <w:lang w:val="en-US" w:eastAsia="zh-CN" w:bidi="ar"/>
        </w:rPr>
        <w:t>滁州市滁宁城际铁路开发建设有限公司</w:t>
      </w:r>
      <w:r>
        <w:rPr>
          <w:rFonts w:hint="eastAsia" w:ascii="宋体" w:hAnsi="宋体" w:eastAsia="宋体" w:cs="宋体"/>
          <w:color w:val="000000"/>
          <w:kern w:val="0"/>
          <w:sz w:val="21"/>
          <w:szCs w:val="21"/>
          <w:highlight w:val="none"/>
          <w:u w:color="000000"/>
          <w:lang w:val="en-US" w:eastAsia="zh-CN" w:bidi="ar"/>
        </w:rPr>
        <w:t>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86" w:name="_Toc1549_WPSOffice_Level3"/>
      <w:bookmarkEnd w:id="86"/>
      <w:bookmarkStart w:id="87" w:name="_Toc9710"/>
      <w:r>
        <w:rPr>
          <w:rFonts w:hint="eastAsia" w:ascii="宋体" w:hAnsi="宋体" w:eastAsia="宋体" w:cs="宋体"/>
          <w:b/>
          <w:bCs w:val="0"/>
          <w:color w:val="000000"/>
          <w:kern w:val="0"/>
          <w:sz w:val="21"/>
          <w:szCs w:val="21"/>
          <w:highlight w:val="none"/>
          <w:u w:color="000000"/>
          <w:lang w:val="en-US" w:eastAsia="zh-CN" w:bidi="ar"/>
        </w:rPr>
        <w:t>19.样品</w:t>
      </w:r>
      <w:bookmarkEnd w:id="87"/>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6ACA085A">
      <w:pPr>
        <w:spacing w:line="420" w:lineRule="exact"/>
        <w:ind w:left="10" w:right="-94" w:rightChars="-45" w:firstLine="420" w:firstLineChars="200"/>
        <w:rPr>
          <w:rFonts w:hint="eastAsia" w:ascii="宋体" w:hAnsi="宋体" w:cs="宋体"/>
          <w:szCs w:val="21"/>
          <w:highlight w:val="none"/>
        </w:rPr>
      </w:pPr>
      <w:r>
        <w:rPr>
          <w:rFonts w:hint="eastAsia" w:ascii="宋体" w:hAnsi="宋体" w:eastAsia="宋体" w:cs="宋体"/>
          <w:bCs/>
          <w:color w:val="000000"/>
          <w:kern w:val="0"/>
          <w:sz w:val="21"/>
          <w:szCs w:val="21"/>
          <w:highlight w:val="none"/>
          <w:u w:color="000000"/>
          <w:lang w:val="en-US" w:eastAsia="zh-CN" w:bidi="ar"/>
        </w:rPr>
        <w:t>22.3投标报价包括完成本项目全部供货及服务的一切费用：</w:t>
      </w:r>
      <w:r>
        <w:rPr>
          <w:rFonts w:hint="eastAsia" w:ascii="宋体" w:hAnsi="宋体" w:cs="宋体"/>
          <w:szCs w:val="21"/>
          <w:highlight w:val="none"/>
        </w:rPr>
        <w:t>投标报价包含完成本次招标范围内的</w:t>
      </w:r>
      <w:r>
        <w:rPr>
          <w:rFonts w:hint="eastAsia" w:ascii="宋体" w:hAnsi="宋体" w:cs="宋体"/>
          <w:szCs w:val="21"/>
          <w:highlight w:val="none"/>
          <w:lang w:val="en-US" w:eastAsia="zh-CN"/>
        </w:rPr>
        <w:t>初步设计</w:t>
      </w:r>
      <w:r>
        <w:rPr>
          <w:rFonts w:hint="eastAsia" w:ascii="宋体" w:hAnsi="宋体" w:cs="宋体"/>
          <w:szCs w:val="21"/>
          <w:highlight w:val="none"/>
        </w:rPr>
        <w:t>编制等所需的全部人员费用（如人员工资、保险、加班、差旅等一切费用）、设备费用、材料费用、机械费、报告编制费、专家评审费、招标代理费、会务费、管理费、利润、国家对征收的各种税费及完成本项目服务所需的所有的费用，招标人不再另行支付。</w:t>
      </w:r>
    </w:p>
    <w:p w14:paraId="7E64935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22.4</w:t>
      </w:r>
      <w:r>
        <w:rPr>
          <w:rFonts w:hint="eastAsia" w:ascii="宋体" w:hAnsi="宋体" w:eastAsia="宋体" w:cs="宋体"/>
          <w:color w:val="000000"/>
          <w:kern w:val="0"/>
          <w:sz w:val="21"/>
          <w:szCs w:val="21"/>
          <w:highlight w:val="none"/>
          <w:u w:color="000000"/>
          <w:lang w:val="en-US" w:eastAsia="zh-CN" w:bidi="ar"/>
        </w:rPr>
        <w:t>投标报价的价格是完成项目全部内容（包括后期的相关服务）的价格，其</w:t>
      </w:r>
      <w:r>
        <w:rPr>
          <w:rFonts w:hint="eastAsia" w:ascii="宋体" w:hAnsi="宋体" w:cs="宋体"/>
          <w:color w:val="000000"/>
          <w:kern w:val="0"/>
          <w:sz w:val="21"/>
          <w:szCs w:val="21"/>
          <w:highlight w:val="none"/>
          <w:u w:color="000000"/>
          <w:lang w:val="en-US" w:eastAsia="zh-CN" w:bidi="ar"/>
        </w:rPr>
        <w:t>总</w:t>
      </w:r>
      <w:r>
        <w:rPr>
          <w:rFonts w:hint="eastAsia" w:ascii="宋体" w:hAnsi="宋体" w:eastAsia="宋体" w:cs="宋体"/>
          <w:color w:val="000000"/>
          <w:kern w:val="0"/>
          <w:sz w:val="21"/>
          <w:szCs w:val="21"/>
          <w:highlight w:val="none"/>
          <w:u w:color="000000"/>
          <w:lang w:val="en-US" w:eastAsia="zh-CN" w:bidi="ar"/>
        </w:rPr>
        <w:t>价即为履行合同的固定</w:t>
      </w:r>
      <w:r>
        <w:rPr>
          <w:rFonts w:hint="eastAsia" w:ascii="宋体" w:hAnsi="宋体" w:cs="宋体"/>
          <w:color w:val="000000"/>
          <w:kern w:val="0"/>
          <w:sz w:val="21"/>
          <w:szCs w:val="21"/>
          <w:highlight w:val="none"/>
          <w:u w:color="000000"/>
          <w:lang w:val="en-US" w:eastAsia="zh-CN" w:bidi="ar"/>
        </w:rPr>
        <w:t>总</w:t>
      </w:r>
      <w:r>
        <w:rPr>
          <w:rFonts w:hint="eastAsia" w:ascii="宋体" w:hAnsi="宋体" w:eastAsia="宋体" w:cs="宋体"/>
          <w:color w:val="000000"/>
          <w:kern w:val="0"/>
          <w:sz w:val="21"/>
          <w:szCs w:val="21"/>
          <w:highlight w:val="none"/>
          <w:u w:color="000000"/>
          <w:lang w:val="en-US" w:eastAsia="zh-CN" w:bidi="ar"/>
        </w:rPr>
        <w:t>价。</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22.6投标人的投标报价和投标单价均不得超过各最高限价，否则将作为无效投标处理。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22.7投标</w:t>
      </w:r>
      <w:r>
        <w:rPr>
          <w:rFonts w:hint="eastAsia" w:ascii="宋体" w:hAnsi="宋体" w:cs="宋体"/>
          <w:bCs/>
          <w:color w:val="000000"/>
          <w:kern w:val="0"/>
          <w:sz w:val="21"/>
          <w:szCs w:val="21"/>
          <w:highlight w:val="none"/>
          <w:u w:color="000000"/>
          <w:lang w:val="en-US" w:eastAsia="zh-CN" w:bidi="ar"/>
        </w:rPr>
        <w:t>报</w:t>
      </w:r>
      <w:r>
        <w:rPr>
          <w:rFonts w:hint="eastAsia" w:ascii="宋体" w:hAnsi="宋体" w:eastAsia="宋体" w:cs="宋体"/>
          <w:bCs/>
          <w:color w:val="000000"/>
          <w:kern w:val="0"/>
          <w:sz w:val="21"/>
          <w:szCs w:val="21"/>
          <w:highlight w:val="none"/>
          <w:u w:color="000000"/>
          <w:lang w:val="en-US" w:eastAsia="zh-CN" w:bidi="ar"/>
        </w:rPr>
        <w:t>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22.8投标</w:t>
      </w:r>
      <w:r>
        <w:rPr>
          <w:rFonts w:hint="eastAsia" w:ascii="宋体" w:hAnsi="宋体" w:cs="宋体"/>
          <w:bCs/>
          <w:color w:val="000000"/>
          <w:kern w:val="0"/>
          <w:sz w:val="21"/>
          <w:szCs w:val="21"/>
          <w:highlight w:val="none"/>
          <w:u w:color="000000"/>
          <w:lang w:val="en-US" w:eastAsia="zh-CN" w:bidi="ar"/>
        </w:rPr>
        <w:t>报</w:t>
      </w:r>
      <w:r>
        <w:rPr>
          <w:rFonts w:hint="eastAsia" w:ascii="宋体" w:hAnsi="宋体" w:eastAsia="宋体" w:cs="宋体"/>
          <w:bCs/>
          <w:color w:val="000000"/>
          <w:kern w:val="0"/>
          <w:sz w:val="21"/>
          <w:szCs w:val="21"/>
          <w:highlight w:val="none"/>
          <w:u w:color="000000"/>
          <w:lang w:val="en-US" w:eastAsia="zh-CN" w:bidi="ar"/>
        </w:rPr>
        <w:t>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203D2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88" w:name="_Toc6570_WPSOffice_Level3"/>
      <w:bookmarkEnd w:id="88"/>
      <w:bookmarkStart w:id="89"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89"/>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0" w:name="_Toc490"/>
      <w:bookmarkEnd w:id="90"/>
      <w:bookmarkStart w:id="91" w:name="_Toc30407_WPSOffice_Level3"/>
      <w:bookmarkEnd w:id="91"/>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92" w:name="_Toc28864"/>
      <w:bookmarkEnd w:id="92"/>
      <w:bookmarkStart w:id="93"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94" w:name="_Toc15542_WPSOffice_Level3"/>
      <w:bookmarkEnd w:id="94"/>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95" w:name="_Toc5272_WPSOffice_Level3"/>
      <w:bookmarkEnd w:id="95"/>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93"/>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96" w:name="_Toc7247"/>
      <w:bookmarkEnd w:id="96"/>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97" w:name="_Toc217446068"/>
      <w:r>
        <w:rPr>
          <w:rFonts w:hint="eastAsia" w:ascii="宋体" w:hAnsi="宋体" w:eastAsia="宋体" w:cs="宋体"/>
          <w:b/>
          <w:color w:val="000000"/>
          <w:kern w:val="0"/>
          <w:szCs w:val="21"/>
          <w:highlight w:val="none"/>
          <w:u w:color="000000"/>
          <w:lang w:bidi="ar"/>
        </w:rPr>
        <w:t>履约保证金</w:t>
      </w:r>
      <w:bookmarkEnd w:id="97"/>
    </w:p>
    <w:p w14:paraId="1331EEB6">
      <w:pPr>
        <w:spacing w:line="420" w:lineRule="exact"/>
        <w:ind w:firstLine="420" w:firstLineChars="200"/>
        <w:jc w:val="left"/>
        <w:rPr>
          <w:rFonts w:ascii="宋体" w:hAnsi="Times New Roman" w:eastAsia="宋体" w:cs="Times New Roman"/>
          <w:szCs w:val="21"/>
          <w:highlight w:val="none"/>
        </w:rPr>
      </w:pPr>
      <w:bookmarkStart w:id="98" w:name="_Toc316_WPSOffice_Level3"/>
      <w:bookmarkEnd w:id="98"/>
      <w:bookmarkStart w:id="99"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99"/>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50AA17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.1项要求提交履约担保的，视为放弃中标，给招标人造成损失的，中标人还应</w:t>
      </w:r>
      <w:r>
        <w:rPr>
          <w:rFonts w:hint="eastAsia" w:ascii="宋体" w:hAnsi="Times New Roman" w:eastAsia="宋体" w:cs="Times New Roman"/>
          <w:szCs w:val="21"/>
          <w:highlight w:val="none"/>
          <w:lang w:val="en-US" w:eastAsia="zh-CN"/>
        </w:rPr>
        <w:t>当</w:t>
      </w:r>
      <w:r>
        <w:rPr>
          <w:rFonts w:hint="eastAsia" w:ascii="宋体" w:hAnsi="Times New Roman" w:eastAsia="宋体" w:cs="Times New Roman"/>
          <w:szCs w:val="21"/>
          <w:highlight w:val="none"/>
        </w:rPr>
        <w:t>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cs="Times New Roman"/>
          <w:szCs w:val="21"/>
          <w:highlight w:val="none"/>
          <w:lang w:val="en-US" w:eastAsia="zh-CN"/>
        </w:rPr>
        <w:t>四</w:t>
      </w:r>
      <w:r>
        <w:rPr>
          <w:rFonts w:hint="eastAsia" w:ascii="宋体" w:hAnsi="Times New Roman" w:eastAsia="宋体" w:cs="Times New Roman"/>
          <w:szCs w:val="21"/>
          <w:highlight w:val="none"/>
        </w:rPr>
        <w:t>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6AA59F21">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100"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71"/>
      <w:r>
        <w:rPr>
          <w:rFonts w:hint="eastAsia" w:ascii="宋体"/>
          <w:b/>
          <w:sz w:val="32"/>
          <w:szCs w:val="32"/>
          <w:highlight w:val="none"/>
        </w:rPr>
        <w:t>办法</w:t>
      </w:r>
      <w:bookmarkEnd w:id="72"/>
      <w:bookmarkEnd w:id="73"/>
      <w:bookmarkEnd w:id="74"/>
      <w:bookmarkEnd w:id="75"/>
      <w:bookmarkEnd w:id="100"/>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bookmarkStart w:id="101" w:name="_Toc15058912"/>
      <w:bookmarkStart w:id="102" w:name="_Toc35425111"/>
      <w:bookmarkStart w:id="103" w:name="_Toc506107323"/>
      <w:bookmarkStart w:id="104" w:name="_Toc35424945"/>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spacing w:line="320" w:lineRule="exact"/>
              <w:jc w:val="left"/>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left"/>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（2）具有独立承担民事责任的能力</w:t>
            </w:r>
          </w:p>
        </w:tc>
        <w:tc>
          <w:tcPr>
            <w:tcW w:w="3929" w:type="dxa"/>
            <w:vAlign w:val="center"/>
          </w:tcPr>
          <w:p w14:paraId="04F5B469">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4FE89A7E">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投标人有效的营业执照、税务登记证、组织机构码证（或“三证合一证书”）</w:t>
            </w:r>
          </w:p>
        </w:tc>
      </w:tr>
      <w:tr w14:paraId="2048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40D072F3">
            <w:pPr>
              <w:spacing w:line="320" w:lineRule="exact"/>
              <w:jc w:val="center"/>
              <w:rPr>
                <w:rFonts w:hint="eastAsia" w:ascii="宋体" w:hAnsi="宋体"/>
                <w:color w:val="000000"/>
                <w:szCs w:val="21"/>
                <w:highlight w:val="none"/>
              </w:rPr>
            </w:pPr>
          </w:p>
        </w:tc>
        <w:tc>
          <w:tcPr>
            <w:tcW w:w="1235" w:type="dxa"/>
            <w:vMerge w:val="continue"/>
            <w:vAlign w:val="center"/>
          </w:tcPr>
          <w:p w14:paraId="6E5FCD08">
            <w:pPr>
              <w:spacing w:line="320" w:lineRule="exact"/>
              <w:rPr>
                <w:rFonts w:hint="eastAsia" w:ascii="宋体" w:hAnsi="宋体"/>
                <w:color w:val="000000"/>
                <w:szCs w:val="21"/>
                <w:highlight w:val="none"/>
              </w:rPr>
            </w:pPr>
          </w:p>
        </w:tc>
        <w:tc>
          <w:tcPr>
            <w:tcW w:w="3008" w:type="dxa"/>
            <w:vAlign w:val="center"/>
          </w:tcPr>
          <w:p w14:paraId="2C299887">
            <w:pPr>
              <w:spacing w:line="320" w:lineRule="exact"/>
              <w:jc w:val="left"/>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3）</w:t>
            </w:r>
            <w:r>
              <w:rPr>
                <w:rFonts w:hint="eastAsia" w:ascii="宋体" w:hAnsi="宋体" w:cs="宋体"/>
                <w:szCs w:val="21"/>
                <w:highlight w:val="none"/>
              </w:rPr>
              <w:t>企业资质证书</w:t>
            </w:r>
          </w:p>
        </w:tc>
        <w:tc>
          <w:tcPr>
            <w:tcW w:w="3929" w:type="dxa"/>
            <w:vAlign w:val="center"/>
          </w:tcPr>
          <w:p w14:paraId="1692EE91">
            <w:pPr>
              <w:spacing w:line="32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评审核验电子标书中的下列证书、证明材料：</w:t>
            </w:r>
          </w:p>
          <w:p w14:paraId="2A2B7465">
            <w:pPr>
              <w:spacing w:line="320" w:lineRule="exact"/>
              <w:jc w:val="left"/>
              <w:rPr>
                <w:rFonts w:hint="default" w:ascii="宋体" w:hAnsi="宋体" w:eastAsia="宋体" w:cs="Times New Roman"/>
                <w:color w:val="000000"/>
                <w:szCs w:val="21"/>
                <w:highlight w:val="none"/>
                <w:lang w:val="en-US"/>
              </w:rPr>
            </w:pPr>
            <w:r>
              <w:rPr>
                <w:rFonts w:hint="eastAsia" w:ascii="宋体" w:hAnsi="宋体" w:eastAsia="宋体" w:cs="Times New Roman"/>
                <w:color w:val="000000"/>
                <w:szCs w:val="21"/>
                <w:highlight w:val="none"/>
              </w:rPr>
              <w:t>投标人有效的</w:t>
            </w:r>
            <w:r>
              <w:rPr>
                <w:rFonts w:hint="eastAsia" w:ascii="宋体" w:hAnsi="宋体" w:eastAsia="宋体" w:cs="Times New Roman"/>
                <w:color w:val="000000"/>
                <w:szCs w:val="21"/>
                <w:highlight w:val="none"/>
                <w:lang w:val="en-US" w:eastAsia="zh-CN"/>
              </w:rPr>
              <w:t>城乡规划编制乙级或以上资质</w:t>
            </w:r>
            <w:r>
              <w:rPr>
                <w:rFonts w:hint="eastAsia" w:ascii="宋体" w:hAnsi="宋体" w:cs="Times New Roman"/>
                <w:color w:val="000000"/>
                <w:szCs w:val="21"/>
                <w:highlight w:val="none"/>
                <w:lang w:val="en-US" w:eastAsia="zh-CN"/>
              </w:rPr>
              <w:t>证书</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4E68EDA6">
            <w:pPr>
              <w:spacing w:line="320" w:lineRule="exact"/>
              <w:jc w:val="center"/>
              <w:rPr>
                <w:rFonts w:ascii="宋体" w:hAnsi="宋体"/>
                <w:color w:val="000000"/>
                <w:szCs w:val="21"/>
                <w:highlight w:val="none"/>
              </w:rPr>
            </w:pPr>
          </w:p>
        </w:tc>
        <w:tc>
          <w:tcPr>
            <w:tcW w:w="1235" w:type="dxa"/>
            <w:vMerge w:val="continue"/>
            <w:vAlign w:val="center"/>
          </w:tcPr>
          <w:p w14:paraId="3221AF15">
            <w:pPr>
              <w:spacing w:line="320" w:lineRule="exact"/>
              <w:rPr>
                <w:rFonts w:ascii="宋体" w:hAnsi="宋体"/>
                <w:color w:val="000000"/>
                <w:szCs w:val="21"/>
                <w:highlight w:val="none"/>
              </w:rPr>
            </w:pPr>
          </w:p>
        </w:tc>
        <w:tc>
          <w:tcPr>
            <w:tcW w:w="3008" w:type="dxa"/>
            <w:vAlign w:val="center"/>
          </w:tcPr>
          <w:p w14:paraId="78A19AC6">
            <w:pPr>
              <w:widowControl/>
              <w:autoSpaceDE w:val="0"/>
              <w:spacing w:line="48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4</w:t>
            </w:r>
            <w:r>
              <w:rPr>
                <w:rFonts w:hint="eastAsia" w:ascii="宋体" w:hAnsi="宋体" w:eastAsia="宋体" w:cs="Times New Roman"/>
                <w:color w:val="000000"/>
                <w:szCs w:val="21"/>
                <w:highlight w:val="none"/>
              </w:rPr>
              <w:t>）诚信投标承诺书</w:t>
            </w:r>
          </w:p>
        </w:tc>
        <w:tc>
          <w:tcPr>
            <w:tcW w:w="3929" w:type="dxa"/>
            <w:vAlign w:val="center"/>
          </w:tcPr>
          <w:p w14:paraId="1B6F7B2F">
            <w:pPr>
              <w:spacing w:line="360" w:lineRule="exact"/>
              <w:jc w:val="left"/>
              <w:rPr>
                <w:rFonts w:ascii="宋体"/>
                <w:b/>
                <w:color w:val="000000"/>
                <w:szCs w:val="21"/>
                <w:highlight w:val="none"/>
              </w:rPr>
            </w:pPr>
            <w:r>
              <w:rPr>
                <w:rFonts w:hint="eastAsia"/>
                <w:color w:val="000000"/>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5C6F3385">
            <w:pPr>
              <w:spacing w:line="320" w:lineRule="exact"/>
              <w:jc w:val="center"/>
              <w:rPr>
                <w:rFonts w:ascii="宋体" w:hAnsi="宋体"/>
                <w:color w:val="000000"/>
                <w:szCs w:val="21"/>
                <w:highlight w:val="none"/>
              </w:rPr>
            </w:pPr>
          </w:p>
        </w:tc>
        <w:tc>
          <w:tcPr>
            <w:tcW w:w="1235" w:type="dxa"/>
            <w:vMerge w:val="continue"/>
            <w:vAlign w:val="center"/>
          </w:tcPr>
          <w:p w14:paraId="40531A6E">
            <w:pPr>
              <w:spacing w:line="320" w:lineRule="exact"/>
              <w:rPr>
                <w:rFonts w:ascii="宋体" w:hAnsi="宋体"/>
                <w:color w:val="000000"/>
                <w:szCs w:val="21"/>
                <w:highlight w:val="none"/>
              </w:rPr>
            </w:pPr>
          </w:p>
        </w:tc>
        <w:tc>
          <w:tcPr>
            <w:tcW w:w="3008" w:type="dxa"/>
            <w:vAlign w:val="center"/>
          </w:tcPr>
          <w:p w14:paraId="3DFACE3C">
            <w:pPr>
              <w:widowControl/>
              <w:autoSpaceDE w:val="0"/>
              <w:spacing w:line="48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cs="Times New Roman"/>
                <w:color w:val="000000"/>
                <w:szCs w:val="21"/>
                <w:highlight w:val="none"/>
                <w:lang w:val="en-US" w:eastAsia="zh-CN"/>
              </w:rPr>
              <w:t>5</w:t>
            </w:r>
            <w:r>
              <w:rPr>
                <w:rFonts w:hint="eastAsia" w:ascii="宋体" w:hAnsi="宋体" w:eastAsia="宋体" w:cs="Times New Roman"/>
                <w:color w:val="000000"/>
                <w:szCs w:val="21"/>
                <w:highlight w:val="none"/>
              </w:rPr>
              <w:t>）服务承诺书</w:t>
            </w:r>
          </w:p>
        </w:tc>
        <w:tc>
          <w:tcPr>
            <w:tcW w:w="3929" w:type="dxa"/>
            <w:vAlign w:val="center"/>
          </w:tcPr>
          <w:p w14:paraId="0043AD0E">
            <w:pPr>
              <w:spacing w:line="360" w:lineRule="exact"/>
              <w:jc w:val="left"/>
              <w:rPr>
                <w:rFonts w:ascii="宋体"/>
                <w:color w:val="000000"/>
                <w:szCs w:val="21"/>
                <w:highlight w:val="none"/>
              </w:rPr>
            </w:pPr>
            <w:r>
              <w:rPr>
                <w:rFonts w:hint="eastAsia"/>
                <w:color w:val="000000"/>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5" w:name="_Toc60061492"/>
      <w:bookmarkStart w:id="106" w:name="_Toc95223395"/>
      <w:bookmarkStart w:id="107" w:name="_Toc506107320"/>
      <w:bookmarkStart w:id="108" w:name="_Toc15058909"/>
      <w:r>
        <w:rPr>
          <w:rFonts w:hint="eastAsia" w:ascii="Times New Roman" w:hAnsi="Times New Roman" w:eastAsia="宋体" w:cs="Times New Roman"/>
          <w:color w:val="000000"/>
          <w:highlight w:val="none"/>
        </w:rPr>
        <w:t>2.审查办法</w:t>
      </w:r>
      <w:bookmarkEnd w:id="105"/>
      <w:bookmarkEnd w:id="106"/>
      <w:bookmarkEnd w:id="107"/>
      <w:bookmarkEnd w:id="108"/>
    </w:p>
    <w:p w14:paraId="4349488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09" w:name="_Toc60061493"/>
      <w:bookmarkStart w:id="110" w:name="_Toc324404868"/>
      <w:bookmarkStart w:id="111" w:name="_Toc506107321"/>
      <w:bookmarkStart w:id="112" w:name="_Toc15058910"/>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3" w:name="_Toc95223396"/>
      <w:r>
        <w:rPr>
          <w:rFonts w:hint="eastAsia" w:ascii="Times New Roman" w:hAnsi="Times New Roman" w:eastAsia="宋体" w:cs="Times New Roman"/>
          <w:color w:val="000000"/>
          <w:highlight w:val="none"/>
        </w:rPr>
        <w:t>3.资格审查委员会和审查标准</w:t>
      </w:r>
      <w:bookmarkEnd w:id="109"/>
      <w:bookmarkEnd w:id="110"/>
      <w:bookmarkEnd w:id="111"/>
      <w:bookmarkEnd w:id="112"/>
      <w:bookmarkEnd w:id="113"/>
    </w:p>
    <w:p w14:paraId="3CCF74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000000"/>
          <w:highlight w:val="none"/>
        </w:rPr>
      </w:pPr>
      <w:bookmarkStart w:id="114" w:name="_Toc324404869"/>
      <w:bookmarkStart w:id="115" w:name="_Toc95223397"/>
      <w:bookmarkStart w:id="116" w:name="_Toc60061494"/>
      <w:bookmarkStart w:id="117" w:name="_Toc15058911"/>
      <w:bookmarkStart w:id="118" w:name="_Toc506107322"/>
      <w:r>
        <w:rPr>
          <w:rFonts w:hint="eastAsia" w:ascii="Times New Roman" w:hAnsi="Times New Roman" w:eastAsia="宋体" w:cs="Times New Roman"/>
          <w:color w:val="000000"/>
          <w:highlight w:val="none"/>
        </w:rPr>
        <w:t>4.审查结果</w:t>
      </w:r>
      <w:bookmarkEnd w:id="114"/>
      <w:bookmarkEnd w:id="115"/>
      <w:bookmarkEnd w:id="116"/>
      <w:bookmarkEnd w:id="117"/>
      <w:bookmarkEnd w:id="118"/>
    </w:p>
    <w:p w14:paraId="499FC75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500CB5F4">
      <w:pPr>
        <w:pStyle w:val="2"/>
        <w:spacing w:beforeLines="50" w:afterLines="50"/>
        <w:rPr>
          <w:highlight w:val="none"/>
        </w:rPr>
      </w:pPr>
      <w:r>
        <w:rPr>
          <w:rFonts w:hint="eastAsia"/>
          <w:highlight w:val="none"/>
        </w:rPr>
        <w:br w:type="page"/>
      </w:r>
      <w:bookmarkStart w:id="119"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76"/>
      <w:bookmarkEnd w:id="101"/>
      <w:bookmarkEnd w:id="102"/>
      <w:bookmarkEnd w:id="103"/>
      <w:bookmarkEnd w:id="104"/>
      <w:bookmarkEnd w:id="119"/>
    </w:p>
    <w:p w14:paraId="3303ED71">
      <w:pPr>
        <w:spacing w:beforeLines="50" w:afterLines="50" w:line="440" w:lineRule="exact"/>
        <w:jc w:val="center"/>
        <w:rPr>
          <w:rFonts w:ascii="宋体" w:hAnsi="宋体" w:cs="宋体"/>
          <w:b/>
          <w:bCs/>
          <w:sz w:val="28"/>
          <w:szCs w:val="28"/>
          <w:highlight w:val="none"/>
        </w:rPr>
      </w:pPr>
      <w:bookmarkStart w:id="120" w:name="_Toc35425112"/>
      <w:bookmarkStart w:id="121" w:name="_Toc35424946"/>
      <w:r>
        <w:rPr>
          <w:rFonts w:hint="eastAsia" w:ascii="宋体" w:hAnsi="宋体" w:cs="宋体"/>
          <w:b/>
          <w:bCs/>
          <w:sz w:val="28"/>
          <w:szCs w:val="28"/>
          <w:highlight w:val="none"/>
        </w:rPr>
        <w:t>评标办法前附表</w:t>
      </w:r>
      <w:bookmarkEnd w:id="120"/>
      <w:bookmarkEnd w:id="121"/>
    </w:p>
    <w:p w14:paraId="0701628E">
      <w:pPr>
        <w:pStyle w:val="29"/>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（一）资信标评分细则（</w:t>
      </w:r>
      <w:r>
        <w:rPr>
          <w:rFonts w:hint="eastAsia" w:cs="Times New Roman"/>
          <w:b/>
          <w:color w:val="auto"/>
          <w:sz w:val="28"/>
          <w:szCs w:val="21"/>
          <w:lang w:val="en-US" w:eastAsia="zh-CN"/>
        </w:rPr>
        <w:t>3</w:t>
      </w:r>
      <w:r>
        <w:rPr>
          <w:rFonts w:hint="eastAsia" w:ascii="Times New Roman" w:hAnsi="Times New Roman" w:eastAsia="宋体" w:cs="Times New Roman"/>
          <w:b/>
          <w:color w:val="auto"/>
          <w:sz w:val="28"/>
          <w:szCs w:val="21"/>
          <w:lang w:val="en-US" w:eastAsia="zh-CN"/>
        </w:rPr>
        <w:t>0分）</w:t>
      </w:r>
    </w:p>
    <w:tbl>
      <w:tblPr>
        <w:tblStyle w:val="48"/>
        <w:tblW w:w="5401"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7552"/>
      </w:tblGrid>
      <w:tr w14:paraId="3CC2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36" w:type="pct"/>
            <w:vAlign w:val="center"/>
          </w:tcPr>
          <w:p w14:paraId="0F663B4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评审因素</w:t>
            </w:r>
          </w:p>
        </w:tc>
        <w:tc>
          <w:tcPr>
            <w:tcW w:w="3763" w:type="pct"/>
            <w:vAlign w:val="center"/>
          </w:tcPr>
          <w:p w14:paraId="16800EF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2" w:firstLineChars="20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612B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36" w:type="pct"/>
            <w:vAlign w:val="center"/>
          </w:tcPr>
          <w:p w14:paraId="1C5B2E0E">
            <w:pPr>
              <w:spacing w:before="69" w:line="360" w:lineRule="exact"/>
              <w:jc w:val="center"/>
              <w:rPr>
                <w:rFonts w:hint="eastAsia" w:ascii="宋体" w:hAnsi="宋体" w:eastAsia="宋体" w:cs="宋体"/>
                <w:spacing w:val="0"/>
                <w:position w:val="11"/>
                <w:sz w:val="21"/>
                <w:szCs w:val="21"/>
                <w:highlight w:val="none"/>
                <w:lang w:val="en-US" w:eastAsia="zh-CN"/>
              </w:rPr>
            </w:pPr>
            <w:r>
              <w:rPr>
                <w:rFonts w:hint="eastAsia" w:ascii="宋体" w:hAnsi="宋体" w:eastAsia="宋体" w:cs="宋体"/>
                <w:spacing w:val="0"/>
                <w:position w:val="11"/>
                <w:sz w:val="21"/>
                <w:szCs w:val="21"/>
                <w:highlight w:val="none"/>
                <w:lang w:val="en-US" w:eastAsia="zh-CN"/>
              </w:rPr>
              <w:t>企业业绩（20分）</w:t>
            </w:r>
          </w:p>
        </w:tc>
        <w:tc>
          <w:tcPr>
            <w:tcW w:w="3763" w:type="pct"/>
            <w:vAlign w:val="top"/>
          </w:tcPr>
          <w:p w14:paraId="415C650C">
            <w:pPr>
              <w:jc w:val="left"/>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自2020年1月1日至投标截止日（以合同签订时间为准），投标人每提供一个</w:t>
            </w:r>
            <w:r>
              <w:rPr>
                <w:rFonts w:hint="eastAsia" w:ascii="宋体" w:hAnsi="宋体" w:cs="宋体"/>
                <w:b w:val="0"/>
                <w:bCs/>
                <w:color w:val="auto"/>
                <w:spacing w:val="0"/>
                <w:sz w:val="21"/>
                <w:szCs w:val="21"/>
                <w:highlight w:val="none"/>
                <w:lang w:val="en-US" w:eastAsia="zh-CN"/>
              </w:rPr>
              <w:t>规划</w:t>
            </w:r>
            <w:r>
              <w:rPr>
                <w:rFonts w:hint="eastAsia" w:ascii="宋体" w:hAnsi="宋体" w:eastAsia="宋体" w:cs="宋体"/>
                <w:b w:val="0"/>
                <w:bCs/>
                <w:color w:val="auto"/>
                <w:spacing w:val="0"/>
                <w:sz w:val="21"/>
                <w:szCs w:val="21"/>
                <w:highlight w:val="none"/>
                <w:lang w:val="en-US" w:eastAsia="zh-CN"/>
              </w:rPr>
              <w:t>设计业绩（需包含新能源充电站内</w:t>
            </w:r>
            <w:r>
              <w:rPr>
                <w:rFonts w:hint="eastAsia" w:ascii="宋体" w:hAnsi="宋体" w:cs="宋体"/>
                <w:b w:val="0"/>
                <w:bCs/>
                <w:color w:val="auto"/>
                <w:spacing w:val="0"/>
                <w:sz w:val="21"/>
                <w:szCs w:val="21"/>
                <w:highlight w:val="none"/>
                <w:lang w:val="en-US" w:eastAsia="zh-CN"/>
              </w:rPr>
              <w:t>容</w:t>
            </w:r>
            <w:r>
              <w:rPr>
                <w:rFonts w:hint="eastAsia" w:ascii="宋体" w:hAnsi="宋体" w:eastAsia="宋体" w:cs="宋体"/>
                <w:b w:val="0"/>
                <w:bCs/>
                <w:color w:val="auto"/>
                <w:spacing w:val="0"/>
                <w:sz w:val="21"/>
                <w:szCs w:val="21"/>
                <w:highlight w:val="none"/>
                <w:lang w:val="en-US" w:eastAsia="zh-CN"/>
              </w:rPr>
              <w:t>）的得10分；其他的不得分，满分</w:t>
            </w:r>
            <w:r>
              <w:rPr>
                <w:rFonts w:hint="eastAsia" w:ascii="宋体" w:hAnsi="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en-US" w:eastAsia="zh-CN"/>
              </w:rPr>
              <w:t>0分。</w:t>
            </w:r>
          </w:p>
          <w:p w14:paraId="776760AE">
            <w:pPr>
              <w:jc w:val="left"/>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【投标文件中须提供合同扫描件；若上述材料均未体现评分内容的还须另外提供业主证明材料扫描件。】</w:t>
            </w:r>
          </w:p>
          <w:p w14:paraId="7BBB90AC">
            <w:pPr>
              <w:jc w:val="left"/>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lang w:val="en-US" w:eastAsia="zh-CN"/>
              </w:rPr>
              <w:t>注：投标人投标时只须提供</w:t>
            </w:r>
            <w:r>
              <w:rPr>
                <w:rFonts w:hint="eastAsia" w:ascii="宋体" w:hAnsi="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en-US" w:eastAsia="zh-CN"/>
              </w:rPr>
              <w:t>个评审业绩，若投标人提供业绩个数超过</w:t>
            </w:r>
            <w:r>
              <w:rPr>
                <w:rFonts w:hint="eastAsia" w:ascii="宋体" w:hAnsi="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en-US" w:eastAsia="zh-CN"/>
              </w:rPr>
              <w:t>个，则按照排列顺序从首个业绩开始评审至对应数量（</w:t>
            </w:r>
            <w:r>
              <w:rPr>
                <w:rFonts w:hint="eastAsia" w:ascii="宋体" w:hAnsi="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en-US" w:eastAsia="zh-CN"/>
              </w:rPr>
              <w:t>个），超出部分业绩不进行评审。对应数量（</w:t>
            </w:r>
            <w:r>
              <w:rPr>
                <w:rFonts w:hint="eastAsia" w:ascii="宋体" w:hAnsi="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en-US" w:eastAsia="zh-CN"/>
              </w:rPr>
              <w:t>个）业绩不符合招标文件要求不得分的，不再补充评审超出部分业绩。如：提供</w:t>
            </w:r>
            <w:r>
              <w:rPr>
                <w:rFonts w:hint="eastAsia" w:ascii="宋体" w:hAnsi="宋体" w:cs="宋体"/>
                <w:b w:val="0"/>
                <w:bCs/>
                <w:color w:val="auto"/>
                <w:spacing w:val="0"/>
                <w:sz w:val="21"/>
                <w:szCs w:val="21"/>
                <w:highlight w:val="none"/>
                <w:lang w:val="en-US" w:eastAsia="zh-CN"/>
              </w:rPr>
              <w:t>2</w:t>
            </w:r>
            <w:r>
              <w:rPr>
                <w:rFonts w:hint="eastAsia" w:ascii="宋体" w:hAnsi="宋体" w:eastAsia="宋体" w:cs="宋体"/>
                <w:b w:val="0"/>
                <w:bCs/>
                <w:color w:val="auto"/>
                <w:spacing w:val="0"/>
                <w:sz w:val="21"/>
                <w:szCs w:val="21"/>
                <w:highlight w:val="none"/>
                <w:lang w:val="en-US" w:eastAsia="zh-CN"/>
              </w:rPr>
              <w:t>个业绩即得满分的，按照投标文件排序评审第一</w:t>
            </w:r>
            <w:r>
              <w:rPr>
                <w:rFonts w:hint="eastAsia" w:ascii="宋体" w:hAnsi="宋体" w:cs="宋体"/>
                <w:b w:val="0"/>
                <w:bCs/>
                <w:color w:val="auto"/>
                <w:spacing w:val="0"/>
                <w:sz w:val="21"/>
                <w:szCs w:val="21"/>
                <w:highlight w:val="none"/>
                <w:lang w:val="en-US" w:eastAsia="zh-CN"/>
              </w:rPr>
              <w:t>、第二</w:t>
            </w:r>
            <w:r>
              <w:rPr>
                <w:rFonts w:hint="eastAsia" w:ascii="宋体" w:hAnsi="宋体" w:eastAsia="宋体" w:cs="宋体"/>
                <w:b w:val="0"/>
                <w:bCs/>
                <w:color w:val="auto"/>
                <w:spacing w:val="0"/>
                <w:sz w:val="21"/>
                <w:szCs w:val="21"/>
                <w:highlight w:val="none"/>
                <w:lang w:val="en-US" w:eastAsia="zh-CN"/>
              </w:rPr>
              <w:t>项业绩，其余超出部分不再评审。</w:t>
            </w:r>
          </w:p>
        </w:tc>
      </w:tr>
      <w:tr w14:paraId="7D38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vAlign w:val="center"/>
          </w:tcPr>
          <w:p w14:paraId="59DB5D32">
            <w:pPr>
              <w:spacing w:before="69" w:line="360" w:lineRule="exact"/>
              <w:jc w:val="center"/>
              <w:rPr>
                <w:rFonts w:hint="eastAsia" w:ascii="宋体" w:hAnsi="宋体" w:eastAsia="宋体" w:cs="宋体"/>
                <w:spacing w:val="0"/>
                <w:position w:val="11"/>
                <w:sz w:val="21"/>
                <w:szCs w:val="21"/>
                <w:highlight w:val="none"/>
                <w:lang w:val="en-US" w:eastAsia="zh-CN"/>
              </w:rPr>
            </w:pPr>
            <w:r>
              <w:rPr>
                <w:rFonts w:hint="eastAsia" w:ascii="宋体" w:hAnsi="宋体" w:eastAsia="宋体" w:cs="宋体"/>
                <w:spacing w:val="-2"/>
                <w:position w:val="11"/>
                <w:sz w:val="21"/>
                <w:szCs w:val="21"/>
                <w:highlight w:val="none"/>
                <w:lang w:val="en-US" w:eastAsia="zh-CN"/>
              </w:rPr>
              <w:t>项目团队（</w:t>
            </w:r>
            <w:r>
              <w:rPr>
                <w:rFonts w:hint="eastAsia" w:ascii="宋体" w:hAnsi="宋体" w:cs="宋体"/>
                <w:spacing w:val="-2"/>
                <w:position w:val="11"/>
                <w:sz w:val="21"/>
                <w:szCs w:val="21"/>
                <w:highlight w:val="none"/>
                <w:lang w:val="en-US" w:eastAsia="zh-CN"/>
              </w:rPr>
              <w:t>10</w:t>
            </w:r>
            <w:r>
              <w:rPr>
                <w:rFonts w:hint="eastAsia" w:ascii="宋体" w:hAnsi="宋体" w:eastAsia="宋体" w:cs="宋体"/>
                <w:spacing w:val="-2"/>
                <w:position w:val="11"/>
                <w:sz w:val="21"/>
                <w:szCs w:val="21"/>
                <w:highlight w:val="none"/>
                <w:lang w:val="en-US" w:eastAsia="zh-CN"/>
              </w:rPr>
              <w:t>分）</w:t>
            </w:r>
          </w:p>
        </w:tc>
        <w:tc>
          <w:tcPr>
            <w:tcW w:w="7552" w:type="dxa"/>
            <w:vAlign w:val="center"/>
          </w:tcPr>
          <w:p w14:paraId="1EE84396">
            <w:pPr>
              <w:jc w:val="left"/>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拟派项目团队每提供1个</w:t>
            </w:r>
            <w:r>
              <w:rPr>
                <w:rFonts w:hint="eastAsia" w:ascii="宋体" w:hAnsi="宋体" w:cs="宋体"/>
                <w:b w:val="0"/>
                <w:bCs/>
                <w:color w:val="auto"/>
                <w:sz w:val="21"/>
                <w:szCs w:val="21"/>
                <w:highlight w:val="none"/>
                <w:lang w:val="en-US" w:eastAsia="zh-CN"/>
              </w:rPr>
              <w:t>建设工程专业</w:t>
            </w:r>
            <w:r>
              <w:rPr>
                <w:rFonts w:hint="eastAsia" w:ascii="宋体" w:hAnsi="宋体" w:eastAsia="宋体" w:cs="宋体"/>
                <w:b w:val="0"/>
                <w:bCs/>
                <w:color w:val="auto"/>
                <w:sz w:val="21"/>
                <w:szCs w:val="21"/>
                <w:highlight w:val="none"/>
                <w:lang w:val="en-US" w:eastAsia="zh-CN"/>
              </w:rPr>
              <w:t>高级</w:t>
            </w:r>
            <w:r>
              <w:rPr>
                <w:rFonts w:hint="eastAsia" w:ascii="宋体" w:hAnsi="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lang w:val="en-US" w:eastAsia="zh-CN"/>
              </w:rPr>
              <w:t>以上职称证书得5分</w:t>
            </w:r>
            <w:r>
              <w:rPr>
                <w:rFonts w:hint="eastAsia" w:ascii="宋体" w:hAnsi="宋体" w:cs="宋体"/>
                <w:b w:val="0"/>
                <w:bCs/>
                <w:color w:val="auto"/>
                <w:sz w:val="21"/>
                <w:szCs w:val="21"/>
                <w:highlight w:val="none"/>
                <w:lang w:val="zh-CN" w:eastAsia="zh-CN"/>
              </w:rPr>
              <w:t>；</w:t>
            </w:r>
            <w:r>
              <w:rPr>
                <w:rFonts w:hint="eastAsia" w:ascii="宋体" w:hAnsi="宋体" w:eastAsia="宋体" w:cs="宋体"/>
                <w:b w:val="0"/>
                <w:bCs/>
                <w:color w:val="auto"/>
                <w:sz w:val="21"/>
                <w:szCs w:val="21"/>
                <w:highlight w:val="none"/>
                <w:lang w:val="en-US" w:eastAsia="zh-CN"/>
              </w:rPr>
              <w:t>其他的不得分，本条满分10分。</w:t>
            </w:r>
          </w:p>
          <w:p w14:paraId="55EC3A84">
            <w:pPr>
              <w:jc w:val="left"/>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【投标文件中须提供</w:t>
            </w:r>
            <w:r>
              <w:rPr>
                <w:rFonts w:hint="eastAsia" w:ascii="宋体" w:hAnsi="宋体" w:cs="宋体"/>
                <w:b w:val="0"/>
                <w:bCs/>
                <w:color w:val="auto"/>
                <w:sz w:val="21"/>
                <w:szCs w:val="21"/>
                <w:highlight w:val="none"/>
                <w:lang w:val="en-US" w:eastAsia="zh-CN"/>
              </w:rPr>
              <w:t>职称</w:t>
            </w:r>
            <w:r>
              <w:rPr>
                <w:rFonts w:hint="eastAsia" w:ascii="宋体" w:hAnsi="宋体" w:eastAsia="宋体" w:cs="宋体"/>
                <w:b w:val="0"/>
                <w:bCs/>
                <w:color w:val="auto"/>
                <w:sz w:val="21"/>
                <w:szCs w:val="21"/>
                <w:highlight w:val="none"/>
                <w:lang w:val="en-US" w:eastAsia="zh-CN"/>
              </w:rPr>
              <w:t>证书扫描件。】</w:t>
            </w:r>
          </w:p>
        </w:tc>
      </w:tr>
    </w:tbl>
    <w:p w14:paraId="6EF3540D">
      <w:pPr>
        <w:pStyle w:val="29"/>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二</w:t>
      </w:r>
      <w:r>
        <w:rPr>
          <w:rFonts w:hint="eastAsia" w:ascii="Times New Roman" w:hAnsi="Times New Roman" w:eastAsia="宋体" w:cs="Times New Roman"/>
          <w:b/>
          <w:color w:val="auto"/>
          <w:sz w:val="28"/>
          <w:szCs w:val="21"/>
          <w:lang w:val="en-US" w:eastAsia="zh-CN"/>
        </w:rPr>
        <w:t>）技术标评分细则（</w:t>
      </w:r>
      <w:r>
        <w:rPr>
          <w:rFonts w:hint="eastAsia" w:cs="Times New Roman"/>
          <w:b/>
          <w:color w:val="auto"/>
          <w:sz w:val="28"/>
          <w:szCs w:val="21"/>
          <w:lang w:val="en-US" w:eastAsia="zh-CN"/>
        </w:rPr>
        <w:t>3</w:t>
      </w:r>
      <w:r>
        <w:rPr>
          <w:rFonts w:hint="eastAsia" w:ascii="Times New Roman" w:hAnsi="Times New Roman" w:cs="Times New Roman"/>
          <w:b/>
          <w:color w:val="auto"/>
          <w:sz w:val="28"/>
          <w:szCs w:val="21"/>
          <w:lang w:val="en-US" w:eastAsia="zh-CN"/>
        </w:rPr>
        <w:t>0</w:t>
      </w:r>
      <w:r>
        <w:rPr>
          <w:rFonts w:hint="eastAsia" w:ascii="Times New Roman" w:hAnsi="Times New Roman" w:eastAsia="宋体" w:cs="Times New Roman"/>
          <w:b/>
          <w:color w:val="auto"/>
          <w:sz w:val="28"/>
          <w:szCs w:val="21"/>
          <w:lang w:val="en-US" w:eastAsia="zh-CN"/>
        </w:rPr>
        <w:t>分）</w:t>
      </w:r>
    </w:p>
    <w:tbl>
      <w:tblPr>
        <w:tblStyle w:val="47"/>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239"/>
        <w:gridCol w:w="5985"/>
      </w:tblGrid>
      <w:tr w14:paraId="17EB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014AC285">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375" w:type="dxa"/>
            <w:gridSpan w:val="2"/>
            <w:noWrap w:val="0"/>
            <w:vAlign w:val="center"/>
          </w:tcPr>
          <w:p w14:paraId="780A823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85" w:type="dxa"/>
            <w:noWrap w:val="0"/>
            <w:vAlign w:val="center"/>
          </w:tcPr>
          <w:p w14:paraId="2B31D8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0F5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23B8D15">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735CB3D0">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239" w:type="dxa"/>
            <w:noWrap w:val="0"/>
            <w:vAlign w:val="center"/>
          </w:tcPr>
          <w:p w14:paraId="233E2358">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985" w:type="dxa"/>
            <w:noWrap w:val="0"/>
            <w:vAlign w:val="center"/>
          </w:tcPr>
          <w:p w14:paraId="04ED4DB0">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20C290B1">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512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228588E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6236784C">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239" w:type="dxa"/>
            <w:noWrap w:val="0"/>
            <w:vAlign w:val="center"/>
          </w:tcPr>
          <w:p w14:paraId="212240FF">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985" w:type="dxa"/>
            <w:noWrap w:val="0"/>
            <w:vAlign w:val="top"/>
          </w:tcPr>
          <w:p w14:paraId="6963AA3E">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5F26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6C518B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ADE3609">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5315AF10">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985" w:type="dxa"/>
            <w:noWrap w:val="0"/>
            <w:vAlign w:val="top"/>
          </w:tcPr>
          <w:p w14:paraId="795F7743">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3C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F84E0DA">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22D216A5">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4708DFB7">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985" w:type="dxa"/>
            <w:noWrap w:val="0"/>
            <w:vAlign w:val="top"/>
          </w:tcPr>
          <w:p w14:paraId="1C062D2A">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7DB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3F25A31A">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09D15A5B">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23B268C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center"/>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实施组织计划（</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tc>
        <w:tc>
          <w:tcPr>
            <w:tcW w:w="5985" w:type="dxa"/>
            <w:shd w:val="clear" w:color="auto" w:fill="auto"/>
            <w:noWrap w:val="0"/>
            <w:vAlign w:val="center"/>
          </w:tcPr>
          <w:p w14:paraId="33B44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根据投标人提供的</w:t>
            </w:r>
            <w:r>
              <w:rPr>
                <w:rFonts w:hint="eastAsia" w:ascii="宋体" w:hAnsi="宋体" w:cs="宋体"/>
                <w:color w:val="auto"/>
                <w:highlight w:val="none"/>
                <w:lang w:val="en-US" w:eastAsia="zh-CN"/>
              </w:rPr>
              <w:t>实施</w:t>
            </w:r>
            <w:r>
              <w:rPr>
                <w:rFonts w:hint="eastAsia" w:ascii="宋体" w:hAnsi="宋体" w:eastAsia="宋体" w:cs="宋体"/>
                <w:color w:val="auto"/>
                <w:highlight w:val="none"/>
                <w:lang w:val="en-US" w:eastAsia="zh-CN"/>
              </w:rPr>
              <w:t>组织计划</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包括但不限于</w:t>
            </w:r>
            <w:r>
              <w:rPr>
                <w:rFonts w:hint="eastAsia" w:ascii="宋体" w:hAnsi="宋体" w:cs="宋体"/>
                <w:color w:val="auto"/>
                <w:highlight w:val="none"/>
                <w:lang w:val="en-US" w:eastAsia="zh-CN"/>
              </w:rPr>
              <w:t>设计</w:t>
            </w:r>
            <w:r>
              <w:rPr>
                <w:rFonts w:hint="eastAsia" w:ascii="宋体" w:hAnsi="宋体" w:eastAsia="宋体" w:cs="宋体"/>
                <w:color w:val="auto"/>
                <w:highlight w:val="none"/>
                <w:lang w:val="en-US" w:eastAsia="zh-CN"/>
              </w:rPr>
              <w:t>人员组织、计划安排及设备仪器投入、</w:t>
            </w:r>
            <w:r>
              <w:rPr>
                <w:rFonts w:hint="eastAsia" w:ascii="宋体" w:hAnsi="宋体" w:cs="宋体"/>
                <w:color w:val="auto"/>
                <w:highlight w:val="none"/>
                <w:lang w:val="en-US" w:eastAsia="zh-CN"/>
              </w:rPr>
              <w:t>设计周期</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设计变更</w:t>
            </w:r>
            <w:r>
              <w:rPr>
                <w:rFonts w:hint="eastAsia" w:ascii="宋体" w:hAnsi="宋体" w:eastAsia="宋体" w:cs="宋体"/>
                <w:color w:val="auto"/>
                <w:highlight w:val="none"/>
                <w:lang w:val="en-US" w:eastAsia="zh-CN"/>
              </w:rPr>
              <w:t>处理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进行综合评分：</w:t>
            </w:r>
          </w:p>
          <w:p w14:paraId="5719B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1、计划全面详细，定位准确，服务内容</w:t>
            </w:r>
            <w:r>
              <w:rPr>
                <w:rFonts w:hint="eastAsia" w:ascii="宋体" w:hAnsi="宋体" w:cs="宋体"/>
                <w:color w:val="auto"/>
                <w:highlight w:val="none"/>
                <w:lang w:val="en-US" w:eastAsia="zh-CN"/>
              </w:rPr>
              <w:t>具有</w:t>
            </w:r>
            <w:r>
              <w:rPr>
                <w:rFonts w:hint="eastAsia" w:ascii="宋体" w:hAnsi="宋体" w:eastAsia="宋体" w:cs="宋体"/>
                <w:color w:val="auto"/>
                <w:highlight w:val="none"/>
                <w:lang w:val="en-US" w:eastAsia="zh-CN"/>
              </w:rPr>
              <w:t>针对性的得</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 xml:space="preserve">分； </w:t>
            </w:r>
          </w:p>
          <w:p w14:paraId="34B22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2、方案基本符合实际，具有实用性的得1</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 xml:space="preserve">分； </w:t>
            </w:r>
          </w:p>
          <w:p w14:paraId="211E8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3、方案初步符合要求的、有待提升完善的得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分； </w:t>
            </w:r>
          </w:p>
          <w:p w14:paraId="60C8F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4、方案不符合要求的或未提供相应内容的不得分。</w:t>
            </w:r>
          </w:p>
          <w:p w14:paraId="1D810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highlight w:val="none"/>
                <w:lang w:val="en-US" w:eastAsia="zh-CN"/>
              </w:rPr>
              <w:t>本项满分</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r>
      <w:tr w14:paraId="3348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4F634BA1">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1F07C468">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1BC02E79">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center"/>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质量保障方案（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tc>
        <w:tc>
          <w:tcPr>
            <w:tcW w:w="5985" w:type="dxa"/>
            <w:shd w:val="clear" w:color="auto" w:fill="auto"/>
            <w:noWrap w:val="0"/>
            <w:vAlign w:val="center"/>
          </w:tcPr>
          <w:p w14:paraId="433BB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宋体" w:cs="Times New Roman"/>
                <w:lang w:val="en-US" w:eastAsia="zh-CN"/>
              </w:rPr>
            </w:pPr>
            <w:r>
              <w:rPr>
                <w:rFonts w:hint="eastAsia" w:ascii="宋体" w:hAnsi="宋体" w:eastAsia="宋体" w:cs="宋体"/>
                <w:color w:val="auto"/>
                <w:highlight w:val="none"/>
                <w:lang w:val="en-US" w:eastAsia="zh-CN"/>
              </w:rPr>
              <w:t>根据投标人提供的质量保障方案(包括但不限于质量管理、保障措施)进行综合评分：</w:t>
            </w:r>
          </w:p>
          <w:p w14:paraId="5E3C9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1、方案全面详细，定位准确，服务内容</w:t>
            </w:r>
            <w:r>
              <w:rPr>
                <w:rFonts w:hint="eastAsia" w:ascii="宋体" w:hAnsi="宋体" w:cs="宋体"/>
                <w:color w:val="auto"/>
                <w:highlight w:val="none"/>
                <w:lang w:val="en-US" w:eastAsia="zh-CN"/>
              </w:rPr>
              <w:t>具有</w:t>
            </w:r>
            <w:r>
              <w:rPr>
                <w:rFonts w:hint="eastAsia" w:ascii="宋体" w:hAnsi="宋体" w:eastAsia="宋体" w:cs="宋体"/>
                <w:color w:val="auto"/>
                <w:highlight w:val="none"/>
                <w:lang w:val="en-US" w:eastAsia="zh-CN"/>
              </w:rPr>
              <w:t>针对性的得</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 xml:space="preserve">分； </w:t>
            </w:r>
          </w:p>
          <w:p w14:paraId="45D80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2、方案基本符合实际，具有实用性的得1</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 xml:space="preserve">分； </w:t>
            </w:r>
          </w:p>
          <w:p w14:paraId="24D33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3、方案初步符合要求的、有待提升完善的得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分； </w:t>
            </w:r>
          </w:p>
          <w:p w14:paraId="54D7A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4、方案不符合要求的或未提供相应内容的不得分。</w:t>
            </w:r>
          </w:p>
          <w:p w14:paraId="507F6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highlight w:val="none"/>
                <w:lang w:val="en-US" w:eastAsia="zh-CN"/>
              </w:rPr>
              <w:t>本项满分</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r>
    </w:tbl>
    <w:p w14:paraId="669BBA0D">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szCs w:val="21"/>
          <w:highlight w:val="none"/>
          <w:lang w:eastAsia="zh-CN"/>
        </w:rPr>
      </w:pPr>
      <w:r>
        <w:rPr>
          <w:rFonts w:hint="eastAsia" w:ascii="宋体" w:hAnsi="宋体" w:cs="宋体"/>
          <w:b/>
          <w:bCs/>
          <w:szCs w:val="21"/>
          <w:highlight w:val="none"/>
        </w:rPr>
        <w:t>注</w:t>
      </w:r>
      <w:r>
        <w:rPr>
          <w:rFonts w:hint="eastAsia" w:ascii="宋体" w:hAnsi="宋体" w:cs="宋体"/>
          <w:b/>
          <w:bCs/>
          <w:szCs w:val="21"/>
          <w:highlight w:val="none"/>
          <w:lang w:eastAsia="zh-CN"/>
        </w:rPr>
        <w:t>：</w:t>
      </w:r>
      <w:r>
        <w:rPr>
          <w:rFonts w:hint="eastAsia" w:ascii="宋体" w:hAnsi="宋体" w:cs="宋体"/>
          <w:b/>
          <w:bCs/>
          <w:szCs w:val="21"/>
          <w:highlight w:val="none"/>
        </w:rPr>
        <w:t>该项由专家评委评审打分，取所有评委评分的平均值为最终得分，保留两位小数点，第三位四舍五入</w:t>
      </w:r>
      <w:r>
        <w:rPr>
          <w:rFonts w:hint="eastAsia" w:ascii="宋体" w:hAnsi="宋体" w:cs="宋体"/>
          <w:b/>
          <w:bCs/>
          <w:szCs w:val="21"/>
          <w:highlight w:val="none"/>
          <w:lang w:eastAsia="zh-CN"/>
        </w:rPr>
        <w:t>。</w:t>
      </w:r>
    </w:p>
    <w:p w14:paraId="0B4C7729">
      <w:pPr>
        <w:pStyle w:val="29"/>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（三）商务标评审（</w:t>
      </w:r>
      <w:r>
        <w:rPr>
          <w:rFonts w:hint="eastAsia" w:cs="Times New Roman"/>
          <w:b/>
          <w:color w:val="auto"/>
          <w:sz w:val="28"/>
          <w:szCs w:val="21"/>
          <w:lang w:val="en-US" w:eastAsia="zh-CN"/>
        </w:rPr>
        <w:t>4</w:t>
      </w:r>
      <w:r>
        <w:rPr>
          <w:rFonts w:hint="eastAsia" w:ascii="Times New Roman" w:hAnsi="Times New Roman" w:eastAsia="宋体" w:cs="Times New Roman"/>
          <w:b/>
          <w:color w:val="auto"/>
          <w:sz w:val="28"/>
          <w:szCs w:val="21"/>
          <w:lang w:val="en-US" w:eastAsia="zh-CN"/>
        </w:rPr>
        <w:t>0分）</w:t>
      </w: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5008"/>
      </w:tblGrid>
      <w:tr w14:paraId="307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7C34A325">
            <w:pPr>
              <w:spacing w:line="440" w:lineRule="exact"/>
              <w:jc w:val="center"/>
              <w:rPr>
                <w:rFonts w:ascii="宋体" w:hAnsi="宋体" w:cs="宋体"/>
                <w:b/>
                <w:bCs/>
                <w:szCs w:val="21"/>
                <w:highlight w:val="none"/>
              </w:rPr>
            </w:pPr>
            <w:r>
              <w:rPr>
                <w:rFonts w:hint="eastAsia" w:ascii="宋体" w:hAnsi="宋体" w:cs="宋体"/>
                <w:b/>
                <w:bCs/>
                <w:szCs w:val="21"/>
                <w:highlight w:val="none"/>
              </w:rPr>
              <w:t>条款号</w:t>
            </w:r>
          </w:p>
        </w:tc>
        <w:tc>
          <w:tcPr>
            <w:tcW w:w="2158" w:type="dxa"/>
            <w:noWrap/>
            <w:vAlign w:val="center"/>
          </w:tcPr>
          <w:p w14:paraId="1CF92DDF">
            <w:pPr>
              <w:spacing w:line="440" w:lineRule="exact"/>
              <w:jc w:val="center"/>
              <w:rPr>
                <w:rFonts w:ascii="宋体" w:hAnsi="宋体" w:cs="宋体"/>
                <w:b/>
                <w:bCs/>
                <w:szCs w:val="21"/>
                <w:highlight w:val="none"/>
              </w:rPr>
            </w:pPr>
            <w:r>
              <w:rPr>
                <w:rFonts w:hint="eastAsia" w:ascii="宋体" w:hAnsi="宋体" w:cs="宋体"/>
                <w:b/>
                <w:bCs/>
                <w:szCs w:val="21"/>
                <w:highlight w:val="none"/>
              </w:rPr>
              <w:t>评审因素</w:t>
            </w:r>
          </w:p>
        </w:tc>
        <w:tc>
          <w:tcPr>
            <w:tcW w:w="5008" w:type="dxa"/>
            <w:noWrap/>
            <w:vAlign w:val="center"/>
          </w:tcPr>
          <w:p w14:paraId="10027A3D">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3C6C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1606681B">
            <w:pPr>
              <w:spacing w:line="440" w:lineRule="exact"/>
              <w:jc w:val="center"/>
              <w:rPr>
                <w:rFonts w:ascii="宋体" w:hAnsi="宋体" w:cs="宋体"/>
                <w:szCs w:val="21"/>
                <w:highlight w:val="none"/>
              </w:rPr>
            </w:pPr>
            <w:r>
              <w:rPr>
                <w:rFonts w:hint="eastAsia" w:ascii="宋体" w:hAnsi="宋体" w:cs="宋体"/>
                <w:szCs w:val="21"/>
                <w:highlight w:val="none"/>
              </w:rPr>
              <w:t>4.2.1</w:t>
            </w:r>
          </w:p>
        </w:tc>
        <w:tc>
          <w:tcPr>
            <w:tcW w:w="1860" w:type="dxa"/>
            <w:gridSpan w:val="2"/>
            <w:vMerge w:val="restart"/>
            <w:noWrap/>
            <w:vAlign w:val="center"/>
          </w:tcPr>
          <w:p w14:paraId="2ABF61DD">
            <w:pPr>
              <w:spacing w:line="440" w:lineRule="exact"/>
              <w:jc w:val="center"/>
              <w:rPr>
                <w:rFonts w:ascii="宋体" w:hAnsi="宋体" w:cs="宋体"/>
                <w:szCs w:val="21"/>
                <w:highlight w:val="none"/>
              </w:rPr>
            </w:pPr>
            <w:r>
              <w:rPr>
                <w:rFonts w:hint="eastAsia" w:ascii="宋体" w:hAnsi="宋体" w:cs="宋体"/>
                <w:szCs w:val="21"/>
                <w:highlight w:val="none"/>
              </w:rPr>
              <w:t>形式评审标准</w:t>
            </w:r>
          </w:p>
        </w:tc>
        <w:tc>
          <w:tcPr>
            <w:tcW w:w="2158" w:type="dxa"/>
            <w:noWrap/>
            <w:vAlign w:val="center"/>
          </w:tcPr>
          <w:p w14:paraId="73517A2E">
            <w:pPr>
              <w:spacing w:line="440" w:lineRule="exact"/>
              <w:rPr>
                <w:rFonts w:ascii="宋体" w:hAnsi="宋体" w:cs="宋体"/>
                <w:szCs w:val="21"/>
                <w:highlight w:val="none"/>
              </w:rPr>
            </w:pPr>
            <w:r>
              <w:rPr>
                <w:rFonts w:hint="eastAsia" w:ascii="宋体" w:hAnsi="宋体" w:cs="宋体"/>
                <w:szCs w:val="21"/>
                <w:highlight w:val="none"/>
              </w:rPr>
              <w:t>投标函签字盖章</w:t>
            </w:r>
          </w:p>
        </w:tc>
        <w:tc>
          <w:tcPr>
            <w:tcW w:w="5008" w:type="dxa"/>
            <w:noWrap/>
          </w:tcPr>
          <w:p w14:paraId="2DBE6DD3">
            <w:pPr>
              <w:spacing w:line="440" w:lineRule="exact"/>
              <w:rPr>
                <w:rFonts w:ascii="宋体" w:hAnsi="宋体" w:cs="宋体"/>
                <w:szCs w:val="21"/>
                <w:highlight w:val="none"/>
              </w:rPr>
            </w:pPr>
            <w:r>
              <w:rPr>
                <w:rFonts w:hint="eastAsia" w:ascii="宋体" w:hAnsi="宋体" w:cs="宋体"/>
                <w:szCs w:val="21"/>
                <w:highlight w:val="none"/>
              </w:rPr>
              <w:t>有投标人及其法定代表人签章</w:t>
            </w:r>
          </w:p>
        </w:tc>
      </w:tr>
      <w:tr w14:paraId="5E0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274A7B26">
            <w:pPr>
              <w:spacing w:line="440" w:lineRule="exact"/>
              <w:rPr>
                <w:rFonts w:ascii="宋体" w:hAnsi="宋体" w:cs="宋体"/>
                <w:szCs w:val="21"/>
                <w:highlight w:val="none"/>
              </w:rPr>
            </w:pPr>
          </w:p>
        </w:tc>
        <w:tc>
          <w:tcPr>
            <w:tcW w:w="1860" w:type="dxa"/>
            <w:gridSpan w:val="2"/>
            <w:vMerge w:val="continue"/>
            <w:noWrap/>
          </w:tcPr>
          <w:p w14:paraId="7570E8C7">
            <w:pPr>
              <w:spacing w:line="440" w:lineRule="exact"/>
              <w:rPr>
                <w:rFonts w:ascii="宋体" w:hAnsi="宋体" w:cs="宋体"/>
                <w:szCs w:val="21"/>
                <w:highlight w:val="none"/>
              </w:rPr>
            </w:pPr>
          </w:p>
        </w:tc>
        <w:tc>
          <w:tcPr>
            <w:tcW w:w="2158" w:type="dxa"/>
            <w:noWrap/>
            <w:vAlign w:val="center"/>
          </w:tcPr>
          <w:p w14:paraId="45179B0C">
            <w:pPr>
              <w:spacing w:line="440" w:lineRule="exact"/>
              <w:rPr>
                <w:rFonts w:ascii="宋体" w:hAnsi="宋体" w:cs="宋体"/>
                <w:szCs w:val="21"/>
                <w:highlight w:val="none"/>
              </w:rPr>
            </w:pPr>
            <w:r>
              <w:rPr>
                <w:rFonts w:hint="eastAsia" w:ascii="宋体" w:hAnsi="宋体" w:cs="宋体"/>
                <w:szCs w:val="21"/>
                <w:highlight w:val="none"/>
              </w:rPr>
              <w:t>投标文件格式</w:t>
            </w:r>
          </w:p>
        </w:tc>
        <w:tc>
          <w:tcPr>
            <w:tcW w:w="5008" w:type="dxa"/>
            <w:noWrap/>
          </w:tcPr>
          <w:p w14:paraId="24166B6D">
            <w:pPr>
              <w:spacing w:line="440" w:lineRule="exact"/>
              <w:jc w:val="left"/>
              <w:rPr>
                <w:rFonts w:ascii="宋体" w:hAnsi="宋体" w:cs="宋体"/>
                <w:szCs w:val="21"/>
                <w:highlight w:val="none"/>
              </w:rPr>
            </w:pPr>
            <w:r>
              <w:rPr>
                <w:rFonts w:hint="eastAsia" w:ascii="宋体" w:hAnsi="宋体" w:cs="宋体"/>
                <w:szCs w:val="21"/>
                <w:highlight w:val="none"/>
              </w:rPr>
              <w:t>符合第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章“投标文件格式”的要求</w:t>
            </w:r>
          </w:p>
        </w:tc>
      </w:tr>
      <w:tr w14:paraId="327F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C9F9938">
            <w:pPr>
              <w:spacing w:line="440" w:lineRule="exact"/>
              <w:rPr>
                <w:rFonts w:ascii="宋体" w:hAnsi="宋体" w:cs="宋体"/>
                <w:szCs w:val="21"/>
                <w:highlight w:val="none"/>
              </w:rPr>
            </w:pPr>
          </w:p>
        </w:tc>
        <w:tc>
          <w:tcPr>
            <w:tcW w:w="1860" w:type="dxa"/>
            <w:gridSpan w:val="2"/>
            <w:vMerge w:val="continue"/>
            <w:noWrap/>
          </w:tcPr>
          <w:p w14:paraId="083A6289">
            <w:pPr>
              <w:spacing w:line="440" w:lineRule="exact"/>
              <w:rPr>
                <w:rFonts w:ascii="宋体" w:hAnsi="宋体" w:cs="宋体"/>
                <w:szCs w:val="21"/>
                <w:highlight w:val="none"/>
              </w:rPr>
            </w:pPr>
          </w:p>
        </w:tc>
        <w:tc>
          <w:tcPr>
            <w:tcW w:w="2158" w:type="dxa"/>
            <w:noWrap/>
            <w:vAlign w:val="center"/>
          </w:tcPr>
          <w:p w14:paraId="5EC25201">
            <w:pPr>
              <w:spacing w:line="440" w:lineRule="exact"/>
              <w:rPr>
                <w:rFonts w:ascii="宋体" w:hAnsi="宋体" w:cs="宋体"/>
                <w:szCs w:val="21"/>
                <w:highlight w:val="none"/>
              </w:rPr>
            </w:pPr>
            <w:r>
              <w:rPr>
                <w:rFonts w:hint="eastAsia" w:ascii="宋体" w:hAnsi="宋体" w:cs="宋体"/>
                <w:szCs w:val="21"/>
                <w:highlight w:val="none"/>
              </w:rPr>
              <w:t>报价唯一</w:t>
            </w:r>
          </w:p>
        </w:tc>
        <w:tc>
          <w:tcPr>
            <w:tcW w:w="5008" w:type="dxa"/>
            <w:noWrap/>
          </w:tcPr>
          <w:p w14:paraId="1080A4B7">
            <w:pPr>
              <w:spacing w:line="440" w:lineRule="exact"/>
              <w:jc w:val="left"/>
              <w:rPr>
                <w:rFonts w:ascii="宋体" w:hAnsi="宋体" w:cs="宋体"/>
                <w:szCs w:val="21"/>
                <w:highlight w:val="none"/>
              </w:rPr>
            </w:pPr>
            <w:r>
              <w:rPr>
                <w:rFonts w:hint="eastAsia" w:ascii="宋体" w:hAnsi="宋体" w:cs="宋体"/>
                <w:szCs w:val="21"/>
                <w:highlight w:val="none"/>
              </w:rPr>
              <w:t>只能有一个报价</w:t>
            </w:r>
          </w:p>
        </w:tc>
      </w:tr>
      <w:tr w14:paraId="7D3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7814028">
            <w:pPr>
              <w:spacing w:line="440" w:lineRule="exact"/>
              <w:jc w:val="center"/>
              <w:rPr>
                <w:rFonts w:ascii="宋体" w:hAnsi="宋体" w:cs="宋体"/>
                <w:szCs w:val="21"/>
                <w:highlight w:val="none"/>
              </w:rPr>
            </w:pPr>
            <w:r>
              <w:rPr>
                <w:rFonts w:hint="eastAsia" w:ascii="宋体" w:hAnsi="宋体" w:cs="宋体"/>
                <w:szCs w:val="21"/>
                <w:highlight w:val="none"/>
              </w:rPr>
              <w:t>4.2.2</w:t>
            </w:r>
          </w:p>
        </w:tc>
        <w:tc>
          <w:tcPr>
            <w:tcW w:w="1860" w:type="dxa"/>
            <w:gridSpan w:val="2"/>
            <w:vMerge w:val="restart"/>
            <w:noWrap/>
            <w:vAlign w:val="center"/>
          </w:tcPr>
          <w:p w14:paraId="477FB6B5">
            <w:pPr>
              <w:spacing w:line="440" w:lineRule="exact"/>
              <w:rPr>
                <w:rFonts w:ascii="宋体" w:hAnsi="宋体" w:cs="宋体"/>
                <w:szCs w:val="21"/>
                <w:highlight w:val="none"/>
              </w:rPr>
            </w:pPr>
            <w:r>
              <w:rPr>
                <w:rFonts w:hint="eastAsia" w:ascii="宋体" w:hAnsi="宋体" w:cs="宋体"/>
                <w:szCs w:val="21"/>
                <w:highlight w:val="none"/>
              </w:rPr>
              <w:t>响应性评审标准</w:t>
            </w:r>
          </w:p>
        </w:tc>
        <w:tc>
          <w:tcPr>
            <w:tcW w:w="2158" w:type="dxa"/>
            <w:noWrap/>
            <w:vAlign w:val="center"/>
          </w:tcPr>
          <w:p w14:paraId="341144D6">
            <w:pPr>
              <w:spacing w:line="440" w:lineRule="exact"/>
              <w:rPr>
                <w:rFonts w:ascii="宋体" w:hAnsi="宋体" w:cs="宋体"/>
                <w:szCs w:val="21"/>
                <w:highlight w:val="none"/>
              </w:rPr>
            </w:pPr>
            <w:r>
              <w:rPr>
                <w:rFonts w:hint="eastAsia" w:ascii="宋体" w:hAnsi="宋体" w:cs="宋体"/>
                <w:szCs w:val="21"/>
                <w:highlight w:val="none"/>
                <w:lang w:val="en-US" w:eastAsia="zh-CN"/>
              </w:rPr>
              <w:t>服务</w:t>
            </w:r>
            <w:r>
              <w:rPr>
                <w:rFonts w:hint="eastAsia" w:ascii="宋体" w:hAnsi="宋体" w:cs="宋体"/>
                <w:szCs w:val="21"/>
                <w:highlight w:val="none"/>
              </w:rPr>
              <w:t>期</w:t>
            </w:r>
          </w:p>
        </w:tc>
        <w:tc>
          <w:tcPr>
            <w:tcW w:w="5008" w:type="dxa"/>
            <w:noWrap/>
            <w:vAlign w:val="center"/>
          </w:tcPr>
          <w:p w14:paraId="37215412">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5507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AFE4EF1">
            <w:pPr>
              <w:spacing w:line="440" w:lineRule="exact"/>
              <w:rPr>
                <w:rFonts w:ascii="宋体" w:hAnsi="宋体" w:cs="宋体"/>
                <w:szCs w:val="21"/>
                <w:highlight w:val="none"/>
              </w:rPr>
            </w:pPr>
          </w:p>
        </w:tc>
        <w:tc>
          <w:tcPr>
            <w:tcW w:w="1860" w:type="dxa"/>
            <w:gridSpan w:val="2"/>
            <w:vMerge w:val="continue"/>
            <w:noWrap/>
          </w:tcPr>
          <w:p w14:paraId="7B4C01AA">
            <w:pPr>
              <w:spacing w:line="440" w:lineRule="exact"/>
              <w:rPr>
                <w:rFonts w:ascii="宋体" w:hAnsi="宋体" w:cs="宋体"/>
                <w:szCs w:val="21"/>
                <w:highlight w:val="none"/>
              </w:rPr>
            </w:pPr>
          </w:p>
        </w:tc>
        <w:tc>
          <w:tcPr>
            <w:tcW w:w="2158" w:type="dxa"/>
            <w:noWrap/>
            <w:vAlign w:val="center"/>
          </w:tcPr>
          <w:p w14:paraId="1A3A3F53">
            <w:pPr>
              <w:spacing w:line="440" w:lineRule="exact"/>
              <w:rPr>
                <w:rFonts w:ascii="宋体" w:hAnsi="宋体" w:cs="宋体"/>
                <w:szCs w:val="21"/>
                <w:highlight w:val="none"/>
              </w:rPr>
            </w:pPr>
            <w:r>
              <w:rPr>
                <w:rFonts w:hint="eastAsia" w:ascii="宋体" w:hAnsi="宋体" w:cs="宋体"/>
                <w:szCs w:val="21"/>
                <w:highlight w:val="none"/>
              </w:rPr>
              <w:t>投标有效期</w:t>
            </w:r>
          </w:p>
        </w:tc>
        <w:tc>
          <w:tcPr>
            <w:tcW w:w="5008" w:type="dxa"/>
            <w:noWrap/>
            <w:vAlign w:val="center"/>
          </w:tcPr>
          <w:p w14:paraId="4CC287BA">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3F3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2D8AC126">
            <w:pPr>
              <w:spacing w:line="440" w:lineRule="exact"/>
              <w:rPr>
                <w:rFonts w:ascii="宋体" w:hAnsi="宋体" w:cs="宋体"/>
                <w:szCs w:val="21"/>
                <w:highlight w:val="none"/>
              </w:rPr>
            </w:pPr>
          </w:p>
        </w:tc>
        <w:tc>
          <w:tcPr>
            <w:tcW w:w="1860" w:type="dxa"/>
            <w:gridSpan w:val="2"/>
            <w:vMerge w:val="continue"/>
            <w:noWrap/>
          </w:tcPr>
          <w:p w14:paraId="6058B882">
            <w:pPr>
              <w:spacing w:line="440" w:lineRule="exact"/>
              <w:rPr>
                <w:rFonts w:ascii="宋体" w:hAnsi="宋体" w:cs="宋体"/>
                <w:szCs w:val="21"/>
                <w:highlight w:val="none"/>
              </w:rPr>
            </w:pPr>
          </w:p>
        </w:tc>
        <w:tc>
          <w:tcPr>
            <w:tcW w:w="2158" w:type="dxa"/>
            <w:noWrap/>
            <w:vAlign w:val="center"/>
          </w:tcPr>
          <w:p w14:paraId="59243F41">
            <w:pPr>
              <w:spacing w:line="440" w:lineRule="exact"/>
              <w:rPr>
                <w:rFonts w:ascii="宋体" w:hAnsi="宋体" w:cs="宋体"/>
                <w:szCs w:val="21"/>
                <w:highlight w:val="none"/>
              </w:rPr>
            </w:pPr>
            <w:r>
              <w:rPr>
                <w:rFonts w:hint="eastAsia" w:ascii="宋体" w:hAnsi="宋体" w:cs="宋体"/>
                <w:szCs w:val="21"/>
                <w:highlight w:val="none"/>
              </w:rPr>
              <w:t>工程质量</w:t>
            </w:r>
          </w:p>
        </w:tc>
        <w:tc>
          <w:tcPr>
            <w:tcW w:w="5008" w:type="dxa"/>
            <w:noWrap/>
            <w:vAlign w:val="center"/>
          </w:tcPr>
          <w:p w14:paraId="6B69FB9B">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2F1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58017497">
            <w:pPr>
              <w:spacing w:line="440" w:lineRule="exact"/>
              <w:rPr>
                <w:rFonts w:ascii="宋体" w:hAnsi="宋体" w:cs="宋体"/>
                <w:szCs w:val="21"/>
                <w:highlight w:val="none"/>
              </w:rPr>
            </w:pPr>
          </w:p>
        </w:tc>
        <w:tc>
          <w:tcPr>
            <w:tcW w:w="1860" w:type="dxa"/>
            <w:gridSpan w:val="2"/>
            <w:vMerge w:val="continue"/>
            <w:noWrap/>
          </w:tcPr>
          <w:p w14:paraId="03CDB8FB">
            <w:pPr>
              <w:spacing w:line="440" w:lineRule="exact"/>
              <w:rPr>
                <w:rFonts w:ascii="宋体" w:hAnsi="宋体" w:cs="宋体"/>
                <w:szCs w:val="21"/>
                <w:highlight w:val="none"/>
              </w:rPr>
            </w:pPr>
          </w:p>
        </w:tc>
        <w:tc>
          <w:tcPr>
            <w:tcW w:w="2158" w:type="dxa"/>
            <w:noWrap/>
            <w:vAlign w:val="center"/>
          </w:tcPr>
          <w:p w14:paraId="68CD3BA7">
            <w:pPr>
              <w:spacing w:line="440" w:lineRule="exact"/>
              <w:rPr>
                <w:rFonts w:ascii="宋体" w:hAnsi="宋体" w:cs="宋体"/>
                <w:szCs w:val="21"/>
                <w:highlight w:val="none"/>
              </w:rPr>
            </w:pPr>
            <w:r>
              <w:rPr>
                <w:rFonts w:hint="eastAsia" w:ascii="宋体" w:hAnsi="宋体" w:cs="宋体"/>
                <w:szCs w:val="21"/>
                <w:highlight w:val="none"/>
              </w:rPr>
              <w:t>投标文件内容</w:t>
            </w:r>
          </w:p>
        </w:tc>
        <w:tc>
          <w:tcPr>
            <w:tcW w:w="5008" w:type="dxa"/>
            <w:noWrap/>
            <w:vAlign w:val="center"/>
          </w:tcPr>
          <w:p w14:paraId="7A7D463D">
            <w:pPr>
              <w:spacing w:line="440" w:lineRule="exact"/>
              <w:rPr>
                <w:rFonts w:ascii="宋体" w:hAnsi="宋体" w:cs="宋体"/>
                <w:szCs w:val="21"/>
                <w:highlight w:val="none"/>
              </w:rPr>
            </w:pPr>
            <w:r>
              <w:rPr>
                <w:rFonts w:hint="eastAsia" w:ascii="宋体" w:hAnsi="宋体" w:cs="宋体"/>
                <w:szCs w:val="21"/>
                <w:highlight w:val="none"/>
              </w:rPr>
              <w:t>符合投标须知前附表规定</w:t>
            </w:r>
          </w:p>
        </w:tc>
      </w:tr>
      <w:tr w14:paraId="1D93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7CC84D4C">
            <w:pPr>
              <w:spacing w:line="440" w:lineRule="exact"/>
              <w:rPr>
                <w:rFonts w:ascii="宋体" w:hAnsi="宋体" w:cs="宋体"/>
                <w:szCs w:val="21"/>
                <w:highlight w:val="none"/>
              </w:rPr>
            </w:pPr>
          </w:p>
        </w:tc>
        <w:tc>
          <w:tcPr>
            <w:tcW w:w="1860" w:type="dxa"/>
            <w:gridSpan w:val="2"/>
            <w:vMerge w:val="continue"/>
            <w:noWrap/>
          </w:tcPr>
          <w:p w14:paraId="6C3BBE5A">
            <w:pPr>
              <w:spacing w:line="440" w:lineRule="exact"/>
              <w:rPr>
                <w:rFonts w:ascii="宋体" w:hAnsi="宋体" w:cs="宋体"/>
                <w:szCs w:val="21"/>
                <w:highlight w:val="none"/>
              </w:rPr>
            </w:pPr>
          </w:p>
        </w:tc>
        <w:tc>
          <w:tcPr>
            <w:tcW w:w="2158" w:type="dxa"/>
            <w:noWrap/>
            <w:vAlign w:val="center"/>
          </w:tcPr>
          <w:p w14:paraId="7B8E7F30">
            <w:pPr>
              <w:spacing w:line="440" w:lineRule="exact"/>
              <w:rPr>
                <w:rFonts w:ascii="宋体" w:hAnsi="宋体" w:cs="宋体"/>
                <w:szCs w:val="21"/>
                <w:highlight w:val="none"/>
              </w:rPr>
            </w:pPr>
            <w:r>
              <w:rPr>
                <w:rFonts w:hint="eastAsia" w:ascii="宋体" w:hAnsi="宋体" w:cs="宋体"/>
                <w:szCs w:val="21"/>
                <w:highlight w:val="none"/>
              </w:rPr>
              <w:t>投标报价</w:t>
            </w:r>
          </w:p>
        </w:tc>
        <w:tc>
          <w:tcPr>
            <w:tcW w:w="5008" w:type="dxa"/>
            <w:noWrap/>
            <w:vAlign w:val="center"/>
          </w:tcPr>
          <w:p w14:paraId="2BF22B2C">
            <w:pPr>
              <w:spacing w:line="440" w:lineRule="exact"/>
              <w:rPr>
                <w:rFonts w:ascii="宋体" w:hAnsi="宋体" w:cs="宋体"/>
                <w:szCs w:val="21"/>
                <w:highlight w:val="none"/>
              </w:rPr>
            </w:pPr>
            <w:r>
              <w:rPr>
                <w:rFonts w:hint="eastAsia" w:ascii="宋体" w:hAnsi="宋体" w:cs="宋体"/>
                <w:szCs w:val="21"/>
                <w:highlight w:val="none"/>
              </w:rPr>
              <w:t>不高于最高限价</w:t>
            </w:r>
          </w:p>
        </w:tc>
      </w:tr>
      <w:tr w14:paraId="1CF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7018F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商务评分</w:t>
            </w:r>
          </w:p>
          <w:p w14:paraId="67AD6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分）</w:t>
            </w:r>
          </w:p>
        </w:tc>
        <w:tc>
          <w:tcPr>
            <w:tcW w:w="8111" w:type="dxa"/>
            <w:gridSpan w:val="3"/>
            <w:noWrap/>
            <w:vAlign w:val="center"/>
          </w:tcPr>
          <w:p w14:paraId="0ED839D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1.本项目最高限价为：</w:t>
            </w:r>
            <w:r>
              <w:rPr>
                <w:rFonts w:hint="eastAsia" w:ascii="宋体" w:hAnsi="宋体" w:cs="宋体"/>
                <w:b w:val="0"/>
                <w:bCs/>
                <w:color w:val="auto"/>
                <w:sz w:val="21"/>
                <w:szCs w:val="21"/>
                <w:highlight w:val="none"/>
                <w:lang w:val="en-US" w:eastAsia="zh-CN"/>
              </w:rPr>
              <w:t>110000.00</w:t>
            </w:r>
            <w:r>
              <w:rPr>
                <w:rFonts w:hint="eastAsia" w:ascii="宋体" w:hAnsi="宋体" w:eastAsia="宋体" w:cs="宋体"/>
                <w:b w:val="0"/>
                <w:bCs/>
                <w:color w:val="auto"/>
                <w:sz w:val="21"/>
                <w:szCs w:val="21"/>
                <w:highlight w:val="none"/>
                <w:lang w:val="en-US" w:eastAsia="zh-CN"/>
              </w:rPr>
              <w:t>元；投标单位投标报价不得高于招标人发布的最高限价，否则按无效标处理。</w:t>
            </w:r>
          </w:p>
          <w:p w14:paraId="1214DE4D">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2.评标基准价为B，B值为通过详细评审的所有有效投标人投标报价的算术平均值。</w:t>
            </w:r>
          </w:p>
          <w:p w14:paraId="3C222F91">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3.计算报价偏差率，偏差率=|（投标报价-评标基准价）/评标基准价|×100%</w:t>
            </w:r>
          </w:p>
          <w:p w14:paraId="25EA7D46">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计算报价得分</w:t>
            </w:r>
          </w:p>
          <w:p w14:paraId="34D45E3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①投标报价等于评标基准价的得满分。</w:t>
            </w:r>
          </w:p>
          <w:p w14:paraId="2F2E5F94">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②投标报价高于评标基准价的，投标报价得分=报价满分值-偏差率×100×0.2</w:t>
            </w:r>
          </w:p>
          <w:p w14:paraId="7C1D08EF">
            <w:pPr>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③投标报价低于评标基准价的，投标报价得分=报价满分值-偏差率×100×0.1</w:t>
            </w:r>
          </w:p>
          <w:p w14:paraId="03F4BDD2">
            <w:pPr>
              <w:jc w:val="left"/>
              <w:rPr>
                <w:color w:val="auto"/>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本项分值由评标委员会负责组织计算，计算过程中，评标基准价B值、偏差率、报价得分均保留两位小数，小数点后第三位四舍五入。</w:t>
            </w:r>
          </w:p>
        </w:tc>
      </w:tr>
    </w:tbl>
    <w:p w14:paraId="1ABFAED1">
      <w:pPr>
        <w:shd w:val="clear"/>
        <w:adjustRightInd w:val="0"/>
        <w:snapToGrid w:val="0"/>
        <w:spacing w:line="560" w:lineRule="exact"/>
        <w:ind w:firstLine="316" w:firstLineChars="150"/>
        <w:rPr>
          <w:rFonts w:hint="eastAsia" w:ascii="黑体" w:hAnsi="黑体" w:eastAsia="黑体" w:cs="黑体"/>
          <w:b/>
          <w:color w:val="auto"/>
          <w:szCs w:val="21"/>
          <w:highlight w:val="none"/>
        </w:rPr>
      </w:pPr>
      <w:bookmarkStart w:id="122" w:name="_Toc324404872"/>
      <w:bookmarkStart w:id="123" w:name="_Toc6491"/>
      <w:bookmarkStart w:id="124" w:name="_Toc246996975"/>
      <w:bookmarkStart w:id="125" w:name="_Toc247085747"/>
      <w:bookmarkStart w:id="126" w:name="_Toc246996232"/>
      <w:bookmarkStart w:id="127" w:name="_Toc152042366"/>
      <w:bookmarkStart w:id="128" w:name="_Toc179632607"/>
      <w:bookmarkStart w:id="129" w:name="_Toc144974556"/>
      <w:bookmarkStart w:id="130" w:name="_Toc506107324"/>
      <w:bookmarkStart w:id="131" w:name="_Toc78803381"/>
      <w:bookmarkStart w:id="132" w:name="_Toc15058913"/>
      <w:bookmarkStart w:id="133" w:name="_Toc35424947"/>
      <w:bookmarkStart w:id="134" w:name="_Toc35425113"/>
      <w:bookmarkStart w:id="135" w:name="_Toc152045589"/>
      <w:r>
        <w:rPr>
          <w:rFonts w:hint="eastAsia" w:ascii="黑体" w:hAnsi="黑体" w:eastAsia="黑体" w:cs="黑体"/>
          <w:b/>
          <w:color w:val="auto"/>
          <w:szCs w:val="21"/>
          <w:highlight w:val="none"/>
        </w:rPr>
        <w:t>商务标评审表注：</w:t>
      </w:r>
    </w:p>
    <w:p w14:paraId="7CFC35BA">
      <w:pPr>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、只有通过详细评审的投标人才能参加评分。</w:t>
      </w:r>
    </w:p>
    <w:p w14:paraId="723FCFE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、本表所称投标报价是指按招标文件规定修正后的投标</w:t>
      </w:r>
      <w:r>
        <w:rPr>
          <w:rFonts w:hint="eastAsia" w:ascii="宋体" w:hAnsi="宋体" w:cs="宋体"/>
          <w:color w:val="auto"/>
          <w:szCs w:val="21"/>
          <w:highlight w:val="none"/>
          <w:lang w:val="en-US" w:eastAsia="zh-CN"/>
        </w:rPr>
        <w:t>单</w:t>
      </w:r>
      <w:r>
        <w:rPr>
          <w:rFonts w:hint="eastAsia" w:ascii="宋体" w:hAnsi="宋体" w:cs="宋体"/>
          <w:color w:val="auto"/>
          <w:szCs w:val="21"/>
          <w:highlight w:val="none"/>
        </w:rPr>
        <w:t>价（多算投标报价、多报费用不扣减）。</w:t>
      </w:r>
    </w:p>
    <w:p w14:paraId="59E5148A">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72AB4E8">
      <w:pPr>
        <w:pageBreakBefore w:val="0"/>
        <w:widowControl w:val="0"/>
        <w:kinsoku/>
        <w:wordWrap/>
        <w:overflowPunct/>
        <w:topLinePunct w:val="0"/>
        <w:autoSpaceDE/>
        <w:autoSpaceDN/>
        <w:bidi w:val="0"/>
        <w:adjustRightInd/>
        <w:snapToGrid w:val="0"/>
        <w:spacing w:line="400" w:lineRule="exact"/>
        <w:ind w:right="252" w:rightChars="120" w:firstLine="420" w:firstLineChars="200"/>
        <w:jc w:val="left"/>
        <w:textAlignment w:val="auto"/>
        <w:rPr>
          <w:rFonts w:ascii="宋体" w:hAnsi="宋体" w:cs="宋体"/>
          <w:szCs w:val="21"/>
          <w:highlight w:val="none"/>
        </w:rPr>
      </w:pPr>
      <w:bookmarkStart w:id="136" w:name="_Toc324404873"/>
      <w:bookmarkStart w:id="137" w:name="_Toc144974557"/>
      <w:bookmarkStart w:id="138" w:name="_Toc296602478"/>
      <w:bookmarkStart w:id="139" w:name="_Toc152042367"/>
      <w:bookmarkStart w:id="140" w:name="_Toc179632608"/>
      <w:bookmarkStart w:id="141" w:name="_Toc246996976"/>
      <w:bookmarkStart w:id="142" w:name="_Toc247085748"/>
      <w:bookmarkStart w:id="143" w:name="_Toc152045590"/>
      <w:bookmarkStart w:id="144" w:name="_Toc246996233"/>
      <w:r>
        <w:rPr>
          <w:rFonts w:hint="eastAsia" w:ascii="宋体" w:hAnsi="宋体" w:cs="宋体"/>
          <w:szCs w:val="21"/>
          <w:highlight w:val="none"/>
        </w:rPr>
        <w:t>本次评标采用综合评估法。评标委员会对满足招标文件实质性要求的投标文件，按照本章规定的评分标准进行打分，并按总得分（</w:t>
      </w:r>
      <w:r>
        <w:rPr>
          <w:rFonts w:hint="eastAsia" w:ascii="宋体" w:hAnsi="宋体" w:cs="宋体"/>
          <w:szCs w:val="21"/>
          <w:highlight w:val="none"/>
          <w:lang w:val="en-US" w:eastAsia="zh-CN"/>
        </w:rPr>
        <w:t>资信分+</w:t>
      </w:r>
      <w:r>
        <w:rPr>
          <w:rFonts w:hint="eastAsia" w:ascii="宋体" w:hAnsi="宋体" w:cs="宋体"/>
          <w:szCs w:val="21"/>
          <w:highlight w:val="none"/>
        </w:rPr>
        <w:t>技术分+商务分）由高到低顺序推荐中标候选人</w:t>
      </w:r>
      <w:r>
        <w:rPr>
          <w:rFonts w:hint="eastAsia" w:ascii="宋体" w:hAnsi="宋体" w:cs="宋体"/>
          <w:szCs w:val="21"/>
          <w:highlight w:val="none"/>
          <w:lang w:val="en-US" w:eastAsia="zh-CN"/>
        </w:rPr>
        <w:t>3</w:t>
      </w:r>
      <w:r>
        <w:rPr>
          <w:rFonts w:hint="eastAsia" w:ascii="宋体" w:hAnsi="宋体" w:cs="宋体"/>
          <w:szCs w:val="21"/>
          <w:highlight w:val="none"/>
        </w:rPr>
        <w:t>名，并标明</w:t>
      </w:r>
      <w:r>
        <w:rPr>
          <w:rFonts w:hint="eastAsia" w:ascii="宋体" w:hAnsi="宋体" w:cs="宋体"/>
          <w:color w:val="auto"/>
          <w:szCs w:val="21"/>
          <w:highlight w:val="none"/>
        </w:rPr>
        <w:t>排序，但投标报价低于其成本的除外。总评分相等时，以投标报价低的优先；若投标报价也相等，由</w:t>
      </w:r>
      <w:r>
        <w:rPr>
          <w:rFonts w:hint="eastAsia" w:ascii="宋体" w:hAnsi="宋体" w:cs="宋体"/>
          <w:szCs w:val="21"/>
          <w:highlight w:val="none"/>
        </w:rPr>
        <w:t>招标人抽签确定。</w:t>
      </w:r>
    </w:p>
    <w:p w14:paraId="3F12DD3B">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45" w:name="_Toc11945"/>
      <w:bookmarkStart w:id="146" w:name="_Toc35424948"/>
      <w:bookmarkStart w:id="147" w:name="_Toc35425114"/>
      <w:bookmarkStart w:id="148" w:name="_Toc78803382"/>
      <w:bookmarkStart w:id="149" w:name="_Toc506107325"/>
      <w:bookmarkStart w:id="150" w:name="_Toc15058914"/>
      <w:r>
        <w:rPr>
          <w:rFonts w:hint="eastAsia" w:ascii="宋体" w:hAnsi="宋体" w:eastAsia="宋体" w:cs="宋体"/>
          <w:highlight w:val="none"/>
        </w:rPr>
        <w:t>2.评标委员会的职责</w:t>
      </w:r>
      <w:bookmarkEnd w:id="136"/>
      <w:bookmarkEnd w:id="145"/>
      <w:bookmarkEnd w:id="146"/>
      <w:bookmarkEnd w:id="147"/>
      <w:bookmarkEnd w:id="148"/>
      <w:bookmarkEnd w:id="149"/>
      <w:bookmarkEnd w:id="150"/>
    </w:p>
    <w:p w14:paraId="009BCFE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9C91FE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bookmarkStart w:id="151" w:name="_Toc78803383"/>
      <w:r>
        <w:rPr>
          <w:rFonts w:hint="eastAsia" w:ascii="宋体" w:hAnsi="宋体" w:cs="宋体"/>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51"/>
    </w:p>
    <w:p w14:paraId="2EE942C7">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52" w:name="_Toc35424949"/>
      <w:bookmarkStart w:id="153" w:name="_Toc78803384"/>
      <w:bookmarkStart w:id="154" w:name="_Toc324404874"/>
      <w:bookmarkStart w:id="155" w:name="_Toc15058915"/>
      <w:bookmarkStart w:id="156" w:name="_Toc506107326"/>
      <w:bookmarkStart w:id="157" w:name="_Toc35425115"/>
      <w:bookmarkStart w:id="158" w:name="_Toc17377"/>
      <w:r>
        <w:rPr>
          <w:rFonts w:hint="eastAsia" w:ascii="宋体" w:hAnsi="宋体" w:eastAsia="宋体" w:cs="宋体"/>
          <w:highlight w:val="none"/>
        </w:rPr>
        <w:t>3.评标程序</w:t>
      </w:r>
      <w:bookmarkEnd w:id="152"/>
      <w:bookmarkEnd w:id="153"/>
      <w:bookmarkEnd w:id="154"/>
      <w:bookmarkEnd w:id="155"/>
      <w:bookmarkEnd w:id="156"/>
      <w:bookmarkEnd w:id="157"/>
      <w:bookmarkEnd w:id="158"/>
    </w:p>
    <w:p w14:paraId="609184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评标先做准备工作，先进行</w:t>
      </w:r>
      <w:r>
        <w:rPr>
          <w:rFonts w:hint="eastAsia" w:ascii="宋体" w:hAnsi="宋体" w:eastAsia="宋体" w:cs="宋体"/>
          <w:szCs w:val="21"/>
          <w:highlight w:val="none"/>
          <w:lang w:val="en-US" w:eastAsia="zh-CN"/>
        </w:rPr>
        <w:t>资格审查</w:t>
      </w:r>
      <w:r>
        <w:rPr>
          <w:rFonts w:hint="eastAsia" w:ascii="宋体" w:hAnsi="宋体" w:eastAsia="宋体" w:cs="宋体"/>
          <w:szCs w:val="21"/>
          <w:highlight w:val="none"/>
        </w:rPr>
        <w:t>，然后进行技术标评审，最后进行商务标评审。</w:t>
      </w:r>
    </w:p>
    <w:p w14:paraId="6E980930">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59" w:name="_Toc27389"/>
      <w:bookmarkStart w:id="160" w:name="_Toc15058916"/>
      <w:bookmarkStart w:id="161" w:name="_Toc35425116"/>
      <w:bookmarkStart w:id="162" w:name="_Toc78803385"/>
      <w:bookmarkStart w:id="163" w:name="_Toc35424950"/>
      <w:r>
        <w:rPr>
          <w:rFonts w:hint="eastAsia" w:ascii="宋体" w:hAnsi="宋体" w:eastAsia="宋体" w:cs="宋体"/>
          <w:highlight w:val="none"/>
        </w:rPr>
        <w:t>3.1评标准备工作</w:t>
      </w:r>
      <w:bookmarkEnd w:id="159"/>
      <w:bookmarkEnd w:id="160"/>
      <w:bookmarkEnd w:id="161"/>
      <w:bookmarkEnd w:id="162"/>
      <w:bookmarkEnd w:id="163"/>
    </w:p>
    <w:p w14:paraId="12DD11E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36FCFB9">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64" w:name="_Toc24650"/>
      <w:bookmarkStart w:id="165" w:name="_Toc35425117"/>
      <w:bookmarkStart w:id="166" w:name="_Toc35424951"/>
      <w:bookmarkStart w:id="167" w:name="_Toc78803386"/>
      <w:bookmarkStart w:id="168" w:name="_Toc15058917"/>
      <w:bookmarkStart w:id="169" w:name="_Toc1299"/>
      <w:bookmarkStart w:id="170" w:name="_Toc506107327"/>
      <w:bookmarkStart w:id="171" w:name="_Toc12200"/>
      <w:bookmarkStart w:id="172" w:name="_Toc324404875"/>
      <w:bookmarkStart w:id="173" w:name="_Toc35424954"/>
      <w:bookmarkStart w:id="174" w:name="_Toc15058919"/>
      <w:bookmarkStart w:id="175" w:name="_Toc35425120"/>
      <w:r>
        <w:rPr>
          <w:rFonts w:hint="eastAsia" w:ascii="宋体" w:hAnsi="宋体" w:eastAsia="宋体" w:cs="宋体"/>
          <w:highlight w:val="none"/>
        </w:rPr>
        <w:t>3.2</w:t>
      </w:r>
      <w:r>
        <w:rPr>
          <w:rFonts w:hint="eastAsia" w:ascii="宋体" w:hAnsi="宋体" w:eastAsia="宋体" w:cs="宋体"/>
          <w:highlight w:val="none"/>
          <w:lang w:val="en-US" w:eastAsia="zh-CN"/>
        </w:rPr>
        <w:t>资信</w:t>
      </w:r>
      <w:r>
        <w:rPr>
          <w:rFonts w:hint="eastAsia" w:ascii="宋体" w:hAnsi="宋体" w:eastAsia="宋体" w:cs="宋体"/>
          <w:highlight w:val="none"/>
        </w:rPr>
        <w:t>标评审</w:t>
      </w:r>
    </w:p>
    <w:p w14:paraId="10624BE7">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highlight w:val="none"/>
        </w:rPr>
      </w:pPr>
      <w:r>
        <w:rPr>
          <w:rFonts w:hint="eastAsia" w:ascii="宋体" w:hAnsi="宋体" w:cs="宋体"/>
          <w:szCs w:val="21"/>
          <w:highlight w:val="none"/>
        </w:rPr>
        <w:t>详见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13E391E0">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3</w:t>
      </w:r>
      <w:r>
        <w:rPr>
          <w:rFonts w:hint="eastAsia" w:ascii="宋体" w:hAnsi="宋体" w:eastAsia="宋体" w:cs="宋体"/>
          <w:highlight w:val="none"/>
        </w:rPr>
        <w:t>技术标评审</w:t>
      </w:r>
      <w:bookmarkEnd w:id="164"/>
      <w:bookmarkEnd w:id="165"/>
      <w:bookmarkEnd w:id="166"/>
      <w:bookmarkEnd w:id="167"/>
      <w:bookmarkEnd w:id="168"/>
      <w:bookmarkEnd w:id="169"/>
    </w:p>
    <w:p w14:paraId="755D589C">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详见技术标评审表。</w:t>
      </w:r>
    </w:p>
    <w:p w14:paraId="3DC15C5A">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76" w:name="_Toc78803387"/>
      <w:bookmarkStart w:id="177" w:name="_Toc17468"/>
      <w:bookmarkStart w:id="178" w:name="_Toc35424952"/>
      <w:bookmarkStart w:id="179" w:name="_Toc15058918"/>
      <w:bookmarkStart w:id="180" w:name="_Toc11990"/>
      <w:bookmarkStart w:id="181" w:name="_Toc35425118"/>
      <w:r>
        <w:rPr>
          <w:rFonts w:hint="eastAsia" w:ascii="宋体" w:hAnsi="宋体" w:eastAsia="宋体" w:cs="宋体"/>
          <w:highlight w:val="none"/>
        </w:rPr>
        <w:t>3.</w:t>
      </w:r>
      <w:r>
        <w:rPr>
          <w:rFonts w:hint="eastAsia" w:ascii="宋体" w:hAnsi="宋体" w:eastAsia="宋体" w:cs="宋体"/>
          <w:highlight w:val="none"/>
          <w:lang w:val="en-US" w:eastAsia="zh-CN"/>
        </w:rPr>
        <w:t>4</w:t>
      </w:r>
      <w:r>
        <w:rPr>
          <w:rFonts w:hint="eastAsia" w:ascii="宋体" w:hAnsi="宋体" w:eastAsia="宋体" w:cs="宋体"/>
          <w:highlight w:val="none"/>
        </w:rPr>
        <w:t>商务标评审</w:t>
      </w:r>
      <w:bookmarkEnd w:id="176"/>
      <w:bookmarkEnd w:id="177"/>
      <w:bookmarkEnd w:id="178"/>
      <w:bookmarkEnd w:id="179"/>
      <w:bookmarkEnd w:id="180"/>
      <w:bookmarkEnd w:id="181"/>
    </w:p>
    <w:p w14:paraId="39D20E5D">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详见商务标评审表。</w:t>
      </w:r>
    </w:p>
    <w:p w14:paraId="56AFC15C">
      <w:pPr>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cs="宋体"/>
          <w:color w:val="auto"/>
          <w:szCs w:val="21"/>
          <w:highlight w:val="none"/>
        </w:rPr>
      </w:pPr>
      <w:bookmarkStart w:id="182" w:name="_Toc35425119"/>
      <w:bookmarkStart w:id="183" w:name="_Toc78803388"/>
      <w:bookmarkStart w:id="184" w:name="_Toc35424953"/>
      <w:bookmarkStart w:id="185" w:name="_Toc26895"/>
      <w:bookmarkStart w:id="186" w:name="_Toc18087"/>
      <w:r>
        <w:rPr>
          <w:rStyle w:val="198"/>
          <w:rFonts w:hint="eastAsia" w:ascii="宋体" w:hAnsi="宋体" w:eastAsia="宋体" w:cs="宋体"/>
          <w:highlight w:val="none"/>
        </w:rPr>
        <w:t>3.</w:t>
      </w:r>
      <w:r>
        <w:rPr>
          <w:rStyle w:val="198"/>
          <w:rFonts w:hint="eastAsia" w:ascii="宋体" w:hAnsi="宋体" w:cs="宋体"/>
          <w:highlight w:val="none"/>
          <w:lang w:val="en-US"/>
        </w:rPr>
        <w:t>5</w:t>
      </w:r>
      <w:r>
        <w:rPr>
          <w:rStyle w:val="198"/>
          <w:rFonts w:hint="eastAsia" w:ascii="宋体" w:hAnsi="宋体" w:eastAsia="宋体" w:cs="宋体"/>
          <w:highlight w:val="none"/>
        </w:rPr>
        <w:t>推荐中标候选人</w:t>
      </w:r>
      <w:bookmarkEnd w:id="182"/>
      <w:bookmarkEnd w:id="183"/>
      <w:bookmarkEnd w:id="184"/>
      <w:bookmarkEnd w:id="185"/>
      <w:bookmarkEnd w:id="186"/>
      <w:r>
        <w:rPr>
          <w:rFonts w:hint="eastAsia" w:ascii="宋体" w:hAnsi="宋体" w:cs="宋体"/>
          <w:b/>
          <w:bCs/>
          <w:highlight w:val="none"/>
        </w:rPr>
        <w:t>：</w:t>
      </w:r>
      <w:r>
        <w:rPr>
          <w:rFonts w:hint="eastAsia" w:ascii="宋体" w:hAnsi="宋体" w:cs="宋体"/>
          <w:highlight w:val="none"/>
        </w:rPr>
        <w:t>资</w:t>
      </w:r>
      <w:r>
        <w:rPr>
          <w:rFonts w:hint="eastAsia" w:ascii="宋体" w:hAnsi="宋体" w:cs="宋体"/>
          <w:highlight w:val="none"/>
          <w:lang w:val="en-US" w:eastAsia="zh-CN"/>
        </w:rPr>
        <w:t>格审查</w:t>
      </w:r>
      <w:r>
        <w:rPr>
          <w:rFonts w:hint="eastAsia" w:ascii="宋体" w:hAnsi="宋体" w:cs="宋体"/>
          <w:highlight w:val="none"/>
        </w:rPr>
        <w:t>、技术标评审、商务标</w:t>
      </w:r>
      <w:r>
        <w:rPr>
          <w:rFonts w:hint="eastAsia" w:ascii="宋体" w:hAnsi="宋体" w:cs="宋体"/>
          <w:color w:val="auto"/>
          <w:highlight w:val="none"/>
        </w:rPr>
        <w:t>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87" w:name="_Toc78803389"/>
      <w:r>
        <w:rPr>
          <w:rFonts w:hint="eastAsia" w:ascii="宋体" w:hAnsi="宋体" w:eastAsia="宋体" w:cs="宋体"/>
          <w:highlight w:val="none"/>
        </w:rPr>
        <w:t>4.评审内容</w:t>
      </w:r>
      <w:bookmarkEnd w:id="170"/>
      <w:bookmarkEnd w:id="171"/>
      <w:bookmarkEnd w:id="172"/>
      <w:bookmarkEnd w:id="173"/>
      <w:bookmarkEnd w:id="174"/>
      <w:bookmarkEnd w:id="175"/>
      <w:bookmarkEnd w:id="187"/>
    </w:p>
    <w:p w14:paraId="0F1392E9">
      <w:pPr>
        <w:pStyle w:val="3"/>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highlight w:val="none"/>
        </w:rPr>
      </w:pPr>
      <w:bookmarkStart w:id="188" w:name="_Toc9630"/>
      <w:bookmarkStart w:id="189" w:name="_Toc78803390"/>
      <w:r>
        <w:rPr>
          <w:rFonts w:hint="eastAsia" w:ascii="宋体" w:hAnsi="宋体" w:eastAsia="宋体" w:cs="宋体"/>
          <w:highlight w:val="none"/>
        </w:rPr>
        <w:t>4.1</w:t>
      </w:r>
      <w:bookmarkEnd w:id="188"/>
      <w:bookmarkEnd w:id="189"/>
      <w:bookmarkStart w:id="190" w:name="_Toc15058921"/>
      <w:bookmarkStart w:id="191" w:name="_Toc35424956"/>
      <w:bookmarkStart w:id="192" w:name="_Toc3531"/>
      <w:bookmarkStart w:id="193" w:name="_Toc35425122"/>
      <w:bookmarkStart w:id="194" w:name="_Toc78803391"/>
      <w:bookmarkStart w:id="195" w:name="_Toc324404876"/>
      <w:r>
        <w:rPr>
          <w:rFonts w:hint="eastAsia" w:ascii="宋体" w:hAnsi="宋体" w:eastAsia="宋体" w:cs="宋体"/>
          <w:highlight w:val="none"/>
        </w:rPr>
        <w:t>商务标评审</w:t>
      </w:r>
      <w:bookmarkEnd w:id="190"/>
      <w:bookmarkEnd w:id="191"/>
      <w:bookmarkEnd w:id="192"/>
      <w:bookmarkEnd w:id="193"/>
      <w:bookmarkEnd w:id="194"/>
    </w:p>
    <w:p w14:paraId="79EFB73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只有通过技术标评审的投标才能够进入本阶段评审。</w:t>
      </w:r>
    </w:p>
    <w:p w14:paraId="7908D5C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4.1.1形式性评审标准：见商务标评审表。</w:t>
      </w:r>
    </w:p>
    <w:p w14:paraId="5FDB81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4.1.2响应性评审标准：见商务标评审表。</w:t>
      </w:r>
    </w:p>
    <w:p w14:paraId="5104F40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5FFAD8B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4.1.3投标报价评审</w:t>
      </w:r>
    </w:p>
    <w:p w14:paraId="43D228E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914B09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4.1.4评标委员会审查投标文件，投标报价有错误的，评标委员会按以下原则对投标报价进行修正。</w:t>
      </w:r>
    </w:p>
    <w:p w14:paraId="263D918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（1）投标文件中的大写金额与小写金额不一致的，以大写金额为准。</w:t>
      </w:r>
    </w:p>
    <w:p w14:paraId="62D11E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highlight w:val="none"/>
        </w:rPr>
        <w:t>（2）总价金额与依据单价计算出的结果不一致的，以单价金额为准修正总价，但单价金额小数点有明显错误的除外。</w:t>
      </w:r>
    </w:p>
    <w:p w14:paraId="5839829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196" w:name="_Toc13125"/>
      <w:bookmarkStart w:id="197" w:name="_Toc15058922"/>
      <w:bookmarkStart w:id="198" w:name="_Toc506107328"/>
      <w:bookmarkStart w:id="199" w:name="_Toc35424957"/>
      <w:bookmarkStart w:id="200" w:name="_Toc35425123"/>
      <w:bookmarkStart w:id="201" w:name="_Toc78803392"/>
      <w:r>
        <w:rPr>
          <w:rFonts w:hint="eastAsia" w:ascii="宋体" w:hAnsi="宋体" w:eastAsia="宋体" w:cs="宋体"/>
          <w:highlight w:val="none"/>
        </w:rPr>
        <w:t>5.无效投标条款</w:t>
      </w:r>
      <w:bookmarkEnd w:id="195"/>
      <w:bookmarkEnd w:id="196"/>
      <w:bookmarkEnd w:id="197"/>
      <w:bookmarkEnd w:id="198"/>
      <w:bookmarkEnd w:id="199"/>
      <w:bookmarkEnd w:id="200"/>
      <w:bookmarkEnd w:id="201"/>
    </w:p>
    <w:p w14:paraId="0DF5C34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1</w:t>
      </w:r>
      <w:r>
        <w:rPr>
          <w:rFonts w:hint="eastAsia" w:ascii="宋体" w:hAnsi="宋体" w:cs="宋体"/>
          <w:szCs w:val="21"/>
          <w:highlight w:val="none"/>
        </w:rPr>
        <w:t>由资格审查委员会（评标委员会）按资格审查办法前附表要求对投标人审查资料的第二章《资格审查办法》进行核验。投标申请人有下列情形之一的，其资格审查为不合格：</w:t>
      </w:r>
    </w:p>
    <w:p w14:paraId="528FDC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（1）未上传电子标书或电子标书经审查不合格；</w:t>
      </w:r>
    </w:p>
    <w:p w14:paraId="18F3565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）法律、法规规定的其他情形。</w:t>
      </w:r>
    </w:p>
    <w:p w14:paraId="0343ABA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投标人有下列情形的，经评审后其投标作无效投标处理无效投标：</w:t>
      </w:r>
    </w:p>
    <w:p w14:paraId="2F946A1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.1商标评审</w:t>
      </w:r>
    </w:p>
    <w:p w14:paraId="5AF5194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(1)评标委员会依据《商务标评审表》进行形式性评审和响应性评审。有一项不符合评审标准的，做无效投标处理；</w:t>
      </w:r>
    </w:p>
    <w:p w14:paraId="5172AA9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（2）商务标详细评审标准中有任何一项不能通过评审的，作无效投标处理。</w:t>
      </w:r>
    </w:p>
    <w:p w14:paraId="57BB8B8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其他无效投标情况：</w:t>
      </w:r>
    </w:p>
    <w:p w14:paraId="78EF0F0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ED44CD2">
      <w:pPr>
        <w:pageBreakBefore w:val="0"/>
        <w:widowControl w:val="0"/>
        <w:tabs>
          <w:tab w:val="left" w:pos="1470"/>
        </w:tabs>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（2）按第</w:t>
      </w:r>
      <w:r>
        <w:rPr>
          <w:rFonts w:hint="eastAsia" w:ascii="宋体" w:hAnsi="宋体" w:cs="宋体"/>
          <w:szCs w:val="21"/>
          <w:highlight w:val="none"/>
          <w:lang w:val="en-US" w:eastAsia="zh-CN"/>
        </w:rPr>
        <w:t>四</w:t>
      </w:r>
      <w:r>
        <w:rPr>
          <w:rFonts w:hint="eastAsia" w:ascii="宋体" w:hAnsi="宋体" w:cs="宋体"/>
          <w:szCs w:val="21"/>
          <w:highlight w:val="none"/>
        </w:rPr>
        <w:t>章《评标方法》4.2.4条款修正错误的原则及方法调整或修正投标文件的投标报价，调整或修正的价格经投标人书面确认后具有约束力。投标人不接修正价格的，其投标将被拒绝。</w:t>
      </w:r>
    </w:p>
    <w:p w14:paraId="6F0CAC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）投标人有串通投标、弄虚作假、行贿等违法行为。</w:t>
      </w:r>
    </w:p>
    <w:p w14:paraId="125E94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）投标文件没有对招标文件的实质性要求和条件作出响应。</w:t>
      </w:r>
    </w:p>
    <w:p w14:paraId="0FC2026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）未按规定的格式填写导致实质性内容不全以及实质上不响应，或者关键字迹模糊、无法辨认。</w:t>
      </w:r>
    </w:p>
    <w:p w14:paraId="1099022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）同一投标人提交两个以上不同的投标文件或者投标报价，但招标文件规定提交备选投标的除外。</w:t>
      </w:r>
    </w:p>
    <w:p w14:paraId="0C71CF4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）投标文件中存在招标人不能接受的其他实质性条件。</w:t>
      </w:r>
    </w:p>
    <w:p w14:paraId="641BCD2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）投标文件中填报的拟任项目负责人与资格审查通过的项目负责人前后不一致的。</w:t>
      </w:r>
    </w:p>
    <w:p w14:paraId="6FD597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62290F1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w:t>
      </w:r>
    </w:p>
    <w:p w14:paraId="7E65EDB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）法律、法规规定的其他情形。</w:t>
      </w:r>
    </w:p>
    <w:p w14:paraId="6C2FB7F4">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2" w:name="_Toc35425124"/>
      <w:bookmarkStart w:id="203" w:name="_Toc506107329"/>
      <w:bookmarkStart w:id="204" w:name="_Toc15058923"/>
      <w:bookmarkStart w:id="205" w:name="_Toc27846"/>
      <w:bookmarkStart w:id="206" w:name="_Toc78803393"/>
      <w:bookmarkStart w:id="207" w:name="_Toc35424958"/>
      <w:bookmarkStart w:id="208" w:name="_Toc324404877"/>
      <w:r>
        <w:rPr>
          <w:rFonts w:hint="eastAsia" w:ascii="宋体" w:hAnsi="宋体" w:eastAsia="宋体" w:cs="宋体"/>
          <w:highlight w:val="none"/>
        </w:rPr>
        <w:t>6.投标文件的澄清和补正</w:t>
      </w:r>
      <w:bookmarkEnd w:id="202"/>
      <w:bookmarkEnd w:id="203"/>
      <w:bookmarkEnd w:id="204"/>
      <w:bookmarkEnd w:id="205"/>
      <w:bookmarkEnd w:id="206"/>
      <w:bookmarkEnd w:id="207"/>
      <w:bookmarkEnd w:id="208"/>
    </w:p>
    <w:p w14:paraId="2F477AC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81AC3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6.2澄清、说明和补正不得改变投标文件的实质性内容（算术性错误修正的除外）。投标人的书面澄清、说明和补正属于投标文件的组成部分。</w:t>
      </w:r>
    </w:p>
    <w:p w14:paraId="2FE1D5D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6.3评标委员会对投标人提交的澄清、说明和补正有疑问的，可以要求投标人进一步澄清、说明或补正、直至满足评标委员会的要求。</w:t>
      </w:r>
    </w:p>
    <w:p w14:paraId="149643F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按照投标文件规定进行澄清、补正后的投标报价经投标人的法定代表人或其委托代理人确认后即为该投标人的最终投标报价。投标人一旦中标，此报价即为中标价。</w:t>
      </w:r>
    </w:p>
    <w:p w14:paraId="4D82B21A">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09" w:name="_Toc78803394"/>
      <w:bookmarkStart w:id="210" w:name="_Toc35424959"/>
      <w:bookmarkStart w:id="211" w:name="_Toc506107330"/>
      <w:bookmarkStart w:id="212" w:name="_Toc35425125"/>
      <w:bookmarkStart w:id="213" w:name="_Toc13990"/>
      <w:bookmarkStart w:id="214" w:name="_Toc324404878"/>
      <w:bookmarkStart w:id="215" w:name="_Toc15058924"/>
      <w:r>
        <w:rPr>
          <w:rFonts w:hint="eastAsia" w:ascii="宋体" w:hAnsi="宋体" w:eastAsia="宋体" w:cs="宋体"/>
          <w:highlight w:val="none"/>
        </w:rPr>
        <w:t>7.评分标准</w:t>
      </w:r>
      <w:bookmarkEnd w:id="209"/>
      <w:bookmarkEnd w:id="210"/>
      <w:bookmarkEnd w:id="211"/>
      <w:bookmarkEnd w:id="212"/>
      <w:bookmarkEnd w:id="213"/>
      <w:bookmarkEnd w:id="214"/>
      <w:bookmarkEnd w:id="215"/>
    </w:p>
    <w:p w14:paraId="7936729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szCs w:val="21"/>
          <w:highlight w:val="none"/>
        </w:rPr>
      </w:pPr>
      <w:bookmarkStart w:id="216" w:name="_Toc35424960"/>
      <w:bookmarkStart w:id="217" w:name="_Toc78803395"/>
      <w:bookmarkStart w:id="218" w:name="_Toc35425126"/>
      <w:bookmarkStart w:id="219" w:name="_Toc324404879"/>
      <w:bookmarkStart w:id="220" w:name="_Toc15058925"/>
      <w:bookmarkStart w:id="221" w:name="_Toc506107331"/>
      <w:bookmarkStart w:id="222" w:name="_Toc22863"/>
      <w:r>
        <w:rPr>
          <w:rFonts w:hint="eastAsia" w:ascii="宋体" w:hAnsi="宋体" w:cs="宋体"/>
          <w:szCs w:val="21"/>
          <w:highlight w:val="none"/>
          <w:lang w:val="en-US" w:eastAsia="zh-CN"/>
        </w:rPr>
        <w:t>资信</w:t>
      </w:r>
      <w:r>
        <w:rPr>
          <w:rFonts w:hint="eastAsia" w:ascii="宋体" w:hAnsi="宋体" w:cs="宋体"/>
          <w:szCs w:val="21"/>
          <w:highlight w:val="none"/>
        </w:rPr>
        <w:t>标评分标准：见</w:t>
      </w:r>
      <w:r>
        <w:rPr>
          <w:rFonts w:hint="eastAsia" w:ascii="宋体" w:hAnsi="宋体" w:cs="宋体"/>
          <w:szCs w:val="21"/>
          <w:highlight w:val="none"/>
          <w:lang w:val="en-US" w:eastAsia="zh-CN"/>
        </w:rPr>
        <w:t>资信</w:t>
      </w:r>
      <w:r>
        <w:rPr>
          <w:rFonts w:hint="eastAsia" w:ascii="宋体" w:hAnsi="宋体" w:cs="宋体"/>
          <w:szCs w:val="21"/>
          <w:highlight w:val="none"/>
        </w:rPr>
        <w:t>标评审表。</w:t>
      </w:r>
    </w:p>
    <w:p w14:paraId="55C79CD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技术标评分标准：见技术标评审表。</w:t>
      </w:r>
    </w:p>
    <w:p w14:paraId="22DFDD5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商务标评分标准：见商务标评审表。</w:t>
      </w:r>
    </w:p>
    <w:p w14:paraId="26B2972C">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8.评审结果</w:t>
      </w:r>
      <w:bookmarkEnd w:id="216"/>
      <w:bookmarkEnd w:id="217"/>
      <w:bookmarkEnd w:id="218"/>
      <w:bookmarkEnd w:id="219"/>
      <w:bookmarkEnd w:id="220"/>
      <w:bookmarkEnd w:id="221"/>
      <w:bookmarkEnd w:id="222"/>
    </w:p>
    <w:p w14:paraId="6C92BA2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8.1除投标人须知前附表授权直接确定中标人外，评标委员会按照总得分由高到低顺序推荐中标候选人。</w:t>
      </w:r>
    </w:p>
    <w:p w14:paraId="538B5B0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8.2评标委员会完成评标后，应当向招标人提交书面评标报告。评标报告应当如实记载以下内容：</w:t>
      </w:r>
    </w:p>
    <w:p w14:paraId="32C6C45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（1）基本情况和数据表。</w:t>
      </w:r>
    </w:p>
    <w:p w14:paraId="420D2A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（2）评标委员会成员名单。</w:t>
      </w:r>
    </w:p>
    <w:p w14:paraId="02179E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（3）开标记录。</w:t>
      </w:r>
    </w:p>
    <w:p w14:paraId="11B25BD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（4）符合要求的投标人一览表。</w:t>
      </w:r>
    </w:p>
    <w:p w14:paraId="43A3025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（5）废标情况说明。</w:t>
      </w:r>
    </w:p>
    <w:p w14:paraId="424F00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（6）评标标准、评标方法或者评标因素。</w:t>
      </w:r>
    </w:p>
    <w:p w14:paraId="2FCC2BB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（7）经评审的价格一览表。</w:t>
      </w:r>
    </w:p>
    <w:p w14:paraId="2E69437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（8）经评审的投标人排序。</w:t>
      </w:r>
    </w:p>
    <w:p w14:paraId="3FF8F21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（9）推荐的中标候选人名单与签订合同前要处理的事宜。</w:t>
      </w:r>
    </w:p>
    <w:p w14:paraId="1CB6501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417971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6FC489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1EF70C6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E1A994F">
      <w:pPr>
        <w:pStyle w:val="3"/>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highlight w:val="none"/>
        </w:rPr>
      </w:pPr>
      <w:bookmarkStart w:id="223" w:name="_Toc324404880"/>
      <w:bookmarkStart w:id="224" w:name="_Toc1576"/>
      <w:bookmarkStart w:id="225" w:name="_Toc78803396"/>
      <w:bookmarkStart w:id="226" w:name="_Toc35424961"/>
      <w:bookmarkStart w:id="227" w:name="_Toc15058926"/>
      <w:bookmarkStart w:id="228" w:name="_Toc35425127"/>
      <w:bookmarkStart w:id="229" w:name="_Toc506107332"/>
      <w:r>
        <w:rPr>
          <w:rFonts w:hint="eastAsia" w:ascii="宋体" w:hAnsi="宋体" w:eastAsia="宋体" w:cs="宋体"/>
          <w:highlight w:val="none"/>
        </w:rPr>
        <w:t>9.其他</w:t>
      </w:r>
      <w:bookmarkEnd w:id="223"/>
      <w:bookmarkEnd w:id="224"/>
      <w:bookmarkEnd w:id="225"/>
      <w:bookmarkEnd w:id="226"/>
      <w:bookmarkEnd w:id="227"/>
      <w:bookmarkEnd w:id="228"/>
      <w:bookmarkEnd w:id="229"/>
    </w:p>
    <w:p w14:paraId="51C03621">
      <w:pPr>
        <w:pageBreakBefore w:val="0"/>
        <w:widowControl w:val="0"/>
        <w:kinsoku/>
        <w:wordWrap/>
        <w:overflowPunct/>
        <w:topLinePunct w:val="0"/>
        <w:autoSpaceDE/>
        <w:autoSpaceDN/>
        <w:bidi w:val="0"/>
        <w:adjustRightInd/>
        <w:spacing w:line="400" w:lineRule="exact"/>
        <w:ind w:firstLine="420" w:firstLineChars="200"/>
        <w:jc w:val="left"/>
        <w:textAlignment w:val="auto"/>
        <w:rPr>
          <w:highlight w:val="none"/>
        </w:rPr>
      </w:pPr>
      <w:r>
        <w:rPr>
          <w:rFonts w:hint="eastAsia" w:ascii="宋体" w:hAnsi="宋体" w:cs="宋体"/>
          <w:szCs w:val="21"/>
          <w:highlight w:val="none"/>
        </w:rPr>
        <w:t>投标人提供的与投标文件有关的各类证书、证明、文件、资料等的真实性、合法性由投标人负全责。</w:t>
      </w:r>
      <w:bookmarkEnd w:id="137"/>
      <w:bookmarkEnd w:id="138"/>
      <w:bookmarkEnd w:id="139"/>
      <w:bookmarkEnd w:id="140"/>
      <w:bookmarkEnd w:id="141"/>
      <w:bookmarkEnd w:id="142"/>
      <w:bookmarkEnd w:id="143"/>
      <w:bookmarkEnd w:id="144"/>
      <w:bookmarkStart w:id="230" w:name="_Toc179632627"/>
      <w:bookmarkStart w:id="231" w:name="_Toc152045609"/>
      <w:bookmarkStart w:id="232" w:name="_Toc324404881"/>
      <w:bookmarkStart w:id="233" w:name="_Toc247085767"/>
      <w:bookmarkStart w:id="234" w:name="_Toc152042387"/>
      <w:bookmarkStart w:id="235" w:name="_Toc144974577"/>
      <w:bookmarkStart w:id="236" w:name="_Toc246996995"/>
      <w:bookmarkStart w:id="237" w:name="_Toc246996252"/>
      <w:bookmarkStart w:id="238" w:name="_Toc417623601"/>
    </w:p>
    <w:bookmarkEnd w:id="230"/>
    <w:bookmarkEnd w:id="231"/>
    <w:bookmarkEnd w:id="232"/>
    <w:bookmarkEnd w:id="233"/>
    <w:bookmarkEnd w:id="234"/>
    <w:bookmarkEnd w:id="235"/>
    <w:bookmarkEnd w:id="236"/>
    <w:bookmarkEnd w:id="237"/>
    <w:bookmarkEnd w:id="238"/>
    <w:p w14:paraId="01EE8AAD">
      <w:pPr>
        <w:rPr>
          <w:highlight w:val="none"/>
        </w:rPr>
      </w:pPr>
      <w:bookmarkStart w:id="239" w:name="_Toc35425128"/>
      <w:bookmarkStart w:id="240" w:name="_Toc152042546"/>
      <w:bookmarkStart w:id="241" w:name="_Toc15058927"/>
      <w:bookmarkStart w:id="242" w:name="_Toc179632785"/>
      <w:bookmarkStart w:id="243" w:name="_Toc506107333"/>
      <w:bookmarkStart w:id="244" w:name="_Toc35424962"/>
      <w:bookmarkStart w:id="245" w:name="_Toc152045767"/>
      <w:bookmarkStart w:id="246" w:name="_Toc144974826"/>
    </w:p>
    <w:p w14:paraId="65923B12">
      <w:pPr>
        <w:rPr>
          <w:rFonts w:hint="eastAsia"/>
        </w:rPr>
      </w:pPr>
      <w:r>
        <w:rPr>
          <w:rFonts w:hint="eastAsia"/>
          <w:highlight w:val="none"/>
        </w:rPr>
        <w:br w:type="page"/>
      </w:r>
      <w:bookmarkStart w:id="247" w:name="_Toc78803397"/>
    </w:p>
    <w:bookmarkEnd w:id="239"/>
    <w:bookmarkEnd w:id="240"/>
    <w:bookmarkEnd w:id="241"/>
    <w:bookmarkEnd w:id="242"/>
    <w:bookmarkEnd w:id="243"/>
    <w:bookmarkEnd w:id="244"/>
    <w:bookmarkEnd w:id="245"/>
    <w:bookmarkEnd w:id="246"/>
    <w:bookmarkEnd w:id="247"/>
    <w:p w14:paraId="46A319BF">
      <w:pPr>
        <w:pStyle w:val="44"/>
        <w:spacing w:beforeLines="50" w:afterLines="50" w:line="440" w:lineRule="exact"/>
        <w:rPr>
          <w:rFonts w:hint="eastAsia" w:eastAsia="宋体" w:cs="Times New Roman"/>
          <w:bCs/>
          <w:szCs w:val="32"/>
          <w:highlight w:val="none"/>
          <w:lang w:val="en-US" w:eastAsia="zh-CN"/>
        </w:rPr>
      </w:pPr>
      <w:bookmarkStart w:id="248" w:name="_Toc144974855"/>
      <w:bookmarkStart w:id="249" w:name="_Toc35424970"/>
      <w:bookmarkStart w:id="250" w:name="_Toc179632806"/>
      <w:bookmarkStart w:id="251" w:name="_Toc324404888"/>
      <w:bookmarkStart w:id="252" w:name="_Toc35425136"/>
      <w:bookmarkStart w:id="253" w:name="_Toc246996354"/>
      <w:bookmarkStart w:id="254" w:name="_Toc247085872"/>
      <w:bookmarkStart w:id="255" w:name="_Toc506107340"/>
      <w:bookmarkStart w:id="256" w:name="_Toc152045786"/>
      <w:bookmarkStart w:id="257" w:name="_Toc78803398"/>
      <w:bookmarkStart w:id="258" w:name="_Toc15058934"/>
      <w:bookmarkStart w:id="259" w:name="_Toc152042575"/>
      <w:bookmarkStart w:id="260" w:name="_Toc246997097"/>
      <w:r>
        <w:rPr>
          <w:rFonts w:hint="eastAsia" w:eastAsia="宋体" w:cs="Times New Roman"/>
          <w:bCs/>
          <w:szCs w:val="32"/>
          <w:highlight w:val="none"/>
        </w:rPr>
        <w:t>第</w:t>
      </w:r>
      <w:r>
        <w:rPr>
          <w:rFonts w:hint="eastAsia" w:eastAsia="宋体" w:cs="Times New Roman"/>
          <w:bCs/>
          <w:szCs w:val="32"/>
          <w:highlight w:val="none"/>
          <w:lang w:val="en-US" w:eastAsia="zh-CN"/>
        </w:rPr>
        <w:t>五</w:t>
      </w:r>
      <w:r>
        <w:rPr>
          <w:rFonts w:hint="eastAsia" w:eastAsia="宋体" w:cs="Times New Roman"/>
          <w:bCs/>
          <w:szCs w:val="32"/>
          <w:highlight w:val="none"/>
        </w:rPr>
        <w:t xml:space="preserve">章 </w:t>
      </w:r>
      <w:r>
        <w:rPr>
          <w:rFonts w:hint="eastAsia" w:cs="Times New Roman"/>
          <w:bCs/>
          <w:szCs w:val="32"/>
          <w:highlight w:val="none"/>
          <w:lang w:val="en-US" w:eastAsia="zh-CN"/>
        </w:rPr>
        <w:t>采购需求</w:t>
      </w:r>
    </w:p>
    <w:p w14:paraId="35BC8576">
      <w:pPr>
        <w:pStyle w:val="2"/>
        <w:numPr>
          <w:ilvl w:val="0"/>
          <w:numId w:val="0"/>
        </w:numPr>
        <w:spacing w:before="156" w:beforeLines="50" w:after="156" w:afterLines="5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一、项目概况</w:t>
      </w:r>
    </w:p>
    <w:p w14:paraId="1C58C5DA">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（1）项目名称：滁宁城际控制中心南侧地块规划方案研究</w:t>
      </w:r>
    </w:p>
    <w:p w14:paraId="2A32C2F1">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（2）用地性质：商务用地、其他服务设施用地</w:t>
      </w:r>
    </w:p>
    <w:p w14:paraId="060463EF">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（3）建设规模：滁宁城际控制中心南侧预留用地和城轨高架线下部分空地，场地面积约10900平方米。</w:t>
      </w:r>
    </w:p>
    <w:p w14:paraId="577382B3">
      <w:pPr>
        <w:pStyle w:val="2"/>
        <w:spacing w:before="120" w:after="0"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二、研究内容</w:t>
      </w:r>
    </w:p>
    <w:p w14:paraId="49238C9E">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（1）现状分析</w:t>
      </w:r>
    </w:p>
    <w:p w14:paraId="40EC7A16">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明确项目区位，解读中新苏滁高新技术产业开发区规划，分析场地周边现状用地和交通条件。核对规划条件包括：用地性质、容积率、建筑密度、绿地率、建筑高度、出入口要求等。</w:t>
      </w:r>
    </w:p>
    <w:p w14:paraId="3C5E6154">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）项目定位</w:t>
      </w:r>
    </w:p>
    <w:p w14:paraId="0CCD3FF8">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坚持高效便民、绿色低碳、交通顺畅、经济实用的原则，满足充电、停车、光伏、储能、小型商超、配套餐饮、汽车服务等多种功能需求，提出符合要求的高品质项目定位。</w:t>
      </w:r>
    </w:p>
    <w:p w14:paraId="79BF6B0A">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）总平面规划</w:t>
      </w:r>
    </w:p>
    <w:p w14:paraId="164C8232">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完成总平面布局规划方案，包括：建筑、道路、绿化、光伏车棚、充电桩、消防通道。明确出入口功能定位，满足车辆进出、消防、配送需求。合理布置电动车、货车的快慢充电车位，布置普通停车位。</w:t>
      </w:r>
    </w:p>
    <w:p w14:paraId="15D356B6">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）建筑概念方案</w:t>
      </w:r>
    </w:p>
    <w:p w14:paraId="2E76966D">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规划设计条件中建筑退让要求，合理布置二层建筑形体。一层布置停车充电站、洗车区、商超、辅助用房、卫生间、疏散楼梯。二层布置食堂餐厅、后厨、洗消、库房、办公、疏散、排烟、隔油设施。屋顶布置光伏布置范围、荷载条件、检修通道、设备基础。完成建筑分层平面图、立面图、剖面图、鸟瞰图、透视图。</w:t>
      </w:r>
    </w:p>
    <w:p w14:paraId="368D496C">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）光伏与充电系统规划</w:t>
      </w:r>
    </w:p>
    <w:p w14:paraId="7AAA05FF">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提出屋顶光伏、充电停车棚、快充车位、慢充车位的布置范围和规模，提出储能、箱式变压器布局位置。</w:t>
      </w:r>
    </w:p>
    <w:p w14:paraId="008C8618">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）交通组织</w:t>
      </w:r>
    </w:p>
    <w:p w14:paraId="0EDC7C28">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坚持人车分离、内部分流的原则，合理组织机动车充电、配送、洗车、停车流线组织，合理设置消防车扑救流线，设置环形消防车道，满足消防扑救要求。</w:t>
      </w:r>
    </w:p>
    <w:p w14:paraId="2E885CA0">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）分期建设</w:t>
      </w:r>
    </w:p>
    <w:p w14:paraId="6EA822AF">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一期工程建设内容包括：40个快充车位和光伏车棚，5个慢充车位，4台储能柜；城际高架线下布置普通停车位，布置满足简餐、休息的临时建筑。提出一期工程概念方案，完成总平面图、效果图和方案说明。</w:t>
      </w:r>
    </w:p>
    <w:p w14:paraId="1D7930A5">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）投资估算</w:t>
      </w:r>
    </w:p>
    <w:p w14:paraId="1A3D99F4">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对地块总体方案和一期工程方案分别进行投资估算。</w:t>
      </w:r>
    </w:p>
    <w:p w14:paraId="6A89F9B4">
      <w:pPr>
        <w:pStyle w:val="2"/>
        <w:spacing w:before="120" w:after="0" w:line="360" w:lineRule="auto"/>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成果要求</w:t>
      </w:r>
    </w:p>
    <w:p w14:paraId="1F8F7E28">
      <w:pPr>
        <w:spacing w:after="0"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完成《滁宁城际控制中心南侧地块规划方案研究》文本和相关图纸。</w:t>
      </w:r>
    </w:p>
    <w:p w14:paraId="52E5D799">
      <w:pPr>
        <w:pStyle w:val="2"/>
        <w:spacing w:before="120" w:after="0" w:line="360" w:lineRule="auto"/>
        <w:jc w:val="both"/>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三</w:t>
      </w:r>
      <w:r>
        <w:rPr>
          <w:rFonts w:hint="eastAsia" w:ascii="宋体" w:hAnsi="宋体" w:eastAsia="宋体" w:cs="宋体"/>
          <w:b/>
          <w:bCs/>
          <w:color w:val="auto"/>
          <w:sz w:val="21"/>
          <w:szCs w:val="21"/>
        </w:rPr>
        <w:t>、编制进度计划</w:t>
      </w:r>
    </w:p>
    <w:p w14:paraId="011F05DB">
      <w:pPr>
        <w:spacing w:after="0"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总服务周期20个日历天。合同签订后10个日历天内完成《滁宁城际控制中心南侧地块规划方案研究》初步成果，合同签订后20个日历天内完成最终成果并提交全部成果文件。</w:t>
      </w:r>
    </w:p>
    <w:p w14:paraId="28B493C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szCs w:val="21"/>
          <w:highlight w:val="none"/>
          <w:lang w:val="en-US" w:eastAsia="zh-CN"/>
        </w:rPr>
      </w:pPr>
    </w:p>
    <w:p w14:paraId="48288666">
      <w:pPr>
        <w:rPr>
          <w:rFonts w:hint="eastAsia" w:ascii="宋体" w:hAnsi="Times New Roman" w:eastAsia="宋体" w:cs="Times New Roman"/>
          <w:b/>
          <w:bCs w:val="0"/>
          <w:color w:val="auto"/>
          <w:kern w:val="2"/>
          <w:sz w:val="32"/>
          <w:szCs w:val="32"/>
          <w:highlight w:val="none"/>
          <w:lang w:val="en-US" w:eastAsia="zh-CN" w:bidi="ar-SA"/>
        </w:rPr>
      </w:pPr>
    </w:p>
    <w:p w14:paraId="1C4E31AB">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389CEF0">
      <w:p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1986CF0B">
      <w:pPr>
        <w:spacing w:line="360" w:lineRule="auto"/>
        <w:jc w:val="center"/>
        <w:rPr>
          <w:rFonts w:hint="eastAsia" w:ascii="Times New Roman" w:hAnsi="Times New Roman" w:eastAsia="微软雅黑" w:cs="Times New Roman"/>
          <w:b/>
          <w:bCs/>
          <w:color w:val="000000" w:themeColor="text1"/>
          <w:sz w:val="44"/>
          <w:szCs w:val="44"/>
          <w:lang w:eastAsia="zh-CN"/>
          <w14:textFill>
            <w14:solidFill>
              <w14:schemeClr w14:val="tx1"/>
            </w14:solidFill>
          </w14:textFill>
        </w:rPr>
      </w:pPr>
    </w:p>
    <w:p w14:paraId="00B887B0">
      <w:pPr>
        <w:spacing w:line="360" w:lineRule="auto"/>
        <w:jc w:val="center"/>
        <w:rPr>
          <w:rFonts w:ascii="Times New Roman" w:hAnsi="Times New Roman" w:eastAsia="微软雅黑" w:cs="Times New Roman"/>
          <w:b/>
          <w:bCs/>
          <w:color w:val="000000" w:themeColor="text1"/>
          <w:sz w:val="44"/>
          <w:szCs w:val="44"/>
          <w14:textFill>
            <w14:solidFill>
              <w14:schemeClr w14:val="tx1"/>
            </w14:solidFill>
          </w14:textFill>
        </w:rPr>
      </w:pPr>
      <w:r>
        <w:rPr>
          <w:rFonts w:hint="eastAsia" w:eastAsia="微软雅黑" w:cs="Times New Roman"/>
          <w:b/>
          <w:bCs/>
          <w:color w:val="000000" w:themeColor="text1"/>
          <w:sz w:val="44"/>
          <w:szCs w:val="44"/>
          <w:lang w:eastAsia="zh-CN"/>
          <w14:textFill>
            <w14:solidFill>
              <w14:schemeClr w14:val="tx1"/>
            </w14:solidFill>
          </w14:textFill>
        </w:rPr>
        <w:t>滁宁城际控制中心南侧地块规划方案研究项目</w:t>
      </w:r>
      <w:r>
        <w:rPr>
          <w:rFonts w:ascii="Times New Roman" w:hAnsi="Times New Roman" w:eastAsia="微软雅黑" w:cs="Times New Roman"/>
          <w:b/>
          <w:bCs/>
          <w:color w:val="000000" w:themeColor="text1"/>
          <w:sz w:val="44"/>
          <w:szCs w:val="44"/>
          <w14:textFill>
            <w14:solidFill>
              <w14:schemeClr w14:val="tx1"/>
            </w14:solidFill>
          </w14:textFill>
        </w:rPr>
        <w:t>合同</w:t>
      </w:r>
    </w:p>
    <w:p w14:paraId="5608024F">
      <w:pPr>
        <w:spacing w:line="360" w:lineRule="auto"/>
        <w:rPr>
          <w:rFonts w:ascii="Times New Roman" w:hAnsi="Times New Roman"/>
          <w:color w:val="000000" w:themeColor="text1"/>
          <w:sz w:val="32"/>
          <w:szCs w:val="32"/>
          <w14:textFill>
            <w14:solidFill>
              <w14:schemeClr w14:val="tx1"/>
            </w14:solidFill>
          </w14:textFill>
        </w:rPr>
      </w:pPr>
    </w:p>
    <w:p w14:paraId="5CECB9EC">
      <w:pPr>
        <w:spacing w:line="360" w:lineRule="auto"/>
        <w:rPr>
          <w:rFonts w:hint="eastAsia" w:ascii="宋体" w:hAnsi="宋体" w:eastAsia="宋体" w:cs="宋体"/>
          <w:color w:val="000000" w:themeColor="text1"/>
          <w:sz w:val="21"/>
          <w:szCs w:val="21"/>
          <w14:textFill>
            <w14:solidFill>
              <w14:schemeClr w14:val="tx1"/>
            </w14:solidFill>
          </w14:textFill>
        </w:rPr>
      </w:pPr>
    </w:p>
    <w:p w14:paraId="0A312FF1">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bookmarkStart w:id="276" w:name="_GoBack"/>
      <w:bookmarkEnd w:id="276"/>
      <w:r>
        <w:rPr>
          <w:rFonts w:hint="eastAsia" w:ascii="宋体" w:hAnsi="宋体" w:eastAsia="宋体" w:cs="宋体"/>
          <w:color w:val="000000" w:themeColor="text1"/>
          <w:sz w:val="21"/>
          <w:szCs w:val="21"/>
          <w14:textFill>
            <w14:solidFill>
              <w14:schemeClr w14:val="tx1"/>
            </w14:solidFill>
          </w14:textFill>
        </w:rPr>
        <w:t>合同编号：</w:t>
      </w:r>
    </w:p>
    <w:p w14:paraId="2EE8AB6F">
      <w:pPr>
        <w:spacing w:line="360" w:lineRule="auto"/>
        <w:jc w:val="center"/>
        <w:rPr>
          <w:rFonts w:hint="eastAsia" w:ascii="宋体" w:hAnsi="宋体" w:eastAsia="宋体" w:cs="宋体"/>
          <w:b/>
          <w:bCs/>
          <w:color w:val="000000" w:themeColor="text1"/>
          <w:sz w:val="21"/>
          <w:szCs w:val="21"/>
          <w14:textFill>
            <w14:solidFill>
              <w14:schemeClr w14:val="tx1"/>
            </w14:solidFill>
          </w14:textFill>
        </w:rPr>
      </w:pPr>
    </w:p>
    <w:p w14:paraId="53C636B6">
      <w:pPr>
        <w:rPr>
          <w:rFonts w:hint="eastAsia" w:ascii="宋体" w:hAnsi="宋体" w:eastAsia="宋体" w:cs="宋体"/>
          <w:color w:val="000000" w:themeColor="text1"/>
          <w:sz w:val="21"/>
          <w:szCs w:val="21"/>
          <w14:textFill>
            <w14:solidFill>
              <w14:schemeClr w14:val="tx1"/>
            </w14:solidFill>
          </w14:textFill>
        </w:rPr>
      </w:pPr>
    </w:p>
    <w:p w14:paraId="188BD0FD">
      <w:pPr>
        <w:rPr>
          <w:rFonts w:hint="eastAsia" w:ascii="宋体" w:hAnsi="宋体" w:eastAsia="宋体" w:cs="宋体"/>
          <w:color w:val="000000" w:themeColor="text1"/>
          <w:sz w:val="21"/>
          <w:szCs w:val="21"/>
          <w14:textFill>
            <w14:solidFill>
              <w14:schemeClr w14:val="tx1"/>
            </w14:solidFill>
          </w14:textFill>
        </w:rPr>
      </w:pPr>
    </w:p>
    <w:p w14:paraId="1B88EA96">
      <w:pPr>
        <w:rPr>
          <w:rFonts w:hint="eastAsia" w:ascii="宋体" w:hAnsi="宋体" w:eastAsia="宋体" w:cs="宋体"/>
          <w:color w:val="000000" w:themeColor="text1"/>
          <w:sz w:val="21"/>
          <w:szCs w:val="21"/>
          <w14:textFill>
            <w14:solidFill>
              <w14:schemeClr w14:val="tx1"/>
            </w14:solidFill>
          </w14:textFill>
        </w:rPr>
      </w:pPr>
    </w:p>
    <w:p w14:paraId="3F5368E1">
      <w:pPr>
        <w:pStyle w:val="3"/>
        <w:rPr>
          <w:rFonts w:hint="eastAsia" w:ascii="宋体" w:hAnsi="宋体" w:eastAsia="宋体" w:cs="宋体"/>
          <w:color w:val="000000" w:themeColor="text1"/>
          <w:sz w:val="21"/>
          <w:szCs w:val="21"/>
          <w14:textFill>
            <w14:solidFill>
              <w14:schemeClr w14:val="tx1"/>
            </w14:solidFill>
          </w14:textFill>
        </w:rPr>
      </w:pPr>
    </w:p>
    <w:p w14:paraId="1B6934B1">
      <w:pPr>
        <w:rPr>
          <w:rFonts w:hint="eastAsia" w:ascii="宋体" w:hAnsi="宋体" w:eastAsia="宋体" w:cs="宋体"/>
          <w:color w:val="000000" w:themeColor="text1"/>
          <w:sz w:val="21"/>
          <w:szCs w:val="21"/>
          <w14:textFill>
            <w14:solidFill>
              <w14:schemeClr w14:val="tx1"/>
            </w14:solidFill>
          </w14:textFill>
        </w:rPr>
      </w:pPr>
    </w:p>
    <w:p w14:paraId="58CAA80B">
      <w:pPr>
        <w:pStyle w:val="3"/>
        <w:rPr>
          <w:rFonts w:hint="eastAsia" w:ascii="宋体" w:hAnsi="宋体" w:eastAsia="宋体" w:cs="宋体"/>
          <w:color w:val="000000" w:themeColor="text1"/>
          <w:sz w:val="21"/>
          <w:szCs w:val="21"/>
          <w14:textFill>
            <w14:solidFill>
              <w14:schemeClr w14:val="tx1"/>
            </w14:solidFill>
          </w14:textFill>
        </w:rPr>
      </w:pPr>
    </w:p>
    <w:p w14:paraId="00F36ACC">
      <w:pPr>
        <w:rPr>
          <w:rFonts w:hint="eastAsia" w:ascii="宋体" w:hAnsi="宋体" w:eastAsia="宋体" w:cs="宋体"/>
          <w:color w:val="000000" w:themeColor="text1"/>
          <w:sz w:val="21"/>
          <w:szCs w:val="21"/>
          <w14:textFill>
            <w14:solidFill>
              <w14:schemeClr w14:val="tx1"/>
            </w14:solidFill>
          </w14:textFill>
        </w:rPr>
      </w:pPr>
    </w:p>
    <w:p w14:paraId="48C80488">
      <w:pPr>
        <w:rPr>
          <w:rFonts w:hint="eastAsia" w:ascii="宋体" w:hAnsi="宋体" w:eastAsia="宋体" w:cs="宋体"/>
          <w:color w:val="000000" w:themeColor="text1"/>
          <w:sz w:val="21"/>
          <w:szCs w:val="21"/>
          <w14:textFill>
            <w14:solidFill>
              <w14:schemeClr w14:val="tx1"/>
            </w14:solidFill>
          </w14:textFill>
        </w:rPr>
      </w:pPr>
    </w:p>
    <w:p w14:paraId="02FBAB6D">
      <w:pPr>
        <w:rPr>
          <w:rFonts w:hint="eastAsia" w:ascii="宋体" w:hAnsi="宋体" w:eastAsia="宋体" w:cs="宋体"/>
          <w:color w:val="000000" w:themeColor="text1"/>
          <w:sz w:val="21"/>
          <w:szCs w:val="21"/>
          <w14:textFill>
            <w14:solidFill>
              <w14:schemeClr w14:val="tx1"/>
            </w14:solidFill>
          </w14:textFill>
        </w:rPr>
      </w:pPr>
    </w:p>
    <w:p w14:paraId="186A2F9F">
      <w:pPr>
        <w:rPr>
          <w:rFonts w:hint="eastAsia" w:ascii="宋体" w:hAnsi="宋体" w:eastAsia="宋体" w:cs="宋体"/>
          <w:color w:val="000000" w:themeColor="text1"/>
          <w:sz w:val="21"/>
          <w:szCs w:val="21"/>
          <w14:textFill>
            <w14:solidFill>
              <w14:schemeClr w14:val="tx1"/>
            </w14:solidFill>
          </w14:textFill>
        </w:rPr>
      </w:pPr>
    </w:p>
    <w:p w14:paraId="11308ED5">
      <w:pPr>
        <w:rPr>
          <w:rFonts w:hint="eastAsia" w:ascii="宋体" w:hAnsi="宋体" w:eastAsia="宋体" w:cs="宋体"/>
          <w:color w:val="000000" w:themeColor="text1"/>
          <w:sz w:val="21"/>
          <w:szCs w:val="21"/>
          <w14:textFill>
            <w14:solidFill>
              <w14:schemeClr w14:val="tx1"/>
            </w14:solidFill>
          </w14:textFill>
        </w:rPr>
      </w:pPr>
    </w:p>
    <w:p w14:paraId="45DAB94D">
      <w:pPr>
        <w:rPr>
          <w:rFonts w:hint="eastAsia" w:ascii="宋体" w:hAnsi="宋体" w:eastAsia="宋体" w:cs="宋体"/>
          <w:color w:val="000000" w:themeColor="text1"/>
          <w:sz w:val="21"/>
          <w:szCs w:val="21"/>
          <w14:textFill>
            <w14:solidFill>
              <w14:schemeClr w14:val="tx1"/>
            </w14:solidFill>
          </w14:textFill>
        </w:rPr>
      </w:pPr>
    </w:p>
    <w:p w14:paraId="5725CD8C">
      <w:pPr>
        <w:rPr>
          <w:rFonts w:hint="eastAsia" w:ascii="宋体" w:hAnsi="宋体" w:eastAsia="宋体" w:cs="宋体"/>
          <w:color w:val="000000" w:themeColor="text1"/>
          <w:sz w:val="21"/>
          <w:szCs w:val="21"/>
          <w14:textFill>
            <w14:solidFill>
              <w14:schemeClr w14:val="tx1"/>
            </w14:solidFill>
          </w14:textFill>
        </w:rPr>
      </w:pPr>
    </w:p>
    <w:p w14:paraId="7BED9A09">
      <w:pPr>
        <w:pStyle w:val="3"/>
        <w:rPr>
          <w:rFonts w:hint="eastAsia"/>
        </w:rPr>
      </w:pPr>
    </w:p>
    <w:p w14:paraId="091E82D9">
      <w:pPr>
        <w:rPr>
          <w:rFonts w:hint="eastAsia" w:ascii="宋体" w:hAnsi="宋体" w:eastAsia="宋体" w:cs="宋体"/>
          <w:color w:val="000000" w:themeColor="text1"/>
          <w:sz w:val="21"/>
          <w:szCs w:val="21"/>
          <w14:textFill>
            <w14:solidFill>
              <w14:schemeClr w14:val="tx1"/>
            </w14:solidFill>
          </w14:textFill>
        </w:rPr>
      </w:pPr>
    </w:p>
    <w:p w14:paraId="505E3589">
      <w:pPr>
        <w:rPr>
          <w:rFonts w:hint="eastAsia" w:ascii="宋体" w:hAnsi="宋体" w:eastAsia="宋体" w:cs="宋体"/>
          <w:color w:val="000000" w:themeColor="text1"/>
          <w:sz w:val="21"/>
          <w:szCs w:val="21"/>
          <w14:textFill>
            <w14:solidFill>
              <w14:schemeClr w14:val="tx1"/>
            </w14:solidFill>
          </w14:textFill>
        </w:rPr>
      </w:pPr>
    </w:p>
    <w:p w14:paraId="716DC9A8">
      <w:pPr>
        <w:rPr>
          <w:rFonts w:hint="eastAsia" w:ascii="宋体" w:hAnsi="宋体" w:eastAsia="宋体" w:cs="宋体"/>
          <w:color w:val="000000" w:themeColor="text1"/>
          <w:sz w:val="21"/>
          <w:szCs w:val="21"/>
          <w14:textFill>
            <w14:solidFill>
              <w14:schemeClr w14:val="tx1"/>
            </w14:solidFill>
          </w14:textFill>
        </w:rPr>
      </w:pPr>
    </w:p>
    <w:p w14:paraId="1E5B900F">
      <w:pPr>
        <w:ind w:firstLine="630" w:firstLineChars="3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p>
    <w:p w14:paraId="241AFB5A">
      <w:pPr>
        <w:jc w:val="center"/>
        <w:rPr>
          <w:rFonts w:hint="eastAsia" w:ascii="宋体" w:hAnsi="宋体" w:eastAsia="宋体" w:cs="宋体"/>
          <w:color w:val="000000" w:themeColor="text1"/>
          <w:sz w:val="21"/>
          <w:szCs w:val="21"/>
          <w14:textFill>
            <w14:solidFill>
              <w14:schemeClr w14:val="tx1"/>
            </w14:solidFill>
          </w14:textFill>
        </w:rPr>
      </w:pPr>
    </w:p>
    <w:p w14:paraId="03288366">
      <w:pPr>
        <w:ind w:firstLine="630" w:firstLineChars="3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p>
    <w:p w14:paraId="748D1A00">
      <w:pPr>
        <w:rPr>
          <w:rFonts w:hint="eastAsia" w:ascii="宋体" w:hAnsi="宋体" w:eastAsia="宋体" w:cs="宋体"/>
          <w:color w:val="000000" w:themeColor="text1"/>
          <w:sz w:val="21"/>
          <w:szCs w:val="21"/>
          <w14:textFill>
            <w14:solidFill>
              <w14:schemeClr w14:val="tx1"/>
            </w14:solidFill>
          </w14:textFill>
        </w:rPr>
      </w:pPr>
    </w:p>
    <w:p w14:paraId="6F34CC7F">
      <w:pPr>
        <w:ind w:firstLine="630" w:firstLineChars="30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签订时间：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年   月</w:t>
      </w:r>
      <w:r>
        <w:rPr>
          <w:rFonts w:hint="eastAsia" w:ascii="宋体" w:hAnsi="宋体" w:eastAsia="宋体" w:cs="宋体"/>
          <w:color w:val="000000" w:themeColor="text1"/>
          <w:sz w:val="21"/>
          <w:szCs w:val="21"/>
          <w:lang w:val="en-US" w:eastAsia="zh-CN"/>
          <w14:textFill>
            <w14:solidFill>
              <w14:schemeClr w14:val="tx1"/>
            </w14:solidFill>
          </w14:textFill>
        </w:rPr>
        <w:t xml:space="preserve">   日</w:t>
      </w:r>
    </w:p>
    <w:p w14:paraId="1752A8E7">
      <w:pPr>
        <w:jc w:val="center"/>
        <w:rPr>
          <w:rFonts w:hint="eastAsia" w:ascii="宋体" w:hAnsi="宋体" w:eastAsia="宋体" w:cs="宋体"/>
          <w:color w:val="000000" w:themeColor="text1"/>
          <w:sz w:val="21"/>
          <w:szCs w:val="21"/>
          <w14:textFill>
            <w14:solidFill>
              <w14:schemeClr w14:val="tx1"/>
            </w14:solidFill>
          </w14:textFill>
        </w:rPr>
      </w:pPr>
    </w:p>
    <w:p w14:paraId="0FFB63B9">
      <w:pPr>
        <w:rPr>
          <w:rStyle w:val="215"/>
          <w:rFonts w:hint="eastAsia" w:ascii="宋体" w:hAnsi="宋体" w:eastAsia="宋体" w:cs="宋体"/>
          <w:color w:val="000000" w:themeColor="text1"/>
          <w:sz w:val="21"/>
          <w:szCs w:val="21"/>
          <w14:textFill>
            <w14:solidFill>
              <w14:schemeClr w14:val="tx1"/>
            </w14:solidFill>
          </w14:textFill>
        </w:rPr>
      </w:pPr>
      <w:r>
        <w:rPr>
          <w:rStyle w:val="215"/>
          <w:rFonts w:hint="eastAsia" w:ascii="宋体" w:hAnsi="宋体" w:eastAsia="宋体" w:cs="宋体"/>
          <w:color w:val="000000" w:themeColor="text1"/>
          <w:sz w:val="21"/>
          <w:szCs w:val="21"/>
          <w14:textFill>
            <w14:solidFill>
              <w14:schemeClr w14:val="tx1"/>
            </w14:solidFill>
          </w14:textFill>
        </w:rPr>
        <w:br w:type="page"/>
      </w:r>
    </w:p>
    <w:p w14:paraId="23350FAC">
      <w:pPr>
        <w:spacing w:line="520" w:lineRule="exact"/>
        <w:ind w:right="-433" w:rightChars="-206" w:firstLine="630" w:firstLineChars="3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单位（全称）</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滁州市滁宁城际铁路开发建设有限公司</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（以下简称甲方）</w:t>
      </w:r>
    </w:p>
    <w:p w14:paraId="75A1E721">
      <w:pPr>
        <w:spacing w:line="520" w:lineRule="exact"/>
        <w:ind w:right="-433" w:rightChars="-206"/>
        <w:jc w:val="left"/>
        <w:rPr>
          <w:rFonts w:hint="eastAsia" w:ascii="宋体" w:hAnsi="宋体" w:eastAsia="宋体" w:cs="宋体"/>
          <w:szCs w:val="21"/>
          <w:highlight w:val="none"/>
        </w:rPr>
      </w:pPr>
      <w:r>
        <w:rPr>
          <w:rFonts w:hint="eastAsia" w:ascii="宋体" w:hAnsi="宋体" w:eastAsia="宋体" w:cs="宋体"/>
          <w:szCs w:val="21"/>
          <w:highlight w:val="none"/>
        </w:rPr>
        <w:t xml:space="preserve">      服务单位（全称）</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（以下简称乙方）</w:t>
      </w:r>
    </w:p>
    <w:p w14:paraId="24C17E21">
      <w:pPr>
        <w:spacing w:line="400" w:lineRule="exact"/>
        <w:ind w:right="-433" w:rightChars="-206"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依照《中华人民共和国民法典》及其他有关法律、法规，遵循平等、自愿、公平和诚实信用的原则，双方就本此采购服务事项协商一致，订立本合同。</w:t>
      </w:r>
    </w:p>
    <w:p w14:paraId="3F1C39BC">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kern w:val="0"/>
          <w:szCs w:val="21"/>
          <w:highlight w:val="none"/>
          <w:lang w:bidi="en-US"/>
          <w14:textFill>
            <w14:solidFill>
              <w14:schemeClr w14:val="tx1"/>
            </w14:solidFill>
          </w14:textFill>
        </w:rPr>
      </w:pPr>
      <w:r>
        <w:rPr>
          <w:rFonts w:hint="eastAsia" w:ascii="宋体" w:hAnsi="宋体" w:eastAsia="宋体" w:cs="宋体"/>
          <w:color w:val="000000" w:themeColor="text1"/>
          <w:kern w:val="0"/>
          <w:szCs w:val="21"/>
          <w:highlight w:val="none"/>
          <w:lang w:bidi="en-US"/>
          <w14:textFill>
            <w14:solidFill>
              <w14:schemeClr w14:val="tx1"/>
            </w14:solidFill>
          </w14:textFill>
        </w:rPr>
        <w:t>1、项目名称：</w:t>
      </w:r>
      <w:r>
        <w:rPr>
          <w:rFonts w:hint="eastAsia" w:ascii="宋体" w:hAnsi="宋体" w:eastAsia="宋体" w:cs="宋体"/>
          <w:color w:val="000000" w:themeColor="text1"/>
          <w:kern w:val="0"/>
          <w:szCs w:val="21"/>
          <w:highlight w:val="none"/>
          <w:lang w:val="en-US" w:eastAsia="zh-CN" w:bidi="en-US"/>
          <w14:textFill>
            <w14:solidFill>
              <w14:schemeClr w14:val="tx1"/>
            </w14:solidFill>
          </w14:textFill>
        </w:rPr>
        <w:t>滁宁城际控制中心南侧地块规划方案研究项目</w:t>
      </w:r>
    </w:p>
    <w:p w14:paraId="2F58B247">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kern w:val="0"/>
          <w:szCs w:val="21"/>
          <w:highlight w:val="none"/>
          <w:lang w:val="en-US" w:eastAsia="zh-CN" w:bidi="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en-US"/>
          <w14:textFill>
            <w14:solidFill>
              <w14:schemeClr w14:val="tx1"/>
            </w14:solidFill>
          </w14:textFill>
        </w:rPr>
        <w:t>2、服务范围及内容：详见第五章采购需求。</w:t>
      </w:r>
    </w:p>
    <w:p w14:paraId="39FC8C13">
      <w:pPr>
        <w:spacing w:after="0" w:line="360" w:lineRule="auto"/>
        <w:ind w:firstLine="420" w:firstLineChars="200"/>
        <w:jc w:val="both"/>
        <w:rPr>
          <w:rFonts w:hint="eastAsia" w:ascii="宋体" w:hAnsi="宋体" w:eastAsia="宋体" w:cs="宋体"/>
          <w:color w:val="000000" w:themeColor="text1"/>
          <w:kern w:val="0"/>
          <w:szCs w:val="21"/>
          <w:highlight w:val="none"/>
          <w:lang w:val="en-US" w:eastAsia="zh-CN" w:bidi="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en-US"/>
          <w14:textFill>
            <w14:solidFill>
              <w14:schemeClr w14:val="tx1"/>
            </w14:solidFill>
          </w14:textFill>
        </w:rPr>
        <w:t>3、编制周期：</w:t>
      </w:r>
      <w:r>
        <w:rPr>
          <w:rFonts w:hint="eastAsia" w:ascii="宋体" w:hAnsi="宋体" w:eastAsia="宋体" w:cs="宋体"/>
          <w:sz w:val="21"/>
          <w:szCs w:val="21"/>
          <w:highlight w:val="none"/>
          <w:lang w:val="en-US" w:eastAsia="zh-CN"/>
        </w:rPr>
        <w:t>总服务周期20个日历天。合同签订后10个日历天内完成《滁宁城际控制中心南侧地块规划方案研究》初步成果，合同签订后20个日历天内完成最终成果并提交全部成果文件。</w:t>
      </w:r>
    </w:p>
    <w:p w14:paraId="447D3A77">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000000" w:themeColor="text1"/>
          <w:kern w:val="0"/>
          <w:szCs w:val="21"/>
          <w:highlight w:val="none"/>
          <w:lang w:val="en-US" w:eastAsia="zh-CN" w:bidi="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en-US"/>
          <w14:textFill>
            <w14:solidFill>
              <w14:schemeClr w14:val="tx1"/>
            </w14:solidFill>
          </w14:textFill>
        </w:rPr>
        <w:t>4、合同价款及支付</w:t>
      </w:r>
    </w:p>
    <w:p w14:paraId="0D375A12">
      <w:pPr>
        <w:pStyle w:val="26"/>
        <w:spacing w:line="520" w:lineRule="exact"/>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.1本工程合同价为：</w:t>
      </w:r>
      <w:r>
        <w:rPr>
          <w:rFonts w:hint="eastAsia" w:ascii="宋体" w:hAnsi="宋体" w:eastAsia="宋体" w:cs="宋体"/>
          <w:b/>
          <w:bCs/>
          <w:szCs w:val="21"/>
          <w:highlight w:val="none"/>
          <w:u w:val="single"/>
        </w:rPr>
        <w:t xml:space="preserve">大写：             小写：       元 </w:t>
      </w:r>
      <w:r>
        <w:rPr>
          <w:rFonts w:hint="eastAsia" w:ascii="宋体" w:hAnsi="宋体" w:eastAsia="宋体" w:cs="宋体"/>
          <w:b/>
          <w:bCs/>
          <w:szCs w:val="21"/>
          <w:highlight w:val="none"/>
        </w:rPr>
        <w:t>。</w:t>
      </w:r>
    </w:p>
    <w:p w14:paraId="4B8972DB">
      <w:pPr>
        <w:pStyle w:val="26"/>
        <w:spacing w:line="520" w:lineRule="exact"/>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 xml:space="preserve">.2本项目合同计价方式为固定总价。                </w:t>
      </w:r>
    </w:p>
    <w:p w14:paraId="184F0C20">
      <w:pPr>
        <w:pStyle w:val="26"/>
        <w:spacing w:line="520" w:lineRule="exact"/>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.3付款方式：</w:t>
      </w:r>
    </w:p>
    <w:p w14:paraId="2A575038">
      <w:pPr>
        <w:spacing w:line="52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、双方一般权利和义务</w:t>
      </w:r>
    </w:p>
    <w:p w14:paraId="68A69392">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  甲方权利和义务</w:t>
      </w:r>
    </w:p>
    <w:p w14:paraId="6C652D82">
      <w:pPr>
        <w:pStyle w:val="26"/>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.1.1 </w:t>
      </w:r>
      <w:r>
        <w:rPr>
          <w:rFonts w:hint="eastAsia" w:ascii="宋体" w:hAnsi="宋体" w:eastAsia="宋体" w:cs="宋体"/>
          <w:kern w:val="0"/>
          <w:szCs w:val="21"/>
          <w:highlight w:val="none"/>
          <w:lang w:bidi="en-US"/>
        </w:rPr>
        <w:t>负责对乙方服务管理的检查指导、监督与考核</w:t>
      </w:r>
      <w:r>
        <w:rPr>
          <w:rFonts w:hint="eastAsia" w:ascii="宋体" w:hAnsi="宋体" w:eastAsia="宋体" w:cs="宋体"/>
          <w:szCs w:val="21"/>
          <w:highlight w:val="none"/>
          <w:lang w:eastAsia="zh-CN"/>
        </w:rPr>
        <w:t>；</w:t>
      </w:r>
    </w:p>
    <w:p w14:paraId="56E421D5">
      <w:pPr>
        <w:pStyle w:val="26"/>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.1.2</w:t>
      </w:r>
      <w:r>
        <w:rPr>
          <w:rFonts w:hint="eastAsia" w:ascii="宋体" w:hAnsi="宋体" w:eastAsia="宋体" w:cs="宋体"/>
          <w:kern w:val="0"/>
          <w:szCs w:val="21"/>
          <w:highlight w:val="none"/>
          <w:lang w:bidi="en-US"/>
        </w:rPr>
        <w:t>负责制定并向乙方提供相关服务标准及其它相关资料</w:t>
      </w:r>
      <w:r>
        <w:rPr>
          <w:rFonts w:hint="eastAsia" w:ascii="宋体" w:hAnsi="宋体" w:eastAsia="宋体" w:cs="宋体"/>
          <w:kern w:val="0"/>
          <w:szCs w:val="21"/>
          <w:highlight w:val="none"/>
          <w:lang w:eastAsia="zh-CN" w:bidi="en-US"/>
        </w:rPr>
        <w:t>；</w:t>
      </w:r>
    </w:p>
    <w:p w14:paraId="0C3F49F3">
      <w:pPr>
        <w:pStyle w:val="26"/>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.1.3</w:t>
      </w:r>
      <w:r>
        <w:rPr>
          <w:rFonts w:hint="eastAsia" w:ascii="宋体" w:hAnsi="宋体" w:eastAsia="宋体" w:cs="宋体"/>
          <w:kern w:val="0"/>
          <w:szCs w:val="21"/>
          <w:highlight w:val="none"/>
          <w:lang w:bidi="en-US"/>
        </w:rPr>
        <w:t>负责审核乙方提供的服务计划</w:t>
      </w:r>
      <w:r>
        <w:rPr>
          <w:rFonts w:hint="eastAsia" w:ascii="宋体" w:hAnsi="宋体" w:eastAsia="宋体" w:cs="宋体"/>
          <w:kern w:val="0"/>
          <w:szCs w:val="21"/>
          <w:highlight w:val="none"/>
          <w:lang w:eastAsia="zh-CN" w:bidi="en-US"/>
        </w:rPr>
        <w:t>；</w:t>
      </w:r>
    </w:p>
    <w:p w14:paraId="701F0AAC">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.1.4</w:t>
      </w:r>
      <w:r>
        <w:rPr>
          <w:rFonts w:hint="eastAsia" w:ascii="宋体" w:hAnsi="宋体" w:eastAsia="宋体" w:cs="宋体"/>
          <w:kern w:val="0"/>
          <w:szCs w:val="21"/>
          <w:highlight w:val="none"/>
          <w:lang w:bidi="en-US"/>
        </w:rPr>
        <w:t>负责乙方与其它相关单位的工作协调</w:t>
      </w:r>
      <w:r>
        <w:rPr>
          <w:rFonts w:hint="eastAsia" w:ascii="宋体" w:hAnsi="宋体" w:eastAsia="宋体" w:cs="宋体"/>
          <w:szCs w:val="21"/>
          <w:highlight w:val="none"/>
        </w:rPr>
        <w:t>。</w:t>
      </w:r>
    </w:p>
    <w:p w14:paraId="1A1EED58">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.1.5 甲方有义务按时支付咨询款。</w:t>
      </w:r>
    </w:p>
    <w:p w14:paraId="7D807795">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   乙方权利和义务</w:t>
      </w:r>
    </w:p>
    <w:p w14:paraId="2499DDA2">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.2.1 乙方应保证方案编制</w:t>
      </w:r>
      <w:r>
        <w:rPr>
          <w:rFonts w:hint="eastAsia" w:ascii="宋体" w:hAnsi="宋体" w:eastAsia="宋体" w:cs="宋体"/>
          <w:kern w:val="0"/>
          <w:szCs w:val="21"/>
          <w:highlight w:val="none"/>
          <w:lang w:bidi="en-US"/>
        </w:rPr>
        <w:t>严格执行甲方对可行性研究报告编制的工期、深度、进度等要求</w:t>
      </w:r>
      <w:r>
        <w:rPr>
          <w:rFonts w:hint="eastAsia" w:ascii="宋体" w:hAnsi="宋体" w:eastAsia="宋体" w:cs="宋体"/>
          <w:szCs w:val="21"/>
          <w:highlight w:val="none"/>
        </w:rPr>
        <w:t>，并确保编制质量和</w:t>
      </w:r>
      <w:r>
        <w:rPr>
          <w:rFonts w:hint="eastAsia" w:ascii="宋体" w:hAnsi="宋体" w:eastAsia="宋体" w:cs="宋体"/>
          <w:szCs w:val="21"/>
          <w:highlight w:val="none"/>
          <w:lang w:val="en-US" w:eastAsia="zh-CN"/>
        </w:rPr>
        <w:t>通过专家评审</w:t>
      </w:r>
      <w:r>
        <w:rPr>
          <w:rFonts w:hint="eastAsia" w:ascii="宋体" w:hAnsi="宋体" w:eastAsia="宋体" w:cs="宋体"/>
          <w:szCs w:val="21"/>
          <w:highlight w:val="none"/>
        </w:rPr>
        <w:t>；负责技术咨询过程中组织专家评审、会务等技术咨询相关事项；</w:t>
      </w:r>
    </w:p>
    <w:p w14:paraId="17B80C24">
      <w:pPr>
        <w:pStyle w:val="26"/>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.2.2 </w:t>
      </w:r>
      <w:r>
        <w:rPr>
          <w:rFonts w:hint="eastAsia" w:ascii="宋体" w:hAnsi="宋体" w:eastAsia="宋体" w:cs="宋体"/>
          <w:kern w:val="0"/>
          <w:szCs w:val="21"/>
          <w:highlight w:val="none"/>
          <w:lang w:bidi="en-US"/>
        </w:rPr>
        <w:t>遵守甲方现场管理要求</w:t>
      </w:r>
      <w:r>
        <w:rPr>
          <w:rFonts w:hint="eastAsia" w:ascii="宋体" w:hAnsi="宋体" w:eastAsia="宋体" w:cs="宋体"/>
          <w:kern w:val="0"/>
          <w:szCs w:val="21"/>
          <w:highlight w:val="none"/>
          <w:lang w:eastAsia="zh-CN" w:bidi="en-US"/>
        </w:rPr>
        <w:t>；</w:t>
      </w:r>
    </w:p>
    <w:p w14:paraId="2EA96F96">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5.2.3</w:t>
      </w:r>
      <w:r>
        <w:rPr>
          <w:rFonts w:hint="eastAsia" w:ascii="宋体" w:hAnsi="宋体" w:eastAsia="宋体" w:cs="宋体"/>
          <w:szCs w:val="21"/>
          <w:highlight w:val="none"/>
        </w:rPr>
        <w:t>承担因方案编制不合格而返工费用，因乙方的责任而造成工期延误，承担违约责任；</w:t>
      </w:r>
    </w:p>
    <w:p w14:paraId="517683B0">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 乙方对未尽事宜应提前两天向甲方提出；</w:t>
      </w:r>
    </w:p>
    <w:p w14:paraId="6BAE39B5">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 xml:space="preserve"> 乙方选派项目负责人</w:t>
      </w:r>
      <w:r>
        <w:rPr>
          <w:rFonts w:hint="eastAsia" w:ascii="宋体" w:hAnsi="宋体" w:eastAsia="宋体" w:cs="宋体"/>
          <w:szCs w:val="21"/>
          <w:highlight w:val="none"/>
          <w:u w:val="single"/>
        </w:rPr>
        <w:t xml:space="preserve">      （电话：        ）</w:t>
      </w:r>
      <w:r>
        <w:rPr>
          <w:rFonts w:hint="eastAsia" w:ascii="宋体" w:hAnsi="宋体" w:eastAsia="宋体" w:cs="宋体"/>
          <w:szCs w:val="21"/>
          <w:highlight w:val="none"/>
        </w:rPr>
        <w:t>负责协调相关事宜；</w:t>
      </w:r>
    </w:p>
    <w:p w14:paraId="51816E2C">
      <w:pPr>
        <w:spacing w:line="52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安全责任</w:t>
      </w:r>
    </w:p>
    <w:p w14:paraId="293BDFA4">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  甲方不得要求乙方违反安全管理的规定，因甲方原因等导致安全事故由甲方承担相应的责任及发生的费用。</w:t>
      </w:r>
    </w:p>
    <w:p w14:paraId="75188EC8">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乙方应遵守有关管理制度，采取必要的安全措施，消除事故隐患，由于乙方安全措施不力造成事故责任和因此发生的费用由乙方承担。</w:t>
      </w:r>
    </w:p>
    <w:p w14:paraId="4AAA53F8">
      <w:pPr>
        <w:spacing w:line="52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7</w:t>
      </w:r>
      <w:r>
        <w:rPr>
          <w:rFonts w:hint="eastAsia" w:ascii="宋体" w:hAnsi="宋体" w:eastAsia="宋体" w:cs="宋体"/>
          <w:b/>
          <w:bCs/>
          <w:szCs w:val="21"/>
          <w:highlight w:val="none"/>
        </w:rPr>
        <w:t>、违约责任</w:t>
      </w:r>
    </w:p>
    <w:p w14:paraId="4DCF9193">
      <w:pPr>
        <w:pStyle w:val="26"/>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   甲方违约：当发生下列情况时：</w:t>
      </w:r>
    </w:p>
    <w:p w14:paraId="32B26B26">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.1.1  甲方不履行合同义务或不按合同约定履行义务的其他情况；</w:t>
      </w:r>
    </w:p>
    <w:p w14:paraId="1B534063">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   乙方违约：当发生下列情况时</w:t>
      </w:r>
    </w:p>
    <w:p w14:paraId="2B7DF2E7">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.2.1  由于乙方原因质量达不到协议书约定的质量标准，乙方无条件返工并承担损失和违约责任；</w:t>
      </w:r>
    </w:p>
    <w:p w14:paraId="0D486A00">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.2.2  由于乙方不履行合同义务或不按合同约定履行义务的其他情况；</w:t>
      </w:r>
    </w:p>
    <w:p w14:paraId="0AD1444D">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.2.3  乙方承担违约责任，赔偿其因其违约给甲方造成的直接经济损失。</w:t>
      </w:r>
    </w:p>
    <w:p w14:paraId="1D12DD53">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.3    一方违约后， 另一方要求违约方继续履行合同时，违约方承担上述违约责任后，仍继续履行合同。</w:t>
      </w:r>
    </w:p>
    <w:p w14:paraId="5D8E201D">
      <w:pPr>
        <w:spacing w:line="480" w:lineRule="exact"/>
        <w:ind w:right="-433" w:rightChars="-206" w:firstLine="422" w:firstLineChars="200"/>
        <w:jc w:val="left"/>
        <w:rPr>
          <w:rFonts w:hint="eastAsia" w:ascii="宋体" w:hAnsi="宋体" w:eastAsia="宋体" w:cs="宋体"/>
          <w:b/>
          <w:bCs/>
          <w:szCs w:val="21"/>
          <w:highlight w:val="none"/>
          <w:lang w:val="zh-CN"/>
        </w:rPr>
      </w:pPr>
      <w:bookmarkStart w:id="261" w:name="_Toc28375"/>
      <w:bookmarkStart w:id="262" w:name="_Toc16021"/>
      <w:bookmarkStart w:id="263" w:name="_Toc15583"/>
      <w:r>
        <w:rPr>
          <w:rFonts w:hint="eastAsia" w:ascii="宋体" w:hAnsi="宋体" w:eastAsia="宋体" w:cs="宋体"/>
          <w:b/>
          <w:bCs/>
          <w:szCs w:val="21"/>
          <w:highlight w:val="none"/>
          <w:lang w:val="en-US" w:eastAsia="zh-CN"/>
        </w:rPr>
        <w:t>8、</w:t>
      </w:r>
      <w:r>
        <w:rPr>
          <w:rFonts w:hint="eastAsia" w:ascii="宋体" w:hAnsi="宋体" w:eastAsia="宋体" w:cs="宋体"/>
          <w:b/>
          <w:bCs/>
          <w:szCs w:val="21"/>
          <w:highlight w:val="none"/>
          <w:lang w:val="zh-CN"/>
        </w:rPr>
        <w:t>合同争议的解决</w:t>
      </w:r>
      <w:bookmarkEnd w:id="261"/>
      <w:bookmarkEnd w:id="262"/>
      <w:bookmarkEnd w:id="263"/>
    </w:p>
    <w:p w14:paraId="1B498CD4">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Cs w:val="21"/>
          <w:highlight w:val="none"/>
          <w:u w:val="single"/>
        </w:rPr>
        <w:t>1</w:t>
      </w:r>
      <w:r>
        <w:rPr>
          <w:rFonts w:hint="eastAsia" w:ascii="宋体" w:hAnsi="宋体" w:eastAsia="宋体" w:cs="宋体"/>
          <w:szCs w:val="21"/>
          <w:highlight w:val="none"/>
        </w:rPr>
        <w:t>种方式解决：</w:t>
      </w:r>
    </w:p>
    <w:p w14:paraId="6E6CFAC6">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8.1</w:t>
      </w:r>
      <w:r>
        <w:rPr>
          <w:rFonts w:hint="eastAsia" w:ascii="宋体" w:hAnsi="宋体" w:eastAsia="宋体" w:cs="宋体"/>
          <w:szCs w:val="21"/>
          <w:highlight w:val="none"/>
        </w:rPr>
        <w:t>.1将争议提交滁州仲裁委员会依申请仲裁时其现行有效的仲裁规则裁决；</w:t>
      </w:r>
    </w:p>
    <w:p w14:paraId="2D382E78">
      <w:pPr>
        <w:pStyle w:val="26"/>
        <w:spacing w:line="48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8.1</w:t>
      </w:r>
      <w:r>
        <w:rPr>
          <w:rFonts w:hint="eastAsia" w:ascii="宋体" w:hAnsi="宋体" w:eastAsia="宋体" w:cs="宋体"/>
          <w:szCs w:val="21"/>
          <w:highlight w:val="none"/>
        </w:rPr>
        <w:t>.1向甲方（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人）所在地人民法院起诉。</w:t>
      </w:r>
    </w:p>
    <w:p w14:paraId="608EC44F">
      <w:pPr>
        <w:spacing w:line="480" w:lineRule="exact"/>
        <w:ind w:right="-433" w:rightChars="-206"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9</w:t>
      </w:r>
      <w:r>
        <w:rPr>
          <w:rFonts w:hint="eastAsia" w:ascii="宋体" w:hAnsi="宋体" w:eastAsia="宋体" w:cs="宋体"/>
          <w:b/>
          <w:bCs/>
          <w:szCs w:val="21"/>
          <w:highlight w:val="none"/>
        </w:rPr>
        <w:t>、合同生效及其它</w:t>
      </w:r>
    </w:p>
    <w:p w14:paraId="4FC97A61">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.1  本合同发生的相关图纸、技术资料、传真等纸质材料是本合同的组成部分，与本合同具有同等法律效力。</w:t>
      </w:r>
    </w:p>
    <w:p w14:paraId="2E472614">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.2   未尽事宜，双方在合同执行时协商解决。</w:t>
      </w:r>
    </w:p>
    <w:p w14:paraId="1C14CE5A">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   本合同规定的责任和义务、付款结清后，本合同及告终止。</w:t>
      </w:r>
    </w:p>
    <w:p w14:paraId="0CF1D10A">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 xml:space="preserve">  甲乙双方法定代表人或其委托代理人在合同书上签名并盖单位公章后合同生效。</w:t>
      </w:r>
    </w:p>
    <w:p w14:paraId="69526E3B">
      <w:pPr>
        <w:pStyle w:val="26"/>
        <w:spacing w:line="48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 xml:space="preserve">   本合同正本一式</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u w:val="single"/>
          <w:lang w:val="en-US" w:eastAsia="zh-CN"/>
        </w:rPr>
        <w:t>捌</w:t>
      </w:r>
      <w:r>
        <w:rPr>
          <w:rFonts w:hint="eastAsia" w:ascii="宋体" w:hAnsi="宋体" w:eastAsia="宋体" w:cs="宋体"/>
          <w:szCs w:val="21"/>
          <w:highlight w:val="none"/>
          <w:u w:val="single"/>
          <w:lang w:eastAsia="zh-CN"/>
        </w:rPr>
        <w:t xml:space="preserve">  </w:t>
      </w:r>
      <w:r>
        <w:rPr>
          <w:rFonts w:hint="eastAsia" w:ascii="宋体" w:hAnsi="宋体" w:eastAsia="宋体" w:cs="宋体"/>
          <w:szCs w:val="21"/>
          <w:highlight w:val="none"/>
          <w:lang w:eastAsia="zh-CN"/>
        </w:rPr>
        <w:t>份，甲乙双方各执</w:t>
      </w:r>
      <w:r>
        <w:rPr>
          <w:rFonts w:hint="eastAsia" w:ascii="宋体" w:hAnsi="宋体" w:eastAsia="宋体" w:cs="宋体"/>
          <w:szCs w:val="21"/>
          <w:highlight w:val="none"/>
          <w:u w:val="single"/>
          <w:lang w:eastAsia="zh-CN"/>
        </w:rPr>
        <w:t xml:space="preserve"> 肆 </w:t>
      </w:r>
      <w:r>
        <w:rPr>
          <w:rFonts w:hint="eastAsia" w:ascii="宋体" w:hAnsi="宋体" w:eastAsia="宋体" w:cs="宋体"/>
          <w:szCs w:val="21"/>
          <w:highlight w:val="none"/>
          <w:lang w:eastAsia="zh-CN"/>
        </w:rPr>
        <w:t>份。</w:t>
      </w:r>
    </w:p>
    <w:p w14:paraId="40FCF05E">
      <w:pPr>
        <w:pStyle w:val="26"/>
        <w:spacing w:line="480" w:lineRule="exact"/>
        <w:ind w:firstLine="420" w:firstLineChars="200"/>
        <w:jc w:val="left"/>
        <w:rPr>
          <w:rFonts w:hint="eastAsia" w:ascii="宋体" w:hAnsi="宋体" w:eastAsia="宋体" w:cs="宋体"/>
          <w:szCs w:val="21"/>
          <w:highlight w:val="none"/>
        </w:rPr>
      </w:pPr>
    </w:p>
    <w:p w14:paraId="1C5CD054">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甲 方：  (公章)                       乙 方：  (公章)                                 </w:t>
      </w:r>
    </w:p>
    <w:p w14:paraId="07C4D0E0">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            法定代表人或其委托代理人：</w:t>
      </w:r>
    </w:p>
    <w:p w14:paraId="148714BB">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（签字）                             （签字）</w:t>
      </w:r>
    </w:p>
    <w:p w14:paraId="3331C79D">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组织机构代码：</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组织机构代码：             </w:t>
      </w:r>
    </w:p>
    <w:p w14:paraId="4D44EE9E">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地  址：                  </w:t>
      </w:r>
    </w:p>
    <w:p w14:paraId="3355CE3A">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邮政编码：</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邮政编码：                  </w:t>
      </w:r>
    </w:p>
    <w:p w14:paraId="413C0B2E">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电  话：</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电  话：                     </w:t>
      </w:r>
    </w:p>
    <w:p w14:paraId="49054B09">
      <w:pPr>
        <w:pStyle w:val="26"/>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                                      开户银行：                   </w:t>
      </w:r>
    </w:p>
    <w:p w14:paraId="1F9DA331">
      <w:pPr>
        <w:spacing w:line="48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 xml:space="preserve">                                    账   号：</w:t>
      </w:r>
    </w:p>
    <w:p w14:paraId="171082C3">
      <w:pPr>
        <w:pStyle w:val="44"/>
        <w:spacing w:beforeLines="50" w:afterLines="50" w:line="440" w:lineRule="exact"/>
        <w:rPr>
          <w:rFonts w:hint="eastAsia"/>
          <w:bCs/>
          <w:szCs w:val="32"/>
          <w:highlight w:val="none"/>
        </w:rPr>
      </w:pPr>
    </w:p>
    <w:p w14:paraId="62E9F071">
      <w:pPr>
        <w:rPr>
          <w:rFonts w:hint="eastAsia"/>
          <w:bCs/>
          <w:szCs w:val="32"/>
          <w:highlight w:val="none"/>
        </w:rPr>
      </w:pPr>
      <w:r>
        <w:rPr>
          <w:rFonts w:hint="eastAsia"/>
          <w:bCs/>
          <w:szCs w:val="32"/>
          <w:highlight w:val="none"/>
        </w:rPr>
        <w:br w:type="page"/>
      </w:r>
    </w:p>
    <w:p w14:paraId="3A3DFD1F">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0B28D98A">
      <w:pPr>
        <w:jc w:val="center"/>
        <w:rPr>
          <w:rFonts w:eastAsia="黑体"/>
          <w:sz w:val="44"/>
          <w:szCs w:val="44"/>
          <w:highlight w:val="none"/>
        </w:rPr>
      </w:pPr>
      <w:r>
        <w:rPr>
          <w:rFonts w:hint="eastAsia" w:eastAsia="黑体"/>
          <w:sz w:val="44"/>
          <w:szCs w:val="44"/>
          <w:highlight w:val="none"/>
        </w:rPr>
        <w:t>（资信证明文件）</w:t>
      </w:r>
    </w:p>
    <w:p w14:paraId="4404D72F">
      <w:pPr>
        <w:jc w:val="center"/>
        <w:rPr>
          <w:rFonts w:eastAsia="黑体"/>
          <w:sz w:val="44"/>
          <w:szCs w:val="44"/>
          <w:highlight w:val="none"/>
        </w:rPr>
      </w:pPr>
      <w:r>
        <w:rPr>
          <w:rFonts w:hint="eastAsia" w:eastAsia="黑体"/>
          <w:sz w:val="44"/>
          <w:szCs w:val="44"/>
          <w:highlight w:val="none"/>
        </w:rPr>
        <w:t xml:space="preserve"> </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pPr>
    </w:p>
    <w:p w14:paraId="0799C826">
      <w:pPr>
        <w:pStyle w:val="14"/>
        <w:ind w:firstLine="420"/>
        <w:rPr>
          <w:highlight w:val="none"/>
        </w:rPr>
      </w:pPr>
    </w:p>
    <w:p w14:paraId="63F5BB9B">
      <w:pPr>
        <w:rPr>
          <w:rFonts w:eastAsia="黑体"/>
          <w:sz w:val="28"/>
          <w:szCs w:val="28"/>
          <w:highlight w:val="none"/>
        </w:rPr>
      </w:pPr>
    </w:p>
    <w:p w14:paraId="6ECEBDFF">
      <w:pPr>
        <w:rPr>
          <w:rFonts w:eastAsia="黑体"/>
          <w:sz w:val="28"/>
          <w:szCs w:val="28"/>
          <w:highlight w:val="none"/>
        </w:rPr>
      </w:pPr>
    </w:p>
    <w:p w14:paraId="6252277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264" w:name="_Toc35424971"/>
      <w:bookmarkStart w:id="265" w:name="_Toc35425137"/>
      <w:bookmarkStart w:id="266" w:name="_Toc12683"/>
    </w:p>
    <w:p w14:paraId="5288B7B1">
      <w:pPr>
        <w:spacing w:beforeLines="50" w:afterLines="50" w:line="440" w:lineRule="exact"/>
        <w:ind w:firstLine="643" w:firstLineChars="200"/>
        <w:jc w:val="center"/>
        <w:rPr>
          <w:rStyle w:val="121"/>
          <w:rFonts w:hint="eastAsia" w:ascii="宋体" w:hAnsi="宋体" w:cs="宋体"/>
          <w:sz w:val="32"/>
          <w:highlight w:val="none"/>
        </w:rPr>
      </w:pPr>
      <w:bookmarkStart w:id="267" w:name="_Toc78803399"/>
      <w:r>
        <w:rPr>
          <w:rStyle w:val="121"/>
          <w:rFonts w:hint="eastAsia" w:ascii="宋体" w:hAnsi="宋体" w:cs="宋体"/>
          <w:sz w:val="32"/>
          <w:highlight w:val="none"/>
        </w:rPr>
        <w:br w:type="page"/>
      </w:r>
      <w:bookmarkEnd w:id="264"/>
      <w:bookmarkEnd w:id="265"/>
      <w:bookmarkEnd w:id="266"/>
      <w:bookmarkEnd w:id="267"/>
    </w:p>
    <w:p w14:paraId="28C89471">
      <w:pPr>
        <w:spacing w:beforeLines="50" w:afterLines="50" w:line="440" w:lineRule="exact"/>
        <w:ind w:firstLine="643" w:firstLineChars="200"/>
        <w:jc w:val="center"/>
        <w:rPr>
          <w:rStyle w:val="121"/>
          <w:rFonts w:hint="eastAsia" w:ascii="宋体" w:hAnsi="宋体" w:cs="宋体"/>
          <w:sz w:val="32"/>
          <w:highlight w:val="none"/>
        </w:rPr>
      </w:pPr>
    </w:p>
    <w:p w14:paraId="0EBCA57C">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5025579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4E4B2F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1E096A4B">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）企业资质证书；</w:t>
      </w:r>
    </w:p>
    <w:p w14:paraId="476E7636">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220DE43">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服务承诺：是否响应招标文件要求的书面说明和服务承诺书（格式见附件）</w:t>
      </w:r>
      <w:r>
        <w:rPr>
          <w:rFonts w:hint="eastAsia" w:ascii="宋体" w:hAnsi="Times New Roman" w:eastAsia="宋体" w:cs="Times New Roman"/>
          <w:color w:val="auto"/>
          <w:szCs w:val="21"/>
          <w:highlight w:val="none"/>
          <w:lang w:eastAsia="zh-CN"/>
        </w:rPr>
        <w:t>；</w:t>
      </w:r>
    </w:p>
    <w:p w14:paraId="40D371A2">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rPr>
        <w:t>招标文件中要求的资信评审（评分）的支持资料</w:t>
      </w:r>
      <w:r>
        <w:rPr>
          <w:rFonts w:hint="eastAsia" w:ascii="宋体" w:hAnsi="Times New Roman" w:eastAsia="宋体" w:cs="Times New Roman"/>
          <w:color w:val="auto"/>
          <w:szCs w:val="21"/>
          <w:highlight w:val="none"/>
          <w:lang w:eastAsia="zh-CN"/>
        </w:rPr>
        <w:t>。</w:t>
      </w:r>
    </w:p>
    <w:p w14:paraId="0EFA1573">
      <w:pPr>
        <w:spacing w:line="360" w:lineRule="auto"/>
        <w:ind w:firstLine="420" w:firstLineChars="200"/>
        <w:rPr>
          <w:rFonts w:hint="eastAsia" w:ascii="宋体" w:hAnsi="Times New Roman" w:eastAsia="宋体" w:cs="Times New Roman"/>
          <w:color w:val="auto"/>
          <w:szCs w:val="21"/>
          <w:highlight w:val="none"/>
          <w:lang w:val="en-US" w:eastAsia="zh-CN"/>
        </w:rPr>
      </w:pP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268" w:name="_Toc506107356"/>
      <w:bookmarkStart w:id="269" w:name="_Toc503196197"/>
      <w:bookmarkStart w:id="270"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8"/>
          <w:szCs w:val="28"/>
          <w:highlight w:val="none"/>
        </w:rPr>
      </w:pPr>
      <w:r>
        <w:rPr>
          <w:rFonts w:hint="eastAsia"/>
          <w:b/>
          <w:sz w:val="28"/>
          <w:szCs w:val="28"/>
          <w:highlight w:val="none"/>
        </w:rPr>
        <w:t>（2）诚信投标承诺书</w:t>
      </w:r>
      <w:bookmarkEnd w:id="268"/>
      <w:bookmarkEnd w:id="269"/>
      <w:bookmarkEnd w:id="270"/>
    </w:p>
    <w:p w14:paraId="4F449F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一、将遵循公开、公正和诚实信用的原则自愿参加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1FA4827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eastAsia="宋体" w:cs="Times New Roman"/>
          <w:color w:val="000000"/>
          <w:szCs w:val="21"/>
          <w:highlight w:val="none"/>
          <w:lang w:eastAsia="zh-CN"/>
        </w:rPr>
        <w:t>。</w:t>
      </w:r>
    </w:p>
    <w:p w14:paraId="364DDA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3D1BC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8B8A18">
      <w:pPr>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20C41B8D">
      <w:pPr>
        <w:rPr>
          <w:rFonts w:hint="eastAsia" w:ascii="宋体" w:hAnsi="宋体" w:eastAsia="宋体" w:cs="Times New Roman"/>
          <w:color w:val="000000"/>
          <w:szCs w:val="21"/>
          <w:highlight w:val="none"/>
        </w:rPr>
      </w:pPr>
    </w:p>
    <w:p w14:paraId="2BC6E2D1">
      <w:pPr>
        <w:jc w:val="center"/>
        <w:rPr>
          <w:rFonts w:eastAsia="黑体"/>
          <w:sz w:val="28"/>
          <w:szCs w:val="28"/>
          <w:highlight w:val="none"/>
        </w:rPr>
      </w:pPr>
    </w:p>
    <w:p w14:paraId="66E43672">
      <w:pPr>
        <w:jc w:val="center"/>
        <w:rPr>
          <w:rFonts w:eastAsia="黑体"/>
          <w:sz w:val="28"/>
          <w:szCs w:val="28"/>
          <w:highlight w:val="none"/>
        </w:rPr>
      </w:pPr>
    </w:p>
    <w:p w14:paraId="20447F5C">
      <w:pPr>
        <w:jc w:val="center"/>
        <w:rPr>
          <w:rFonts w:eastAsia="黑体"/>
          <w:sz w:val="20"/>
          <w:szCs w:val="20"/>
          <w:highlight w:val="none"/>
        </w:rPr>
      </w:pPr>
      <w:r>
        <w:rPr>
          <w:rFonts w:eastAsia="黑体"/>
          <w:sz w:val="28"/>
          <w:szCs w:val="28"/>
          <w:highlight w:val="none"/>
        </w:rPr>
        <w:t>（项目名称）</w:t>
      </w:r>
    </w:p>
    <w:p w14:paraId="66B855F2">
      <w:pPr>
        <w:jc w:val="center"/>
        <w:rPr>
          <w:rFonts w:eastAsia="黑体"/>
          <w:sz w:val="20"/>
          <w:szCs w:val="20"/>
          <w:highlight w:val="none"/>
        </w:rPr>
      </w:pPr>
    </w:p>
    <w:p w14:paraId="792DB5BC">
      <w:pPr>
        <w:rPr>
          <w:rFonts w:eastAsia="黑体"/>
          <w:sz w:val="20"/>
          <w:szCs w:val="20"/>
          <w:highlight w:val="none"/>
        </w:rPr>
      </w:pPr>
    </w:p>
    <w:p w14:paraId="60025CC7">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二</w:t>
      </w:r>
    </w:p>
    <w:p w14:paraId="11881936">
      <w:pPr>
        <w:jc w:val="center"/>
        <w:rPr>
          <w:rFonts w:eastAsia="黑体"/>
          <w:sz w:val="44"/>
          <w:szCs w:val="44"/>
          <w:highlight w:val="none"/>
        </w:rPr>
      </w:pPr>
      <w:r>
        <w:rPr>
          <w:rFonts w:hint="eastAsia" w:eastAsia="黑体"/>
          <w:sz w:val="44"/>
          <w:szCs w:val="44"/>
          <w:highlight w:val="none"/>
        </w:rPr>
        <w:t>（技术标文件）</w:t>
      </w:r>
    </w:p>
    <w:p w14:paraId="78C47936">
      <w:pPr>
        <w:rPr>
          <w:rFonts w:eastAsia="黑体"/>
          <w:sz w:val="28"/>
          <w:szCs w:val="28"/>
          <w:highlight w:val="none"/>
        </w:rPr>
      </w:pPr>
    </w:p>
    <w:p w14:paraId="13EF90FD">
      <w:pPr>
        <w:rPr>
          <w:rFonts w:eastAsia="黑体"/>
          <w:sz w:val="28"/>
          <w:szCs w:val="28"/>
          <w:highlight w:val="none"/>
        </w:rPr>
      </w:pPr>
    </w:p>
    <w:p w14:paraId="4307D5B0">
      <w:pPr>
        <w:rPr>
          <w:rFonts w:eastAsia="黑体"/>
          <w:sz w:val="28"/>
          <w:szCs w:val="28"/>
          <w:highlight w:val="none"/>
        </w:rPr>
      </w:pPr>
    </w:p>
    <w:p w14:paraId="6B2C05F0">
      <w:pPr>
        <w:pStyle w:val="14"/>
        <w:ind w:firstLine="560"/>
        <w:rPr>
          <w:rFonts w:eastAsia="黑体"/>
          <w:sz w:val="28"/>
          <w:szCs w:val="28"/>
          <w:highlight w:val="none"/>
        </w:rPr>
      </w:pPr>
    </w:p>
    <w:p w14:paraId="1D0BEC5C">
      <w:pPr>
        <w:rPr>
          <w:rFonts w:eastAsia="黑体"/>
          <w:sz w:val="28"/>
          <w:szCs w:val="28"/>
          <w:highlight w:val="none"/>
        </w:rPr>
      </w:pPr>
    </w:p>
    <w:p w14:paraId="28D93157">
      <w:pPr>
        <w:pStyle w:val="14"/>
        <w:ind w:firstLine="560"/>
        <w:rPr>
          <w:rFonts w:eastAsia="黑体"/>
          <w:sz w:val="28"/>
          <w:szCs w:val="28"/>
          <w:highlight w:val="none"/>
        </w:rPr>
      </w:pPr>
    </w:p>
    <w:p w14:paraId="1FFAD3CF">
      <w:pPr>
        <w:rPr>
          <w:highlight w:val="none"/>
        </w:rPr>
      </w:pPr>
    </w:p>
    <w:p w14:paraId="0D2C3844">
      <w:pPr>
        <w:rPr>
          <w:rFonts w:eastAsia="黑体"/>
          <w:sz w:val="28"/>
          <w:szCs w:val="28"/>
          <w:highlight w:val="none"/>
        </w:rPr>
      </w:pPr>
    </w:p>
    <w:p w14:paraId="3D9426D8">
      <w:pPr>
        <w:rPr>
          <w:rFonts w:eastAsia="黑体"/>
          <w:sz w:val="28"/>
          <w:szCs w:val="28"/>
          <w:highlight w:val="none"/>
        </w:rPr>
      </w:pPr>
    </w:p>
    <w:p w14:paraId="21A6EBE5">
      <w:pPr>
        <w:rPr>
          <w:rFonts w:eastAsia="黑体"/>
          <w:sz w:val="28"/>
          <w:szCs w:val="28"/>
          <w:highlight w:val="none"/>
        </w:rPr>
      </w:pPr>
    </w:p>
    <w:p w14:paraId="02F825C3">
      <w:pPr>
        <w:rPr>
          <w:rFonts w:eastAsia="黑体"/>
          <w:sz w:val="28"/>
          <w:szCs w:val="28"/>
          <w:highlight w:val="none"/>
        </w:rPr>
      </w:pPr>
    </w:p>
    <w:p w14:paraId="65C29CBB">
      <w:pPr>
        <w:rPr>
          <w:rFonts w:eastAsia="黑体"/>
          <w:sz w:val="28"/>
          <w:szCs w:val="28"/>
          <w:highlight w:val="none"/>
        </w:rPr>
      </w:pPr>
    </w:p>
    <w:p w14:paraId="10883D19">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3B6C62B9">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1FCEEEFE">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3CA1B276">
      <w:pPr>
        <w:rPr>
          <w:rFonts w:hint="eastAsia" w:ascii="宋体" w:hAnsi="宋体"/>
          <w:b/>
          <w:sz w:val="32"/>
          <w:szCs w:val="32"/>
          <w:highlight w:val="none"/>
        </w:rPr>
      </w:pPr>
      <w:r>
        <w:rPr>
          <w:rFonts w:hint="eastAsia" w:ascii="宋体" w:hAnsi="宋体"/>
          <w:b/>
          <w:sz w:val="32"/>
          <w:szCs w:val="32"/>
          <w:highlight w:val="none"/>
        </w:rPr>
        <w:br w:type="page"/>
      </w:r>
    </w:p>
    <w:p w14:paraId="0542242B">
      <w:pPr>
        <w:spacing w:beforeLines="50" w:afterLines="50" w:line="440" w:lineRule="exact"/>
        <w:ind w:firstLine="643" w:firstLineChars="200"/>
        <w:jc w:val="center"/>
        <w:rPr>
          <w:rStyle w:val="121"/>
          <w:rFonts w:hint="eastAsia" w:ascii="宋体" w:hAnsi="宋体" w:cs="宋体"/>
          <w:sz w:val="32"/>
          <w:highlight w:val="none"/>
        </w:rPr>
      </w:pPr>
    </w:p>
    <w:p w14:paraId="43AB31C5">
      <w:pPr>
        <w:spacing w:beforeLines="50" w:afterLines="50" w:line="440" w:lineRule="exact"/>
        <w:jc w:val="center"/>
        <w:rPr>
          <w:rStyle w:val="121"/>
          <w:rFonts w:ascii="宋体" w:hAnsi="宋体" w:cs="宋体"/>
          <w:sz w:val="32"/>
          <w:highlight w:val="none"/>
        </w:rPr>
      </w:pPr>
      <w:r>
        <w:rPr>
          <w:rStyle w:val="121"/>
          <w:rFonts w:hint="eastAsia" w:ascii="宋体" w:hAnsi="宋体" w:cs="宋体"/>
          <w:sz w:val="32"/>
          <w:highlight w:val="none"/>
        </w:rPr>
        <w:t>目</w:t>
      </w:r>
      <w:r>
        <w:rPr>
          <w:rStyle w:val="121"/>
          <w:rFonts w:hint="eastAsia" w:ascii="宋体" w:hAnsi="宋体" w:cs="宋体"/>
          <w:sz w:val="32"/>
          <w:highlight w:val="none"/>
          <w:lang w:val="en-US"/>
        </w:rPr>
        <w:t xml:space="preserve">  </w:t>
      </w:r>
      <w:r>
        <w:rPr>
          <w:rStyle w:val="121"/>
          <w:rFonts w:hint="eastAsia" w:ascii="宋体" w:hAnsi="宋体" w:cs="宋体"/>
          <w:sz w:val="32"/>
          <w:highlight w:val="none"/>
        </w:rPr>
        <w:t>录</w:t>
      </w:r>
    </w:p>
    <w:p w14:paraId="5045D6E2">
      <w:pPr>
        <w:numPr>
          <w:ilvl w:val="0"/>
          <w:numId w:val="1"/>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规划</w:t>
      </w:r>
      <w:r>
        <w:rPr>
          <w:rFonts w:hint="eastAsia" w:ascii="宋体" w:hAnsi="Times New Roman" w:eastAsia="宋体" w:cs="Times New Roman"/>
          <w:color w:val="auto"/>
          <w:szCs w:val="21"/>
          <w:highlight w:val="none"/>
          <w:lang w:val="en-US" w:eastAsia="zh-CN"/>
        </w:rPr>
        <w:t>设计方案；</w:t>
      </w:r>
    </w:p>
    <w:p w14:paraId="14093959">
      <w:pPr>
        <w:numPr>
          <w:ilvl w:val="0"/>
          <w:numId w:val="1"/>
        </w:numPr>
        <w:spacing w:line="360" w:lineRule="auto"/>
        <w:ind w:firstLine="420" w:firstLineChars="200"/>
        <w:rPr>
          <w:rFonts w:hint="eastAsia" w:ascii="宋体" w:hAnsi="宋体" w:eastAsia="宋体" w:cs="宋体"/>
          <w:szCs w:val="21"/>
          <w:highlight w:val="none"/>
          <w:lang w:val="en-US" w:eastAsia="zh-CN"/>
        </w:rPr>
      </w:pPr>
      <w:r>
        <w:rPr>
          <w:rFonts w:hint="eastAsia" w:ascii="宋体" w:hAnsi="Times New Roman" w:eastAsia="宋体" w:cs="Times New Roman"/>
          <w:color w:val="auto"/>
          <w:szCs w:val="21"/>
          <w:highlight w:val="none"/>
          <w:lang w:val="en-US" w:eastAsia="zh-CN"/>
        </w:rPr>
        <w:t>项目质量保证措施</w:t>
      </w:r>
      <w:r>
        <w:rPr>
          <w:rFonts w:hint="eastAsia" w:ascii="宋体" w:hAnsi="宋体" w:eastAsia="宋体" w:cs="宋体"/>
          <w:szCs w:val="21"/>
          <w:highlight w:val="none"/>
          <w:lang w:val="en-US" w:eastAsia="zh-CN"/>
        </w:rPr>
        <w:t>。</w:t>
      </w:r>
    </w:p>
    <w:p w14:paraId="3EC023F2">
      <w:pPr>
        <w:spacing w:line="440" w:lineRule="exact"/>
        <w:ind w:firstLine="420" w:firstLineChars="200"/>
        <w:jc w:val="left"/>
        <w:rPr>
          <w:rFonts w:hint="eastAsia" w:ascii="宋体" w:hAnsi="宋体" w:eastAsia="宋体" w:cs="宋体"/>
          <w:szCs w:val="21"/>
          <w:highlight w:val="none"/>
          <w:lang w:eastAsia="zh-CN"/>
        </w:rPr>
      </w:pPr>
    </w:p>
    <w:p w14:paraId="2EEC4B9E">
      <w:pPr>
        <w:pStyle w:val="14"/>
        <w:rPr>
          <w:rFonts w:hint="eastAsia"/>
        </w:rPr>
      </w:pPr>
    </w:p>
    <w:p w14:paraId="19A10BDE">
      <w:pPr>
        <w:rPr>
          <w:rFonts w:hint="eastAsia" w:ascii="宋体" w:hAnsi="宋体"/>
          <w:b/>
          <w:sz w:val="32"/>
          <w:szCs w:val="32"/>
          <w:highlight w:val="none"/>
        </w:rPr>
      </w:pPr>
      <w:r>
        <w:rPr>
          <w:rFonts w:hint="eastAsia" w:ascii="宋体" w:hAnsi="宋体"/>
          <w:b/>
          <w:sz w:val="32"/>
          <w:szCs w:val="32"/>
          <w:highlight w:val="none"/>
        </w:rPr>
        <w:br w:type="page"/>
      </w:r>
    </w:p>
    <w:p w14:paraId="7537EA8B">
      <w:pPr>
        <w:jc w:val="center"/>
        <w:rPr>
          <w:rFonts w:eastAsia="黑体"/>
          <w:sz w:val="28"/>
          <w:szCs w:val="28"/>
          <w:highlight w:val="none"/>
        </w:rPr>
      </w:pPr>
    </w:p>
    <w:p w14:paraId="22366C21">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三</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DBB5CC">
      <w:pPr>
        <w:rPr>
          <w:rFonts w:hint="eastAsia" w:ascii="宋体" w:hAnsi="宋体"/>
          <w:b/>
          <w:sz w:val="32"/>
          <w:szCs w:val="32"/>
          <w:highlight w:val="none"/>
        </w:rPr>
      </w:pPr>
      <w:r>
        <w:rPr>
          <w:rFonts w:hint="eastAsia" w:ascii="宋体" w:hAnsi="宋体"/>
          <w:b/>
          <w:sz w:val="32"/>
          <w:szCs w:val="32"/>
          <w:highlight w:val="none"/>
        </w:rPr>
        <w:br w:type="page"/>
      </w:r>
    </w:p>
    <w:p w14:paraId="239E86E0">
      <w:pPr>
        <w:spacing w:beforeLines="50" w:afterLines="50" w:line="440" w:lineRule="exact"/>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rPr>
        <w:t>录</w:t>
      </w:r>
    </w:p>
    <w:p w14:paraId="4E33EC57">
      <w:pPr>
        <w:numPr>
          <w:ilvl w:val="0"/>
          <w:numId w:val="2"/>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投标函；</w:t>
      </w:r>
    </w:p>
    <w:p w14:paraId="704909D0">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2</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rPr>
        <w:t>投标人认为需要提供的其他证明材料。</w:t>
      </w:r>
    </w:p>
    <w:p w14:paraId="3B019531">
      <w:pPr>
        <w:rPr>
          <w:rFonts w:hint="eastAsia" w:ascii="宋体" w:hAnsi="宋体"/>
          <w:b/>
          <w:sz w:val="32"/>
          <w:szCs w:val="32"/>
          <w:highlight w:val="none"/>
        </w:rPr>
      </w:pPr>
      <w:r>
        <w:rPr>
          <w:rFonts w:hint="eastAsia" w:ascii="宋体" w:hAnsi="宋体"/>
          <w:b/>
          <w:sz w:val="32"/>
          <w:szCs w:val="32"/>
          <w:highlight w:val="none"/>
        </w:rPr>
        <w:br w:type="page"/>
      </w:r>
    </w:p>
    <w:p w14:paraId="5D358DCD">
      <w:pPr>
        <w:jc w:val="center"/>
        <w:rPr>
          <w:rFonts w:ascii="宋体" w:hAnsi="宋体"/>
          <w:b/>
          <w:sz w:val="32"/>
          <w:szCs w:val="32"/>
          <w:highlight w:val="none"/>
        </w:rPr>
      </w:pPr>
      <w:r>
        <w:rPr>
          <w:rFonts w:hint="eastAsia" w:ascii="宋体" w:hAnsi="宋体"/>
          <w:b/>
          <w:sz w:val="32"/>
          <w:szCs w:val="32"/>
          <w:highlight w:val="none"/>
        </w:rPr>
        <w:t>（1）投 标 函</w:t>
      </w:r>
    </w:p>
    <w:bookmarkEnd w:id="7"/>
    <w:bookmarkEnd w:id="8"/>
    <w:bookmarkEnd w:id="9"/>
    <w:bookmarkEnd w:id="10"/>
    <w:bookmarkEnd w:id="11"/>
    <w:p w14:paraId="793ADD9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lang w:val="en-US"/>
        </w:rPr>
      </w:pPr>
      <w:bookmarkStart w:id="271" w:name="_Toc15058950"/>
      <w:bookmarkStart w:id="272" w:name="_Toc35424974"/>
      <w:bookmarkStart w:id="273" w:name="_Toc506107366"/>
      <w:bookmarkStart w:id="274" w:name="_Toc35425140"/>
      <w:bookmarkStart w:id="275" w:name="_Toc78803402"/>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8D725E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3F4F18A1">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p>
    <w:p w14:paraId="31A3CD0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7D5229C3">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w:t>
      </w:r>
      <w:r>
        <w:rPr>
          <w:rFonts w:hint="eastAsia" w:ascii="宋体" w:hAnsi="宋体" w:cs="宋体"/>
          <w:color w:val="000000"/>
          <w:kern w:val="0"/>
          <w:sz w:val="24"/>
          <w:szCs w:val="24"/>
          <w:highlight w:val="none"/>
          <w:u w:val="single" w:color="auto"/>
          <w:lang w:val="en-US" w:eastAsia="zh-CN" w:bidi="ar"/>
        </w:rPr>
        <w:t>6</w:t>
      </w:r>
      <w:r>
        <w:rPr>
          <w:rFonts w:hint="eastAsia" w:ascii="宋体" w:hAnsi="宋体" w:eastAsia="宋体" w:cs="宋体"/>
          <w:color w:val="000000"/>
          <w:kern w:val="0"/>
          <w:sz w:val="24"/>
          <w:szCs w:val="24"/>
          <w:highlight w:val="none"/>
          <w:u w:val="single" w:color="auto"/>
          <w:lang w:val="en-US" w:eastAsia="zh-CN" w:bidi="ar"/>
        </w:rPr>
        <w:t xml:space="preserve">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7407AE63">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如果我方中标我方将按照招标文件的规定提交履约担保。项目验收合格后，方</w:t>
      </w:r>
      <w:r>
        <w:rPr>
          <w:rFonts w:hint="eastAsia" w:ascii="宋体" w:hAnsi="宋体" w:eastAsia="宋体" w:cs="宋体"/>
          <w:color w:val="000000"/>
          <w:kern w:val="0"/>
          <w:sz w:val="24"/>
          <w:szCs w:val="24"/>
          <w:highlight w:val="none"/>
          <w:u w:color="000000"/>
          <w:lang w:val="en-US" w:eastAsia="zh-CN" w:bidi="ar"/>
        </w:rPr>
        <w:t>可退还。</w:t>
      </w:r>
    </w:p>
    <w:p w14:paraId="3F2B18F3">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6.我方愿意提供可能另外要求的、与投标有关的文件资料，并保证我方已提供和将要提供的文件是真实的、准确的。</w:t>
      </w:r>
    </w:p>
    <w:p w14:paraId="6C7E71F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7.我单位提供如下通讯地址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1582155F">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kern w:val="0"/>
          <w:sz w:val="24"/>
          <w:szCs w:val="24"/>
          <w:highlight w:val="none"/>
          <w:u w:color="000000"/>
          <w:lang w:val="en-US" w:eastAsia="zh-CN" w:bidi="ar"/>
        </w:rPr>
      </w:pPr>
    </w:p>
    <w:p w14:paraId="12C4D713">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4BDA05CC">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20EBE8C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4C120B6C">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E52222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1189D427">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bookmarkEnd w:id="271"/>
    <w:bookmarkEnd w:id="272"/>
    <w:bookmarkEnd w:id="273"/>
    <w:bookmarkEnd w:id="274"/>
    <w:p w14:paraId="1D237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000000"/>
          <w:sz w:val="28"/>
          <w:szCs w:val="28"/>
          <w:highlight w:val="none"/>
          <w:lang w:eastAsia="zh-CN"/>
        </w:rPr>
      </w:pPr>
    </w:p>
    <w:p w14:paraId="24B25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000000"/>
          <w:sz w:val="28"/>
          <w:szCs w:val="28"/>
          <w:highlight w:val="none"/>
          <w:lang w:eastAsia="zh-CN"/>
        </w:rPr>
      </w:pPr>
    </w:p>
    <w:p w14:paraId="3EA83AD1">
      <w:pPr>
        <w:rPr>
          <w:rFonts w:hint="eastAsia" w:ascii="Times New Roman" w:hAnsi="Times New Roman" w:eastAsia="宋体" w:cs="Times New Roman"/>
          <w:b/>
          <w:color w:val="000000"/>
          <w:sz w:val="28"/>
          <w:szCs w:val="28"/>
          <w:highlight w:val="none"/>
          <w:lang w:eastAsia="zh-CN"/>
        </w:rPr>
      </w:pPr>
      <w:r>
        <w:rPr>
          <w:rFonts w:hint="eastAsia" w:ascii="Times New Roman" w:hAnsi="Times New Roman" w:eastAsia="宋体" w:cs="Times New Roman"/>
          <w:b/>
          <w:color w:val="000000"/>
          <w:sz w:val="28"/>
          <w:szCs w:val="28"/>
          <w:highlight w:val="none"/>
          <w:lang w:eastAsia="zh-CN"/>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275"/>
    </w:p>
    <w:p w14:paraId="7D391125">
      <w:pPr>
        <w:pStyle w:val="21"/>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滁宁城际控制中心南侧地块规划方案研究项目</w:t>
            </w:r>
            <w:r>
              <w:rPr>
                <w:rFonts w:hint="eastAsia"/>
                <w:sz w:val="28"/>
                <w:szCs w:val="28"/>
                <w:highlight w:val="none"/>
                <w:u w:val="single"/>
              </w:rPr>
              <w:t xml:space="preserve"> </w:t>
            </w:r>
            <w:r>
              <w:rPr>
                <w:rFonts w:hint="eastAsia"/>
                <w:sz w:val="28"/>
                <w:szCs w:val="28"/>
                <w:highlight w:val="none"/>
              </w:rPr>
              <w:t>的招标文件进行确认。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招标人：</w:t>
            </w:r>
            <w:r>
              <w:rPr>
                <w:rFonts w:hint="eastAsia" w:ascii="宋体" w:hAnsi="宋体" w:cs="宋体"/>
                <w:color w:val="000000"/>
                <w:sz w:val="28"/>
                <w:szCs w:val="28"/>
                <w:highlight w:val="none"/>
                <w:u w:color="000000"/>
                <w:lang w:eastAsia="zh-CN" w:bidi="ar"/>
              </w:rPr>
              <w:t>滁州市滁宁城际铁路开发建设有限公司</w:t>
            </w:r>
            <w:r>
              <w:rPr>
                <w:rFonts w:hint="eastAsia" w:ascii="宋体" w:hAnsi="宋体" w:eastAsia="宋体" w:cs="宋体"/>
                <w:color w:val="000000"/>
                <w:sz w:val="28"/>
                <w:szCs w:val="28"/>
                <w:highlight w:val="none"/>
                <w:u w:color="000000"/>
                <w:lang w:bidi="ar"/>
              </w:rPr>
              <w:t xml:space="preserve">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cs="宋体"/>
                <w:color w:val="000000"/>
                <w:sz w:val="28"/>
                <w:szCs w:val="28"/>
                <w:highlight w:val="none"/>
                <w:u w:color="000000"/>
                <w:lang w:val="en-US" w:eastAsia="zh-CN" w:bidi="ar"/>
              </w:rPr>
              <w:t>杨雅辰</w:t>
            </w:r>
          </w:p>
          <w:p w14:paraId="74DEAFC0">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联系电话：</w:t>
            </w:r>
            <w:r>
              <w:rPr>
                <w:rFonts w:hint="eastAsia" w:ascii="宋体" w:hAnsi="宋体" w:eastAsia="宋体" w:cs="宋体"/>
                <w:color w:val="000000"/>
                <w:sz w:val="28"/>
                <w:szCs w:val="28"/>
                <w:highlight w:val="none"/>
                <w:u w:color="000000"/>
                <w:lang w:eastAsia="zh-CN" w:bidi="ar"/>
              </w:rPr>
              <w:t>13339207910</w:t>
            </w: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4EDF8AEB">
            <w:pPr>
              <w:pStyle w:val="14"/>
              <w:ind w:firstLine="420"/>
              <w:rPr>
                <w:highlight w:val="none"/>
              </w:rPr>
            </w:pPr>
          </w:p>
        </w:tc>
      </w:tr>
    </w:tbl>
    <w:p w14:paraId="2D7DD9E9"/>
    <w:sectPr>
      <w:headerReference r:id="rId8" w:type="default"/>
      <w:footerReference r:id="rId9"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〇.">
    <w:altName w:val="黑体"/>
    <w:panose1 w:val="00000000000000000000"/>
    <w:charset w:val="86"/>
    <w:family w:val="swiss"/>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31"/>
      <w:rPr>
        <w:rStyle w:val="51"/>
      </w:rPr>
    </w:pPr>
  </w:p>
  <w:p w14:paraId="5343591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C09D">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31"/>
      <w:rPr>
        <w:rStyle w:val="51"/>
      </w:rPr>
    </w:pPr>
  </w:p>
  <w:p w14:paraId="78B0040E">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31"/>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21B25">
                          <w:pPr>
                            <w:pStyle w:val="3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21B25">
                    <w:pPr>
                      <w:pStyle w:val="31"/>
                    </w:pPr>
                    <w:r>
                      <w:fldChar w:fldCharType="begin"/>
                    </w:r>
                    <w:r>
                      <w:instrText xml:space="preserve"> PAGE  \* MERGEFORMAT </w:instrText>
                    </w:r>
                    <w:r>
                      <w:fldChar w:fldCharType="separate"/>
                    </w:r>
                    <w:r>
                      <w:t>50</w:t>
                    </w:r>
                    <w:r>
                      <w:fldChar w:fldCharType="end"/>
                    </w:r>
                  </w:p>
                </w:txbxContent>
              </v:textbox>
            </v:shape>
          </w:pict>
        </mc:Fallback>
      </mc:AlternateContent>
    </w:r>
  </w:p>
  <w:p w14:paraId="01B2BA8E">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20F0">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55867"/>
    <w:multiLevelType w:val="singleLevel"/>
    <w:tmpl w:val="E4B55867"/>
    <w:lvl w:ilvl="0" w:tentative="0">
      <w:start w:val="1"/>
      <w:numFmt w:val="decimal"/>
      <w:suff w:val="nothing"/>
      <w:lvlText w:val="（%1）"/>
      <w:lvlJc w:val="left"/>
    </w:lvl>
  </w:abstractNum>
  <w:abstractNum w:abstractNumId="1">
    <w:nsid w:val="41BBF03D"/>
    <w:multiLevelType w:val="singleLevel"/>
    <w:tmpl w:val="41BBF03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6751D"/>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15767"/>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1C675D"/>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03285"/>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B254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759E0"/>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8B661F"/>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B547E"/>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5778E"/>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124D9"/>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EF50E7"/>
    <w:rsid w:val="28F402DA"/>
    <w:rsid w:val="28FC78BE"/>
    <w:rsid w:val="29000A40"/>
    <w:rsid w:val="290F29AF"/>
    <w:rsid w:val="292D0766"/>
    <w:rsid w:val="293634F4"/>
    <w:rsid w:val="2942437E"/>
    <w:rsid w:val="29600B3C"/>
    <w:rsid w:val="29606D8E"/>
    <w:rsid w:val="29671ECA"/>
    <w:rsid w:val="29770361"/>
    <w:rsid w:val="2985201E"/>
    <w:rsid w:val="298E4055"/>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A95EBC"/>
    <w:rsid w:val="2CB43679"/>
    <w:rsid w:val="2CB62CA6"/>
    <w:rsid w:val="2CD40261"/>
    <w:rsid w:val="2CEE34EF"/>
    <w:rsid w:val="2CF605F7"/>
    <w:rsid w:val="2D016FE9"/>
    <w:rsid w:val="2D14362B"/>
    <w:rsid w:val="2D2E304F"/>
    <w:rsid w:val="2D3C07FE"/>
    <w:rsid w:val="2D5148FD"/>
    <w:rsid w:val="2D5756FC"/>
    <w:rsid w:val="2D5D5591"/>
    <w:rsid w:val="2D711ADD"/>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AC34BC"/>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4E423B"/>
    <w:rsid w:val="375869AC"/>
    <w:rsid w:val="375B253A"/>
    <w:rsid w:val="37666B6B"/>
    <w:rsid w:val="37675674"/>
    <w:rsid w:val="376B1978"/>
    <w:rsid w:val="37940CA8"/>
    <w:rsid w:val="37D848CF"/>
    <w:rsid w:val="37DA41AF"/>
    <w:rsid w:val="37DB157C"/>
    <w:rsid w:val="37DB3C7D"/>
    <w:rsid w:val="37EE7D30"/>
    <w:rsid w:val="37F62976"/>
    <w:rsid w:val="37F77F19"/>
    <w:rsid w:val="37F97FCC"/>
    <w:rsid w:val="38042FDA"/>
    <w:rsid w:val="381C3F20"/>
    <w:rsid w:val="3822692C"/>
    <w:rsid w:val="3824223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27178"/>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C254C"/>
    <w:rsid w:val="3EBD0BAE"/>
    <w:rsid w:val="3EC3774B"/>
    <w:rsid w:val="3ECC3927"/>
    <w:rsid w:val="3ECD2095"/>
    <w:rsid w:val="3EEF22EE"/>
    <w:rsid w:val="3EF02AD3"/>
    <w:rsid w:val="3F024C1A"/>
    <w:rsid w:val="3F0D0FA0"/>
    <w:rsid w:val="3F0E7D79"/>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04B39"/>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CC21C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4D032B"/>
    <w:rsid w:val="49507E2D"/>
    <w:rsid w:val="49512BB1"/>
    <w:rsid w:val="495E0009"/>
    <w:rsid w:val="49641F5D"/>
    <w:rsid w:val="49666B6B"/>
    <w:rsid w:val="496F2CCC"/>
    <w:rsid w:val="498F64FC"/>
    <w:rsid w:val="49AD1724"/>
    <w:rsid w:val="49BE7E39"/>
    <w:rsid w:val="49C40005"/>
    <w:rsid w:val="49C65419"/>
    <w:rsid w:val="49D04BAB"/>
    <w:rsid w:val="49EA0282"/>
    <w:rsid w:val="49EA1794"/>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115F"/>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85E1F"/>
    <w:rsid w:val="52BF5C92"/>
    <w:rsid w:val="52C2167A"/>
    <w:rsid w:val="52C7794C"/>
    <w:rsid w:val="52D279CD"/>
    <w:rsid w:val="52D32ADF"/>
    <w:rsid w:val="52D41ACF"/>
    <w:rsid w:val="52E45ACB"/>
    <w:rsid w:val="52E71802"/>
    <w:rsid w:val="52F47AFB"/>
    <w:rsid w:val="53071B37"/>
    <w:rsid w:val="530A5973"/>
    <w:rsid w:val="530B5DDF"/>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5206"/>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551B92"/>
    <w:rsid w:val="57614844"/>
    <w:rsid w:val="57664CC0"/>
    <w:rsid w:val="576A00D2"/>
    <w:rsid w:val="576A530D"/>
    <w:rsid w:val="57865B66"/>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A4AEA"/>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57CC9"/>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8A76C9"/>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95E3D"/>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0196D"/>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27283"/>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12B1E"/>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02C6A"/>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1"/>
    <w:qFormat/>
    <w:uiPriority w:val="0"/>
    <w:pPr>
      <w:keepNext/>
      <w:keepLines/>
      <w:spacing w:line="440" w:lineRule="exact"/>
      <w:jc w:val="center"/>
      <w:outlineLvl w:val="0"/>
    </w:pPr>
    <w:rPr>
      <w:b/>
      <w:bCs/>
      <w:kern w:val="44"/>
      <w:sz w:val="44"/>
      <w:szCs w:val="44"/>
    </w:rPr>
  </w:style>
  <w:style w:type="paragraph" w:styleId="3">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4"/>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0"/>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7"/>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toc 1"/>
    <w:basedOn w:val="1"/>
    <w:next w:val="1"/>
    <w:qFormat/>
    <w:uiPriority w:val="39"/>
    <w:pPr>
      <w:jc w:val="left"/>
    </w:pPr>
    <w:rPr>
      <w:b/>
      <w:bCs/>
      <w:caps/>
      <w:sz w:val="20"/>
      <w:szCs w:val="20"/>
    </w:rPr>
  </w:style>
  <w:style w:type="paragraph" w:styleId="17">
    <w:name w:val="List"/>
    <w:basedOn w:val="1"/>
    <w:qFormat/>
    <w:uiPriority w:val="0"/>
    <w:pPr>
      <w:ind w:left="420" w:hanging="420"/>
    </w:pPr>
  </w:style>
  <w:style w:type="paragraph" w:styleId="18">
    <w:name w:val="Document Map"/>
    <w:basedOn w:val="1"/>
    <w:qFormat/>
    <w:uiPriority w:val="0"/>
    <w:pPr>
      <w:shd w:val="clear" w:color="auto" w:fill="000080"/>
    </w:pPr>
  </w:style>
  <w:style w:type="paragraph" w:styleId="19">
    <w:name w:val="annotation text"/>
    <w:basedOn w:val="1"/>
    <w:link w:val="113"/>
    <w:qFormat/>
    <w:uiPriority w:val="0"/>
    <w:pPr>
      <w:jc w:val="left"/>
    </w:pPr>
  </w:style>
  <w:style w:type="paragraph" w:styleId="20">
    <w:name w:val="Body Text 3"/>
    <w:basedOn w:val="1"/>
    <w:qFormat/>
    <w:uiPriority w:val="0"/>
    <w:rPr>
      <w:rFonts w:ascii="宋体"/>
      <w:sz w:val="24"/>
      <w:szCs w:val="20"/>
    </w:rPr>
  </w:style>
  <w:style w:type="paragraph" w:styleId="21">
    <w:name w:val="Body Text"/>
    <w:basedOn w:val="1"/>
    <w:next w:val="22"/>
    <w:link w:val="143"/>
    <w:qFormat/>
    <w:uiPriority w:val="0"/>
  </w:style>
  <w:style w:type="paragraph" w:customStyle="1" w:styleId="2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23">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4">
    <w:name w:val="toc 5"/>
    <w:basedOn w:val="1"/>
    <w:next w:val="1"/>
    <w:qFormat/>
    <w:uiPriority w:val="39"/>
    <w:pPr>
      <w:ind w:left="840"/>
      <w:jc w:val="left"/>
    </w:pPr>
    <w:rPr>
      <w:sz w:val="18"/>
      <w:szCs w:val="18"/>
    </w:rPr>
  </w:style>
  <w:style w:type="paragraph" w:styleId="25">
    <w:name w:val="toc 3"/>
    <w:basedOn w:val="1"/>
    <w:next w:val="1"/>
    <w:qFormat/>
    <w:uiPriority w:val="39"/>
    <w:pPr>
      <w:ind w:left="420"/>
      <w:jc w:val="left"/>
    </w:pPr>
    <w:rPr>
      <w:i/>
      <w:iCs/>
      <w:sz w:val="20"/>
      <w:szCs w:val="20"/>
    </w:rPr>
  </w:style>
  <w:style w:type="paragraph" w:styleId="26">
    <w:name w:val="Plain Text"/>
    <w:basedOn w:val="1"/>
    <w:next w:val="1"/>
    <w:link w:val="137"/>
    <w:qFormat/>
    <w:uiPriority w:val="0"/>
    <w:rPr>
      <w:rFonts w:ascii="Courier New" w:hAnsi="Courier New"/>
      <w:szCs w:val="20"/>
    </w:rPr>
  </w:style>
  <w:style w:type="paragraph" w:styleId="27">
    <w:name w:val="toc 8"/>
    <w:basedOn w:val="1"/>
    <w:next w:val="1"/>
    <w:qFormat/>
    <w:uiPriority w:val="39"/>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line="360" w:lineRule="exact"/>
      <w:ind w:firstLine="600" w:firstLineChars="250"/>
      <w:jc w:val="left"/>
    </w:pPr>
    <w:rPr>
      <w:sz w:val="24"/>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4"/>
    <w:basedOn w:val="1"/>
    <w:next w:val="1"/>
    <w:qFormat/>
    <w:uiPriority w:val="39"/>
    <w:pPr>
      <w:ind w:left="630"/>
      <w:jc w:val="left"/>
    </w:pPr>
    <w:rPr>
      <w:sz w:val="18"/>
      <w:szCs w:val="18"/>
    </w:r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9"/>
    <w:next w:val="19"/>
    <w:qFormat/>
    <w:uiPriority w:val="0"/>
    <w:rPr>
      <w:b/>
      <w:bCs/>
    </w:rPr>
  </w:style>
  <w:style w:type="paragraph" w:styleId="46">
    <w:name w:val="Body Text First Indent"/>
    <w:basedOn w:val="21"/>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正文文字 8"/>
    <w:basedOn w:val="1"/>
    <w:next w:val="1"/>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4"/>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2"/>
    <w:qFormat/>
    <w:uiPriority w:val="0"/>
    <w:pPr>
      <w:jc w:val="left"/>
    </w:pPr>
    <w:rPr>
      <w:rFonts w:ascii="黑体" w:hAnsi="黑体" w:eastAsia="黑体"/>
      <w:sz w:val="21"/>
    </w:rPr>
  </w:style>
  <w:style w:type="paragraph" w:customStyle="1" w:styleId="78">
    <w:name w:val="样式4"/>
    <w:basedOn w:val="4"/>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3">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4"/>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4"/>
    <w:qFormat/>
    <w:uiPriority w:val="0"/>
    <w:rPr>
      <w:rFonts w:eastAsia="Arial"/>
    </w:rPr>
  </w:style>
  <w:style w:type="paragraph" w:customStyle="1" w:styleId="96">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9"/>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9"/>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9"/>
    <w:qFormat/>
    <w:uiPriority w:val="0"/>
  </w:style>
  <w:style w:type="character" w:customStyle="1" w:styleId="111">
    <w:name w:val="img4"/>
    <w:basedOn w:val="49"/>
    <w:qFormat/>
    <w:uiPriority w:val="0"/>
  </w:style>
  <w:style w:type="character" w:customStyle="1" w:styleId="112">
    <w:name w:val="tit11"/>
    <w:qFormat/>
    <w:uiPriority w:val="0"/>
    <w:rPr>
      <w:color w:val="B60000"/>
    </w:rPr>
  </w:style>
  <w:style w:type="character" w:customStyle="1" w:styleId="113">
    <w:name w:val="批注文字 Char"/>
    <w:link w:val="19"/>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2"/>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9"/>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2"/>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9"/>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6"/>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9"/>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9"/>
    <w:qFormat/>
    <w:uiPriority w:val="0"/>
  </w:style>
  <w:style w:type="character" w:customStyle="1" w:styleId="136">
    <w:name w:val="txt"/>
    <w:qFormat/>
    <w:uiPriority w:val="0"/>
    <w:rPr>
      <w:color w:val="C0C0C0"/>
    </w:rPr>
  </w:style>
  <w:style w:type="character" w:customStyle="1" w:styleId="137">
    <w:name w:val="纯文本 Char2"/>
    <w:link w:val="26"/>
    <w:qFormat/>
    <w:uiPriority w:val="0"/>
    <w:rPr>
      <w:rFonts w:ascii="Courier New" w:hAnsi="Courier New" w:eastAsia="宋体"/>
      <w:kern w:val="2"/>
      <w:sz w:val="21"/>
      <w:lang w:val="en-US" w:eastAsia="zh-CN" w:bidi="ar-SA"/>
    </w:rPr>
  </w:style>
  <w:style w:type="character" w:customStyle="1" w:styleId="138">
    <w:name w:val="jg"/>
    <w:basedOn w:val="49"/>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9"/>
    <w:qFormat/>
    <w:uiPriority w:val="0"/>
  </w:style>
  <w:style w:type="character" w:customStyle="1" w:styleId="141">
    <w:name w:val="job1"/>
    <w:basedOn w:val="49"/>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1"/>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4"/>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3"/>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 w:type="character" w:customStyle="1" w:styleId="215">
    <w:name w:val="BWTON_重点字符"/>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15795</Words>
  <Characters>16722</Characters>
  <Lines>411</Lines>
  <Paragraphs>115</Paragraphs>
  <TotalTime>213</TotalTime>
  <ScaleCrop>false</ScaleCrop>
  <LinksUpToDate>false</LinksUpToDate>
  <CharactersWithSpaces>17778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2026-05-15T03:40:00Z</cp:lastPrinted>
  <dcterms:modified xsi:type="dcterms:W3CDTF">2026-05-15T07:26:09Z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0D1F7A13CD574BBC8AB27A25BF14EE47_13</vt:lpwstr>
  </property>
  <property fmtid="{D5CDD505-2E9C-101B-9397-08002B2CF9AE}" pid="4" name="KSOTemplateDocerSaveRecord">
    <vt:lpwstr>eyJoZGlkIjoiMTljMDcwYWJmYjExZWQzNTVmZDAzZTYwM2JlMzJmZDYiLCJ1c2VySWQiOiIzODU2Mzk2OTQifQ==</vt:lpwstr>
  </property>
</Properties>
</file>