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0D682">
      <w:pPr>
        <w:jc w:val="center"/>
        <w:rPr>
          <w:rFonts w:ascii="宋体" w:hAnsi="宋体" w:cs="宋体"/>
          <w:b/>
          <w:color w:val="auto"/>
          <w:kern w:val="0"/>
          <w:sz w:val="44"/>
          <w:szCs w:val="44"/>
          <w:highlight w:val="none"/>
        </w:rPr>
      </w:pPr>
      <w:bookmarkStart w:id="0" w:name="_Toc247085669"/>
      <w:bookmarkStart w:id="1" w:name="_Toc324404811"/>
      <w:bookmarkStart w:id="2" w:name="_Toc506107265"/>
      <w:bookmarkStart w:id="3" w:name="_Toc15058843"/>
      <w:bookmarkStart w:id="4" w:name="_Toc461631222"/>
      <w:bookmarkStart w:id="5" w:name="_Toc296602400"/>
      <w:bookmarkStart w:id="6" w:name="_Toc246996898"/>
      <w:bookmarkStart w:id="7" w:name="OLE_LINK5"/>
      <w:bookmarkStart w:id="8" w:name="OLE_LINK1"/>
      <w:bookmarkStart w:id="9" w:name="OLE_LINK3"/>
      <w:bookmarkStart w:id="10" w:name="OLE_LINK4"/>
      <w:bookmarkStart w:id="11" w:name="OLE_LINK2"/>
    </w:p>
    <w:p w14:paraId="47DD7C31">
      <w:pPr>
        <w:pStyle w:val="2"/>
        <w:ind w:firstLine="420"/>
        <w:rPr>
          <w:color w:val="auto"/>
          <w:highlight w:val="none"/>
        </w:rPr>
      </w:pPr>
    </w:p>
    <w:p w14:paraId="665D6013">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扬子集团849号园区西北侧厂房维修项目</w:t>
      </w:r>
    </w:p>
    <w:p w14:paraId="0076B829">
      <w:pPr>
        <w:pStyle w:val="2"/>
        <w:rPr>
          <w:color w:val="auto"/>
          <w:highlight w:val="none"/>
        </w:rPr>
      </w:pPr>
    </w:p>
    <w:p w14:paraId="2A3630CA">
      <w:pPr>
        <w:jc w:val="center"/>
        <w:rPr>
          <w:rFonts w:hint="eastAsia" w:ascii="宋体" w:hAnsi="宋体"/>
          <w:b/>
          <w:bCs/>
          <w:color w:val="auto"/>
          <w:sz w:val="96"/>
          <w:szCs w:val="96"/>
          <w:highlight w:val="none"/>
        </w:rPr>
      </w:pPr>
    </w:p>
    <w:p w14:paraId="6038C885">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48D08BA2">
      <w:pPr>
        <w:spacing w:line="400" w:lineRule="exact"/>
        <w:jc w:val="center"/>
        <w:rPr>
          <w:rFonts w:ascii="宋体" w:hAnsi="宋体"/>
          <w:b/>
          <w:color w:val="auto"/>
          <w:sz w:val="39"/>
          <w:highlight w:val="none"/>
        </w:rPr>
      </w:pPr>
    </w:p>
    <w:p w14:paraId="580DF33E">
      <w:pPr>
        <w:spacing w:line="400" w:lineRule="exact"/>
        <w:rPr>
          <w:color w:val="auto"/>
          <w:highlight w:val="none"/>
        </w:rPr>
      </w:pPr>
    </w:p>
    <w:p w14:paraId="17F6ED0D">
      <w:pPr>
        <w:rPr>
          <w:color w:val="auto"/>
          <w:highlight w:val="none"/>
        </w:rPr>
      </w:pPr>
    </w:p>
    <w:p w14:paraId="0FDB5A08">
      <w:pPr>
        <w:pStyle w:val="2"/>
        <w:rPr>
          <w:color w:val="auto"/>
          <w:highlight w:val="none"/>
        </w:rPr>
      </w:pPr>
    </w:p>
    <w:p w14:paraId="7DF49CF7">
      <w:pPr>
        <w:jc w:val="center"/>
        <w:rPr>
          <w:rFonts w:hint="eastAsia" w:ascii="宋体" w:hAnsi="宋体" w:eastAsia="宋体" w:cs="宋体"/>
          <w:color w:val="auto"/>
          <w:highlight w:val="none"/>
        </w:rPr>
      </w:pPr>
      <w:r>
        <w:rPr>
          <w:rFonts w:hint="eastAsia" w:ascii="宋体" w:hAnsi="宋体" w:eastAsia="宋体" w:cs="宋体"/>
          <w:color w:val="auto"/>
          <w:highlight w:val="none"/>
        </w:rPr>
        <w:t>项目编号：HXJY1110001052254001</w:t>
      </w:r>
    </w:p>
    <w:p w14:paraId="79E5B4C1">
      <w:pPr>
        <w:rPr>
          <w:color w:val="auto"/>
          <w:highlight w:val="none"/>
        </w:rPr>
      </w:pPr>
    </w:p>
    <w:p w14:paraId="4E3D3D10">
      <w:pPr>
        <w:pStyle w:val="2"/>
        <w:rPr>
          <w:color w:val="auto"/>
          <w:highlight w:val="none"/>
        </w:rPr>
      </w:pPr>
    </w:p>
    <w:p w14:paraId="041A5E3F">
      <w:pPr>
        <w:rPr>
          <w:color w:val="auto"/>
          <w:highlight w:val="none"/>
        </w:rPr>
      </w:pPr>
    </w:p>
    <w:p w14:paraId="20C61F2E">
      <w:pPr>
        <w:pStyle w:val="2"/>
        <w:rPr>
          <w:color w:val="auto"/>
          <w:highlight w:val="none"/>
        </w:rPr>
      </w:pPr>
    </w:p>
    <w:p w14:paraId="5043FF4A">
      <w:pPr>
        <w:rPr>
          <w:color w:val="auto"/>
          <w:highlight w:val="none"/>
        </w:rPr>
      </w:pPr>
    </w:p>
    <w:p w14:paraId="2E5D9C52">
      <w:pPr>
        <w:pStyle w:val="2"/>
        <w:rPr>
          <w:color w:val="auto"/>
          <w:highlight w:val="none"/>
        </w:rPr>
      </w:pPr>
    </w:p>
    <w:p w14:paraId="20BE6CE3">
      <w:pPr>
        <w:spacing w:line="720" w:lineRule="exact"/>
        <w:rPr>
          <w:b/>
          <w:bCs/>
          <w:color w:val="auto"/>
          <w:sz w:val="28"/>
          <w:szCs w:val="28"/>
          <w:highlight w:val="none"/>
        </w:rPr>
      </w:pPr>
    </w:p>
    <w:p w14:paraId="5AE089C7">
      <w:pPr>
        <w:spacing w:before="156" w:beforeLines="50" w:after="156" w:afterLines="50" w:line="700" w:lineRule="exact"/>
        <w:jc w:val="center"/>
        <w:outlineLvl w:val="9"/>
        <w:rPr>
          <w:rFonts w:hint="eastAsia" w:ascii="宋体"/>
          <w:b/>
          <w:color w:val="auto"/>
          <w:sz w:val="32"/>
          <w:szCs w:val="32"/>
          <w:highlight w:val="none"/>
        </w:rPr>
      </w:pPr>
      <w:bookmarkStart w:id="12" w:name="_Toc25057"/>
      <w:bookmarkStart w:id="13" w:name="_Toc32059"/>
      <w:bookmarkStart w:id="14" w:name="_Toc22225"/>
      <w:bookmarkStart w:id="15" w:name="_Toc20499"/>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中国扬子集团有限公司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14:paraId="17DEC311">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14:paraId="41DC6623">
      <w:pPr>
        <w:spacing w:before="156" w:beforeLines="50" w:after="156" w:afterLines="50" w:line="700" w:lineRule="exact"/>
        <w:jc w:val="center"/>
        <w:rPr>
          <w:rFonts w:hint="eastAsia" w:eastAsia="宋体"/>
          <w:color w:val="auto"/>
          <w:highlight w:val="none"/>
          <w:lang w:eastAsia="zh-CN"/>
        </w:rPr>
      </w:pP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 xml:space="preserve">6 </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 xml:space="preserve"> 3 </w:t>
      </w:r>
      <w:r>
        <w:rPr>
          <w:rFonts w:hint="eastAsia" w:ascii="宋体"/>
          <w:b/>
          <w:color w:val="auto"/>
          <w:sz w:val="32"/>
          <w:szCs w:val="32"/>
          <w:highlight w:val="none"/>
        </w:rPr>
        <w:t>月</w:t>
      </w:r>
    </w:p>
    <w:p w14:paraId="197AFAF4">
      <w:pPr>
        <w:rPr>
          <w:rFonts w:hint="eastAsia"/>
          <w:color w:val="auto"/>
          <w:sz w:val="44"/>
          <w:szCs w:val="44"/>
          <w:highlight w:val="none"/>
        </w:rPr>
      </w:pPr>
      <w:r>
        <w:rPr>
          <w:rFonts w:hint="eastAsia"/>
          <w:color w:val="auto"/>
          <w:sz w:val="44"/>
          <w:szCs w:val="44"/>
          <w:highlight w:val="none"/>
        </w:rPr>
        <w:br w:type="page"/>
      </w:r>
    </w:p>
    <w:p w14:paraId="36FA5A3F">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79632527"/>
      <w:bookmarkStart w:id="17" w:name="_Toc152045511"/>
      <w:bookmarkStart w:id="18" w:name="_Toc152042287"/>
      <w:bookmarkStart w:id="19" w:name="_Toc144974479"/>
    </w:p>
    <w:p w14:paraId="49DA90A4">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_Toc7325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cs="宋体"/>
          <w:b w:val="0"/>
          <w:bCs w:val="0"/>
          <w:color w:val="auto"/>
          <w:sz w:val="28"/>
          <w:szCs w:val="28"/>
          <w:highlight w:val="none"/>
          <w:lang w:eastAsia="zh-CN"/>
        </w:rPr>
        <w:t>扬子集团849号园区西北侧厂房维修项目</w:t>
      </w:r>
      <w:r>
        <w:rPr>
          <w:rFonts w:hint="eastAsia" w:ascii="宋体" w:hAnsi="宋体" w:eastAsia="宋体" w:cs="宋体"/>
          <w:b w:val="0"/>
          <w:bCs w:val="0"/>
          <w:color w:val="auto"/>
          <w:sz w:val="28"/>
          <w:szCs w:val="28"/>
          <w:highlight w:val="none"/>
        </w:rPr>
        <w:t>招标公告信息</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_Toc7325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08D794D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_Toc8980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第一章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_Toc8980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7F38CCA0">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_Toc10676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第二章  资格审查办法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_Toc10676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84F40EE">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_Toc30518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 xml:space="preserve">第三章 </w:t>
      </w:r>
      <w:r>
        <w:rPr>
          <w:rFonts w:hint="eastAsia" w:ascii="宋体" w:hAnsi="宋体" w:eastAsia="宋体" w:cs="宋体"/>
          <w:b w:val="0"/>
          <w:bCs w:val="0"/>
          <w:color w:val="auto"/>
          <w:kern w:val="0"/>
          <w:sz w:val="28"/>
          <w:szCs w:val="28"/>
          <w:highlight w:val="none"/>
          <w:lang w:val="en-US" w:eastAsia="zh-CN"/>
        </w:rPr>
        <w:t xml:space="preserve"> </w:t>
      </w:r>
      <w:r>
        <w:rPr>
          <w:rFonts w:hint="eastAsia" w:ascii="宋体" w:hAnsi="宋体" w:eastAsia="宋体" w:cs="宋体"/>
          <w:b w:val="0"/>
          <w:bCs w:val="0"/>
          <w:color w:val="auto"/>
          <w:kern w:val="0"/>
          <w:sz w:val="28"/>
          <w:szCs w:val="28"/>
          <w:highlight w:val="none"/>
        </w:rPr>
        <w:t>评标办法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_Toc30518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1073C666">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_Toc7231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rPr>
        <w:t>第</w:t>
      </w:r>
      <w:r>
        <w:rPr>
          <w:rFonts w:hint="eastAsia" w:ascii="宋体" w:hAnsi="宋体" w:eastAsia="宋体" w:cs="宋体"/>
          <w:b w:val="0"/>
          <w:bCs w:val="0"/>
          <w:color w:val="auto"/>
          <w:kern w:val="0"/>
          <w:sz w:val="28"/>
          <w:szCs w:val="28"/>
          <w:highlight w:val="none"/>
          <w:lang w:val="en-US" w:eastAsia="zh-CN"/>
        </w:rPr>
        <w:t>四</w:t>
      </w:r>
      <w:r>
        <w:rPr>
          <w:rFonts w:hint="eastAsia" w:ascii="宋体" w:hAnsi="宋体" w:eastAsia="宋体" w:cs="宋体"/>
          <w:b w:val="0"/>
          <w:bCs w:val="0"/>
          <w:color w:val="auto"/>
          <w:kern w:val="0"/>
          <w:sz w:val="28"/>
          <w:szCs w:val="28"/>
          <w:highlight w:val="none"/>
        </w:rPr>
        <w:t>章  合同条款及格式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_Toc7231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B97C67C">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_Toc23990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第五章</w:t>
      </w:r>
      <w:r>
        <w:rPr>
          <w:rFonts w:hint="eastAsia" w:ascii="宋体" w:hAnsi="宋体" w:eastAsia="宋体" w:cs="宋体"/>
          <w:b w:val="0"/>
          <w:bCs w:val="0"/>
          <w:color w:val="auto"/>
          <w:sz w:val="28"/>
          <w:szCs w:val="28"/>
          <w:highlight w:val="none"/>
        </w:rPr>
        <w:t xml:space="preserve">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工程量清单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_Toc23990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F034AD5">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_Toc10023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kern w:val="0"/>
          <w:sz w:val="28"/>
          <w:szCs w:val="28"/>
          <w:highlight w:val="none"/>
          <w:lang w:val="en-US" w:eastAsia="zh-CN" w:bidi="ar-SA"/>
        </w:rPr>
        <w:t xml:space="preserve">第六章  </w:t>
      </w:r>
      <w:r>
        <w:rPr>
          <w:rFonts w:hint="eastAsia" w:ascii="宋体" w:hAnsi="宋体" w:eastAsia="宋体" w:cs="宋体"/>
          <w:b w:val="0"/>
          <w:bCs w:val="0"/>
          <w:color w:val="auto"/>
          <w:sz w:val="28"/>
          <w:szCs w:val="28"/>
          <w:highlight w:val="none"/>
          <w:lang w:val="en-US" w:eastAsia="zh-CN"/>
        </w:rPr>
        <w:t>图纸</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_Toc10023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57</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3706272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_Toc24902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第七章  技术标准和要求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_Toc24902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62423F08">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_Toc5279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八</w:t>
      </w:r>
      <w:r>
        <w:rPr>
          <w:rFonts w:hint="eastAsia" w:ascii="宋体" w:hAnsi="宋体" w:eastAsia="宋体" w:cs="宋体"/>
          <w:b w:val="0"/>
          <w:bCs w:val="0"/>
          <w:color w:val="auto"/>
          <w:sz w:val="28"/>
          <w:szCs w:val="28"/>
          <w:highlight w:val="none"/>
        </w:rPr>
        <w:t>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_Toc5279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5DA7EE6D">
      <w:pPr>
        <w:pStyle w:val="32"/>
        <w:tabs>
          <w:tab w:val="right" w:leader="dot" w:pos="9072"/>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 HYPERLINK \l _Toc8955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九</w:t>
      </w:r>
      <w:r>
        <w:rPr>
          <w:rFonts w:hint="eastAsia" w:ascii="宋体" w:hAnsi="宋体" w:eastAsia="宋体" w:cs="宋体"/>
          <w:b w:val="0"/>
          <w:bCs w:val="0"/>
          <w:color w:val="auto"/>
          <w:sz w:val="28"/>
          <w:szCs w:val="28"/>
          <w:highlight w:val="none"/>
        </w:rPr>
        <w:t>章  招标单位、招标代理机构对本招标文件的确认</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_Toc8955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68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aps w:val="0"/>
          <w:color w:val="auto"/>
          <w:sz w:val="28"/>
          <w:szCs w:val="28"/>
          <w:highlight w:val="none"/>
          <w:lang w:val="en-US" w:eastAsia="zh-CN"/>
        </w:rPr>
        <w:fldChar w:fldCharType="end"/>
      </w:r>
    </w:p>
    <w:p w14:paraId="42668408">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14:paraId="0DCA3C39">
      <w:pPr>
        <w:pStyle w:val="2"/>
        <w:spacing w:line="700" w:lineRule="exact"/>
        <w:ind w:left="0" w:leftChars="0" w:firstLine="480"/>
        <w:jc w:val="left"/>
        <w:rPr>
          <w:color w:val="auto"/>
          <w:sz w:val="24"/>
          <w:szCs w:val="24"/>
          <w:highlight w:val="none"/>
        </w:rPr>
      </w:pPr>
    </w:p>
    <w:p w14:paraId="6AA5C02C">
      <w:pPr>
        <w:pStyle w:val="43"/>
        <w:spacing w:line="700" w:lineRule="exact"/>
        <w:jc w:val="left"/>
        <w:rPr>
          <w:color w:val="auto"/>
          <w:sz w:val="24"/>
          <w:szCs w:val="24"/>
          <w:highlight w:val="none"/>
        </w:rPr>
        <w:sectPr>
          <w:headerReference r:id="rId3" w:type="default"/>
          <w:footerReference r:id="rId4"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14:paraId="3AD31285">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12261"/>
      <w:bookmarkStart w:id="21" w:name="_Toc7325"/>
      <w:bookmarkStart w:id="22" w:name="_Toc78803320"/>
      <w:bookmarkStart w:id="23" w:name="_Toc21980"/>
      <w:bookmarkStart w:id="24" w:name="_Toc246996916"/>
      <w:bookmarkStart w:id="25" w:name="_Toc506107267"/>
      <w:bookmarkStart w:id="26" w:name="_Toc152042303"/>
      <w:bookmarkStart w:id="27" w:name="_Toc247085687"/>
      <w:bookmarkStart w:id="28" w:name="_Toc179632544"/>
      <w:bookmarkStart w:id="29" w:name="_Toc15058844"/>
      <w:bookmarkStart w:id="30" w:name="_Toc324404813"/>
      <w:bookmarkStart w:id="31" w:name="_Toc144974495"/>
      <w:bookmarkStart w:id="32" w:name="_Toc35425050"/>
      <w:bookmarkStart w:id="33" w:name="_Toc152045527"/>
      <w:bookmarkStart w:id="34" w:name="_Toc246996173"/>
      <w:bookmarkStart w:id="35" w:name="_Toc35424883"/>
      <w:r>
        <w:rPr>
          <w:rFonts w:hint="eastAsia"/>
          <w:bCs/>
          <w:color w:val="auto"/>
          <w:szCs w:val="32"/>
          <w:highlight w:val="none"/>
          <w:lang w:eastAsia="zh-CN"/>
        </w:rPr>
        <w:t>扬子集团849号园区西北侧厂房维修项目</w:t>
      </w:r>
      <w:r>
        <w:rPr>
          <w:rFonts w:hint="eastAsia"/>
          <w:bCs/>
          <w:color w:val="auto"/>
          <w:szCs w:val="32"/>
          <w:highlight w:val="none"/>
        </w:rPr>
        <w:t>招标公告信息</w:t>
      </w:r>
      <w:bookmarkEnd w:id="20"/>
      <w:bookmarkEnd w:id="21"/>
      <w:bookmarkEnd w:id="22"/>
      <w:bookmarkEnd w:id="23"/>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500"/>
        <w:gridCol w:w="2606"/>
        <w:gridCol w:w="2916"/>
      </w:tblGrid>
      <w:tr w14:paraId="2F91C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72FD2AA">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rPr>
            </w:pPr>
            <w:bookmarkStart w:id="36" w:name="_Toc78803321"/>
            <w:r>
              <w:rPr>
                <w:rFonts w:hint="eastAsia" w:ascii="宋体" w:hAnsi="宋体" w:eastAsia="宋体" w:cs="宋体"/>
                <w:bCs/>
                <w:color w:val="auto"/>
                <w:kern w:val="1"/>
                <w:sz w:val="21"/>
                <w:szCs w:val="21"/>
                <w:highlight w:val="none"/>
                <w:lang w:val="en-US" w:eastAsia="zh-CN" w:bidi="ar"/>
              </w:rPr>
              <w:t>招标项目名称</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B13F094">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扬子集团849号园区西北侧厂房维修项目</w:t>
            </w:r>
          </w:p>
        </w:tc>
      </w:tr>
      <w:tr w14:paraId="21749C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352BDCD">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color w:val="auto"/>
                <w:kern w:val="1"/>
                <w:sz w:val="21"/>
                <w:szCs w:val="21"/>
                <w:highlight w:val="none"/>
                <w:lang w:val="en-US" w:eastAsia="zh-CN" w:bidi="ar"/>
              </w:rPr>
            </w:pPr>
            <w:r>
              <w:rPr>
                <w:rFonts w:hint="eastAsia" w:ascii="宋体" w:hAnsi="宋体" w:eastAsia="宋体" w:cs="宋体"/>
                <w:bCs/>
                <w:color w:val="auto"/>
                <w:kern w:val="1"/>
                <w:sz w:val="21"/>
                <w:szCs w:val="21"/>
                <w:highlight w:val="none"/>
                <w:lang w:val="en-US" w:eastAsia="zh-CN" w:bidi="ar"/>
              </w:rPr>
              <w:t>项目编号</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4DDBD3F">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HXJY1110001052254001</w:t>
            </w:r>
          </w:p>
        </w:tc>
      </w:tr>
      <w:tr w14:paraId="4AFEFB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729EF4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招标方式</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8B69534">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公开招标</w:t>
            </w:r>
          </w:p>
        </w:tc>
      </w:tr>
      <w:tr w14:paraId="3C10E1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656F938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是否为网上电</w:t>
            </w:r>
          </w:p>
          <w:p w14:paraId="2F93F383">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子招投标项目</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49F5D0A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是</w:t>
            </w:r>
          </w:p>
        </w:tc>
      </w:tr>
      <w:tr w14:paraId="28AA6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D5ABAE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投标资质要求</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06FE317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投标人要求：须具备建设行政主管部门颁发的</w:t>
            </w:r>
            <w:r>
              <w:rPr>
                <w:rFonts w:hint="eastAsia" w:ascii="宋体" w:hAnsi="宋体" w:cs="宋体"/>
                <w:bCs/>
                <w:color w:val="auto"/>
                <w:kern w:val="0"/>
                <w:sz w:val="21"/>
                <w:szCs w:val="21"/>
                <w:highlight w:val="none"/>
                <w:lang w:val="en-US" w:eastAsia="zh-CN" w:bidi="ar"/>
              </w:rPr>
              <w:t>钢结构</w:t>
            </w:r>
            <w:r>
              <w:rPr>
                <w:rFonts w:hint="eastAsia" w:ascii="宋体" w:hAnsi="宋体" w:eastAsia="宋体" w:cs="宋体"/>
                <w:bCs/>
                <w:color w:val="auto"/>
                <w:kern w:val="0"/>
                <w:sz w:val="21"/>
                <w:szCs w:val="21"/>
                <w:highlight w:val="none"/>
                <w:lang w:val="en-US" w:eastAsia="zh-CN" w:bidi="ar"/>
              </w:rPr>
              <w:t>工程</w:t>
            </w:r>
            <w:r>
              <w:rPr>
                <w:rFonts w:hint="eastAsia" w:ascii="宋体" w:hAnsi="宋体" w:cs="宋体"/>
                <w:bCs/>
                <w:color w:val="auto"/>
                <w:kern w:val="0"/>
                <w:sz w:val="21"/>
                <w:szCs w:val="21"/>
                <w:highlight w:val="none"/>
                <w:lang w:val="en-US" w:eastAsia="zh-CN" w:bidi="ar"/>
              </w:rPr>
              <w:t>专业</w:t>
            </w:r>
            <w:r>
              <w:rPr>
                <w:rFonts w:hint="eastAsia" w:ascii="宋体" w:hAnsi="宋体" w:eastAsia="宋体" w:cs="宋体"/>
                <w:bCs/>
                <w:color w:val="auto"/>
                <w:kern w:val="0"/>
                <w:sz w:val="21"/>
                <w:szCs w:val="21"/>
                <w:highlight w:val="none"/>
                <w:lang w:val="en-US" w:eastAsia="zh-CN" w:bidi="ar"/>
              </w:rPr>
              <w:t>承包叁级（或以上）资质</w:t>
            </w:r>
            <w:r>
              <w:rPr>
                <w:rFonts w:hint="eastAsia" w:ascii="宋体" w:hAnsi="宋体" w:cs="宋体"/>
                <w:bCs/>
                <w:color w:val="auto"/>
                <w:kern w:val="0"/>
                <w:sz w:val="21"/>
                <w:szCs w:val="21"/>
                <w:highlight w:val="none"/>
                <w:lang w:val="en-US" w:eastAsia="zh-CN" w:bidi="ar"/>
              </w:rPr>
              <w:t>，且具有有效的企业安全生产许可证</w:t>
            </w:r>
            <w:r>
              <w:rPr>
                <w:rFonts w:hint="eastAsia" w:ascii="宋体" w:hAnsi="宋体" w:eastAsia="宋体" w:cs="宋体"/>
                <w:bCs/>
                <w:color w:val="auto"/>
                <w:kern w:val="0"/>
                <w:sz w:val="21"/>
                <w:szCs w:val="21"/>
                <w:highlight w:val="none"/>
                <w:lang w:val="en-US" w:eastAsia="zh-CN" w:bidi="ar"/>
              </w:rPr>
              <w:t>。</w:t>
            </w:r>
          </w:p>
        </w:tc>
      </w:tr>
      <w:tr w14:paraId="534545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26B1051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是否接受联合体投标</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11907A21">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不接受</w:t>
            </w:r>
          </w:p>
        </w:tc>
      </w:tr>
      <w:tr w14:paraId="3AC4AB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1C26438">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招标项目规模</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EB799CB">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估算价约</w:t>
            </w:r>
            <w:r>
              <w:rPr>
                <w:rFonts w:hint="eastAsia" w:ascii="宋体" w:hAnsi="宋体" w:cs="宋体"/>
                <w:color w:val="auto"/>
                <w:kern w:val="0"/>
                <w:sz w:val="21"/>
                <w:szCs w:val="21"/>
                <w:highlight w:val="none"/>
                <w:lang w:val="en-US" w:eastAsia="zh-CN" w:bidi="ar"/>
              </w:rPr>
              <w:t>6万元</w:t>
            </w:r>
          </w:p>
        </w:tc>
      </w:tr>
      <w:tr w14:paraId="14A89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389FDFF9">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招标项目内容范围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D9B49A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工程量清单中的全部内容</w:t>
            </w:r>
          </w:p>
        </w:tc>
      </w:tr>
      <w:tr w14:paraId="7E648D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6DC676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招标公告发布时间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7FF89A53">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val="en-US" w:eastAsia="zh-CN" w:bidi="ar"/>
              </w:rPr>
              <w:t>日</w:t>
            </w:r>
          </w:p>
        </w:tc>
      </w:tr>
      <w:tr w14:paraId="3FD114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D44BE50">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递交投标文件的截止时间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EF2CC56">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12</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45FA8A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0E8533C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开标时间</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6B95FF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202</w:t>
            </w:r>
            <w:r>
              <w:rPr>
                <w:rFonts w:hint="eastAsia" w:ascii="宋体" w:hAnsi="宋体" w:cs="宋体"/>
                <w:b w:val="0"/>
                <w:bCs w:val="0"/>
                <w:color w:val="auto"/>
                <w:kern w:val="0"/>
                <w:sz w:val="21"/>
                <w:szCs w:val="21"/>
                <w:highlight w:val="none"/>
                <w:lang w:val="en-US" w:eastAsia="zh-CN" w:bidi="ar"/>
              </w:rPr>
              <w:t>6</w:t>
            </w:r>
            <w:r>
              <w:rPr>
                <w:rFonts w:hint="eastAsia" w:ascii="宋体" w:hAnsi="宋体" w:eastAsia="宋体" w:cs="宋体"/>
                <w:b w:val="0"/>
                <w:bCs w:val="0"/>
                <w:color w:val="auto"/>
                <w:kern w:val="0"/>
                <w:sz w:val="21"/>
                <w:szCs w:val="21"/>
                <w:highlight w:val="none"/>
                <w:lang w:val="en-US" w:eastAsia="zh-CN" w:bidi="ar"/>
              </w:rPr>
              <w:t>年</w:t>
            </w:r>
            <w:r>
              <w:rPr>
                <w:rFonts w:hint="eastAsia" w:ascii="宋体" w:hAnsi="宋体" w:cs="宋体"/>
                <w:b w:val="0"/>
                <w:bCs w:val="0"/>
                <w:color w:val="auto"/>
                <w:kern w:val="0"/>
                <w:sz w:val="21"/>
                <w:szCs w:val="21"/>
                <w:highlight w:val="none"/>
                <w:lang w:val="en-US" w:eastAsia="zh-CN" w:bidi="ar"/>
              </w:rPr>
              <w:t>3</w:t>
            </w:r>
            <w:r>
              <w:rPr>
                <w:rFonts w:hint="eastAsia" w:ascii="宋体" w:hAnsi="宋体" w:eastAsia="宋体" w:cs="宋体"/>
                <w:b w:val="0"/>
                <w:bCs w:val="0"/>
                <w:color w:val="auto"/>
                <w:kern w:val="0"/>
                <w:sz w:val="21"/>
                <w:szCs w:val="21"/>
                <w:highlight w:val="none"/>
                <w:lang w:val="en-US" w:eastAsia="zh-CN" w:bidi="ar"/>
              </w:rPr>
              <w:t>月</w:t>
            </w:r>
            <w:r>
              <w:rPr>
                <w:rFonts w:hint="eastAsia" w:ascii="宋体" w:hAnsi="宋体" w:cs="宋体"/>
                <w:b w:val="0"/>
                <w:bCs w:val="0"/>
                <w:color w:val="auto"/>
                <w:kern w:val="0"/>
                <w:sz w:val="21"/>
                <w:szCs w:val="21"/>
                <w:highlight w:val="none"/>
                <w:lang w:val="en-US" w:eastAsia="zh-CN" w:bidi="ar"/>
              </w:rPr>
              <w:t>12</w:t>
            </w:r>
            <w:r>
              <w:rPr>
                <w:rFonts w:hint="eastAsia" w:ascii="宋体" w:hAnsi="宋体" w:eastAsia="宋体" w:cs="宋体"/>
                <w:b w:val="0"/>
                <w:bCs w:val="0"/>
                <w:color w:val="auto"/>
                <w:kern w:val="0"/>
                <w:sz w:val="21"/>
                <w:szCs w:val="21"/>
                <w:highlight w:val="none"/>
                <w:lang w:val="en-US" w:eastAsia="zh-CN" w:bidi="ar"/>
              </w:rPr>
              <w:t>日</w:t>
            </w:r>
            <w:r>
              <w:rPr>
                <w:rFonts w:hint="eastAsia" w:ascii="宋体" w:hAnsi="宋体" w:cs="宋体"/>
                <w:b w:val="0"/>
                <w:bCs w:val="0"/>
                <w:color w:val="auto"/>
                <w:kern w:val="0"/>
                <w:sz w:val="21"/>
                <w:szCs w:val="21"/>
                <w:highlight w:val="none"/>
                <w:lang w:val="en-US" w:eastAsia="zh-CN" w:bidi="ar"/>
              </w:rPr>
              <w:t>8</w:t>
            </w:r>
            <w:r>
              <w:rPr>
                <w:rFonts w:hint="eastAsia" w:ascii="宋体" w:hAnsi="宋体" w:eastAsia="宋体" w:cs="宋体"/>
                <w:b w:val="0"/>
                <w:bCs w:val="0"/>
                <w:color w:val="auto"/>
                <w:kern w:val="0"/>
                <w:sz w:val="21"/>
                <w:szCs w:val="21"/>
                <w:highlight w:val="none"/>
                <w:lang w:val="en-US" w:eastAsia="zh-CN" w:bidi="ar"/>
              </w:rPr>
              <w:t>时</w:t>
            </w:r>
            <w:r>
              <w:rPr>
                <w:rFonts w:hint="eastAsia" w:ascii="宋体" w:hAnsi="宋体" w:cs="宋体"/>
                <w:b w:val="0"/>
                <w:bCs w:val="0"/>
                <w:color w:val="auto"/>
                <w:kern w:val="0"/>
                <w:sz w:val="21"/>
                <w:szCs w:val="21"/>
                <w:highlight w:val="none"/>
                <w:lang w:val="en-US" w:eastAsia="zh-CN" w:bidi="ar"/>
              </w:rPr>
              <w:t>30分</w:t>
            </w:r>
            <w:r>
              <w:rPr>
                <w:rFonts w:hint="eastAsia" w:ascii="宋体" w:hAnsi="宋体" w:eastAsia="宋体" w:cs="宋体"/>
                <w:b w:val="0"/>
                <w:bCs w:val="0"/>
                <w:color w:val="auto"/>
                <w:kern w:val="0"/>
                <w:sz w:val="21"/>
                <w:szCs w:val="21"/>
                <w:highlight w:val="none"/>
                <w:lang w:val="en-US" w:eastAsia="zh-CN" w:bidi="ar"/>
              </w:rPr>
              <w:t>(北京时间)</w:t>
            </w:r>
          </w:p>
        </w:tc>
      </w:tr>
      <w:tr w14:paraId="7359A6F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EF4CEE2">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开标地点</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2ED85F84">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网上开标，投标人登录滁州市城投工程咨询</w:t>
            </w:r>
            <w:r>
              <w:rPr>
                <w:rFonts w:hint="eastAsia" w:ascii="宋体" w:hAnsi="宋体" w:cs="宋体"/>
                <w:b/>
                <w:bCs/>
                <w:color w:val="auto"/>
                <w:kern w:val="0"/>
                <w:sz w:val="21"/>
                <w:szCs w:val="21"/>
                <w:highlight w:val="none"/>
                <w:lang w:val="en-US" w:eastAsia="zh-CN"/>
              </w:rPr>
              <w:t>管理</w:t>
            </w:r>
            <w:r>
              <w:rPr>
                <w:rFonts w:hint="eastAsia" w:ascii="宋体" w:hAnsi="宋体" w:eastAsia="宋体" w:cs="宋体"/>
                <w:b/>
                <w:bCs/>
                <w:color w:val="auto"/>
                <w:kern w:val="0"/>
                <w:sz w:val="21"/>
                <w:szCs w:val="21"/>
                <w:highlight w:val="none"/>
              </w:rPr>
              <w:t>有限公司不见面开标系统参与网上开标（网址：http://js.etrading.cn/EpointBidOpening/bidopeninghallaction/hall/login）</w:t>
            </w:r>
          </w:p>
        </w:tc>
      </w:tr>
      <w:tr w14:paraId="2FF84D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4C24CCA1">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招标文件售价</w:t>
            </w:r>
          </w:p>
        </w:tc>
        <w:tc>
          <w:tcPr>
            <w:tcW w:w="8022"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601677A5">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0元</w:t>
            </w:r>
          </w:p>
        </w:tc>
      </w:tr>
      <w:tr w14:paraId="7ED012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0637FE1A">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信  息  内  容</w:t>
            </w:r>
          </w:p>
        </w:tc>
      </w:tr>
      <w:tr w14:paraId="59DD9AB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3E91C43D">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工程概况</w:t>
            </w:r>
          </w:p>
        </w:tc>
        <w:tc>
          <w:tcPr>
            <w:tcW w:w="807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0B61784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
              </w:rPr>
              <w:t>本工程</w:t>
            </w:r>
            <w:r>
              <w:rPr>
                <w:rFonts w:hint="eastAsia" w:ascii="宋体" w:hAnsi="宋体" w:cs="宋体"/>
                <w:bCs/>
                <w:color w:val="auto"/>
                <w:kern w:val="0"/>
                <w:sz w:val="21"/>
                <w:szCs w:val="21"/>
                <w:highlight w:val="none"/>
                <w:lang w:val="en-US" w:eastAsia="zh-CN" w:bidi="ar"/>
              </w:rPr>
              <w:t>实施</w:t>
            </w:r>
            <w:r>
              <w:rPr>
                <w:rFonts w:hint="eastAsia" w:ascii="宋体" w:hAnsi="宋体" w:eastAsia="宋体" w:cs="宋体"/>
                <w:bCs/>
                <w:color w:val="auto"/>
                <w:kern w:val="0"/>
                <w:sz w:val="21"/>
                <w:szCs w:val="21"/>
                <w:highlight w:val="none"/>
                <w:lang w:val="en-US" w:eastAsia="zh-CN" w:bidi="ar"/>
              </w:rPr>
              <w:t>内容包括</w:t>
            </w:r>
            <w:r>
              <w:rPr>
                <w:rFonts w:hint="eastAsia" w:ascii="宋体" w:hAnsi="宋体" w:cs="宋体"/>
                <w:bCs/>
                <w:color w:val="auto"/>
                <w:kern w:val="0"/>
                <w:sz w:val="21"/>
                <w:szCs w:val="21"/>
                <w:highlight w:val="none"/>
                <w:lang w:val="en-US" w:eastAsia="zh-CN" w:bidi="ar"/>
              </w:rPr>
              <w:t>立柱加固和屋顶更换</w:t>
            </w:r>
            <w:r>
              <w:rPr>
                <w:rFonts w:hint="eastAsia" w:ascii="宋体" w:hAnsi="宋体" w:eastAsia="宋体" w:cs="宋体"/>
                <w:bCs/>
                <w:color w:val="auto"/>
                <w:kern w:val="0"/>
                <w:sz w:val="21"/>
                <w:szCs w:val="21"/>
                <w:highlight w:val="none"/>
                <w:lang w:val="en-US" w:eastAsia="zh-CN" w:bidi="ar"/>
              </w:rPr>
              <w:t>，具体内容详见工程量清单。</w:t>
            </w:r>
          </w:p>
        </w:tc>
      </w:tr>
      <w:tr w14:paraId="6AA946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5D496C9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标段划分</w:t>
            </w:r>
          </w:p>
        </w:tc>
        <w:tc>
          <w:tcPr>
            <w:tcW w:w="807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14:paraId="710B4FEB">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一个标段</w:t>
            </w:r>
          </w:p>
        </w:tc>
      </w:tr>
      <w:tr w14:paraId="156FD4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1AE101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评标办法</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773AC09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合理低价法</w:t>
            </w:r>
          </w:p>
        </w:tc>
        <w:tc>
          <w:tcPr>
            <w:tcW w:w="2606" w:type="dxa"/>
            <w:tcBorders>
              <w:top w:val="single" w:color="auto" w:sz="12" w:space="0"/>
              <w:left w:val="single" w:color="auto" w:sz="12" w:space="0"/>
              <w:bottom w:val="single" w:color="auto" w:sz="12" w:space="0"/>
              <w:right w:val="single" w:color="auto" w:sz="12" w:space="0"/>
            </w:tcBorders>
            <w:shd w:val="clear" w:color="auto" w:fill="auto"/>
            <w:vAlign w:val="center"/>
          </w:tcPr>
          <w:p w14:paraId="0A4CE88C">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2A683A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05B6EE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1E5C732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工程概算</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55EB61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约</w:t>
            </w:r>
            <w:r>
              <w:rPr>
                <w:rFonts w:hint="eastAsia" w:ascii="宋体" w:hAnsi="宋体" w:cs="宋体"/>
                <w:color w:val="auto"/>
                <w:kern w:val="2"/>
                <w:sz w:val="21"/>
                <w:szCs w:val="21"/>
                <w:highlight w:val="none"/>
                <w:lang w:val="en-US" w:eastAsia="zh-CN" w:bidi="ar"/>
              </w:rPr>
              <w:t>6万元</w:t>
            </w:r>
          </w:p>
        </w:tc>
        <w:tc>
          <w:tcPr>
            <w:tcW w:w="2606" w:type="dxa"/>
            <w:tcBorders>
              <w:top w:val="single" w:color="auto" w:sz="12" w:space="0"/>
              <w:left w:val="single" w:color="auto" w:sz="12" w:space="0"/>
              <w:bottom w:val="single" w:color="auto" w:sz="12" w:space="0"/>
              <w:right w:val="single" w:color="auto" w:sz="12" w:space="0"/>
            </w:tcBorders>
            <w:shd w:val="clear" w:color="auto" w:fill="auto"/>
            <w:vAlign w:val="center"/>
          </w:tcPr>
          <w:p w14:paraId="00226628">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115C3EAE">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详见招标文件</w:t>
            </w:r>
          </w:p>
        </w:tc>
      </w:tr>
      <w:tr w14:paraId="28D5C3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14:paraId="6ACDCFA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资金来源</w:t>
            </w:r>
          </w:p>
        </w:tc>
        <w:tc>
          <w:tcPr>
            <w:tcW w:w="255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19FBB4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bidi="ar"/>
              </w:rPr>
              <w:t>自筹</w:t>
            </w:r>
            <w:r>
              <w:rPr>
                <w:rFonts w:hint="eastAsia" w:ascii="宋体" w:hAnsi="宋体" w:eastAsia="宋体" w:cs="宋体"/>
                <w:color w:val="auto"/>
                <w:kern w:val="0"/>
                <w:sz w:val="21"/>
                <w:szCs w:val="21"/>
                <w:highlight w:val="none"/>
                <w:lang w:val="en-US" w:eastAsia="zh-CN" w:bidi="ar"/>
              </w:rPr>
              <w:t>资金</w:t>
            </w:r>
          </w:p>
        </w:tc>
        <w:tc>
          <w:tcPr>
            <w:tcW w:w="2606" w:type="dxa"/>
            <w:tcBorders>
              <w:top w:val="single" w:color="auto" w:sz="12" w:space="0"/>
              <w:left w:val="single" w:color="auto" w:sz="12" w:space="0"/>
              <w:bottom w:val="single" w:color="auto" w:sz="12" w:space="0"/>
              <w:right w:val="single" w:color="auto" w:sz="12" w:space="0"/>
            </w:tcBorders>
            <w:shd w:val="clear" w:color="auto" w:fill="auto"/>
            <w:vAlign w:val="center"/>
          </w:tcPr>
          <w:p w14:paraId="2F9E99B9">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14:paraId="08A44F4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spacing w:val="-4"/>
                <w:kern w:val="0"/>
                <w:sz w:val="21"/>
                <w:szCs w:val="21"/>
                <w:highlight w:val="none"/>
              </w:rPr>
            </w:pPr>
            <w:r>
              <w:rPr>
                <w:rFonts w:hint="eastAsia" w:ascii="宋体" w:hAnsi="宋体" w:eastAsia="宋体" w:cs="宋体"/>
                <w:color w:val="auto"/>
                <w:kern w:val="2"/>
                <w:sz w:val="21"/>
                <w:szCs w:val="21"/>
                <w:highlight w:val="none"/>
                <w:lang w:val="en-US" w:eastAsia="zh-CN" w:bidi="ar"/>
              </w:rPr>
              <w:t>网上下载</w:t>
            </w:r>
          </w:p>
        </w:tc>
      </w:tr>
      <w:tr w14:paraId="5CF6DF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458D41A">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是否要求提交投标保证金：要求，投标保证金的金额：</w:t>
            </w:r>
            <w:r>
              <w:rPr>
                <w:rFonts w:hint="eastAsia" w:ascii="宋体" w:hAnsi="宋体" w:cs="宋体"/>
                <w:color w:val="auto"/>
                <w:kern w:val="2"/>
                <w:sz w:val="21"/>
                <w:szCs w:val="21"/>
                <w:highlight w:val="none"/>
                <w:lang w:val="en-US" w:eastAsia="zh-CN" w:bidi="ar"/>
              </w:rPr>
              <w:t>0.1万元。</w:t>
            </w:r>
          </w:p>
          <w:p w14:paraId="36BDC4A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保证金的形式：银行转账。</w:t>
            </w:r>
          </w:p>
          <w:p w14:paraId="2D2DABB6">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银行转账缴纳的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14:paraId="6AA3653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单位名称：中国扬子集团有限公司</w:t>
            </w:r>
          </w:p>
          <w:p w14:paraId="05193722">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开 户 行：中国建设银行滁州广场支行 </w:t>
            </w:r>
          </w:p>
          <w:p w14:paraId="7C213324">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账    号：34001738608050394810 </w:t>
            </w:r>
          </w:p>
          <w:p w14:paraId="0D60CB37">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 xml:space="preserve">保证金到账截止时间同投标文件递交截止时间，交纳保证金时须在交易附言中注明：“扬子集团849号园区西北侧厂房维修项目”项目投标保证金。 </w:t>
            </w:r>
          </w:p>
          <w:p w14:paraId="595D368F">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注：各投标人请严格按照招标公告和招标文件载明的银行、账户汇入投标保证金，否则在开标时将无法查询保证金是否到账，导致评标委员会否决其投标！</w:t>
            </w:r>
          </w:p>
          <w:p w14:paraId="2E225A35">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cs="宋体"/>
                <w:color w:val="auto"/>
                <w:kern w:val="2"/>
                <w:sz w:val="21"/>
                <w:szCs w:val="21"/>
                <w:highlight w:val="none"/>
                <w:lang w:val="en-US" w:eastAsia="zh-CN" w:bidi="ar"/>
              </w:rPr>
              <w:t>投标保证金退还期限：中标通知书发放后五个工作日内退还未中标单位的投标保证金，签订合同后五个工作日内退还中标单位的投标保证金</w:t>
            </w:r>
            <w:r>
              <w:rPr>
                <w:rFonts w:hint="eastAsia" w:ascii="宋体" w:hAnsi="宋体" w:eastAsia="宋体" w:cs="宋体"/>
                <w:color w:val="auto"/>
                <w:kern w:val="2"/>
                <w:sz w:val="21"/>
                <w:szCs w:val="21"/>
                <w:highlight w:val="none"/>
                <w:lang w:val="en-US" w:eastAsia="zh-CN" w:bidi="ar"/>
              </w:rPr>
              <w:t>。</w:t>
            </w:r>
          </w:p>
        </w:tc>
      </w:tr>
      <w:tr w14:paraId="06E7DF1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53CEC0D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重要说明：</w:t>
            </w:r>
          </w:p>
          <w:p w14:paraId="4945622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833B834">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请于公告发布之日起从滁州市城投工程咨询管理有限公司（https://www.czctgczx.com/）网站下载本项目招标文件，或从滁州市城投工程咨询管理有限公司（https://www.czctgczx.com/）网站，点击项目招标公告下方【我要投标】，登录新点电子交易平台后在【滁州专区】（https://www.etrading.cn/BREpointSSO/login/oauth2login?regioncode=DQ_ChuZhou）下载本项目招标文件。</w:t>
            </w:r>
          </w:p>
          <w:p w14:paraId="4E56C85A">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投标人参与投标的，须登录新点电子交易平台【滁州专区】查询、获取招标文件。首次登录办理入库手续，办理入库不收取任何费用。新点电子招投标统一认证平台使用相关问题（如系统登录、信息登记、录入及提交、数字证书关联等）请拨打服务电话：0512-58151515（工作日），标正通使用相关问题请拨打服务电话：0512-58188013。</w:t>
            </w:r>
          </w:p>
          <w:p w14:paraId="407D404B">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登录新点电子交易平台【滁州专区】获取招标文件及其它资料（含澄清和补充说明等）。如在招标文件获取过程中遇到系统问题，请拨打技术支持服务热线0512-58151515或者网站首页在线客服。投标人自行承担因未按要求获取招标文件导致无法上传电子投标文件的风险。</w:t>
            </w:r>
          </w:p>
          <w:p w14:paraId="1A46FB75">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5.本项目采用不见面开标，投标人登录滁州市城投工程咨询管理有限公司不见面开标系统参与网上开标（网址：http://js.etrading.cn/EpointBidOpening/bidopeninghallaction/hall/login）。</w:t>
            </w:r>
          </w:p>
          <w:p w14:paraId="3CB81369">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6.投标人应在投标截止时间之前，登录新点电子交易平台【滁州专区】上传投标文件。投标人逾期上传投标文件的，电子系统不予受理。</w:t>
            </w:r>
          </w:p>
          <w:p w14:paraId="4AE4FEF8">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34DDCE86">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8.投标人的联系人电话(手机)、电子邮箱等通讯方式在开标过程中必须保持畅通，否则因上述原因造成的后果，责任自负。</w:t>
            </w:r>
          </w:p>
        </w:tc>
      </w:tr>
      <w:tr w14:paraId="6FDEEEC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73416913">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招标文件获取时间：</w:t>
            </w:r>
            <w:r>
              <w:rPr>
                <w:rFonts w:hint="eastAsia" w:ascii="宋体" w:hAnsi="宋体" w:eastAsia="宋体" w:cs="宋体"/>
                <w:b/>
                <w:bCs/>
                <w:color w:val="auto"/>
                <w:kern w:val="0"/>
                <w:sz w:val="21"/>
                <w:szCs w:val="21"/>
                <w:highlight w:val="none"/>
                <w:lang w:val="en-US" w:eastAsia="zh-CN" w:bidi="ar"/>
              </w:rPr>
              <w:t>202</w:t>
            </w:r>
            <w:r>
              <w:rPr>
                <w:rFonts w:hint="eastAsia" w:ascii="宋体" w:hAnsi="宋体" w:cs="宋体"/>
                <w:b/>
                <w:bCs/>
                <w:color w:val="auto"/>
                <w:kern w:val="0"/>
                <w:sz w:val="21"/>
                <w:szCs w:val="21"/>
                <w:highlight w:val="none"/>
                <w:lang w:val="en-US" w:eastAsia="zh-CN" w:bidi="ar"/>
              </w:rPr>
              <w:t>6</w:t>
            </w:r>
            <w:r>
              <w:rPr>
                <w:rFonts w:hint="eastAsia" w:ascii="宋体" w:hAnsi="宋体" w:eastAsia="宋体" w:cs="宋体"/>
                <w:b/>
                <w:bCs/>
                <w:color w:val="auto"/>
                <w:kern w:val="0"/>
                <w:sz w:val="21"/>
                <w:szCs w:val="21"/>
                <w:highlight w:val="none"/>
                <w:lang w:val="en-US" w:eastAsia="zh-CN" w:bidi="ar"/>
              </w:rPr>
              <w:t>年</w:t>
            </w:r>
            <w:r>
              <w:rPr>
                <w:rFonts w:hint="eastAsia" w:ascii="宋体" w:hAnsi="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月</w:t>
            </w:r>
            <w:r>
              <w:rPr>
                <w:rFonts w:hint="eastAsia" w:ascii="宋体" w:hAnsi="宋体" w:cs="宋体"/>
                <w:b/>
                <w:bCs/>
                <w:color w:val="auto"/>
                <w:kern w:val="0"/>
                <w:sz w:val="21"/>
                <w:szCs w:val="21"/>
                <w:highlight w:val="none"/>
                <w:lang w:val="en-US" w:eastAsia="zh-CN" w:bidi="ar"/>
              </w:rPr>
              <w:t>5</w:t>
            </w:r>
            <w:r>
              <w:rPr>
                <w:rFonts w:hint="eastAsia" w:ascii="宋体" w:hAnsi="宋体" w:eastAsia="宋体" w:cs="宋体"/>
                <w:b/>
                <w:bCs/>
                <w:color w:val="auto"/>
                <w:kern w:val="0"/>
                <w:sz w:val="21"/>
                <w:szCs w:val="21"/>
                <w:highlight w:val="none"/>
                <w:lang w:val="en-US" w:eastAsia="zh-CN" w:bidi="ar"/>
              </w:rPr>
              <w:t>日17时后</w:t>
            </w:r>
            <w:r>
              <w:rPr>
                <w:rFonts w:hint="eastAsia" w:ascii="宋体" w:hAnsi="宋体" w:eastAsia="宋体" w:cs="宋体"/>
                <w:color w:val="auto"/>
                <w:kern w:val="0"/>
                <w:sz w:val="21"/>
                <w:szCs w:val="21"/>
                <w:highlight w:val="none"/>
                <w:lang w:val="en-US" w:eastAsia="zh-CN" w:bidi="ar"/>
              </w:rPr>
              <w:t>，如投标人不及时下载招标文件，造成后果由投标人自负。</w:t>
            </w:r>
          </w:p>
        </w:tc>
      </w:tr>
      <w:tr w14:paraId="36DD9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23" w:hRule="atLeast"/>
          <w:jc w:val="center"/>
        </w:trPr>
        <w:tc>
          <w:tcPr>
            <w:tcW w:w="4061" w:type="dxa"/>
            <w:gridSpan w:val="3"/>
            <w:tcBorders>
              <w:top w:val="single" w:color="auto" w:sz="12" w:space="0"/>
              <w:left w:val="single" w:color="auto" w:sz="12" w:space="0"/>
              <w:bottom w:val="single" w:color="auto" w:sz="12" w:space="0"/>
              <w:right w:val="single" w:color="auto" w:sz="12" w:space="0"/>
            </w:tcBorders>
            <w:shd w:val="clear" w:color="auto" w:fill="auto"/>
            <w:vAlign w:val="center"/>
          </w:tcPr>
          <w:p w14:paraId="370BCB58">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招标人名称：</w:t>
            </w:r>
            <w:r>
              <w:rPr>
                <w:rFonts w:hint="eastAsia" w:ascii="宋体" w:hAnsi="宋体" w:cs="宋体"/>
                <w:color w:val="auto"/>
                <w:kern w:val="0"/>
                <w:sz w:val="21"/>
                <w:szCs w:val="21"/>
                <w:highlight w:val="none"/>
                <w:lang w:val="en-US" w:eastAsia="zh-CN" w:bidi="ar"/>
              </w:rPr>
              <w:t>中国扬子集团有限公司</w:t>
            </w:r>
          </w:p>
          <w:p w14:paraId="027B759F">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w:t>
            </w:r>
            <w:r>
              <w:rPr>
                <w:rFonts w:hint="eastAsia" w:ascii="宋体" w:hAnsi="宋体" w:cs="宋体"/>
                <w:color w:val="auto"/>
                <w:kern w:val="0"/>
                <w:sz w:val="21"/>
                <w:szCs w:val="21"/>
                <w:highlight w:val="none"/>
                <w:lang w:val="en-US" w:eastAsia="zh-CN" w:bidi="ar"/>
              </w:rPr>
              <w:t>滁州市中都大道1598号4楼</w:t>
            </w:r>
          </w:p>
          <w:p w14:paraId="4ECDDB6A">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 系 人：</w:t>
            </w:r>
            <w:r>
              <w:rPr>
                <w:rFonts w:hint="eastAsia" w:ascii="宋体" w:hAnsi="宋体" w:cs="宋体"/>
                <w:color w:val="auto"/>
                <w:kern w:val="0"/>
                <w:sz w:val="21"/>
                <w:szCs w:val="21"/>
                <w:highlight w:val="none"/>
                <w:lang w:val="en-US" w:eastAsia="zh-CN" w:bidi="ar"/>
              </w:rPr>
              <w:t>叶来明</w:t>
            </w:r>
          </w:p>
          <w:p w14:paraId="6353410C">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color w:val="auto"/>
                <w:kern w:val="2"/>
                <w:sz w:val="21"/>
                <w:szCs w:val="21"/>
                <w:highlight w:val="none"/>
                <w:lang w:val="en-US"/>
              </w:rPr>
            </w:pPr>
            <w:r>
              <w:rPr>
                <w:rFonts w:hint="eastAsia" w:ascii="宋体" w:hAnsi="宋体" w:eastAsia="宋体" w:cs="宋体"/>
                <w:color w:val="auto"/>
                <w:kern w:val="0"/>
                <w:sz w:val="21"/>
                <w:szCs w:val="21"/>
                <w:highlight w:val="none"/>
                <w:lang w:val="en-US" w:eastAsia="zh-CN" w:bidi="ar"/>
              </w:rPr>
              <w:t>联系方式：</w:t>
            </w:r>
            <w:r>
              <w:rPr>
                <w:rFonts w:hint="eastAsia" w:ascii="宋体" w:hAnsi="宋体" w:cs="宋体"/>
                <w:color w:val="auto"/>
                <w:kern w:val="0"/>
                <w:sz w:val="21"/>
                <w:szCs w:val="21"/>
                <w:highlight w:val="none"/>
                <w:lang w:val="en-US" w:eastAsia="zh-CN" w:bidi="ar"/>
              </w:rPr>
              <w:t>13956316320</w:t>
            </w:r>
          </w:p>
        </w:tc>
        <w:tc>
          <w:tcPr>
            <w:tcW w:w="5522"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14:paraId="5B589817">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招标代理机构名称：滁州市城投工程咨询管理有限公司</w:t>
            </w:r>
          </w:p>
          <w:p w14:paraId="568EAEF4">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地址：滁州市龙蟠大道109号房产商务大厦6楼</w:t>
            </w:r>
          </w:p>
          <w:p w14:paraId="004DF22C">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联系人：胡国庆</w:t>
            </w:r>
          </w:p>
          <w:p w14:paraId="187E111E">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联系方式：0550-3519517、18005500950</w:t>
            </w:r>
          </w:p>
        </w:tc>
      </w:tr>
      <w:tr w14:paraId="5A1C3A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14:paraId="3FEC7B01">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公告发布媒体</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中国招标公共服务平台（http://www.cebpubservice.com/）、安徽省招标投标信息网（www.ahtba.org.cn）、滁州市城投工程咨询管理有限公司（https://www.czctgczx.com/）网站</w:t>
            </w:r>
          </w:p>
        </w:tc>
      </w:tr>
    </w:tbl>
    <w:p w14:paraId="2BFDA484">
      <w:pPr>
        <w:pStyle w:val="43"/>
        <w:spacing w:beforeLines="50" w:afterLines="50" w:line="440" w:lineRule="exact"/>
        <w:rPr>
          <w:bCs/>
          <w:color w:val="auto"/>
          <w:szCs w:val="32"/>
          <w:highlight w:val="none"/>
        </w:rPr>
      </w:pPr>
      <w:r>
        <w:rPr>
          <w:rFonts w:hint="eastAsia"/>
          <w:bCs/>
          <w:color w:val="auto"/>
          <w:szCs w:val="32"/>
          <w:highlight w:val="none"/>
        </w:rPr>
        <w:br w:type="page"/>
      </w:r>
      <w:bookmarkStart w:id="37" w:name="_Toc8980"/>
      <w:bookmarkStart w:id="38" w:name="_Toc22947"/>
      <w:bookmarkStart w:id="39" w:name="_Toc18989"/>
      <w:r>
        <w:rPr>
          <w:rFonts w:hint="eastAsia"/>
          <w:bCs/>
          <w:color w:val="auto"/>
          <w:szCs w:val="32"/>
          <w:highlight w:val="none"/>
        </w:rPr>
        <w:t>第一章  投标人须知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38B4F0B">
      <w:pPr>
        <w:spacing w:beforeLines="50" w:afterLines="50" w:line="440" w:lineRule="exact"/>
        <w:jc w:val="center"/>
        <w:rPr>
          <w:b/>
          <w:bCs/>
          <w:color w:val="auto"/>
          <w:sz w:val="28"/>
          <w:szCs w:val="28"/>
          <w:highlight w:val="none"/>
        </w:rPr>
      </w:pPr>
      <w:bookmarkStart w:id="40" w:name="_Toc324404814"/>
      <w:bookmarkStart w:id="41" w:name="_Toc246996174"/>
      <w:bookmarkStart w:id="42" w:name="_Toc152045528"/>
      <w:bookmarkStart w:id="43" w:name="_Toc152042304"/>
      <w:bookmarkStart w:id="44" w:name="_Toc506107268"/>
      <w:bookmarkStart w:id="45" w:name="_Toc144974496"/>
      <w:bookmarkStart w:id="46" w:name="_Toc247085688"/>
      <w:bookmarkStart w:id="47" w:name="_Toc35425051"/>
      <w:bookmarkStart w:id="48" w:name="_Toc35424884"/>
      <w:bookmarkStart w:id="49" w:name="_Toc179632545"/>
      <w:bookmarkStart w:id="50" w:name="_Toc246996917"/>
      <w:bookmarkStart w:id="51" w:name="_Toc15058845"/>
      <w:r>
        <w:rPr>
          <w:rFonts w:hint="eastAsia"/>
          <w:b/>
          <w:bCs/>
          <w:color w:val="auto"/>
          <w:sz w:val="28"/>
          <w:szCs w:val="28"/>
          <w:highlight w:val="none"/>
        </w:rPr>
        <w:t>投标人须知前附表</w:t>
      </w:r>
      <w:bookmarkEnd w:id="40"/>
      <w:bookmarkEnd w:id="41"/>
      <w:bookmarkEnd w:id="42"/>
      <w:bookmarkEnd w:id="43"/>
      <w:bookmarkEnd w:id="44"/>
      <w:bookmarkEnd w:id="45"/>
      <w:bookmarkEnd w:id="46"/>
      <w:bookmarkEnd w:id="47"/>
      <w:bookmarkEnd w:id="48"/>
      <w:bookmarkEnd w:id="49"/>
      <w:bookmarkEnd w:id="50"/>
      <w:bookmarkEnd w:id="51"/>
    </w:p>
    <w:tbl>
      <w:tblPr>
        <w:tblStyle w:val="46"/>
        <w:tblW w:w="9914" w:type="dxa"/>
        <w:jc w:val="center"/>
        <w:tblLayout w:type="fixed"/>
        <w:tblCellMar>
          <w:top w:w="0" w:type="dxa"/>
          <w:left w:w="108" w:type="dxa"/>
          <w:bottom w:w="0" w:type="dxa"/>
          <w:right w:w="108" w:type="dxa"/>
        </w:tblCellMar>
      </w:tblPr>
      <w:tblGrid>
        <w:gridCol w:w="868"/>
        <w:gridCol w:w="910"/>
        <w:gridCol w:w="1299"/>
        <w:gridCol w:w="6837"/>
      </w:tblGrid>
      <w:tr w14:paraId="0BDD4F3A">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0021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2" w:name="_Toc152045529"/>
            <w:bookmarkStart w:id="53" w:name="_Toc324404815"/>
            <w:bookmarkStart w:id="54" w:name="_Toc247085689"/>
            <w:bookmarkStart w:id="55" w:name="_Toc144974497"/>
            <w:bookmarkStart w:id="56" w:name="_Toc246996918"/>
            <w:bookmarkStart w:id="57" w:name="_Toc246996175"/>
            <w:bookmarkStart w:id="58" w:name="_Toc179632546"/>
            <w:bookmarkStart w:id="59" w:name="_Toc506107269"/>
            <w:bookmarkStart w:id="60" w:name="_Toc152042305"/>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342837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4B914A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14:paraId="77A4F99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89CB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92606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6837" w:type="dxa"/>
            <w:tcBorders>
              <w:top w:val="single" w:color="auto" w:sz="4" w:space="0"/>
              <w:left w:val="single" w:color="auto" w:sz="4" w:space="0"/>
              <w:bottom w:val="single" w:color="auto" w:sz="4" w:space="0"/>
              <w:right w:val="single" w:color="auto" w:sz="4" w:space="0"/>
            </w:tcBorders>
            <w:noWrap/>
            <w:vAlign w:val="center"/>
          </w:tcPr>
          <w:p w14:paraId="47F4E802">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14:paraId="6934FE2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E50D38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EB631D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6837" w:type="dxa"/>
            <w:tcBorders>
              <w:top w:val="single" w:color="auto" w:sz="4" w:space="0"/>
              <w:left w:val="single" w:color="auto" w:sz="4" w:space="0"/>
              <w:bottom w:val="single" w:color="auto" w:sz="4" w:space="0"/>
              <w:right w:val="single" w:color="auto" w:sz="4" w:space="0"/>
            </w:tcBorders>
            <w:noWrap/>
            <w:vAlign w:val="center"/>
          </w:tcPr>
          <w:p w14:paraId="6A4F386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14:paraId="31BD3B61">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30EF8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D14E14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6837" w:type="dxa"/>
            <w:tcBorders>
              <w:top w:val="single" w:color="auto" w:sz="4" w:space="0"/>
              <w:left w:val="single" w:color="auto" w:sz="4" w:space="0"/>
              <w:bottom w:val="single" w:color="auto" w:sz="4" w:space="0"/>
              <w:right w:val="single" w:color="auto" w:sz="4" w:space="0"/>
            </w:tcBorders>
            <w:noWrap/>
            <w:vAlign w:val="center"/>
          </w:tcPr>
          <w:p w14:paraId="244173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14:paraId="08FFE5D0">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667C6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87BA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506B480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14:paraId="035A6C0C">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4CEDDC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16D1835">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6837" w:type="dxa"/>
            <w:tcBorders>
              <w:top w:val="single" w:color="auto" w:sz="4" w:space="0"/>
              <w:left w:val="single" w:color="auto" w:sz="4" w:space="0"/>
              <w:bottom w:val="single" w:color="auto" w:sz="4" w:space="0"/>
              <w:right w:val="single" w:color="auto" w:sz="4" w:space="0"/>
            </w:tcBorders>
            <w:noWrap/>
            <w:vAlign w:val="center"/>
          </w:tcPr>
          <w:p w14:paraId="3AD56A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767AED2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E0487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77C389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6837" w:type="dxa"/>
            <w:tcBorders>
              <w:top w:val="single" w:color="auto" w:sz="4" w:space="0"/>
              <w:left w:val="single" w:color="auto" w:sz="4" w:space="0"/>
              <w:bottom w:val="single" w:color="auto" w:sz="4" w:space="0"/>
              <w:right w:val="single" w:color="auto" w:sz="4" w:space="0"/>
            </w:tcBorders>
            <w:noWrap/>
            <w:vAlign w:val="center"/>
          </w:tcPr>
          <w:p w14:paraId="46D945E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14:paraId="32245EDE">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67889D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7EFB0B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6837" w:type="dxa"/>
            <w:tcBorders>
              <w:top w:val="single" w:color="auto" w:sz="4" w:space="0"/>
              <w:left w:val="single" w:color="auto" w:sz="4" w:space="0"/>
              <w:bottom w:val="single" w:color="auto" w:sz="4" w:space="0"/>
              <w:right w:val="single" w:color="auto" w:sz="4" w:space="0"/>
            </w:tcBorders>
            <w:noWrap/>
            <w:vAlign w:val="center"/>
          </w:tcPr>
          <w:p w14:paraId="26E51304">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highlight w:val="none"/>
                <w:lang w:eastAsia="zh-CN"/>
              </w:rPr>
            </w:pPr>
            <w:r>
              <w:rPr>
                <w:rFonts w:hint="eastAsia" w:ascii="宋体" w:hAnsi="宋体" w:cs="宋体"/>
                <w:color w:val="auto"/>
                <w:highlight w:val="none"/>
                <w:lang w:eastAsia="zh-CN"/>
              </w:rPr>
              <w:t>合理低价法</w:t>
            </w:r>
          </w:p>
        </w:tc>
      </w:tr>
      <w:tr w14:paraId="08246C8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5D6FC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6B991F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22AC1F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20 </w:t>
            </w:r>
            <w:r>
              <w:rPr>
                <w:rFonts w:hint="eastAsia" w:ascii="宋体" w:hAnsi="宋体" w:cs="宋体"/>
                <w:b/>
                <w:color w:val="auto"/>
                <w:sz w:val="21"/>
                <w:szCs w:val="21"/>
                <w:highlight w:val="none"/>
                <w:lang w:val="en-US" w:eastAsia="zh-CN"/>
              </w:rPr>
              <w:t>个日历天。</w:t>
            </w:r>
          </w:p>
          <w:p w14:paraId="62D820D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1D6C9E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5032111F">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，因中标人原因造成的工期延误，</w:t>
            </w:r>
            <w:r>
              <w:rPr>
                <w:rFonts w:hint="eastAsia" w:ascii="宋体" w:hAnsi="宋体" w:cs="宋体"/>
                <w:color w:val="auto"/>
                <w:sz w:val="21"/>
                <w:szCs w:val="21"/>
                <w:highlight w:val="none"/>
              </w:rPr>
              <w:t>每推迟一天，按</w:t>
            </w:r>
            <w:r>
              <w:rPr>
                <w:rFonts w:hint="eastAsia" w:ascii="宋体" w:hAnsi="宋体" w:cs="宋体"/>
                <w:color w:val="auto"/>
                <w:sz w:val="21"/>
                <w:szCs w:val="21"/>
                <w:highlight w:val="none"/>
                <w:lang w:val="en-US" w:eastAsia="zh-CN"/>
              </w:rPr>
              <w:t>1000元/天</w:t>
            </w:r>
            <w:r>
              <w:rPr>
                <w:rFonts w:hint="eastAsia" w:ascii="宋体" w:hAnsi="宋体" w:cs="宋体"/>
                <w:color w:val="auto"/>
                <w:sz w:val="21"/>
                <w:szCs w:val="21"/>
                <w:highlight w:val="none"/>
              </w:rPr>
              <w:t xml:space="preserve">处以违约金。   </w:t>
            </w:r>
          </w:p>
        </w:tc>
      </w:tr>
      <w:tr w14:paraId="52D1B80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2265A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8D869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30D229F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14722C22">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56270CA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C8625C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6837" w:type="dxa"/>
            <w:tcBorders>
              <w:top w:val="single" w:color="auto" w:sz="4" w:space="0"/>
              <w:left w:val="single" w:color="auto" w:sz="4" w:space="0"/>
              <w:bottom w:val="single" w:color="auto" w:sz="4" w:space="0"/>
              <w:right w:val="single" w:color="auto" w:sz="4" w:space="0"/>
            </w:tcBorders>
            <w:noWrap/>
            <w:vAlign w:val="center"/>
          </w:tcPr>
          <w:p w14:paraId="3661F8E0">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26BB7244">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2DE1695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B65144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6E38338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14:paraId="3FFCBBF7">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C58AE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2A809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6837" w:type="dxa"/>
            <w:tcBorders>
              <w:top w:val="single" w:color="auto" w:sz="4" w:space="0"/>
              <w:left w:val="single" w:color="auto" w:sz="4" w:space="0"/>
              <w:bottom w:val="single" w:color="auto" w:sz="4" w:space="0"/>
              <w:right w:val="single" w:color="auto" w:sz="4" w:space="0"/>
            </w:tcBorders>
            <w:noWrap/>
            <w:vAlign w:val="center"/>
          </w:tcPr>
          <w:p w14:paraId="6AA5E599">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EE952C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FD1E6E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638E5E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6837" w:type="dxa"/>
            <w:tcBorders>
              <w:top w:val="single" w:color="auto" w:sz="4" w:space="0"/>
              <w:left w:val="single" w:color="auto" w:sz="4" w:space="0"/>
              <w:bottom w:val="single" w:color="auto" w:sz="4" w:space="0"/>
              <w:right w:val="single" w:color="auto" w:sz="4" w:space="0"/>
            </w:tcBorders>
            <w:noWrap/>
            <w:vAlign w:val="center"/>
          </w:tcPr>
          <w:p w14:paraId="7F81BA54">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14:paraId="0BEEB6A8">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DC3317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9BBE13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64F852B0">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3</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w:t>
            </w:r>
            <w:r>
              <w:rPr>
                <w:rFonts w:hint="eastAsia" w:ascii="宋体" w:hAnsi="宋体" w:cs="宋体"/>
                <w:color w:val="auto"/>
                <w:kern w:val="0"/>
                <w:szCs w:val="21"/>
                <w:highlight w:val="none"/>
                <w:lang w:val="en-US" w:eastAsia="zh-CN"/>
              </w:rPr>
              <w:t>通过新点电子交易平台【滁州专区】对招标文件提出澄清（质疑）。</w:t>
            </w:r>
          </w:p>
        </w:tc>
      </w:tr>
      <w:tr w14:paraId="2934A455">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30DD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8A0A15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35D92E49">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将在202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日17时后以澄清公告形式在滁州市城投工程咨询管理有限公司（https://www.czctgczx.com/）网站发布，请各位投标人注意查看有关澄清内容，如不及时查看造成后果由投标人自负。</w:t>
            </w:r>
          </w:p>
        </w:tc>
      </w:tr>
      <w:tr w14:paraId="3BD97139">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52998E">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CB15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6837" w:type="dxa"/>
            <w:tcBorders>
              <w:top w:val="single" w:color="auto" w:sz="4" w:space="0"/>
              <w:left w:val="single" w:color="auto" w:sz="4" w:space="0"/>
              <w:bottom w:val="single" w:color="auto" w:sz="4" w:space="0"/>
              <w:right w:val="single" w:color="auto" w:sz="4" w:space="0"/>
            </w:tcBorders>
            <w:noWrap/>
            <w:vAlign w:val="center"/>
          </w:tcPr>
          <w:p w14:paraId="62C55BF9">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14:paraId="4C7F9585">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14:paraId="1E02A672">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14:paraId="5CDD9F6D">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14:paraId="6713B92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E6AA00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CEC4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6837" w:type="dxa"/>
            <w:tcBorders>
              <w:top w:val="single" w:color="auto" w:sz="4" w:space="0"/>
              <w:left w:val="single" w:color="auto" w:sz="4" w:space="0"/>
              <w:bottom w:val="single" w:color="auto" w:sz="4" w:space="0"/>
              <w:right w:val="single" w:color="auto" w:sz="4" w:space="0"/>
            </w:tcBorders>
            <w:noWrap/>
            <w:vAlign w:val="center"/>
          </w:tcPr>
          <w:p w14:paraId="03189168">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5647E6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8A507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D6549EB">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6837" w:type="dxa"/>
            <w:tcBorders>
              <w:top w:val="single" w:color="auto" w:sz="4" w:space="0"/>
              <w:left w:val="single" w:color="auto" w:sz="4" w:space="0"/>
              <w:bottom w:val="single" w:color="auto" w:sz="4" w:space="0"/>
              <w:right w:val="single" w:color="auto" w:sz="4" w:space="0"/>
            </w:tcBorders>
            <w:noWrap/>
            <w:vAlign w:val="center"/>
          </w:tcPr>
          <w:p w14:paraId="0FA3530B">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14:paraId="50FF530F">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341D04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90C7E4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6837" w:type="dxa"/>
            <w:tcBorders>
              <w:top w:val="single" w:color="auto" w:sz="4" w:space="0"/>
              <w:left w:val="single" w:color="auto" w:sz="4" w:space="0"/>
              <w:bottom w:val="single" w:color="auto" w:sz="4" w:space="0"/>
              <w:right w:val="single" w:color="auto" w:sz="4" w:space="0"/>
            </w:tcBorders>
            <w:noWrap/>
            <w:vAlign w:val="center"/>
          </w:tcPr>
          <w:p w14:paraId="75CFFED3">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14:paraId="6B0CA663">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F3D9D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518DC6">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6837" w:type="dxa"/>
            <w:tcBorders>
              <w:top w:val="single" w:color="auto" w:sz="4" w:space="0"/>
              <w:left w:val="single" w:color="auto" w:sz="4" w:space="0"/>
              <w:bottom w:val="single" w:color="auto" w:sz="4" w:space="0"/>
              <w:right w:val="single" w:color="auto" w:sz="4" w:space="0"/>
            </w:tcBorders>
            <w:noWrap/>
            <w:vAlign w:val="top"/>
          </w:tcPr>
          <w:p w14:paraId="1840E85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14:paraId="31D5399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14:paraId="397E3A7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14:paraId="0F1F967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14:paraId="5286D3E8">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14:paraId="2C50DB13">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14:paraId="16E44764">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14:paraId="3E8B0272">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14:paraId="3484A4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8A31C2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9067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最高限价</w:t>
            </w:r>
          </w:p>
        </w:tc>
        <w:tc>
          <w:tcPr>
            <w:tcW w:w="6837" w:type="dxa"/>
            <w:tcBorders>
              <w:top w:val="single" w:color="auto" w:sz="4" w:space="0"/>
              <w:left w:val="single" w:color="auto" w:sz="4" w:space="0"/>
              <w:bottom w:val="single" w:color="auto" w:sz="4" w:space="0"/>
              <w:right w:val="single" w:color="auto" w:sz="4" w:space="0"/>
            </w:tcBorders>
            <w:noWrap/>
            <w:vAlign w:val="center"/>
          </w:tcPr>
          <w:p w14:paraId="5ED416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公布的最高限价：</w:t>
            </w:r>
            <w:r>
              <w:rPr>
                <w:rFonts w:hint="eastAsia" w:ascii="宋体" w:hAnsi="宋体" w:cs="宋体"/>
                <w:color w:val="auto"/>
                <w:sz w:val="21"/>
                <w:szCs w:val="21"/>
                <w:highlight w:val="none"/>
                <w:u w:val="single"/>
                <w:lang w:val="en-US" w:eastAsia="zh-CN"/>
              </w:rPr>
              <w:t xml:space="preserve"> 60000</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投标报价不得高于最高限价，否则，按无效标处理。</w:t>
            </w:r>
            <w:r>
              <w:rPr>
                <w:rFonts w:hint="eastAsia" w:ascii="宋体" w:hAnsi="宋体" w:cs="宋体"/>
                <w:b/>
                <w:bCs/>
                <w:color w:val="auto"/>
                <w:sz w:val="21"/>
                <w:szCs w:val="21"/>
                <w:highlight w:val="none"/>
              </w:rPr>
              <w:t xml:space="preserve"> </w:t>
            </w:r>
          </w:p>
        </w:tc>
      </w:tr>
      <w:tr w14:paraId="33653CF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558C0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EBAC128">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6837" w:type="dxa"/>
            <w:tcBorders>
              <w:top w:val="single" w:color="auto" w:sz="4" w:space="0"/>
              <w:left w:val="single" w:color="auto" w:sz="4" w:space="0"/>
              <w:bottom w:val="single" w:color="auto" w:sz="4" w:space="0"/>
              <w:right w:val="single" w:color="auto" w:sz="4" w:space="0"/>
            </w:tcBorders>
            <w:noWrap/>
            <w:vAlign w:val="center"/>
          </w:tcPr>
          <w:p w14:paraId="0D43EDB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14:paraId="3B5D074E">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0637DDA">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5CB4137">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6837" w:type="dxa"/>
            <w:tcBorders>
              <w:top w:val="single" w:color="auto" w:sz="4" w:space="0"/>
              <w:left w:val="single" w:color="auto" w:sz="4" w:space="0"/>
              <w:bottom w:val="single" w:color="auto" w:sz="4" w:space="0"/>
              <w:right w:val="single" w:color="auto" w:sz="4" w:space="0"/>
            </w:tcBorders>
            <w:noWrap/>
            <w:vAlign w:val="center"/>
          </w:tcPr>
          <w:p w14:paraId="594EE2DC">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14:paraId="4B169B3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F03BC2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ED0E852">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6837" w:type="dxa"/>
            <w:tcBorders>
              <w:top w:val="single" w:color="auto" w:sz="4" w:space="0"/>
              <w:left w:val="single" w:color="auto" w:sz="4" w:space="0"/>
              <w:bottom w:val="single" w:color="auto" w:sz="4" w:space="0"/>
              <w:right w:val="single" w:color="auto" w:sz="4" w:space="0"/>
            </w:tcBorders>
            <w:noWrap/>
            <w:vAlign w:val="center"/>
          </w:tcPr>
          <w:p w14:paraId="4C935010">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电子投标文件须按格式文件要求签字或盖章（电子签章），招标文件格式中要求“签章”部位，指电子签章或盖章后扫描上传均可。</w:t>
            </w:r>
          </w:p>
          <w:p w14:paraId="1FB90A74">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14:paraId="45EB737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064C1F">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E93C69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56900DD7">
            <w:pPr>
              <w:pStyle w:val="2"/>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40" w:lineRule="exact"/>
              <w:ind w:left="0" w:leftChars="0" w:right="0" w:firstLine="0" w:firstLineChars="0"/>
              <w:textAlignment w:val="auto"/>
              <w:rPr>
                <w:rFonts w:hint="eastAsia" w:ascii="宋体" w:hAnsi="宋体" w:cs="宋体"/>
                <w:b w:val="0"/>
                <w:bCs/>
                <w:color w:val="auto"/>
                <w:kern w:val="0"/>
                <w:szCs w:val="21"/>
                <w:highlight w:val="none"/>
              </w:rPr>
            </w:pPr>
            <w:r>
              <w:rPr>
                <w:rFonts w:hint="eastAsia" w:ascii="宋体" w:hAnsi="宋体" w:cs="宋体"/>
                <w:b w:val="0"/>
                <w:bCs/>
                <w:color w:val="auto"/>
                <w:kern w:val="0"/>
                <w:szCs w:val="21"/>
                <w:highlight w:val="none"/>
              </w:rPr>
              <w:t>加密电子投标文件投标人应在投标截止时间前通过新点电子交易平台后在【滁州专区】（https://www.etrading.cn/BREpointSSO/login/oauth2login?regioncode=DQ_ChuZhou）交易系统递交电子投标文件。</w:t>
            </w:r>
          </w:p>
          <w:p w14:paraId="4FE5B874">
            <w:pPr>
              <w:pStyle w:val="2"/>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color w:val="auto"/>
                <w:kern w:val="0"/>
                <w:szCs w:val="21"/>
                <w:highlight w:val="none"/>
              </w:rPr>
              <w:t>（投标人中标后须递交与网上电子投标文件完全一致的纸质版投标文件，并按要求加盖单位章；份数：正本1份，副本</w:t>
            </w:r>
            <w:r>
              <w:rPr>
                <w:rFonts w:hint="eastAsia" w:hAnsi="宋体" w:cs="宋体"/>
                <w:b/>
                <w:color w:val="auto"/>
                <w:kern w:val="0"/>
                <w:szCs w:val="21"/>
                <w:highlight w:val="none"/>
                <w:lang w:val="en-US" w:eastAsia="zh-CN"/>
              </w:rPr>
              <w:t>2</w:t>
            </w:r>
            <w:r>
              <w:rPr>
                <w:rFonts w:hint="eastAsia" w:ascii="宋体" w:hAnsi="宋体" w:cs="宋体"/>
                <w:b/>
                <w:color w:val="auto"/>
                <w:kern w:val="0"/>
                <w:szCs w:val="21"/>
                <w:highlight w:val="none"/>
              </w:rPr>
              <w:t>份；中标人领取中标通知书时，一并递交给招标代理机构）。</w:t>
            </w:r>
          </w:p>
        </w:tc>
      </w:tr>
      <w:tr w14:paraId="0C6864E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right w:val="single" w:color="auto" w:sz="4" w:space="0"/>
            </w:tcBorders>
            <w:noWrap/>
            <w:vAlign w:val="center"/>
          </w:tcPr>
          <w:p w14:paraId="18A5B89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CA10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hAnsi="宋体" w:cs="宋体"/>
                <w:color w:val="auto"/>
                <w:szCs w:val="21"/>
                <w:highlight w:val="none"/>
                <w:lang w:val="en-US" w:eastAsia="zh-CN"/>
              </w:rPr>
              <w:t>提交截止时间</w:t>
            </w:r>
          </w:p>
        </w:tc>
        <w:tc>
          <w:tcPr>
            <w:tcW w:w="6837" w:type="dxa"/>
            <w:tcBorders>
              <w:top w:val="single" w:color="auto" w:sz="4" w:space="0"/>
              <w:left w:val="single" w:color="auto" w:sz="4" w:space="0"/>
              <w:bottom w:val="single" w:color="auto" w:sz="4" w:space="0"/>
              <w:right w:val="single" w:color="auto" w:sz="4" w:space="0"/>
            </w:tcBorders>
            <w:noWrap/>
            <w:vAlign w:val="center"/>
          </w:tcPr>
          <w:p w14:paraId="0F2F4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网上递交投标文件截止时间：202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0分（北京时间）</w:t>
            </w:r>
          </w:p>
          <w:p w14:paraId="56C71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注：以投标人在投标截止时间前网上递交的电子投标文件为准，逾期提交的，投标文件将被拒绝。</w:t>
            </w:r>
          </w:p>
          <w:p w14:paraId="4BD26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1.解密程序开始后30分钟内（以本项目网上招投标系统解密倒计时为准）。</w:t>
            </w:r>
          </w:p>
        </w:tc>
      </w:tr>
      <w:tr w14:paraId="18EF77F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469E38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23770E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6837" w:type="dxa"/>
            <w:tcBorders>
              <w:top w:val="single" w:color="auto" w:sz="4" w:space="0"/>
              <w:left w:val="single" w:color="auto" w:sz="4" w:space="0"/>
              <w:bottom w:val="single" w:color="auto" w:sz="4" w:space="0"/>
              <w:right w:val="single" w:color="auto" w:sz="4" w:space="0"/>
            </w:tcBorders>
            <w:noWrap/>
            <w:vAlign w:val="center"/>
          </w:tcPr>
          <w:p w14:paraId="28BDF7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14:paraId="2C0FA23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cs="宋体"/>
                <w:color w:val="auto"/>
                <w:kern w:val="2"/>
                <w:sz w:val="21"/>
                <w:szCs w:val="21"/>
                <w:highlight w:val="none"/>
                <w:u w:color="000000"/>
                <w:lang w:val="en-US" w:eastAsia="zh-CN" w:bidi="ar"/>
              </w:rPr>
              <w:t>□</w:t>
            </w:r>
            <w:r>
              <w:rPr>
                <w:rFonts w:hint="eastAsia" w:ascii="宋体" w:hAnsi="宋体" w:eastAsia="宋体" w:cs="宋体"/>
                <w:color w:val="auto"/>
                <w:kern w:val="2"/>
                <w:sz w:val="21"/>
                <w:szCs w:val="21"/>
                <w:highlight w:val="none"/>
                <w:u w:color="000000"/>
                <w:lang w:val="en-US" w:eastAsia="zh-CN" w:bidi="ar"/>
              </w:rPr>
              <w:t>允许：/</w:t>
            </w:r>
            <w:r>
              <w:rPr>
                <w:rFonts w:hint="eastAsia" w:ascii="宋体" w:hAnsi="宋体" w:cs="宋体"/>
                <w:color w:val="auto"/>
                <w:kern w:val="2"/>
                <w:sz w:val="21"/>
                <w:szCs w:val="21"/>
                <w:highlight w:val="none"/>
                <w:u w:color="000000"/>
                <w:lang w:val="en-US" w:eastAsia="zh-CN" w:bidi="ar"/>
              </w:rPr>
              <w:t>。</w:t>
            </w:r>
          </w:p>
        </w:tc>
      </w:tr>
      <w:tr w14:paraId="67446FC6">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A2924C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0114B2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6837" w:type="dxa"/>
            <w:tcBorders>
              <w:top w:val="single" w:color="auto" w:sz="4" w:space="0"/>
              <w:left w:val="single" w:color="auto" w:sz="4" w:space="0"/>
              <w:bottom w:val="single" w:color="auto" w:sz="4" w:space="0"/>
              <w:right w:val="single" w:color="auto" w:sz="4" w:space="0"/>
            </w:tcBorders>
            <w:noWrap/>
            <w:vAlign w:val="center"/>
          </w:tcPr>
          <w:p w14:paraId="3B01A5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554E5010">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7D559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B96C2A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6837" w:type="dxa"/>
            <w:tcBorders>
              <w:top w:val="single" w:color="auto" w:sz="4" w:space="0"/>
              <w:left w:val="single" w:color="auto" w:sz="4" w:space="0"/>
              <w:bottom w:val="single" w:color="auto" w:sz="4" w:space="0"/>
              <w:right w:val="single" w:color="auto" w:sz="4" w:space="0"/>
            </w:tcBorders>
            <w:noWrap/>
            <w:vAlign w:val="center"/>
          </w:tcPr>
          <w:p w14:paraId="3DA97AB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详见招标公告</w:t>
            </w:r>
          </w:p>
        </w:tc>
      </w:tr>
      <w:tr w14:paraId="59938181">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A1119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59BE0F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6837" w:type="dxa"/>
            <w:tcBorders>
              <w:top w:val="single" w:color="auto" w:sz="4" w:space="0"/>
              <w:left w:val="single" w:color="auto" w:sz="4" w:space="0"/>
              <w:bottom w:val="single" w:color="auto" w:sz="4" w:space="0"/>
              <w:right w:val="single" w:color="auto" w:sz="4" w:space="0"/>
            </w:tcBorders>
            <w:noWrap/>
            <w:vAlign w:val="center"/>
          </w:tcPr>
          <w:p w14:paraId="312B3E8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解密电子投标文件后，由评标委员会评审。</w:t>
            </w:r>
          </w:p>
        </w:tc>
      </w:tr>
      <w:tr w14:paraId="5A3CC426">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B6DF45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F2B105D">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6837" w:type="dxa"/>
            <w:tcBorders>
              <w:top w:val="single" w:color="auto" w:sz="4" w:space="0"/>
              <w:left w:val="single" w:color="auto" w:sz="4" w:space="0"/>
              <w:bottom w:val="single" w:color="auto" w:sz="4" w:space="0"/>
              <w:right w:val="single" w:color="auto" w:sz="4" w:space="0"/>
            </w:tcBorders>
            <w:noWrap/>
            <w:vAlign w:val="center"/>
          </w:tcPr>
          <w:p w14:paraId="09FACAFB">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评标委员会</w:t>
            </w:r>
            <w:r>
              <w:rPr>
                <w:rFonts w:hint="eastAsia" w:ascii="宋体" w:hAnsi="宋体" w:cs="宋体"/>
                <w:color w:val="auto"/>
                <w:kern w:val="2"/>
                <w:sz w:val="21"/>
                <w:szCs w:val="21"/>
                <w:highlight w:val="none"/>
                <w:u w:val="single" w:color="auto"/>
                <w:lang w:val="en-US" w:eastAsia="zh-CN" w:bidi="ar"/>
              </w:rPr>
              <w:t>共3人，其中招标人代表0人，专家评委3人</w:t>
            </w:r>
            <w:r>
              <w:rPr>
                <w:rFonts w:hint="eastAsia" w:ascii="宋体" w:hAnsi="宋体" w:eastAsia="宋体" w:cs="宋体"/>
                <w:color w:val="auto"/>
                <w:kern w:val="2"/>
                <w:sz w:val="21"/>
                <w:szCs w:val="21"/>
                <w:highlight w:val="none"/>
                <w:u w:color="000000"/>
                <w:lang w:val="en-US" w:eastAsia="zh-CN" w:bidi="ar"/>
              </w:rPr>
              <w:t>；</w:t>
            </w:r>
          </w:p>
          <w:p w14:paraId="36B0EA0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评标专家确定方式：专家评委由招标人在开标前从专家库中随机抽取。</w:t>
            </w:r>
          </w:p>
        </w:tc>
      </w:tr>
      <w:tr w14:paraId="6BB9958E">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9EED14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91A01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6837" w:type="dxa"/>
            <w:tcBorders>
              <w:top w:val="single" w:color="auto" w:sz="4" w:space="0"/>
              <w:left w:val="single" w:color="auto" w:sz="4" w:space="0"/>
              <w:bottom w:val="single" w:color="auto" w:sz="4" w:space="0"/>
              <w:right w:val="single" w:color="auto" w:sz="4" w:space="0"/>
            </w:tcBorders>
            <w:noWrap/>
            <w:vAlign w:val="center"/>
          </w:tcPr>
          <w:p w14:paraId="66BAC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75E93D81">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EF03F7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14:paraId="3C2BCE70">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6837" w:type="dxa"/>
            <w:tcBorders>
              <w:top w:val="single" w:color="auto" w:sz="4" w:space="0"/>
              <w:left w:val="single" w:color="auto" w:sz="4" w:space="0"/>
              <w:right w:val="single" w:color="auto" w:sz="4" w:space="0"/>
            </w:tcBorders>
            <w:noWrap/>
            <w:vAlign w:val="center"/>
          </w:tcPr>
          <w:p w14:paraId="5934A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141B9AA6">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6411138F">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752A23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14:paraId="3EC95986">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6837" w:type="dxa"/>
            <w:tcBorders>
              <w:top w:val="single" w:color="auto" w:sz="4" w:space="0"/>
              <w:left w:val="single" w:color="auto" w:sz="4" w:space="0"/>
              <w:right w:val="single" w:color="auto" w:sz="4" w:space="0"/>
            </w:tcBorders>
            <w:noWrap/>
            <w:vAlign w:val="center"/>
          </w:tcPr>
          <w:p w14:paraId="4DFD74D4">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6F8B86CC">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30D7E079">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right w:val="single" w:color="auto" w:sz="4" w:space="0"/>
            </w:tcBorders>
            <w:noWrap/>
            <w:vAlign w:val="center"/>
          </w:tcPr>
          <w:p w14:paraId="3F4DC3E1">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中标结果公示媒介</w:t>
            </w:r>
          </w:p>
        </w:tc>
        <w:tc>
          <w:tcPr>
            <w:tcW w:w="6837" w:type="dxa"/>
            <w:tcBorders>
              <w:top w:val="single" w:color="auto" w:sz="4" w:space="0"/>
              <w:left w:val="single" w:color="auto" w:sz="4" w:space="0"/>
              <w:right w:val="single" w:color="auto" w:sz="4" w:space="0"/>
            </w:tcBorders>
            <w:noWrap/>
            <w:vAlign w:val="center"/>
          </w:tcPr>
          <w:p w14:paraId="149EF425">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71E62F93">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公示期限：1日</w:t>
            </w:r>
            <w:r>
              <w:rPr>
                <w:rFonts w:hint="eastAsia" w:ascii="宋体" w:hAnsi="宋体" w:cs="宋体"/>
                <w:b w:val="0"/>
                <w:bCs w:val="0"/>
                <w:color w:val="auto"/>
                <w:sz w:val="21"/>
                <w:szCs w:val="21"/>
                <w:highlight w:val="none"/>
                <w:lang w:eastAsia="zh-CN"/>
              </w:rPr>
              <w:t>。</w:t>
            </w:r>
          </w:p>
        </w:tc>
      </w:tr>
      <w:tr w14:paraId="1E99CD29">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5CD3FD14">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right w:val="single" w:color="auto" w:sz="4" w:space="0"/>
            </w:tcBorders>
            <w:noWrap/>
            <w:vAlign w:val="center"/>
          </w:tcPr>
          <w:p w14:paraId="78948775">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6837" w:type="dxa"/>
            <w:tcBorders>
              <w:top w:val="single" w:color="auto" w:sz="4" w:space="0"/>
              <w:left w:val="single" w:color="auto" w:sz="4" w:space="0"/>
              <w:right w:val="single" w:color="auto" w:sz="4" w:space="0"/>
            </w:tcBorders>
            <w:noWrap/>
            <w:vAlign w:val="center"/>
          </w:tcPr>
          <w:p w14:paraId="72945261">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14:paraId="616DD867">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3D5A16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979CC5">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6837" w:type="dxa"/>
            <w:tcBorders>
              <w:top w:val="single" w:color="auto" w:sz="4" w:space="0"/>
              <w:left w:val="single" w:color="auto" w:sz="4" w:space="0"/>
              <w:bottom w:val="single" w:color="auto" w:sz="4" w:space="0"/>
              <w:right w:val="single" w:color="auto" w:sz="4" w:space="0"/>
            </w:tcBorders>
            <w:noWrap/>
            <w:vAlign w:val="center"/>
          </w:tcPr>
          <w:p w14:paraId="7374211F">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是否要求提交履约担保：要求</w:t>
            </w:r>
          </w:p>
          <w:p w14:paraId="19BD8AA1">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bCs/>
                <w:color w:val="auto"/>
                <w:szCs w:val="21"/>
                <w:highlight w:val="none"/>
                <w:lang w:val="en-US" w:eastAsia="zh-CN"/>
              </w:rPr>
              <w:t>支持</w:t>
            </w:r>
            <w:r>
              <w:rPr>
                <w:rFonts w:hint="eastAsia" w:ascii="宋体" w:hAnsi="宋体" w:cs="宋体"/>
                <w:bCs/>
                <w:color w:val="auto"/>
                <w:szCs w:val="21"/>
                <w:highlight w:val="none"/>
              </w:rPr>
              <w:t>银行转账、银行电汇、银行保函、担保机构担保、保证保险使用</w:t>
            </w:r>
            <w:r>
              <w:rPr>
                <w:rFonts w:hint="eastAsia" w:ascii="宋体" w:hAnsi="宋体" w:cs="宋体"/>
                <w:color w:val="auto"/>
                <w:szCs w:val="21"/>
                <w:highlight w:val="none"/>
              </w:rPr>
              <w:t xml:space="preserve"> </w:t>
            </w:r>
          </w:p>
          <w:p w14:paraId="157AE181">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14:paraId="3AA92A7D">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29DCBDC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51CFDBF7">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23F6196A">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合同签订前。</w:t>
            </w:r>
          </w:p>
          <w:p w14:paraId="509DB453">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14:paraId="654CF6E9">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sz w:val="21"/>
                <w:szCs w:val="21"/>
                <w:highlight w:val="none"/>
                <w:lang w:val="en-US" w:eastAsia="zh-CN"/>
              </w:rPr>
              <w:t>其他相关要求：</w:t>
            </w:r>
            <w:r>
              <w:rPr>
                <w:rFonts w:hint="eastAsia" w:ascii="宋体" w:hAnsi="宋体" w:cs="宋体"/>
                <w:color w:val="auto"/>
                <w:sz w:val="21"/>
                <w:szCs w:val="21"/>
                <w:highlight w:val="none"/>
                <w:lang w:val="en-US" w:eastAsia="zh-CN"/>
              </w:rPr>
              <w:t>须符合招标人要求</w:t>
            </w:r>
            <w:r>
              <w:rPr>
                <w:rFonts w:hint="eastAsia" w:ascii="宋体" w:hAnsi="宋体" w:cs="宋体"/>
                <w:color w:val="auto"/>
                <w:szCs w:val="21"/>
                <w:highlight w:val="none"/>
              </w:rPr>
              <w:t>。</w:t>
            </w:r>
          </w:p>
        </w:tc>
      </w:tr>
      <w:tr w14:paraId="00B21AE1">
        <w:tblPrEx>
          <w:tblCellMar>
            <w:top w:w="0" w:type="dxa"/>
            <w:left w:w="108" w:type="dxa"/>
            <w:bottom w:w="0" w:type="dxa"/>
            <w:right w:w="108" w:type="dxa"/>
          </w:tblCellMar>
        </w:tblPrEx>
        <w:trPr>
          <w:trHeight w:val="90" w:hRule="atLeast"/>
          <w:jc w:val="center"/>
        </w:trPr>
        <w:tc>
          <w:tcPr>
            <w:tcW w:w="9914" w:type="dxa"/>
            <w:gridSpan w:val="4"/>
            <w:tcBorders>
              <w:top w:val="single" w:color="auto" w:sz="4" w:space="0"/>
              <w:left w:val="single" w:color="auto" w:sz="4" w:space="0"/>
              <w:bottom w:val="single" w:color="auto" w:sz="4" w:space="0"/>
              <w:right w:val="single" w:color="auto" w:sz="4" w:space="0"/>
            </w:tcBorders>
            <w:noWrap/>
            <w:vAlign w:val="center"/>
          </w:tcPr>
          <w:p w14:paraId="4EA6DC93">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14:paraId="570BA4C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ACBEBFC">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510B6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1500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14:paraId="56F56F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14:paraId="425DA5A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3169FCB">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23DA48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23D6C3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中标单位，由中标单位在领取中标通知书时，一次性支付给代理机构。</w:t>
            </w:r>
          </w:p>
        </w:tc>
      </w:tr>
      <w:tr w14:paraId="30820828">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4C042B1">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评标过程中的澄清、说明或补正</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3638D8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55C709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93F6980">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91EE79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材料</w:t>
            </w:r>
          </w:p>
          <w:p w14:paraId="266246DD">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要求</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0F0334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钢材首选使用马钢、南钢等为代表的一类钢厂的生产产品；（2）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 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3）业主对主要设备及材料有特殊要求的，需提供不少于三个推荐品牌供参考，对于招标人推荐品牌的材料设备，投标人可选用推荐品牌或不低于推荐品牌性能、技术水平、质量标准的其它品牌，如采用其它品牌的，应在投标文件中注明并提供相关技术参数、业绩等供评标委员会评审，未注明或未提供相关技术参数、业绩的或经评标委员会评审未通过的，中标后只能从招标人推荐品牌中进行选择，价格不予调整；招标人选择推荐品牌之外的除外。（4）对于业主推荐品牌的材料，投标人如认为业主推荐的品牌有限定性、唯一性、明显不在同一档次等级的或者其他异议的，应在疑问提出的截止时间前通过交易中心电子交易平台提交。（5）品牌推荐表中所选品牌的产品均为该品牌中档及以上的产品，中标人须在材料设备进场前将样品或技术参数报招标人认可。（6）要求提供产品厂家授权、承诺的，中标后签订合同前提供，中标候选人未在合同签订期限内提供的，视为放弃中标资格，投标保证金不予退还。</w:t>
            </w:r>
          </w:p>
        </w:tc>
      </w:tr>
      <w:tr w14:paraId="5951C98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AEE8544">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工程质量管理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627960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被发包人项目组日常检查、专项检查或第三方巡查等检查出未按设计文件和相关规范施工，存在质量隐患的，必须按要求和规定时限整改到位，同时每次处以2000-50000元的违约金。对拒不执行或整改不力的，加重处罚。情节严重的，发包人有权解除合同，并追偿经济损失。</w:t>
            </w:r>
          </w:p>
          <w:p w14:paraId="2B39EA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（2）质量缺陷责任期内出现质量问题，发包人书面通知承包人，在规定时间内不及时处理的，发包人有权直接委托其他单位进行维修，相关费用直接从工程质保金（运维保证金）中支付。</w:t>
            </w:r>
          </w:p>
        </w:tc>
      </w:tr>
      <w:tr w14:paraId="201D2D9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7044639">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安全文明管理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4B0C5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承包人必须确保安全文明施工，严格执行国家、安徽省、滁州市的相关规定，同时遵守建设单位对安全文明施工的相关要求。经检查，达不到相关规定和要求的，由项目组及时下发整改通知书，拒不整改或限期整改不到位的，处承包人2000元/项/次的违约金。施工现场卫生保洁自开工之日起至工程竣工移交结束，切实做好项目管理人员和工人宿舍安全、卫生工作。</w:t>
            </w:r>
          </w:p>
          <w:p w14:paraId="16F3E0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（2）执行按关于印发《滁州市建筑工地围挡提档升级标准》的通知（建质﹝2022﹞34号文）执行。</w:t>
            </w:r>
          </w:p>
        </w:tc>
      </w:tr>
      <w:tr w14:paraId="2101D35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82787E7">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现场管理</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489F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1、施工过程中，项目管理及施工人员以外的无关人员一律不得留宿施工现场，项目负责人负责管理及清理出场；</w:t>
            </w:r>
          </w:p>
          <w:p w14:paraId="757AB3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2、施工过程中，严格执行国家及地方针对环保、禁噪、防尘、防护等措施，必须满足当地行政主管部门相关规定及要求。</w:t>
            </w:r>
          </w:p>
          <w:p w14:paraId="50B82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3、施工场地及周边场地、道路、绿化、管线、围墙等，若被施工方损坏，施工方必须无偿按照原貌恢复。</w:t>
            </w:r>
          </w:p>
          <w:p w14:paraId="61601C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4、投标人自行勘察施工现场情况，充分考虑难度系数和不可预见因素。施工期间的协调工作由承包人自行解决，此部分费用包含在投标报价中。因投标人未踏勘现场而造成的损失由投标人承担。</w:t>
            </w:r>
          </w:p>
          <w:p w14:paraId="05127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5、在工程建设过程中，出现质量、安全、进度、文明施工、扬尘污染、人员不在岗履职等违约行为的，发包人将给予违约处罚；如承包人拒不缴纳违约金的，发包人有权从履约保证金中直接扣除。</w:t>
            </w:r>
          </w:p>
          <w:p w14:paraId="0C6069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lang w:val="en-US" w:eastAsia="zh-CN"/>
              </w:rPr>
            </w:pPr>
            <w:r>
              <w:rPr>
                <w:rFonts w:hint="eastAsia"/>
                <w:color w:val="auto"/>
                <w:sz w:val="21"/>
                <w:szCs w:val="21"/>
                <w:highlight w:val="none"/>
                <w:lang w:val="en-US" w:eastAsia="zh-CN"/>
              </w:rPr>
              <w:t>6、</w:t>
            </w:r>
            <w:r>
              <w:rPr>
                <w:rFonts w:hint="eastAsia"/>
                <w:b/>
                <w:bCs/>
                <w:color w:val="auto"/>
                <w:sz w:val="21"/>
                <w:szCs w:val="21"/>
                <w:highlight w:val="none"/>
                <w:lang w:val="en-US" w:eastAsia="zh-CN"/>
              </w:rPr>
              <w:t>整个施工期间，施工现场的人员安全由成交供应商进行保障，如发生安全事故，由成交供应商承担，成交供应商应该充分关注和保障所有在现场工作的人员的安全，采取有效措施，使现场和本合同工程的实施保持有条不紊，以免使上述人员的安全受到威协。特殊工种（电工、电梯工、起重工、电焊工、车船驾驶员、爆破工、瓦斯检查员等）要经专业培训，并持有专业主管部门签发的证书上岗；对于易燃易爆的材料除应专门妥善保管之外，还应配备有足够的消防设备，所有施工人员都应熟悉消防设备的性能和使用方法；所有施工机具设备和高空作业设备均应自费定期按国家和行政主管部门的有关规定进行检测和标定，并将检测结果报监理人。</w:t>
            </w:r>
          </w:p>
        </w:tc>
      </w:tr>
      <w:tr w14:paraId="527F8741">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9F24BFC">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136" w:type="dxa"/>
            <w:gridSpan w:val="2"/>
            <w:tcBorders>
              <w:top w:val="single" w:color="auto" w:sz="4" w:space="0"/>
              <w:left w:val="single" w:color="auto" w:sz="4" w:space="0"/>
              <w:bottom w:val="single" w:color="auto" w:sz="4" w:space="0"/>
              <w:right w:val="single" w:color="auto" w:sz="4" w:space="0"/>
            </w:tcBorders>
            <w:noWrap/>
            <w:vAlign w:val="center"/>
          </w:tcPr>
          <w:p w14:paraId="7E93C2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14:paraId="27DA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14:paraId="25D6F4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14:paraId="7BDF3D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14:paraId="621305A5">
      <w:pPr>
        <w:rPr>
          <w:rFonts w:hint="eastAsia" w:ascii="宋体" w:hAnsi="宋体" w:eastAsia="宋体" w:cs="宋体"/>
          <w:color w:val="auto"/>
          <w:sz w:val="24"/>
          <w:szCs w:val="24"/>
          <w:highlight w:val="none"/>
        </w:rPr>
      </w:pPr>
      <w:bookmarkStart w:id="61" w:name="_Toc35424887"/>
      <w:bookmarkStart w:id="62" w:name="_Toc15058846"/>
      <w:bookmarkStart w:id="63" w:name="_Toc5813"/>
      <w:bookmarkStart w:id="64" w:name="_Toc78803322"/>
      <w:bookmarkStart w:id="65" w:name="_Toc35425053"/>
      <w:r>
        <w:rPr>
          <w:rFonts w:hint="eastAsia" w:ascii="宋体" w:hAnsi="宋体" w:eastAsia="宋体" w:cs="宋体"/>
          <w:color w:val="auto"/>
          <w:sz w:val="24"/>
          <w:szCs w:val="24"/>
          <w:highlight w:val="none"/>
        </w:rPr>
        <w:br w:type="page"/>
      </w:r>
    </w:p>
    <w:p w14:paraId="397CD072">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602C201">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6" w:name="_Toc246996176"/>
      <w:bookmarkStart w:id="67" w:name="_Toc35424888"/>
      <w:bookmarkStart w:id="68" w:name="_Toc152042306"/>
      <w:bookmarkStart w:id="69" w:name="_Toc15058847"/>
      <w:bookmarkStart w:id="70" w:name="_Toc296602421"/>
      <w:bookmarkStart w:id="71" w:name="_Toc179632547"/>
      <w:bookmarkStart w:id="72" w:name="_Toc324404816"/>
      <w:bookmarkStart w:id="73" w:name="_Toc246996919"/>
      <w:bookmarkStart w:id="74" w:name="_Toc78803323"/>
      <w:bookmarkStart w:id="75" w:name="_Toc247085690"/>
      <w:bookmarkStart w:id="76" w:name="_Toc152045530"/>
      <w:bookmarkStart w:id="77" w:name="_Toc506107270"/>
      <w:bookmarkStart w:id="78" w:name="_Toc144974498"/>
      <w:bookmarkStart w:id="79" w:name="_Toc35425054"/>
      <w:bookmarkStart w:id="80" w:name="_Toc4678"/>
      <w:r>
        <w:rPr>
          <w:rFonts w:hint="eastAsia" w:ascii="宋体" w:hAnsi="宋体" w:eastAsia="宋体" w:cs="宋体"/>
          <w:color w:val="auto"/>
          <w:kern w:val="44"/>
          <w:highlight w:val="none"/>
        </w:rPr>
        <w:t>1.1 项目概况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A8A10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2C7F19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5168C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242FC7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D8E07D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9E7A798">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1" w:name="_Toc35424889"/>
      <w:bookmarkStart w:id="82" w:name="_Toc246996920"/>
      <w:bookmarkStart w:id="83" w:name="_Toc152045531"/>
      <w:bookmarkStart w:id="84" w:name="_Toc78803324"/>
      <w:bookmarkStart w:id="85" w:name="_Toc506107271"/>
      <w:bookmarkStart w:id="86" w:name="_Toc144974499"/>
      <w:bookmarkStart w:id="87" w:name="_Toc152042307"/>
      <w:bookmarkStart w:id="88" w:name="_Toc15058848"/>
      <w:bookmarkStart w:id="89" w:name="_Toc7142"/>
      <w:bookmarkStart w:id="90" w:name="_Toc296602422"/>
      <w:bookmarkStart w:id="91" w:name="_Toc246996177"/>
      <w:bookmarkStart w:id="92" w:name="_Toc35425055"/>
      <w:bookmarkStart w:id="93" w:name="_Toc324404817"/>
      <w:bookmarkStart w:id="94" w:name="_Toc179632548"/>
      <w:bookmarkStart w:id="95" w:name="_Toc247085691"/>
      <w:r>
        <w:rPr>
          <w:rFonts w:hint="eastAsia" w:ascii="宋体" w:hAnsi="宋体" w:eastAsia="宋体" w:cs="宋体"/>
          <w:color w:val="auto"/>
          <w:highlight w:val="none"/>
        </w:rPr>
        <w:t>1.2 资金来源和落实情况</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4C6BD83">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3DD18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592236A">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6" w:name="_Toc6330"/>
      <w:bookmarkStart w:id="97" w:name="_Toc246996178"/>
      <w:bookmarkStart w:id="98" w:name="_Toc35425056"/>
      <w:bookmarkStart w:id="99" w:name="_Toc296602423"/>
      <w:bookmarkStart w:id="100" w:name="_Toc247085692"/>
      <w:bookmarkStart w:id="101" w:name="_Toc152045532"/>
      <w:bookmarkStart w:id="102" w:name="_Toc506107272"/>
      <w:bookmarkStart w:id="103" w:name="_Toc179632549"/>
      <w:bookmarkStart w:id="104" w:name="_Toc35424890"/>
      <w:bookmarkStart w:id="105" w:name="_Toc324404818"/>
      <w:bookmarkStart w:id="106" w:name="_Toc152042308"/>
      <w:bookmarkStart w:id="107" w:name="_Toc78803325"/>
      <w:bookmarkStart w:id="108" w:name="_Toc144974500"/>
      <w:bookmarkStart w:id="109" w:name="_Toc15058849"/>
      <w:bookmarkStart w:id="110" w:name="_Toc246996921"/>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0EC76B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D0015E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14:paraId="723ECF1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62F4DDB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1" w:name="_Toc152045534"/>
      <w:bookmarkStart w:id="112" w:name="_Toc506107273"/>
      <w:bookmarkStart w:id="113" w:name="_Toc246996922"/>
      <w:bookmarkStart w:id="114" w:name="_Toc179632551"/>
      <w:bookmarkStart w:id="115" w:name="_Toc144974502"/>
      <w:bookmarkStart w:id="116" w:name="_Toc78803326"/>
      <w:bookmarkStart w:id="117" w:name="_Toc296602424"/>
      <w:bookmarkStart w:id="118" w:name="_Toc26897"/>
      <w:bookmarkStart w:id="119" w:name="_Toc152042310"/>
      <w:bookmarkStart w:id="120" w:name="_Toc35424891"/>
      <w:bookmarkStart w:id="121" w:name="_Toc35425057"/>
      <w:bookmarkStart w:id="122" w:name="_Toc15058850"/>
      <w:bookmarkStart w:id="123" w:name="_Toc324404819"/>
      <w:bookmarkStart w:id="124" w:name="_Toc246996179"/>
      <w:bookmarkStart w:id="125" w:name="_Toc247085693"/>
      <w:r>
        <w:rPr>
          <w:rFonts w:hint="eastAsia" w:ascii="宋体" w:hAnsi="宋体" w:eastAsia="宋体" w:cs="宋体"/>
          <w:color w:val="auto"/>
          <w:highlight w:val="none"/>
        </w:rPr>
        <w:t>1.4 投标人资格要求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3808A2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14:paraId="24FF60A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3D1D9B8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14:paraId="4AD897A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14:paraId="7E29362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14:paraId="6AB64CF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14:paraId="6048E02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623529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4F6A06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00E0631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002B223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14:paraId="5301E19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14:paraId="45A5B8F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3D5C4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4F2469C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14:paraId="21DDF5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14:paraId="111AA22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41946C8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14:paraId="4BC6C2B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6" w:name="_Toc144974503"/>
      <w:bookmarkStart w:id="127" w:name="_Toc246996180"/>
      <w:bookmarkStart w:id="128" w:name="_Toc10179"/>
      <w:bookmarkStart w:id="129" w:name="_Toc35425058"/>
      <w:bookmarkStart w:id="130" w:name="_Toc246996923"/>
      <w:bookmarkStart w:id="131" w:name="_Toc296602425"/>
      <w:bookmarkStart w:id="132" w:name="_Toc179632552"/>
      <w:bookmarkStart w:id="133" w:name="_Toc15058851"/>
      <w:bookmarkStart w:id="134" w:name="_Toc324404820"/>
      <w:bookmarkStart w:id="135" w:name="_Toc35424892"/>
      <w:bookmarkStart w:id="136" w:name="_Toc247085694"/>
      <w:bookmarkStart w:id="137" w:name="_Toc152045535"/>
      <w:bookmarkStart w:id="138" w:name="_Toc152042311"/>
      <w:bookmarkStart w:id="139" w:name="_Toc78803327"/>
      <w:bookmarkStart w:id="140" w:name="_Toc506107274"/>
      <w:r>
        <w:rPr>
          <w:rFonts w:hint="eastAsia" w:ascii="宋体" w:hAnsi="宋体" w:eastAsia="宋体" w:cs="宋体"/>
          <w:color w:val="auto"/>
          <w:highlight w:val="none"/>
        </w:rPr>
        <w:t>1.5 费用承担</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A0E657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40BDE53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1" w:name="_Toc246996924"/>
      <w:bookmarkStart w:id="142" w:name="_Toc4092"/>
      <w:bookmarkStart w:id="143" w:name="_Toc78803328"/>
      <w:bookmarkStart w:id="144" w:name="_Toc324404821"/>
      <w:bookmarkStart w:id="145" w:name="_Toc35425059"/>
      <w:bookmarkStart w:id="146" w:name="_Toc152045536"/>
      <w:bookmarkStart w:id="147" w:name="_Toc506107275"/>
      <w:bookmarkStart w:id="148" w:name="_Toc15058852"/>
      <w:bookmarkStart w:id="149" w:name="_Toc179632553"/>
      <w:bookmarkStart w:id="150" w:name="_Toc35424893"/>
      <w:bookmarkStart w:id="151" w:name="_Toc246996181"/>
      <w:bookmarkStart w:id="152" w:name="_Toc144974504"/>
      <w:bookmarkStart w:id="153" w:name="_Toc296602426"/>
      <w:bookmarkStart w:id="154" w:name="_Toc152042312"/>
      <w:bookmarkStart w:id="155" w:name="_Toc247085695"/>
      <w:r>
        <w:rPr>
          <w:rFonts w:hint="eastAsia" w:ascii="宋体" w:hAnsi="宋体" w:eastAsia="宋体" w:cs="宋体"/>
          <w:color w:val="auto"/>
          <w:highlight w:val="none"/>
        </w:rPr>
        <w:t>1.6 保密</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06A465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416FA31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6" w:name="_Toc144974505"/>
      <w:bookmarkStart w:id="157" w:name="_Toc179632554"/>
      <w:bookmarkStart w:id="158" w:name="_Toc78803329"/>
      <w:bookmarkStart w:id="159" w:name="_Toc324404822"/>
      <w:bookmarkStart w:id="160" w:name="_Toc4119"/>
      <w:bookmarkStart w:id="161" w:name="_Toc506107276"/>
      <w:bookmarkStart w:id="162" w:name="_Toc247085696"/>
      <w:bookmarkStart w:id="163" w:name="_Toc152042313"/>
      <w:bookmarkStart w:id="164" w:name="_Toc246996182"/>
      <w:bookmarkStart w:id="165" w:name="_Toc15058853"/>
      <w:bookmarkStart w:id="166" w:name="_Toc35425060"/>
      <w:bookmarkStart w:id="167" w:name="_Toc35424894"/>
      <w:bookmarkStart w:id="168" w:name="_Toc246996925"/>
      <w:bookmarkStart w:id="169" w:name="_Toc152045537"/>
      <w:bookmarkStart w:id="170" w:name="_Toc296602427"/>
      <w:r>
        <w:rPr>
          <w:rFonts w:hint="eastAsia" w:ascii="宋体" w:hAnsi="宋体" w:eastAsia="宋体" w:cs="宋体"/>
          <w:color w:val="auto"/>
          <w:highlight w:val="none"/>
        </w:rPr>
        <w:t>1.7 语言</w:t>
      </w:r>
      <w:bookmarkEnd w:id="156"/>
      <w:r>
        <w:rPr>
          <w:rFonts w:hint="eastAsia" w:ascii="宋体" w:hAnsi="宋体" w:eastAsia="宋体" w:cs="宋体"/>
          <w:color w:val="auto"/>
          <w:highlight w:val="none"/>
        </w:rPr>
        <w:t>文字</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7969E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71" w:name="_Toc152045538"/>
      <w:bookmarkStart w:id="172" w:name="_Toc152042314"/>
      <w:bookmarkStart w:id="173" w:name="_Toc247085697"/>
      <w:bookmarkStart w:id="174" w:name="_Toc246996926"/>
      <w:bookmarkStart w:id="175" w:name="_Toc246996183"/>
      <w:bookmarkStart w:id="176" w:name="_Toc179632555"/>
      <w:bookmarkStart w:id="177" w:name="_Toc144974506"/>
      <w:r>
        <w:rPr>
          <w:rFonts w:hint="eastAsia" w:ascii="宋体" w:hAnsi="宋体" w:cs="宋体"/>
          <w:color w:val="auto"/>
          <w:szCs w:val="21"/>
          <w:highlight w:val="none"/>
        </w:rPr>
        <w:t>招标投标文件使用的语言文字为中文。专用术语使用外文的，应附有中文注释。</w:t>
      </w:r>
    </w:p>
    <w:p w14:paraId="32BE040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35424895"/>
      <w:bookmarkStart w:id="179" w:name="_Toc35425061"/>
      <w:bookmarkStart w:id="180" w:name="_Toc15058854"/>
      <w:bookmarkStart w:id="181" w:name="_Toc296602428"/>
      <w:bookmarkStart w:id="182" w:name="_Toc324404823"/>
      <w:bookmarkStart w:id="183" w:name="_Toc506107277"/>
      <w:bookmarkStart w:id="184" w:name="_Toc78803330"/>
      <w:bookmarkStart w:id="185" w:name="_Toc13408"/>
      <w:r>
        <w:rPr>
          <w:rFonts w:hint="eastAsia" w:ascii="宋体" w:hAnsi="宋体" w:eastAsia="宋体" w:cs="宋体"/>
          <w:color w:val="auto"/>
          <w:highlight w:val="none"/>
        </w:rPr>
        <w:t>1.8 计量单位</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52E05A5">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CDDED8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6" w:name="_Toc324404824"/>
      <w:bookmarkStart w:id="187" w:name="_Toc152042315"/>
      <w:bookmarkStart w:id="188" w:name="_Toc78803331"/>
      <w:bookmarkStart w:id="189" w:name="_Toc247527563"/>
      <w:bookmarkStart w:id="190" w:name="_Toc152045539"/>
      <w:bookmarkStart w:id="191" w:name="_Toc296602429"/>
      <w:bookmarkStart w:id="192" w:name="_Toc35425062"/>
      <w:bookmarkStart w:id="193" w:name="_Toc506107278"/>
      <w:bookmarkStart w:id="194" w:name="_Toc247592876"/>
      <w:bookmarkStart w:id="195" w:name="_Toc144974507"/>
      <w:bookmarkStart w:id="196" w:name="_Toc11493"/>
      <w:bookmarkStart w:id="197" w:name="_Toc15058855"/>
      <w:bookmarkStart w:id="198" w:name="_Toc247513962"/>
      <w:bookmarkStart w:id="199" w:name="_Toc35424896"/>
      <w:r>
        <w:rPr>
          <w:rFonts w:hint="eastAsia" w:ascii="宋体" w:hAnsi="宋体" w:eastAsia="宋体" w:cs="宋体"/>
          <w:color w:val="auto"/>
          <w:highlight w:val="none"/>
        </w:rPr>
        <w:t>1.9 踏勘现场</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4824D52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14:paraId="3400E97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37C774C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08A1DC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14:paraId="71AACDF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00" w:name="_Toc15058856"/>
      <w:bookmarkStart w:id="201" w:name="_Toc35424897"/>
      <w:bookmarkStart w:id="202" w:name="_Toc296602430"/>
      <w:bookmarkStart w:id="203" w:name="_Toc144974508"/>
      <w:bookmarkStart w:id="204" w:name="_Toc22954"/>
      <w:bookmarkStart w:id="205" w:name="_Toc152042316"/>
      <w:bookmarkStart w:id="206" w:name="_Toc78803332"/>
      <w:bookmarkStart w:id="207" w:name="_Toc247592877"/>
      <w:bookmarkStart w:id="208" w:name="_Toc247527564"/>
      <w:bookmarkStart w:id="209" w:name="_Toc35425063"/>
      <w:bookmarkStart w:id="210" w:name="_Toc247513963"/>
      <w:bookmarkStart w:id="211" w:name="_Toc506107279"/>
      <w:bookmarkStart w:id="212" w:name="_Toc152045540"/>
      <w:bookmarkStart w:id="213" w:name="_Toc324404825"/>
      <w:r>
        <w:rPr>
          <w:rFonts w:hint="eastAsia" w:ascii="宋体" w:hAnsi="宋体" w:eastAsia="宋体" w:cs="宋体"/>
          <w:color w:val="auto"/>
          <w:highlight w:val="none"/>
        </w:rPr>
        <w:t>1.10 投标预备会</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F4A435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19372174">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66EBEA0">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14:paraId="29D1FE6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4" w:name="_Toc506107280"/>
      <w:bookmarkStart w:id="215" w:name="_Toc15058857"/>
      <w:bookmarkStart w:id="216" w:name="_Toc296602431"/>
      <w:bookmarkStart w:id="217" w:name="_Toc324404826"/>
      <w:bookmarkStart w:id="218" w:name="_Toc60061444"/>
      <w:bookmarkStart w:id="219" w:name="_Toc83301699"/>
      <w:bookmarkStart w:id="220" w:name="_Toc95223347"/>
      <w:bookmarkStart w:id="221" w:name="_Toc246996187"/>
      <w:bookmarkStart w:id="222" w:name="_Toc4012"/>
      <w:bookmarkStart w:id="223" w:name="_Toc152042318"/>
      <w:bookmarkStart w:id="224" w:name="_Toc247085701"/>
      <w:bookmarkStart w:id="225" w:name="_Toc78803334"/>
      <w:bookmarkStart w:id="226" w:name="_Toc35425065"/>
      <w:bookmarkStart w:id="227" w:name="_Toc246996930"/>
      <w:bookmarkStart w:id="228" w:name="_Toc506107281"/>
      <w:bookmarkStart w:id="229" w:name="_Toc324404827"/>
      <w:bookmarkStart w:id="230" w:name="_Toc144974510"/>
      <w:bookmarkStart w:id="231" w:name="_Toc179632560"/>
      <w:bookmarkStart w:id="232" w:name="_Toc15058858"/>
      <w:bookmarkStart w:id="233" w:name="_Toc35424899"/>
      <w:bookmarkStart w:id="234" w:name="_Toc152045542"/>
      <w:r>
        <w:rPr>
          <w:rFonts w:hint="eastAsia" w:ascii="宋体" w:hAnsi="宋体" w:eastAsia="宋体" w:cs="宋体"/>
          <w:color w:val="auto"/>
          <w:highlight w:val="none"/>
        </w:rPr>
        <w:t xml:space="preserve">1.11 </w:t>
      </w:r>
      <w:bookmarkEnd w:id="214"/>
      <w:bookmarkEnd w:id="215"/>
      <w:bookmarkEnd w:id="216"/>
      <w:bookmarkEnd w:id="217"/>
      <w:r>
        <w:rPr>
          <w:rFonts w:hint="eastAsia" w:ascii="宋体" w:hAnsi="宋体" w:eastAsia="宋体" w:cs="宋体"/>
          <w:color w:val="auto"/>
          <w:highlight w:val="none"/>
        </w:rPr>
        <w:t>分包</w:t>
      </w:r>
      <w:bookmarkEnd w:id="218"/>
      <w:bookmarkEnd w:id="219"/>
      <w:bookmarkEnd w:id="220"/>
    </w:p>
    <w:p w14:paraId="1C2ED91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14:paraId="79C10CA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14:paraId="79B1134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14:paraId="682A8BA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14:paraId="72DC977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14:paraId="68ADCF22">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5" w:name="_Toc95223348"/>
      <w:bookmarkStart w:id="236" w:name="_Toc83301700"/>
      <w:bookmarkStart w:id="237" w:name="_Toc60061445"/>
      <w:r>
        <w:rPr>
          <w:rFonts w:hint="eastAsia" w:ascii="宋体" w:hAnsi="宋体" w:eastAsia="宋体" w:cs="宋体"/>
          <w:color w:val="auto"/>
          <w:highlight w:val="none"/>
        </w:rPr>
        <w:t>1.12 偏离</w:t>
      </w:r>
      <w:bookmarkEnd w:id="235"/>
      <w:bookmarkEnd w:id="236"/>
      <w:bookmarkEnd w:id="237"/>
    </w:p>
    <w:p w14:paraId="6AC9972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F53D5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2AFC0F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14:paraId="3D0622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747FCC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14:paraId="63E877C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14:paraId="03C13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587CB98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14:paraId="4211907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AD4D020">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617D22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8" w:name="_Toc144974511"/>
      <w:bookmarkStart w:id="239" w:name="_Toc15058859"/>
      <w:bookmarkStart w:id="240" w:name="_Toc247085702"/>
      <w:bookmarkStart w:id="241" w:name="_Toc152042319"/>
      <w:bookmarkStart w:id="242" w:name="_Toc35424900"/>
      <w:bookmarkStart w:id="243" w:name="_Toc152045543"/>
      <w:bookmarkStart w:id="244" w:name="_Toc246996188"/>
      <w:bookmarkStart w:id="245" w:name="_Toc35425066"/>
      <w:bookmarkStart w:id="246" w:name="_Toc246996931"/>
      <w:bookmarkStart w:id="247" w:name="_Toc78803335"/>
      <w:bookmarkStart w:id="248" w:name="_Toc179632561"/>
      <w:bookmarkStart w:id="249" w:name="_Toc296602433"/>
      <w:bookmarkStart w:id="250" w:name="_Toc506107282"/>
      <w:bookmarkStart w:id="251" w:name="_Toc13213"/>
      <w:bookmarkStart w:id="252" w:name="_Toc324404828"/>
      <w:r>
        <w:rPr>
          <w:rFonts w:hint="eastAsia" w:ascii="宋体" w:hAnsi="宋体" w:eastAsia="宋体" w:cs="宋体"/>
          <w:color w:val="auto"/>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0CEAFF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14:paraId="42D2F2F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902BE9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16B1B4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6F91010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7B5ABAB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14:paraId="6A9F51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14:paraId="72D9E73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14:paraId="6F368A3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技术标准和要求</w:t>
      </w:r>
      <w:r>
        <w:rPr>
          <w:rFonts w:hint="eastAsia" w:ascii="宋体" w:hAnsi="宋体" w:cs="宋体"/>
          <w:color w:val="auto"/>
          <w:szCs w:val="21"/>
          <w:highlight w:val="none"/>
          <w:lang w:val="en-US" w:eastAsia="zh-CN"/>
        </w:rPr>
        <w:t>；</w:t>
      </w:r>
    </w:p>
    <w:p w14:paraId="043FA20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）投标文件格式；</w:t>
      </w:r>
    </w:p>
    <w:p w14:paraId="29C1FDE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）投标人须知前附表规定的其他材料。</w:t>
      </w:r>
    </w:p>
    <w:p w14:paraId="2A7E5CD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5AF466DE">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2918C0B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3" w:name="_Toc144974512"/>
      <w:bookmarkStart w:id="254" w:name="_Toc32239"/>
      <w:bookmarkStart w:id="255" w:name="_Toc324404829"/>
      <w:bookmarkStart w:id="256" w:name="_Toc35425067"/>
      <w:bookmarkStart w:id="257" w:name="_Toc246996932"/>
      <w:bookmarkStart w:id="258" w:name="_Toc78803336"/>
      <w:bookmarkStart w:id="259" w:name="_Toc179632562"/>
      <w:bookmarkStart w:id="260" w:name="_Toc15058860"/>
      <w:bookmarkStart w:id="261" w:name="_Toc152042320"/>
      <w:bookmarkStart w:id="262" w:name="_Toc506107283"/>
      <w:bookmarkStart w:id="263" w:name="_Toc246996189"/>
      <w:bookmarkStart w:id="264" w:name="_Toc247085703"/>
      <w:bookmarkStart w:id="265" w:name="_Toc296602434"/>
      <w:bookmarkStart w:id="266" w:name="_Toc35424901"/>
      <w:bookmarkStart w:id="267" w:name="_Toc152045544"/>
      <w:r>
        <w:rPr>
          <w:rFonts w:hint="eastAsia" w:ascii="宋体" w:hAnsi="宋体" w:eastAsia="宋体" w:cs="宋体"/>
          <w:color w:val="auto"/>
          <w:highlight w:val="none"/>
        </w:rPr>
        <w:t>2.2 招标文件的</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hint="eastAsia" w:ascii="宋体" w:hAnsi="宋体" w:eastAsia="宋体" w:cs="宋体"/>
          <w:color w:val="auto"/>
          <w:highlight w:val="none"/>
          <w:lang w:val="en-US" w:eastAsia="zh-CN"/>
        </w:rPr>
        <w:t>异议</w:t>
      </w:r>
    </w:p>
    <w:p w14:paraId="06C3224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“滁州市城投工程咨询管理有限公司”（https://www.czctgczx.com/）</w:t>
      </w:r>
      <w:r>
        <w:rPr>
          <w:rFonts w:hint="eastAsia" w:ascii="宋体" w:hAnsi="宋体" w:cs="宋体"/>
          <w:color w:val="auto"/>
          <w:szCs w:val="21"/>
          <w:highlight w:val="none"/>
          <w:lang w:val="en-US" w:eastAsia="zh-CN"/>
        </w:rPr>
        <w:t>网</w:t>
      </w:r>
      <w:r>
        <w:rPr>
          <w:rFonts w:hint="eastAsia" w:ascii="宋体" w:hAnsi="宋体" w:cs="宋体"/>
          <w:color w:val="auto"/>
          <w:szCs w:val="21"/>
          <w:highlight w:val="none"/>
        </w:rPr>
        <w:t xml:space="preserve">发布，但不指明澄清问题的来源。 </w:t>
      </w:r>
    </w:p>
    <w:p w14:paraId="159D9C2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8" w:name="_Toc144974513"/>
      <w:bookmarkStart w:id="269" w:name="_Toc15058861"/>
      <w:bookmarkStart w:id="270" w:name="_Toc247085704"/>
      <w:bookmarkStart w:id="271" w:name="_Toc35424902"/>
      <w:bookmarkStart w:id="272" w:name="_Toc324404830"/>
      <w:bookmarkStart w:id="273" w:name="_Toc78803337"/>
      <w:bookmarkStart w:id="274" w:name="_Toc24633"/>
      <w:bookmarkStart w:id="275" w:name="_Toc506107284"/>
      <w:bookmarkStart w:id="276" w:name="_Toc179632563"/>
      <w:bookmarkStart w:id="277" w:name="_Toc152042321"/>
      <w:bookmarkStart w:id="278" w:name="_Toc246996933"/>
      <w:bookmarkStart w:id="279" w:name="_Toc246996190"/>
      <w:bookmarkStart w:id="280" w:name="_Toc296602435"/>
      <w:bookmarkStart w:id="281" w:name="_Toc152045545"/>
      <w:bookmarkStart w:id="282" w:name="_Toc35425068"/>
      <w:r>
        <w:rPr>
          <w:rFonts w:hint="eastAsia" w:ascii="宋体" w:hAnsi="宋体" w:eastAsia="宋体" w:cs="宋体"/>
          <w:color w:val="auto"/>
          <w:highlight w:val="none"/>
        </w:rPr>
        <w:t>2.3 招标文件的</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宋体" w:hAnsi="宋体" w:eastAsia="宋体" w:cs="宋体"/>
          <w:color w:val="auto"/>
          <w:highlight w:val="none"/>
          <w:lang w:val="en-US" w:eastAsia="zh-CN"/>
        </w:rPr>
        <w:t>澄清</w:t>
      </w:r>
    </w:p>
    <w:p w14:paraId="7AAF5301">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“滁州市城投工程咨询管理有限公司”（https://www.czctgczx.com/）等</w:t>
      </w:r>
      <w:r>
        <w:rPr>
          <w:rFonts w:hint="eastAsia"/>
          <w:color w:val="auto"/>
          <w:spacing w:val="0"/>
          <w:sz w:val="21"/>
          <w:highlight w:val="none"/>
        </w:rPr>
        <w:t>网</w:t>
      </w:r>
      <w:r>
        <w:rPr>
          <w:rFonts w:hint="eastAsia"/>
          <w:color w:val="auto"/>
          <w:spacing w:val="0"/>
          <w:sz w:val="21"/>
          <w:highlight w:val="none"/>
          <w:lang w:val="en-US" w:eastAsia="zh-CN"/>
        </w:rPr>
        <w:t>站</w:t>
      </w:r>
      <w:r>
        <w:rPr>
          <w:rFonts w:hint="eastAsia" w:ascii="宋体" w:hAnsi="宋体" w:cs="宋体"/>
          <w:color w:val="auto"/>
          <w:spacing w:val="0"/>
          <w:sz w:val="21"/>
          <w:szCs w:val="21"/>
          <w:highlight w:val="none"/>
        </w:rPr>
        <w:t>发布。但如果修改内容影响投标文件编制的，将相应延长投标截止时间。</w:t>
      </w:r>
    </w:p>
    <w:p w14:paraId="75317E1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3" w:name="_Toc179632564"/>
      <w:bookmarkStart w:id="284" w:name="_Toc506107285"/>
      <w:bookmarkStart w:id="285" w:name="_Toc78803339"/>
      <w:bookmarkStart w:id="286" w:name="_Toc246996191"/>
      <w:bookmarkStart w:id="287" w:name="_Toc246996934"/>
      <w:bookmarkStart w:id="288" w:name="_Toc6464"/>
      <w:bookmarkStart w:id="289" w:name="_Toc144974514"/>
      <w:bookmarkStart w:id="290" w:name="_Toc35425070"/>
      <w:bookmarkStart w:id="291" w:name="_Toc324404832"/>
      <w:bookmarkStart w:id="292" w:name="_Toc152042322"/>
      <w:bookmarkStart w:id="293" w:name="_Toc35424904"/>
      <w:bookmarkStart w:id="294" w:name="_Toc247085705"/>
      <w:bookmarkStart w:id="295" w:name="_Toc15058863"/>
      <w:bookmarkStart w:id="296" w:name="_Toc152045546"/>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713998A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7" w:name="_Toc324404833"/>
      <w:bookmarkStart w:id="298" w:name="_Toc35425071"/>
      <w:bookmarkStart w:id="299" w:name="_Toc35424905"/>
      <w:bookmarkStart w:id="300" w:name="_Toc247085706"/>
      <w:bookmarkStart w:id="301" w:name="_Toc506107286"/>
      <w:bookmarkStart w:id="302" w:name="_Toc246996192"/>
      <w:bookmarkStart w:id="303" w:name="_Toc246996935"/>
      <w:bookmarkStart w:id="304" w:name="_Toc152045547"/>
      <w:bookmarkStart w:id="305" w:name="_Toc15058864"/>
      <w:bookmarkStart w:id="306" w:name="_Toc296602437"/>
      <w:bookmarkStart w:id="307" w:name="_Toc78803340"/>
      <w:bookmarkStart w:id="308" w:name="_Toc179632565"/>
      <w:bookmarkStart w:id="309" w:name="_Toc152042323"/>
      <w:bookmarkStart w:id="310" w:name="_Toc144974515"/>
      <w:bookmarkStart w:id="311" w:name="_Toc157"/>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37296B2B">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章“投标文件格式”。</w:t>
      </w:r>
    </w:p>
    <w:p w14:paraId="43674CA5">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2" w:name="_Toc35424906"/>
      <w:bookmarkStart w:id="313" w:name="_Toc247085707"/>
      <w:bookmarkStart w:id="314" w:name="_Toc179632566"/>
      <w:bookmarkStart w:id="315" w:name="_Toc324404834"/>
      <w:bookmarkStart w:id="316" w:name="_Toc296602438"/>
      <w:bookmarkStart w:id="317" w:name="_Toc246996193"/>
      <w:bookmarkStart w:id="318" w:name="_Toc78803341"/>
      <w:bookmarkStart w:id="319" w:name="_Toc6829"/>
      <w:bookmarkStart w:id="320" w:name="_Toc15058865"/>
      <w:bookmarkStart w:id="321" w:name="_Toc506107287"/>
      <w:bookmarkStart w:id="322" w:name="_Toc144974516"/>
      <w:bookmarkStart w:id="323" w:name="_Toc35425072"/>
      <w:bookmarkStart w:id="324" w:name="_Toc246996936"/>
      <w:bookmarkStart w:id="325" w:name="_Toc152045548"/>
      <w:bookmarkStart w:id="326" w:name="_Toc152042324"/>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F1D4E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7" w:name="_Toc15058866"/>
      <w:bookmarkStart w:id="328" w:name="_Toc246996194"/>
      <w:bookmarkStart w:id="329" w:name="_Toc246996937"/>
      <w:bookmarkStart w:id="330" w:name="_Toc35425073"/>
      <w:bookmarkStart w:id="331" w:name="_Toc324404835"/>
      <w:bookmarkStart w:id="332" w:name="_Toc35424907"/>
      <w:bookmarkStart w:id="333" w:name="_Toc179632567"/>
      <w:bookmarkStart w:id="334" w:name="_Toc296602439"/>
      <w:bookmarkStart w:id="335" w:name="_Toc152042325"/>
      <w:bookmarkStart w:id="336" w:name="_Toc152045549"/>
      <w:bookmarkStart w:id="337" w:name="_Toc78803342"/>
      <w:bookmarkStart w:id="338" w:name="_Toc247085708"/>
      <w:bookmarkStart w:id="339" w:name="_Toc144974517"/>
      <w:bookmarkStart w:id="340" w:name="_Toc506107288"/>
      <w:bookmarkStart w:id="341" w:name="_Toc31735"/>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章“投标文件格式”的要求在投标函中进行报价并填写工程量清单相应表格。</w:t>
      </w:r>
    </w:p>
    <w:p w14:paraId="766762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14:paraId="4D796BD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13F722C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14:paraId="6C4EE0EF">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E5B1ED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7C6861E9">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5EB52D86">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00146EB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2" w:name="_Toc15058867"/>
      <w:bookmarkStart w:id="343" w:name="_Toc246996195"/>
      <w:bookmarkStart w:id="344" w:name="_Toc152045550"/>
      <w:bookmarkStart w:id="345" w:name="_Toc247085709"/>
      <w:bookmarkStart w:id="346" w:name="_Toc179632568"/>
      <w:bookmarkStart w:id="347" w:name="_Toc144974518"/>
      <w:bookmarkStart w:id="348" w:name="_Toc152042326"/>
      <w:bookmarkStart w:id="349" w:name="_Toc246996938"/>
      <w:bookmarkStart w:id="350" w:name="_Toc324404836"/>
      <w:bookmarkStart w:id="351" w:name="_Toc35424908"/>
      <w:bookmarkStart w:id="352" w:name="_Toc10714"/>
      <w:bookmarkStart w:id="353" w:name="_Toc35425074"/>
      <w:bookmarkStart w:id="354" w:name="_Toc506107289"/>
      <w:bookmarkStart w:id="355" w:name="_Toc296602440"/>
      <w:bookmarkStart w:id="356" w:name="_Toc78803343"/>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1D11B24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14:paraId="3F7801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14:paraId="56FF5AE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14:paraId="77920BD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14:paraId="0DD74E7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14:paraId="38EC08CC">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14:paraId="1E0B748B">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7" w:name="_Toc35425075"/>
      <w:bookmarkStart w:id="358" w:name="_Toc19037"/>
      <w:bookmarkStart w:id="359" w:name="_Toc35424909"/>
      <w:bookmarkStart w:id="360" w:name="_Toc15058868"/>
      <w:bookmarkStart w:id="361" w:name="_Toc506107290"/>
      <w:bookmarkStart w:id="362" w:name="_Toc324404837"/>
      <w:bookmarkStart w:id="363" w:name="_Toc296602442"/>
      <w:bookmarkStart w:id="364" w:name="_Toc78803344"/>
      <w:bookmarkStart w:id="365" w:name="_Toc152042329"/>
      <w:bookmarkStart w:id="366" w:name="_Toc247085711"/>
      <w:bookmarkStart w:id="367" w:name="_Toc179632571"/>
      <w:bookmarkStart w:id="368" w:name="_Toc144974521"/>
      <w:bookmarkStart w:id="369" w:name="_Toc246996940"/>
      <w:bookmarkStart w:id="370" w:name="_Toc246996197"/>
      <w:bookmarkStart w:id="371" w:name="_Toc152045553"/>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p w14:paraId="5EADB78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5"/>
    <w:bookmarkEnd w:id="366"/>
    <w:bookmarkEnd w:id="367"/>
    <w:bookmarkEnd w:id="368"/>
    <w:bookmarkEnd w:id="369"/>
    <w:bookmarkEnd w:id="370"/>
    <w:bookmarkEnd w:id="371"/>
    <w:p w14:paraId="0C2C8A6B">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bookmarkStart w:id="372" w:name="_Toc144974523"/>
      <w:bookmarkStart w:id="373" w:name="_Toc179632573"/>
      <w:bookmarkStart w:id="374" w:name="_Toc246996942"/>
      <w:bookmarkStart w:id="375" w:name="_Toc246996199"/>
      <w:bookmarkStart w:id="376" w:name="_Toc152045555"/>
      <w:bookmarkStart w:id="377" w:name="_Toc247085713"/>
      <w:bookmarkStart w:id="378" w:name="_Toc152042331"/>
      <w:bookmarkStart w:id="379" w:name="_Toc324404838"/>
      <w:r>
        <w:rPr>
          <w:rFonts w:hint="eastAsia" w:ascii="宋体" w:hAnsi="宋体" w:eastAsia="宋体" w:cs="宋体"/>
          <w:b/>
          <w:bCs/>
          <w:color w:val="auto"/>
          <w:szCs w:val="21"/>
          <w:highlight w:val="none"/>
        </w:rPr>
        <w:t>3.5.2本次投标不需要提供纸质投标文件，投标人应按照</w:t>
      </w:r>
      <w:r>
        <w:rPr>
          <w:rFonts w:hint="eastAsia" w:ascii="宋体" w:hAnsi="宋体" w:eastAsia="宋体" w:cs="宋体"/>
          <w:b/>
          <w:bCs/>
          <w:color w:val="auto"/>
          <w:szCs w:val="21"/>
          <w:highlight w:val="none"/>
          <w:lang w:val="en-US" w:eastAsia="zh-CN"/>
        </w:rPr>
        <w:t>招标文件</w:t>
      </w:r>
      <w:r>
        <w:rPr>
          <w:rFonts w:hint="eastAsia" w:ascii="宋体" w:hAnsi="宋体" w:eastAsia="宋体" w:cs="宋体"/>
          <w:b/>
          <w:bCs/>
          <w:color w:val="auto"/>
          <w:szCs w:val="21"/>
          <w:highlight w:val="none"/>
        </w:rPr>
        <w:t>的要求，制作、签章、</w:t>
      </w:r>
      <w:r>
        <w:rPr>
          <w:rFonts w:hint="eastAsia" w:ascii="宋体" w:hAnsi="宋体" w:cs="宋体"/>
          <w:b/>
          <w:bCs/>
          <w:color w:val="auto"/>
          <w:szCs w:val="21"/>
          <w:highlight w:val="none"/>
          <w:lang w:val="en-US" w:eastAsia="zh-CN"/>
        </w:rPr>
        <w:t>上传</w:t>
      </w:r>
      <w:r>
        <w:rPr>
          <w:rFonts w:hint="eastAsia" w:ascii="宋体" w:hAnsi="宋体" w:eastAsia="宋体" w:cs="宋体"/>
          <w:b/>
          <w:bCs/>
          <w:color w:val="auto"/>
          <w:szCs w:val="21"/>
          <w:highlight w:val="none"/>
        </w:rPr>
        <w:t>加密的电子投标文件。</w:t>
      </w:r>
    </w:p>
    <w:p w14:paraId="2C6DC4A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14:paraId="69663F8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3.5.4 投标人须知前附表规定接受联合体投标的，资格审查资料应包括联合体各方相关情况。</w:t>
      </w:r>
    </w:p>
    <w:p w14:paraId="4A7347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 招标人有权核查投标人在投标文件中提供的资料，若在评标期间发现投标人提供了虚假资料，其投标将被否决；若在签订合同前发现作为中标候选人的投标人提供了虚假资料，招标人有权取消其中标资格；</w:t>
      </w:r>
      <w:r>
        <w:rPr>
          <w:rFonts w:hint="eastAsia" w:ascii="宋体" w:hAnsi="宋体" w:eastAsia="宋体" w:cs="宋体"/>
          <w:b/>
          <w:bCs/>
          <w:color w:val="auto"/>
          <w:szCs w:val="21"/>
          <w:highlight w:val="none"/>
        </w:rPr>
        <w:t>如果签订合同后发现中标人提供了虚假材料，招标人有权解除合同。</w:t>
      </w:r>
      <w:r>
        <w:rPr>
          <w:rFonts w:hint="eastAsia" w:ascii="宋体" w:hAnsi="宋体" w:eastAsia="宋体" w:cs="宋体"/>
          <w:color w:val="auto"/>
          <w:szCs w:val="21"/>
          <w:highlight w:val="none"/>
        </w:rPr>
        <w:t>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14:paraId="2751B063">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投标文件的制作应满足以下规定：</w:t>
      </w:r>
    </w:p>
    <w:p w14:paraId="514B3A76">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（1）投标文件由投标人使用新点电子交易平台提供的“投标文件制作工具”制作生成。“投标文件制作工具”可以通过电子交易系统下载。</w:t>
      </w:r>
    </w:p>
    <w:p w14:paraId="71101C40">
      <w:pPr>
        <w:pageBreakBefore w:val="0"/>
        <w:widowControl w:val="0"/>
        <w:numPr>
          <w:ilvl w:val="0"/>
          <w:numId w:val="0"/>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
          <w:bCs/>
          <w:color w:val="auto"/>
          <w:szCs w:val="21"/>
          <w:highlight w:val="none"/>
        </w:rPr>
        <w:t>招标文件中“签章”是指签字或盖章。</w:t>
      </w:r>
      <w:r>
        <w:rPr>
          <w:rFonts w:hint="eastAsia" w:ascii="宋体" w:hAnsi="宋体" w:eastAsia="宋体" w:cs="宋体"/>
          <w:color w:val="auto"/>
          <w:szCs w:val="21"/>
          <w:highlight w:val="none"/>
        </w:rPr>
        <w:t>在第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4157439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D39D96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3.5.7 因投标人自身原因而导致投标文件无法导入电子交易系统电子开标、评标系统，该投标视为无效投标，投标人自行承担由此导致的全部责任</w:t>
      </w:r>
      <w:r>
        <w:rPr>
          <w:rFonts w:hint="eastAsia" w:ascii="宋体" w:hAnsi="宋体" w:eastAsia="宋体" w:cs="宋体"/>
          <w:color w:val="auto"/>
          <w:szCs w:val="21"/>
          <w:highlight w:val="none"/>
          <w:lang w:eastAsia="zh-CN"/>
        </w:rPr>
        <w:t>。</w:t>
      </w:r>
    </w:p>
    <w:p w14:paraId="3AFD8E8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4C07A0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14:paraId="46C31E6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62A6E15">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14:paraId="7D818A36">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80" w:name="_Toc78803345"/>
      <w:bookmarkStart w:id="381" w:name="_Toc35424910"/>
      <w:bookmarkStart w:id="382" w:name="_Toc506107291"/>
      <w:bookmarkStart w:id="383" w:name="_Toc35425076"/>
      <w:bookmarkStart w:id="384" w:name="_Toc15058869"/>
      <w:bookmarkStart w:id="385" w:name="_Toc19455"/>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428D5FF5">
      <w:pPr>
        <w:pStyle w:val="7"/>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6" w:name="_Toc35425077"/>
      <w:bookmarkStart w:id="387" w:name="_Toc35424911"/>
      <w:bookmarkStart w:id="388" w:name="_Toc78803346"/>
      <w:bookmarkStart w:id="389" w:name="_Toc14473"/>
      <w:bookmarkStart w:id="390" w:name="_Toc15058870"/>
      <w:r>
        <w:rPr>
          <w:rFonts w:hint="eastAsia" w:ascii="宋体" w:hAnsi="宋体" w:eastAsia="宋体" w:cs="宋体"/>
          <w:color w:val="auto"/>
          <w:highlight w:val="none"/>
        </w:rPr>
        <w:t>4.1投标文件</w:t>
      </w:r>
      <w:bookmarkEnd w:id="386"/>
      <w:bookmarkEnd w:id="387"/>
      <w:bookmarkEnd w:id="388"/>
      <w:bookmarkEnd w:id="389"/>
      <w:bookmarkEnd w:id="390"/>
      <w:r>
        <w:rPr>
          <w:rFonts w:hint="eastAsia" w:ascii="宋体" w:hAnsi="宋体" w:eastAsia="宋体" w:cs="宋体"/>
          <w:color w:val="auto"/>
          <w:highlight w:val="none"/>
          <w:lang w:val="en-US" w:eastAsia="zh-CN"/>
        </w:rPr>
        <w:t>的提交</w:t>
      </w:r>
    </w:p>
    <w:p w14:paraId="4F7DAAF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4.1.1请投标人通过</w:t>
      </w:r>
      <w:r>
        <w:rPr>
          <w:rFonts w:hint="eastAsia" w:ascii="宋体" w:hAnsi="宋体" w:eastAsia="宋体" w:cs="宋体"/>
          <w:color w:val="auto"/>
          <w:szCs w:val="21"/>
          <w:highlight w:val="none"/>
          <w:lang w:val="en-US" w:eastAsia="zh-CN"/>
        </w:rPr>
        <w:t>新点电子交易平台</w:t>
      </w:r>
      <w:r>
        <w:rPr>
          <w:rFonts w:hint="eastAsia" w:ascii="宋体" w:hAnsi="宋体" w:eastAsia="宋体" w:cs="宋体"/>
          <w:color w:val="auto"/>
          <w:szCs w:val="21"/>
          <w:highlight w:val="none"/>
        </w:rPr>
        <w:t>下载投标工具制作投标文件，并利用CA数字证书进行上传投标文件，上传已加密的投标文件，务必通过此方式上传投标文件。</w:t>
      </w:r>
    </w:p>
    <w:p w14:paraId="041AC3C3">
      <w:pPr>
        <w:pageBreakBefore w:val="0"/>
        <w:widowControl w:val="0"/>
        <w:kinsoku/>
        <w:wordWrap/>
        <w:overflowPunct/>
        <w:topLinePunct w:val="0"/>
        <w:autoSpaceDE/>
        <w:autoSpaceDN/>
        <w:bidi w:val="0"/>
        <w:spacing w:line="420" w:lineRule="exact"/>
        <w:ind w:firstLine="422" w:firstLineChars="200"/>
        <w:jc w:val="lef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4.1.2</w:t>
      </w:r>
      <w:r>
        <w:rPr>
          <w:rFonts w:hint="eastAsia" w:ascii="宋体" w:hAnsi="宋体" w:eastAsia="宋体" w:cs="宋体"/>
          <w:b/>
          <w:bCs/>
          <w:color w:val="auto"/>
          <w:szCs w:val="21"/>
          <w:highlight w:val="none"/>
          <w:lang w:val="en-US" w:eastAsia="zh-CN"/>
        </w:rPr>
        <w:t>投标人在投标文件编制、签章、上传过程中如有任何操作的疑问请及时联系技术支持，电话：</w:t>
      </w:r>
      <w:r>
        <w:rPr>
          <w:rFonts w:hint="eastAsia" w:ascii="宋体" w:hAnsi="宋体" w:cs="宋体"/>
          <w:b/>
          <w:bCs/>
          <w:color w:val="auto"/>
          <w:szCs w:val="21"/>
          <w:highlight w:val="none"/>
          <w:lang w:val="en-US" w:eastAsia="zh-CN"/>
        </w:rPr>
        <w:t>0512-58151515</w:t>
      </w:r>
      <w:r>
        <w:rPr>
          <w:rFonts w:hint="eastAsia" w:ascii="宋体" w:hAnsi="宋体" w:eastAsia="宋体" w:cs="宋体"/>
          <w:b/>
          <w:bCs/>
          <w:color w:val="auto"/>
          <w:szCs w:val="21"/>
          <w:highlight w:val="none"/>
          <w:lang w:val="en-US" w:eastAsia="zh-CN"/>
        </w:rPr>
        <w:t>（工作日）或者网站首页在线客服</w:t>
      </w:r>
      <w:r>
        <w:rPr>
          <w:rFonts w:hint="eastAsia" w:ascii="宋体" w:hAnsi="宋体" w:eastAsia="宋体" w:cs="宋体"/>
          <w:b/>
          <w:bCs/>
          <w:color w:val="auto"/>
          <w:szCs w:val="21"/>
          <w:highlight w:val="none"/>
          <w:u w:val="none"/>
          <w:lang w:val="en-US" w:eastAsia="zh-CN"/>
        </w:rPr>
        <w:t>。</w:t>
      </w:r>
    </w:p>
    <w:p w14:paraId="74182504">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91" w:name="_Toc35424914"/>
      <w:bookmarkStart w:id="392" w:name="_Toc152045558"/>
      <w:bookmarkStart w:id="393" w:name="_Toc78803347"/>
      <w:bookmarkStart w:id="394" w:name="_Toc324404841"/>
      <w:bookmarkStart w:id="395" w:name="_Toc506107294"/>
      <w:bookmarkStart w:id="396" w:name="_Toc247085716"/>
      <w:bookmarkStart w:id="397" w:name="_Toc246996202"/>
      <w:bookmarkStart w:id="398" w:name="_Toc152042334"/>
      <w:bookmarkStart w:id="399" w:name="_Toc19572"/>
      <w:bookmarkStart w:id="400" w:name="_Toc15058873"/>
      <w:bookmarkStart w:id="401" w:name="_Toc35425080"/>
      <w:bookmarkStart w:id="402" w:name="_Toc144974526"/>
      <w:bookmarkStart w:id="403" w:name="_Toc179632576"/>
      <w:bookmarkStart w:id="404" w:name="_Toc246996945"/>
      <w:bookmarkStart w:id="405" w:name="_Toc296602446"/>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DB18BE7">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在规定的投标截止时间前，投标人可以自行从网上新点电子交易平台撤回已递交的投标文件，并可修改后重新加密上传，开标时以投标截止时间前投标人最终上传的投标文件为准。</w:t>
      </w:r>
    </w:p>
    <w:p w14:paraId="54810E39">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6" w:name="_Toc506107295"/>
      <w:bookmarkStart w:id="407" w:name="_Toc152042335"/>
      <w:bookmarkStart w:id="408" w:name="_Toc246996203"/>
      <w:bookmarkStart w:id="409" w:name="_Toc78803348"/>
      <w:bookmarkStart w:id="410" w:name="_Toc324404842"/>
      <w:bookmarkStart w:id="411" w:name="_Toc247085717"/>
      <w:bookmarkStart w:id="412" w:name="_Toc15058874"/>
      <w:bookmarkStart w:id="413" w:name="_Toc152045559"/>
      <w:bookmarkStart w:id="414" w:name="_Toc144974527"/>
      <w:bookmarkStart w:id="415" w:name="_Toc35425081"/>
      <w:bookmarkStart w:id="416" w:name="_Toc246996946"/>
      <w:bookmarkStart w:id="417" w:name="_Toc35424915"/>
      <w:bookmarkStart w:id="418" w:name="_Toc179632577"/>
      <w:bookmarkStart w:id="419" w:name="_Toc29639"/>
      <w:r>
        <w:rPr>
          <w:rFonts w:hint="eastAsia" w:ascii="宋体" w:hAnsi="宋体" w:eastAsia="宋体" w:cs="宋体"/>
          <w:color w:val="auto"/>
          <w:sz w:val="24"/>
          <w:szCs w:val="24"/>
          <w:highlight w:val="none"/>
        </w:rPr>
        <w:t>5. 开标</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53EC18D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0" w:name="_Toc35425082"/>
      <w:bookmarkStart w:id="421" w:name="_Toc78803349"/>
      <w:bookmarkStart w:id="422" w:name="_Toc506107296"/>
      <w:bookmarkStart w:id="423" w:name="_Toc35424916"/>
      <w:bookmarkStart w:id="424" w:name="_Toc324404843"/>
      <w:bookmarkStart w:id="425" w:name="_Toc246996947"/>
      <w:bookmarkStart w:id="426" w:name="_Toc13691"/>
      <w:bookmarkStart w:id="427" w:name="_Toc152042336"/>
      <w:bookmarkStart w:id="428" w:name="_Toc246996204"/>
      <w:bookmarkStart w:id="429" w:name="_Toc144974528"/>
      <w:bookmarkStart w:id="430" w:name="_Toc179632578"/>
      <w:bookmarkStart w:id="431" w:name="_Toc247085718"/>
      <w:bookmarkStart w:id="432" w:name="_Toc152045560"/>
      <w:bookmarkStart w:id="433" w:name="_Toc296602448"/>
      <w:bookmarkStart w:id="434" w:name="_Toc15058875"/>
      <w:r>
        <w:rPr>
          <w:rFonts w:hint="eastAsia" w:ascii="宋体" w:hAnsi="宋体" w:eastAsia="宋体" w:cs="宋体"/>
          <w:color w:val="auto"/>
          <w:highlight w:val="none"/>
        </w:rPr>
        <w:t>5.1 开标时间和地点</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35BB653F">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招标人在投标人须知前附表规定的投标截止时间（开标时间）和地点通过新点电子交易平台公开开标。</w:t>
      </w:r>
    </w:p>
    <w:p w14:paraId="269D989E">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5" w:name="_Toc35424917"/>
      <w:bookmarkStart w:id="436" w:name="_Toc506107297"/>
      <w:bookmarkStart w:id="437" w:name="_Toc152042337"/>
      <w:bookmarkStart w:id="438" w:name="_Toc179632579"/>
      <w:bookmarkStart w:id="439" w:name="_Toc296602449"/>
      <w:bookmarkStart w:id="440" w:name="_Toc246996948"/>
      <w:bookmarkStart w:id="441" w:name="_Toc78803350"/>
      <w:bookmarkStart w:id="442" w:name="_Toc32451"/>
      <w:bookmarkStart w:id="443" w:name="_Toc246996205"/>
      <w:bookmarkStart w:id="444" w:name="_Toc247085719"/>
      <w:bookmarkStart w:id="445" w:name="_Toc152045561"/>
      <w:bookmarkStart w:id="446" w:name="_Toc324404844"/>
      <w:bookmarkStart w:id="447" w:name="_Toc35425083"/>
      <w:bookmarkStart w:id="448" w:name="_Toc15058876"/>
      <w:bookmarkStart w:id="449" w:name="_Toc144974529"/>
      <w:r>
        <w:rPr>
          <w:rFonts w:hint="eastAsia" w:ascii="宋体" w:hAnsi="宋体" w:eastAsia="宋体" w:cs="宋体"/>
          <w:color w:val="auto"/>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1AF56C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50" w:name="_Toc324404845"/>
      <w:bookmarkStart w:id="451" w:name="_Toc296602450"/>
    </w:p>
    <w:p w14:paraId="2E43154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bookmarkStart w:id="452" w:name="_Toc15058877"/>
      <w:bookmarkStart w:id="453" w:name="_Toc506107298"/>
      <w:r>
        <w:rPr>
          <w:rFonts w:hint="eastAsia" w:ascii="宋体" w:hAnsi="宋体" w:cs="宋体"/>
          <w:color w:val="auto"/>
          <w:szCs w:val="21"/>
          <w:highlight w:val="none"/>
        </w:rPr>
        <w:t>（1）</w:t>
      </w:r>
      <w:bookmarkEnd w:id="452"/>
      <w:bookmarkStart w:id="454" w:name="_Toc15058882"/>
      <w:r>
        <w:rPr>
          <w:rFonts w:hint="eastAsia" w:ascii="宋体" w:hAnsi="宋体" w:cs="宋体"/>
          <w:color w:val="auto"/>
          <w:szCs w:val="21"/>
          <w:highlight w:val="none"/>
        </w:rPr>
        <w:t>公布在投标截止时间前通过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完成投标文件递交的投标人名称；</w:t>
      </w:r>
    </w:p>
    <w:p w14:paraId="3452F290">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（2）投标人在投标截止时间后在投标人须知前附表规定的解密时间内完成投标文件的解密工作；</w:t>
      </w:r>
    </w:p>
    <w:p w14:paraId="40129C2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（3）招标人或招标代理机构完成解密工作，导入并读取所有成功解密的投标文件；</w:t>
      </w:r>
    </w:p>
    <w:p w14:paraId="1D5BF68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（4）按投标人须知前附表规定公布投标人名称、投标报价</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内容；</w:t>
      </w:r>
    </w:p>
    <w:p w14:paraId="2C9966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bookmarkEnd w:id="454"/>
    </w:p>
    <w:p w14:paraId="7024519A">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5.3 开标异议</w:t>
      </w:r>
    </w:p>
    <w:p w14:paraId="6DC38D0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投标人对开标有异议的，应当在开标过程中提出，招标人在开标过程中作出答复，并制作记录。异议与答复应通过新点电子交易平台进行。</w:t>
      </w:r>
    </w:p>
    <w:bookmarkEnd w:id="450"/>
    <w:bookmarkEnd w:id="451"/>
    <w:bookmarkEnd w:id="453"/>
    <w:p w14:paraId="6DA8798D">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20689"/>
      <w:bookmarkStart w:id="456" w:name="_Toc152045562"/>
      <w:bookmarkStart w:id="457" w:name="_Toc35424919"/>
      <w:bookmarkStart w:id="458" w:name="_Toc78803352"/>
      <w:bookmarkStart w:id="459" w:name="_Toc15058884"/>
      <w:bookmarkStart w:id="460" w:name="_Toc35425085"/>
      <w:bookmarkStart w:id="461" w:name="_Toc144974530"/>
      <w:bookmarkStart w:id="462" w:name="_Toc179632580"/>
      <w:bookmarkStart w:id="463" w:name="_Toc506107299"/>
      <w:bookmarkStart w:id="464" w:name="_Toc324404846"/>
      <w:bookmarkStart w:id="465" w:name="_Toc247085720"/>
      <w:bookmarkStart w:id="466" w:name="_Toc152042338"/>
      <w:bookmarkStart w:id="467" w:name="_Toc246996206"/>
      <w:bookmarkStart w:id="468" w:name="_Toc246996949"/>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78701A69">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152045563"/>
      <w:bookmarkStart w:id="470" w:name="_Toc246996207"/>
      <w:bookmarkStart w:id="471" w:name="_Toc506107300"/>
      <w:bookmarkStart w:id="472" w:name="_Toc14249"/>
      <w:bookmarkStart w:id="473" w:name="_Toc35424920"/>
      <w:bookmarkStart w:id="474" w:name="_Toc144974531"/>
      <w:bookmarkStart w:id="475" w:name="_Toc78803353"/>
      <w:bookmarkStart w:id="476" w:name="_Toc35425086"/>
      <w:bookmarkStart w:id="477" w:name="_Toc179632581"/>
      <w:bookmarkStart w:id="478" w:name="_Toc324404847"/>
      <w:bookmarkStart w:id="479" w:name="_Toc296602452"/>
      <w:bookmarkStart w:id="480" w:name="_Toc247085721"/>
      <w:bookmarkStart w:id="481" w:name="_Toc246996950"/>
      <w:bookmarkStart w:id="482" w:name="_Toc152042339"/>
      <w:bookmarkStart w:id="483" w:name="_Toc15058885"/>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4C6C8C5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4440D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6F7C2F0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（1）项目主管部门或行政监督管理部门，项目属地的公共资源交易综合管理部门、交易中心的工作人员； </w:t>
      </w:r>
    </w:p>
    <w:p w14:paraId="3768D94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（2）与竞争主体主要负责人或者授权参与交易的代理人有近亲属关系的人员； </w:t>
      </w:r>
    </w:p>
    <w:p w14:paraId="66067B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（3）竞争主体的工作人员或者退休人员； </w:t>
      </w:r>
    </w:p>
    <w:p w14:paraId="231F4BC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（4）竞争主体的上级主管、控股或者被控股单位等相关利害关系的人员，或任职单位与竞争主体单位为同一法定代表人的； </w:t>
      </w:r>
    </w:p>
    <w:p w14:paraId="545A234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（5）存在其他法定回避情形的。</w:t>
      </w:r>
    </w:p>
    <w:p w14:paraId="69F1789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AB26326">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评标委员会或评审机构成员有前两款规定情形的，应当主动提出回避；已经进入的应当更换，被更换的成员评标评审意见无效。 </w:t>
      </w:r>
    </w:p>
    <w:p w14:paraId="424AFD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5F83F45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324404848"/>
      <w:bookmarkStart w:id="485" w:name="_Toc15058886"/>
      <w:bookmarkStart w:id="486" w:name="_Toc35424921"/>
      <w:bookmarkStart w:id="487" w:name="_Toc152045564"/>
      <w:bookmarkStart w:id="488" w:name="_Toc78803354"/>
      <w:bookmarkStart w:id="489" w:name="_Toc12948"/>
      <w:bookmarkStart w:id="490" w:name="_Toc246996951"/>
      <w:bookmarkStart w:id="491" w:name="_Toc247085722"/>
      <w:bookmarkStart w:id="492" w:name="_Toc179632582"/>
      <w:bookmarkStart w:id="493" w:name="_Toc296602453"/>
      <w:bookmarkStart w:id="494" w:name="_Toc152042340"/>
      <w:bookmarkStart w:id="495" w:name="_Toc246996208"/>
      <w:bookmarkStart w:id="496" w:name="_Toc144974532"/>
      <w:bookmarkStart w:id="497" w:name="_Toc506107301"/>
      <w:bookmarkStart w:id="498" w:name="_Toc35425087"/>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609DF64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CC2DB36">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152045565"/>
      <w:bookmarkStart w:id="500" w:name="_Toc15058887"/>
      <w:bookmarkStart w:id="501" w:name="_Toc296602454"/>
      <w:bookmarkStart w:id="502" w:name="_Toc152042341"/>
      <w:bookmarkStart w:id="503" w:name="_Toc246996209"/>
      <w:bookmarkStart w:id="504" w:name="_Toc179632583"/>
      <w:bookmarkStart w:id="505" w:name="_Toc324404849"/>
      <w:bookmarkStart w:id="506" w:name="_Toc78803355"/>
      <w:bookmarkStart w:id="507" w:name="_Toc247085723"/>
      <w:bookmarkStart w:id="508" w:name="_Toc14892"/>
      <w:bookmarkStart w:id="509" w:name="_Toc506107302"/>
      <w:bookmarkStart w:id="510" w:name="_Toc35425088"/>
      <w:bookmarkStart w:id="511" w:name="_Toc246996952"/>
      <w:bookmarkStart w:id="512" w:name="_Toc144974533"/>
      <w:bookmarkStart w:id="513" w:name="_Toc35424922"/>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676AE67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246996210"/>
      <w:bookmarkStart w:id="515" w:name="_Toc179632584"/>
      <w:bookmarkStart w:id="516" w:name="_Toc246996953"/>
      <w:bookmarkStart w:id="517" w:name="_Toc152045566"/>
      <w:bookmarkStart w:id="518" w:name="_Toc324404850"/>
      <w:bookmarkStart w:id="519" w:name="_Toc247085724"/>
      <w:bookmarkStart w:id="520" w:name="_Toc152042342"/>
      <w:bookmarkStart w:id="521" w:name="_Toc14497453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14:paraId="500306B2">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CE8491E">
      <w:pPr>
        <w:pStyle w:val="7"/>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26182"/>
      <w:bookmarkStart w:id="523" w:name="_Toc35424923"/>
      <w:bookmarkStart w:id="524" w:name="_Toc78803356"/>
      <w:bookmarkStart w:id="525" w:name="_Toc35425089"/>
      <w:bookmarkStart w:id="526" w:name="_Toc506107303"/>
      <w:bookmarkStart w:id="527" w:name="_Toc15058888"/>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0064B0A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506107305"/>
      <w:bookmarkStart w:id="529" w:name="_Toc95223374"/>
      <w:bookmarkStart w:id="530" w:name="_Toc296602457"/>
      <w:bookmarkStart w:id="531" w:name="_Toc60061472"/>
      <w:bookmarkStart w:id="532" w:name="_Toc83301726"/>
      <w:bookmarkStart w:id="533" w:name="_Toc324404852"/>
      <w:bookmarkStart w:id="534" w:name="_Toc15058890"/>
      <w:bookmarkStart w:id="535" w:name="_Toc4204"/>
      <w:bookmarkStart w:id="536" w:name="_Toc35424927"/>
      <w:bookmarkStart w:id="537" w:name="_Toc15058891"/>
      <w:bookmarkStart w:id="538" w:name="_Toc179632586"/>
      <w:bookmarkStart w:id="539" w:name="_Toc246996212"/>
      <w:bookmarkStart w:id="540" w:name="_Toc78803360"/>
      <w:bookmarkStart w:id="541" w:name="_Toc296602458"/>
      <w:bookmarkStart w:id="542" w:name="_Toc324404853"/>
      <w:bookmarkStart w:id="543" w:name="_Toc246996955"/>
      <w:bookmarkStart w:id="544" w:name="_Toc14692"/>
      <w:bookmarkStart w:id="545" w:name="_Toc247085726"/>
      <w:bookmarkStart w:id="546" w:name="_Toc35425093"/>
      <w:bookmarkStart w:id="547" w:name="_Toc144974536"/>
      <w:bookmarkStart w:id="548" w:name="_Toc152042344"/>
      <w:bookmarkStart w:id="549" w:name="_Toc506107306"/>
      <w:bookmarkStart w:id="550" w:name="_Toc152045568"/>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14:paraId="689684D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97F783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4AE5D7F2">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14:paraId="36849310">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14:paraId="2B7F7477">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4D32A218">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83301727"/>
      <w:bookmarkStart w:id="552" w:name="_Toc95223375"/>
      <w:bookmarkStart w:id="553" w:name="_Toc60061474"/>
      <w:bookmarkStart w:id="554" w:name="_Toc35424930"/>
      <w:bookmarkStart w:id="555" w:name="_Toc506107308"/>
      <w:bookmarkStart w:id="556" w:name="_Toc324404855"/>
      <w:bookmarkStart w:id="557" w:name="_Toc152045570"/>
      <w:bookmarkStart w:id="558" w:name="_Toc246996214"/>
      <w:bookmarkStart w:id="559" w:name="_Toc247085728"/>
      <w:bookmarkStart w:id="560" w:name="_Toc35425096"/>
      <w:bookmarkStart w:id="561" w:name="_Toc246996957"/>
      <w:bookmarkStart w:id="562" w:name="_Toc144974538"/>
      <w:bookmarkStart w:id="563" w:name="_Toc78803363"/>
      <w:bookmarkStart w:id="564" w:name="_Toc296602460"/>
      <w:bookmarkStart w:id="565" w:name="_Toc11010"/>
      <w:bookmarkStart w:id="566" w:name="_Toc15058893"/>
      <w:bookmarkStart w:id="567" w:name="_Toc152042346"/>
      <w:bookmarkStart w:id="568" w:name="_Toc17963258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14:paraId="714925AD">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6BE9D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14:paraId="4AD65EFF">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4294DA74">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14:paraId="3E5A2F8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14:paraId="29F52F53">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144974537"/>
      <w:bookmarkStart w:id="573" w:name="_Toc60061476"/>
      <w:bookmarkStart w:id="574" w:name="_Toc506107307"/>
      <w:bookmarkStart w:id="575" w:name="_Toc152042345"/>
      <w:bookmarkStart w:id="576" w:name="_Toc247085727"/>
      <w:bookmarkStart w:id="577" w:name="_Toc95223378"/>
      <w:bookmarkStart w:id="578" w:name="_Toc179632587"/>
      <w:bookmarkStart w:id="579" w:name="_Toc246996956"/>
      <w:bookmarkStart w:id="580" w:name="_Toc15058892"/>
      <w:bookmarkStart w:id="581" w:name="_Toc246996213"/>
      <w:bookmarkStart w:id="582" w:name="_Toc296602459"/>
      <w:bookmarkStart w:id="583" w:name="_Toc324404854"/>
      <w:bookmarkStart w:id="584" w:name="_Toc152045569"/>
      <w:bookmarkStart w:id="585" w:name="_Toc83301730"/>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137F686B">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14:paraId="221B81D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4242DBC1">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60061477"/>
      <w:bookmarkStart w:id="587" w:name="_Toc95223379"/>
      <w:bookmarkStart w:id="588" w:name="_Toc83301731"/>
      <w:r>
        <w:rPr>
          <w:rFonts w:hint="eastAsia" w:ascii="宋体" w:hAnsi="宋体" w:eastAsia="宋体" w:cs="宋体"/>
          <w:color w:val="auto"/>
          <w:highlight w:val="none"/>
        </w:rPr>
        <w:t>7.9 签订合同</w:t>
      </w:r>
      <w:bookmarkEnd w:id="586"/>
      <w:bookmarkEnd w:id="587"/>
      <w:bookmarkEnd w:id="588"/>
    </w:p>
    <w:p w14:paraId="0ADABA1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14:paraId="4B7A5D0A">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7B7101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14:paraId="70ABAA7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1CE704B8">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10B04D04">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60061478"/>
      <w:bookmarkStart w:id="590" w:name="_Toc152045571"/>
      <w:bookmarkStart w:id="591" w:name="_Toc179632589"/>
      <w:bookmarkStart w:id="592" w:name="_Toc83301732"/>
      <w:bookmarkStart w:id="593" w:name="_Toc144974539"/>
      <w:bookmarkStart w:id="594" w:name="_Toc152042347"/>
      <w:bookmarkStart w:id="595" w:name="_Toc95223381"/>
      <w:bookmarkStart w:id="596" w:name="_Toc25375"/>
      <w:bookmarkStart w:id="597" w:name="_Toc31686"/>
      <w:bookmarkStart w:id="598" w:name="_Toc35425097"/>
      <w:bookmarkStart w:id="599" w:name="_Toc35424931"/>
      <w:bookmarkStart w:id="600" w:name="_Toc26974"/>
      <w:bookmarkStart w:id="601" w:name="_Toc78803367"/>
      <w:bookmarkStart w:id="602" w:name="_Toc324404864"/>
      <w:bookmarkStart w:id="603" w:name="_Toc35425105"/>
      <w:bookmarkStart w:id="604" w:name="_Toc15058902"/>
      <w:bookmarkStart w:id="605" w:name="_Toc506107317"/>
      <w:bookmarkStart w:id="606" w:name="_Toc35424939"/>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14:paraId="4D38A18F">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144974540"/>
      <w:bookmarkStart w:id="609" w:name="_Toc60061479"/>
      <w:bookmarkStart w:id="610" w:name="_Toc179632590"/>
      <w:bookmarkStart w:id="611" w:name="_Toc152045572"/>
      <w:bookmarkStart w:id="612" w:name="_Toc83301733"/>
      <w:bookmarkStart w:id="613" w:name="_Toc152042348"/>
      <w:bookmarkStart w:id="614" w:name="_Toc95223382"/>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14:paraId="14E74ABE">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14:paraId="0C8D903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14:paraId="1A247841">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14:paraId="390367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14:paraId="07E813B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14:paraId="01404FF6">
      <w:pPr>
        <w:pStyle w:val="7"/>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179632591"/>
      <w:bookmarkStart w:id="616" w:name="_Toc152042349"/>
      <w:bookmarkStart w:id="617" w:name="_Toc144974541"/>
      <w:bookmarkStart w:id="618" w:name="_Toc83301734"/>
      <w:bookmarkStart w:id="619" w:name="_Toc95223383"/>
      <w:bookmarkStart w:id="620" w:name="_Toc60061480"/>
      <w:bookmarkStart w:id="621" w:name="_Toc152045573"/>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14:paraId="395FA9F9">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14:paraId="6AE86776">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14:paraId="4CA92C32">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15058895"/>
      <w:bookmarkStart w:id="623" w:name="_Toc179632593"/>
      <w:bookmarkStart w:id="624" w:name="_Toc144974543"/>
      <w:bookmarkStart w:id="625" w:name="_Toc246996962"/>
      <w:bookmarkStart w:id="626" w:name="_Toc246996219"/>
      <w:bookmarkStart w:id="627" w:name="_Toc35425098"/>
      <w:bookmarkStart w:id="628" w:name="_Toc506107310"/>
      <w:bookmarkStart w:id="629" w:name="_Toc152042351"/>
      <w:bookmarkStart w:id="630" w:name="_Toc2855"/>
      <w:bookmarkStart w:id="631" w:name="_Toc324404857"/>
      <w:bookmarkStart w:id="632" w:name="_Toc247085733"/>
      <w:bookmarkStart w:id="633" w:name="_Toc296590983"/>
      <w:bookmarkStart w:id="634" w:name="_Toc296602462"/>
      <w:bookmarkStart w:id="635" w:name="_Toc78803368"/>
      <w:bookmarkStart w:id="636" w:name="_Toc15607"/>
      <w:bookmarkStart w:id="637" w:name="_Toc152045575"/>
      <w:bookmarkStart w:id="638" w:name="_Toc35424932"/>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49DC6FF7">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8A4A0C7">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247085734"/>
      <w:bookmarkStart w:id="640" w:name="_Toc35425099"/>
      <w:bookmarkStart w:id="641" w:name="_Toc179632594"/>
      <w:bookmarkStart w:id="642" w:name="_Toc246996963"/>
      <w:bookmarkStart w:id="643" w:name="_Toc506107311"/>
      <w:bookmarkStart w:id="644" w:name="_Toc152042352"/>
      <w:bookmarkStart w:id="645" w:name="_Toc19779"/>
      <w:bookmarkStart w:id="646" w:name="_Toc246996220"/>
      <w:bookmarkStart w:id="647" w:name="_Toc324404858"/>
      <w:bookmarkStart w:id="648" w:name="_Toc296602463"/>
      <w:bookmarkStart w:id="649" w:name="_Toc35424933"/>
      <w:bookmarkStart w:id="650" w:name="_Toc15058896"/>
      <w:bookmarkStart w:id="651" w:name="_Toc152045576"/>
      <w:bookmarkStart w:id="652" w:name="_Toc78803369"/>
      <w:bookmarkStart w:id="653" w:name="_Toc144974544"/>
      <w:bookmarkStart w:id="654" w:name="_Toc32177"/>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ABB96BC">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C2EC713">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324404859"/>
      <w:bookmarkStart w:id="656" w:name="_Toc152045577"/>
      <w:bookmarkStart w:id="657" w:name="_Toc179632595"/>
      <w:bookmarkStart w:id="658" w:name="_Toc296602464"/>
      <w:bookmarkStart w:id="659" w:name="_Toc15058897"/>
      <w:bookmarkStart w:id="660" w:name="_Toc144974545"/>
      <w:bookmarkStart w:id="661" w:name="_Toc12564"/>
      <w:bookmarkStart w:id="662" w:name="_Toc152042353"/>
      <w:bookmarkStart w:id="663" w:name="_Toc35425100"/>
      <w:bookmarkStart w:id="664" w:name="_Toc35424934"/>
      <w:bookmarkStart w:id="665" w:name="_Toc246996221"/>
      <w:bookmarkStart w:id="666" w:name="_Toc247085735"/>
      <w:bookmarkStart w:id="667" w:name="_Toc78803370"/>
      <w:bookmarkStart w:id="668" w:name="_Toc246996964"/>
      <w:bookmarkStart w:id="669" w:name="_Toc506107312"/>
      <w:bookmarkStart w:id="670" w:name="_Toc13043"/>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82A0CAE">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67F3A90">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506107313"/>
      <w:bookmarkStart w:id="672" w:name="_Toc247085736"/>
      <w:bookmarkStart w:id="673" w:name="_Toc78803371"/>
      <w:bookmarkStart w:id="674" w:name="_Toc246996222"/>
      <w:bookmarkStart w:id="675" w:name="_Toc18329"/>
      <w:bookmarkStart w:id="676" w:name="_Toc296602465"/>
      <w:bookmarkStart w:id="677" w:name="_Toc152042354"/>
      <w:bookmarkStart w:id="678" w:name="_Toc179632596"/>
      <w:bookmarkStart w:id="679" w:name="_Toc246996965"/>
      <w:bookmarkStart w:id="680" w:name="_Toc35424935"/>
      <w:bookmarkStart w:id="681" w:name="_Toc324404860"/>
      <w:bookmarkStart w:id="682" w:name="_Toc32214"/>
      <w:bookmarkStart w:id="683" w:name="_Toc35425101"/>
      <w:bookmarkStart w:id="684" w:name="_Toc15058898"/>
      <w:bookmarkStart w:id="685" w:name="_Toc152045578"/>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2E47BC5D">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14:paraId="13717A0C">
      <w:pPr>
        <w:pStyle w:val="7"/>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35424936"/>
      <w:bookmarkStart w:id="689" w:name="_Toc35425102"/>
      <w:bookmarkStart w:id="690" w:name="_Toc152045579"/>
      <w:bookmarkStart w:id="691" w:name="_Toc296602466"/>
      <w:bookmarkStart w:id="692" w:name="_Toc23607"/>
      <w:bookmarkStart w:id="693" w:name="_Toc247085737"/>
      <w:bookmarkStart w:id="694" w:name="_Toc506107314"/>
      <w:bookmarkStart w:id="695" w:name="_Toc78803372"/>
      <w:bookmarkStart w:id="696" w:name="_Toc152042356"/>
      <w:bookmarkStart w:id="697" w:name="_Toc246996223"/>
      <w:bookmarkStart w:id="698" w:name="_Toc324404861"/>
      <w:bookmarkStart w:id="699" w:name="_Toc179632597"/>
      <w:bookmarkStart w:id="700" w:name="_Toc2811"/>
      <w:bookmarkStart w:id="701" w:name="_Toc246996966"/>
      <w:bookmarkStart w:id="702" w:name="_Toc15058899"/>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5A4327AC">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35424937"/>
      <w:bookmarkStart w:id="704" w:name="_Toc247085738"/>
      <w:bookmarkStart w:id="705" w:name="_Toc179632598"/>
      <w:bookmarkStart w:id="706" w:name="_Toc16463"/>
      <w:bookmarkStart w:id="707" w:name="_Toc246996224"/>
      <w:bookmarkStart w:id="708" w:name="_Toc152045580"/>
      <w:bookmarkStart w:id="709" w:name="_Toc20669"/>
      <w:bookmarkStart w:id="710" w:name="_Toc35425103"/>
      <w:bookmarkStart w:id="711" w:name="_Toc144974547"/>
      <w:bookmarkStart w:id="712" w:name="_Toc506107315"/>
      <w:bookmarkStart w:id="713" w:name="_Toc324404862"/>
      <w:bookmarkStart w:id="714" w:name="_Toc31643"/>
      <w:bookmarkStart w:id="715" w:name="_Toc15058900"/>
      <w:bookmarkStart w:id="716" w:name="_Toc246996967"/>
      <w:bookmarkStart w:id="717" w:name="_Toc152042357"/>
      <w:bookmarkStart w:id="718" w:name="_Toc7880337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7E3BE54">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4FEAD4F3">
      <w:pPr>
        <w:pStyle w:val="7"/>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0045BA9A">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14:paraId="33B215FF">
      <w:pPr>
        <w:spacing w:line="440" w:lineRule="exact"/>
        <w:jc w:val="left"/>
        <w:rPr>
          <w:rFonts w:ascii="宋体" w:hAnsi="宋体" w:cs="宋体"/>
          <w:color w:val="auto"/>
          <w:szCs w:val="21"/>
          <w:highlight w:val="none"/>
        </w:rPr>
      </w:pPr>
    </w:p>
    <w:p w14:paraId="20C1C40C">
      <w:pPr>
        <w:pageBreakBefore/>
        <w:spacing w:beforeLines="80" w:afterLines="80" w:line="440" w:lineRule="exact"/>
        <w:jc w:val="center"/>
        <w:outlineLvl w:val="0"/>
        <w:rPr>
          <w:rFonts w:ascii="宋体"/>
          <w:b/>
          <w:color w:val="auto"/>
          <w:sz w:val="32"/>
          <w:szCs w:val="32"/>
          <w:highlight w:val="none"/>
        </w:rPr>
      </w:pPr>
      <w:bookmarkStart w:id="720" w:name="_Toc10676"/>
      <w:bookmarkStart w:id="721" w:name="_Toc5501"/>
      <w:bookmarkStart w:id="722" w:name="_Toc78803375"/>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bookmarkEnd w:id="722"/>
    </w:p>
    <w:p w14:paraId="1680BB4F">
      <w:pPr>
        <w:spacing w:beforeLines="50" w:afterLines="50" w:line="440" w:lineRule="exact"/>
        <w:jc w:val="center"/>
        <w:rPr>
          <w:rFonts w:ascii="宋体" w:hAnsi="宋体" w:cs="宋体"/>
          <w:b/>
          <w:bCs/>
          <w:color w:val="auto"/>
          <w:sz w:val="28"/>
          <w:szCs w:val="22"/>
          <w:highlight w:val="none"/>
        </w:rPr>
      </w:pPr>
      <w:bookmarkStart w:id="723" w:name="_Toc324404865"/>
      <w:bookmarkStart w:id="724" w:name="_Toc15058903"/>
      <w:bookmarkStart w:id="725" w:name="_Toc35425106"/>
      <w:bookmarkStart w:id="726" w:name="_Toc506107318"/>
      <w:bookmarkStart w:id="727" w:name="_Toc35424940"/>
      <w:r>
        <w:rPr>
          <w:rFonts w:hint="eastAsia" w:ascii="宋体" w:hAnsi="宋体" w:cs="宋体"/>
          <w:b/>
          <w:bCs/>
          <w:color w:val="auto"/>
          <w:sz w:val="28"/>
          <w:szCs w:val="22"/>
          <w:highlight w:val="none"/>
        </w:rPr>
        <w:t>资格审查办法前附表</w:t>
      </w:r>
      <w:bookmarkEnd w:id="723"/>
      <w:bookmarkEnd w:id="724"/>
      <w:bookmarkEnd w:id="725"/>
      <w:bookmarkEnd w:id="726"/>
      <w:bookmarkEnd w:id="727"/>
    </w:p>
    <w:p w14:paraId="4132067E">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4465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14:paraId="09922EC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224F837E">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2342EE03">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14:paraId="06CF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CD03B1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46DBBDD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3298B6D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31B50CA2">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7CB7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AAEA56F">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79D14290">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536A8E5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7AF8AB1F">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14:paraId="54DE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3876B9E4">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67819606">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1FF1A326">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60646E32">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14:paraId="1D10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5BC803E7">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317BE10C">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14:paraId="7C50C838">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14:paraId="4591BAB0">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12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21C2EB0">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44CD5E17">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1439A2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14:paraId="42889EE9">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82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9D7041B">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58A48EB5">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533328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投标人的法定代表人(或委托代理人)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16CBB1A7">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14:paraId="0BD3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65" w:type="dxa"/>
            <w:vMerge w:val="continue"/>
            <w:noWrap/>
            <w:vAlign w:val="center"/>
          </w:tcPr>
          <w:p w14:paraId="322A555E">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14:paraId="08D5F02F">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14:paraId="7AB5FCCE">
            <w:pPr>
              <w:keepNext w:val="0"/>
              <w:keepLines w:val="0"/>
              <w:suppressLineNumbers w:val="0"/>
              <w:spacing w:before="0" w:beforeAutospacing="0" w:after="0" w:afterAutospacing="0" w:line="440" w:lineRule="exact"/>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投标保证金缴纳凭证（如有）</w:t>
            </w:r>
          </w:p>
        </w:tc>
        <w:tc>
          <w:tcPr>
            <w:tcW w:w="1860" w:type="dxa"/>
            <w:vMerge w:val="continue"/>
            <w:noWrap/>
            <w:vAlign w:val="center"/>
          </w:tcPr>
          <w:p w14:paraId="2A216D0B">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14:paraId="0FCF003C">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09F388F7">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14:paraId="5CF22E8D">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14:paraId="4418AF8B">
      <w:pPr>
        <w:pStyle w:val="7"/>
        <w:spacing w:beforeLines="50" w:afterLines="50"/>
        <w:ind w:firstLine="422" w:firstLineChars="200"/>
        <w:rPr>
          <w:rFonts w:ascii="宋体" w:hAnsi="宋体" w:eastAsia="宋体" w:cs="宋体"/>
          <w:color w:val="auto"/>
          <w:highlight w:val="none"/>
        </w:rPr>
      </w:pPr>
      <w:bookmarkStart w:id="728" w:name="_Toc15058909"/>
      <w:bookmarkStart w:id="729" w:name="_Toc78803377"/>
      <w:bookmarkStart w:id="730" w:name="_Toc506107320"/>
      <w:bookmarkStart w:id="731" w:name="_Toc35425108"/>
      <w:bookmarkStart w:id="732" w:name="_Toc35424942"/>
      <w:bookmarkStart w:id="733" w:name="_Toc12549"/>
      <w:bookmarkStart w:id="734" w:name="_Toc324404867"/>
      <w:r>
        <w:rPr>
          <w:rFonts w:hint="eastAsia" w:ascii="宋体" w:hAnsi="宋体" w:eastAsia="宋体" w:cs="宋体"/>
          <w:color w:val="auto"/>
          <w:highlight w:val="none"/>
        </w:rPr>
        <w:t>2.审查办法</w:t>
      </w:r>
      <w:bookmarkEnd w:id="728"/>
      <w:bookmarkEnd w:id="729"/>
      <w:bookmarkEnd w:id="730"/>
      <w:bookmarkEnd w:id="731"/>
      <w:bookmarkEnd w:id="732"/>
      <w:bookmarkEnd w:id="733"/>
      <w:bookmarkEnd w:id="734"/>
    </w:p>
    <w:p w14:paraId="1C727AD6">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4C02976">
      <w:pPr>
        <w:pStyle w:val="7"/>
        <w:spacing w:beforeLines="50" w:afterLines="50"/>
        <w:ind w:firstLine="422" w:firstLineChars="200"/>
        <w:rPr>
          <w:rFonts w:ascii="宋体" w:hAnsi="宋体" w:eastAsia="宋体" w:cs="宋体"/>
          <w:color w:val="auto"/>
          <w:highlight w:val="none"/>
        </w:rPr>
      </w:pPr>
      <w:bookmarkStart w:id="735" w:name="_Toc35425109"/>
      <w:bookmarkStart w:id="736" w:name="_Toc506107321"/>
      <w:bookmarkStart w:id="737" w:name="_Toc35424943"/>
      <w:bookmarkStart w:id="738" w:name="_Toc15058910"/>
      <w:bookmarkStart w:id="739" w:name="_Toc15626"/>
      <w:bookmarkStart w:id="740" w:name="_Toc324404868"/>
      <w:bookmarkStart w:id="741" w:name="_Toc78803378"/>
      <w:r>
        <w:rPr>
          <w:rFonts w:hint="eastAsia" w:ascii="宋体" w:hAnsi="宋体" w:eastAsia="宋体" w:cs="宋体"/>
          <w:color w:val="auto"/>
          <w:highlight w:val="none"/>
        </w:rPr>
        <w:t>3.资格审查委员会和审查标准</w:t>
      </w:r>
      <w:bookmarkEnd w:id="735"/>
      <w:bookmarkEnd w:id="736"/>
      <w:bookmarkEnd w:id="737"/>
      <w:bookmarkEnd w:id="738"/>
      <w:bookmarkEnd w:id="739"/>
      <w:bookmarkEnd w:id="740"/>
      <w:bookmarkEnd w:id="741"/>
    </w:p>
    <w:p w14:paraId="247912DA">
      <w:pPr>
        <w:spacing w:line="440" w:lineRule="exact"/>
        <w:ind w:firstLine="420" w:firstLineChars="200"/>
        <w:jc w:val="left"/>
        <w:rPr>
          <w:rFonts w:hint="eastAsia" w:ascii="宋体" w:hAnsi="宋体" w:eastAsia="宋体" w:cs="宋体"/>
          <w:color w:val="auto"/>
          <w:szCs w:val="21"/>
          <w:highlight w:val="none"/>
        </w:rPr>
      </w:pPr>
      <w:bookmarkStart w:id="742" w:name="_Toc35425110"/>
      <w:bookmarkStart w:id="743" w:name="_Toc35424944"/>
      <w:bookmarkStart w:id="744" w:name="_Toc506107322"/>
      <w:bookmarkStart w:id="745" w:name="_Toc15058911"/>
      <w:bookmarkStart w:id="746" w:name="_Toc324404869"/>
      <w:bookmarkStart w:id="747" w:name="_Toc78803379"/>
      <w:bookmarkStart w:id="748" w:name="_Toc1033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131E694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745C2C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14:paraId="719EFAFF">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14:paraId="415A82F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14:paraId="6B78F5C3">
      <w:pPr>
        <w:pStyle w:val="7"/>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2"/>
      <w:bookmarkEnd w:id="743"/>
      <w:bookmarkEnd w:id="744"/>
      <w:bookmarkEnd w:id="745"/>
      <w:bookmarkEnd w:id="746"/>
      <w:bookmarkEnd w:id="747"/>
      <w:bookmarkEnd w:id="748"/>
    </w:p>
    <w:p w14:paraId="34F5680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9" w:name="_Toc506107323"/>
    </w:p>
    <w:p w14:paraId="10BAEF2B">
      <w:pPr>
        <w:pStyle w:val="6"/>
        <w:numPr>
          <w:ilvl w:val="0"/>
          <w:numId w:val="2"/>
        </w:numPr>
        <w:spacing w:beforeLines="50" w:afterLines="50"/>
        <w:rPr>
          <w:rFonts w:hint="eastAsia" w:ascii="Arial" w:hAnsi="Arial"/>
          <w:color w:val="auto"/>
          <w:kern w:val="0"/>
          <w:sz w:val="32"/>
          <w:szCs w:val="32"/>
          <w:highlight w:val="none"/>
        </w:rPr>
      </w:pPr>
      <w:bookmarkStart w:id="750" w:name="_Toc35425111"/>
      <w:bookmarkStart w:id="751" w:name="_Toc35424945"/>
      <w:bookmarkStart w:id="752" w:name="_Toc15058912"/>
      <w:r>
        <w:rPr>
          <w:rFonts w:hint="eastAsia"/>
          <w:color w:val="auto"/>
          <w:highlight w:val="none"/>
        </w:rPr>
        <w:br w:type="page"/>
      </w:r>
      <w:bookmarkStart w:id="753" w:name="_Toc78803380"/>
      <w:r>
        <w:rPr>
          <w:rFonts w:hint="eastAsia" w:ascii="Arial" w:hAnsi="Arial"/>
          <w:color w:val="auto"/>
          <w:kern w:val="0"/>
          <w:sz w:val="32"/>
          <w:szCs w:val="32"/>
          <w:highlight w:val="none"/>
        </w:rPr>
        <w:t xml:space="preserve"> </w:t>
      </w:r>
      <w:bookmarkStart w:id="754" w:name="_Toc32602"/>
      <w:bookmarkStart w:id="755" w:name="_Toc1286"/>
      <w:bookmarkStart w:id="756" w:name="_Toc30518"/>
      <w:r>
        <w:rPr>
          <w:rFonts w:hint="eastAsia" w:ascii="Arial" w:hAnsi="Arial"/>
          <w:color w:val="auto"/>
          <w:kern w:val="0"/>
          <w:sz w:val="32"/>
          <w:szCs w:val="32"/>
          <w:highlight w:val="none"/>
        </w:rPr>
        <w:t>评标办法</w:t>
      </w:r>
      <w:bookmarkEnd w:id="607"/>
      <w:bookmarkEnd w:id="749"/>
      <w:bookmarkEnd w:id="750"/>
      <w:bookmarkEnd w:id="751"/>
      <w:bookmarkEnd w:id="752"/>
      <w:bookmarkEnd w:id="753"/>
      <w:bookmarkEnd w:id="754"/>
      <w:bookmarkEnd w:id="755"/>
      <w:bookmarkEnd w:id="756"/>
    </w:p>
    <w:p w14:paraId="375E7FC1">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（一）商务标评审</w:t>
      </w:r>
    </w:p>
    <w:tbl>
      <w:tblPr>
        <w:tblStyle w:val="46"/>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4"/>
        <w:gridCol w:w="776"/>
        <w:gridCol w:w="708"/>
        <w:gridCol w:w="2127"/>
        <w:gridCol w:w="5794"/>
      </w:tblGrid>
      <w:tr w14:paraId="0046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3" w:hRule="atLeast"/>
          <w:jc w:val="center"/>
        </w:trPr>
        <w:tc>
          <w:tcPr>
            <w:tcW w:w="15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511C3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bookmarkStart w:id="757" w:name="_Toc247085747"/>
            <w:bookmarkStart w:id="758" w:name="_Toc246996975"/>
            <w:bookmarkStart w:id="759" w:name="_Toc506107324"/>
            <w:bookmarkStart w:id="760" w:name="_Toc35425113"/>
            <w:bookmarkStart w:id="761" w:name="_Toc152042366"/>
            <w:bookmarkStart w:id="762" w:name="_Toc179632607"/>
            <w:bookmarkStart w:id="763" w:name="_Toc15058913"/>
            <w:bookmarkStart w:id="764" w:name="_Toc144974556"/>
            <w:bookmarkStart w:id="765" w:name="_Toc246996232"/>
            <w:bookmarkStart w:id="766" w:name="_Toc35424947"/>
            <w:bookmarkStart w:id="767" w:name="_Toc78803381"/>
            <w:bookmarkStart w:id="768" w:name="_Toc324404872"/>
            <w:bookmarkStart w:id="769" w:name="_Toc6491"/>
            <w:bookmarkStart w:id="770" w:name="_Toc152045589"/>
            <w:r>
              <w:rPr>
                <w:rFonts w:hint="eastAsia" w:ascii="宋体" w:hAnsi="宋体" w:eastAsia="宋体" w:cs="宋体"/>
                <w:color w:val="auto"/>
                <w:kern w:val="2"/>
                <w:sz w:val="21"/>
                <w:szCs w:val="21"/>
                <w:highlight w:val="none"/>
                <w:lang w:val="en-US" w:eastAsia="zh-CN" w:bidi="ar"/>
              </w:rPr>
              <w:t>条款号</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1651">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评审因素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740CD6B">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评审标准</w:t>
            </w:r>
          </w:p>
        </w:tc>
      </w:tr>
      <w:tr w14:paraId="2751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C02F81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4.2.1</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77CD58A7">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形式评审标准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880D6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投标函签字盖章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A10AB1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有投标人及其法定代表人签章。</w:t>
            </w:r>
          </w:p>
        </w:tc>
      </w:tr>
      <w:tr w14:paraId="2FBE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CB3F48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7D1083D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D85AA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投标文件格式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1984171">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符合第八章“投标文件格式”的要求。</w:t>
            </w:r>
          </w:p>
        </w:tc>
      </w:tr>
      <w:tr w14:paraId="3C52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1"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E4483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AA258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F144D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商务标签字盖章</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90595C6">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按投标文件格式要求签章。</w:t>
            </w:r>
          </w:p>
        </w:tc>
      </w:tr>
      <w:tr w14:paraId="401F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FCA290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84DAE6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DB56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报价唯一</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F28EC9">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只能有一个报价。</w:t>
            </w:r>
          </w:p>
        </w:tc>
      </w:tr>
      <w:tr w14:paraId="6175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3"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A94A97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4.2.2</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49B9F29C">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响应性评审标准</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B55EA7">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投标保证金缴纳情况</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3D4C6E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6CA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110A35F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7BD42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BD26F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213A6B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1EDF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5FE00CA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08F04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1F0708">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工程质量</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A4A680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754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275615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BEA99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7C012E">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投标有效期</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99D80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符合投标须知前附表规定。</w:t>
            </w:r>
          </w:p>
        </w:tc>
      </w:tr>
      <w:tr w14:paraId="33DE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4E17F17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1C0ACA0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A18127">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已标价工程量清单</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462CB184">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与招标人发布的招标工程量清单（含需评审材料清单）排序一致</w:t>
            </w:r>
            <w:r>
              <w:rPr>
                <w:rFonts w:hint="eastAsia" w:ascii="宋体" w:hAnsi="宋体" w:cs="宋体"/>
                <w:color w:val="auto"/>
                <w:kern w:val="2"/>
                <w:sz w:val="21"/>
                <w:szCs w:val="21"/>
                <w:highlight w:val="none"/>
                <w:lang w:val="en-US" w:eastAsia="zh-CN" w:bidi="ar"/>
              </w:rPr>
              <w:t>。</w:t>
            </w:r>
          </w:p>
        </w:tc>
      </w:tr>
      <w:tr w14:paraId="49E9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149E65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6D5C840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829F11">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投标总价评审</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300C93A7">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
              </w:rPr>
              <w:t>不得高于最高投标限价，也不得低于工程成本价。</w:t>
            </w:r>
          </w:p>
        </w:tc>
      </w:tr>
      <w:tr w14:paraId="728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restart"/>
            <w:tcBorders>
              <w:top w:val="nil"/>
              <w:left w:val="single" w:color="auto" w:sz="4" w:space="0"/>
              <w:bottom w:val="single" w:color="auto" w:sz="4" w:space="0"/>
              <w:right w:val="single" w:color="auto" w:sz="4" w:space="0"/>
            </w:tcBorders>
            <w:shd w:val="clear" w:color="auto" w:fill="auto"/>
            <w:vAlign w:val="center"/>
          </w:tcPr>
          <w:p w14:paraId="192FA0D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4.2.3</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FA8CD33">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18"/>
                <w:szCs w:val="18"/>
                <w:highlight w:val="none"/>
                <w:lang w:val="en-US" w:eastAsia="zh-CN" w:bidi="ar"/>
              </w:rPr>
              <w:t>详细评审标准</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0EF29AF0">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工程成本评审</w:t>
            </w:r>
          </w:p>
        </w:tc>
        <w:tc>
          <w:tcPr>
            <w:tcW w:w="79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8D71F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lang w:val="en-US" w:eastAsia="zh-CN" w:bidi="ar"/>
              </w:rPr>
              <w:t>投标报价出现下列情形之一的，由评标委员会重点评审后界定其报价是否低于工程成本：</w:t>
            </w:r>
          </w:p>
        </w:tc>
      </w:tr>
      <w:tr w14:paraId="4351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0C3F37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4152F43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25C773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343DE77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540A4F8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投标报价低于本项目通过资信、技术评审且商务标初步评审合格的有效投标报价平均值10%以上。</w:t>
            </w:r>
          </w:p>
        </w:tc>
      </w:tr>
      <w:tr w14:paraId="7944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3AE75C8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32BC89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61C3309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86CE15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报价内容完整性</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1C0EC205">
            <w:pPr>
              <w:keepNext w:val="0"/>
              <w:keepLines w:val="0"/>
              <w:widowControl w:val="0"/>
              <w:suppressLineNumbers w:val="0"/>
              <w:adjustRightInd w:val="0"/>
              <w:snapToGrid w:val="0"/>
              <w:spacing w:before="0" w:beforeAutospacing="0" w:after="0" w:afterAutospacing="0" w:line="560" w:lineRule="exact"/>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因投标人原因造成投标报价清单缺漏，缺漏项总额（多算或多报总额不得抵消缺漏项目总额）累计占本项目通过资信、技术评审且商务标初步评审合格</w:t>
            </w:r>
            <w:r>
              <w:rPr>
                <w:rFonts w:hint="eastAsia" w:ascii="宋体" w:hAnsi="宋体" w:eastAsia="宋体" w:cs="宋体"/>
                <w:color w:val="auto"/>
                <w:spacing w:val="-6"/>
                <w:kern w:val="2"/>
                <w:sz w:val="21"/>
                <w:szCs w:val="21"/>
                <w:highlight w:val="none"/>
                <w:lang w:val="en-US" w:eastAsia="zh-CN" w:bidi="ar"/>
              </w:rPr>
              <w:t>有效投标总报价平均值5%以上。</w:t>
            </w:r>
          </w:p>
        </w:tc>
      </w:tr>
      <w:tr w14:paraId="0FC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0E5BCAC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2FD21D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A9EC3F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无效报价</w:t>
            </w: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64040A0C">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暂估价材料、设备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24A3134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材料、设备暂估价未按要求计入分部分项工程费。</w:t>
            </w:r>
          </w:p>
        </w:tc>
      </w:tr>
      <w:tr w14:paraId="7A96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6907ECC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5300E81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791329B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50F35719">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不可竞争项目费费率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7254879B">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低于建标〔2021〕42号文规定的费率。</w:t>
            </w:r>
          </w:p>
        </w:tc>
      </w:tr>
      <w:tr w14:paraId="5B7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5" w:hRule="atLeast"/>
          <w:jc w:val="center"/>
        </w:trPr>
        <w:tc>
          <w:tcPr>
            <w:tcW w:w="784" w:type="dxa"/>
            <w:vMerge w:val="continue"/>
            <w:tcBorders>
              <w:top w:val="nil"/>
              <w:left w:val="single" w:color="auto" w:sz="4" w:space="0"/>
              <w:bottom w:val="single" w:color="auto" w:sz="4" w:space="0"/>
              <w:right w:val="single" w:color="auto" w:sz="4" w:space="0"/>
            </w:tcBorders>
            <w:shd w:val="clear" w:color="auto" w:fill="auto"/>
            <w:vAlign w:val="center"/>
          </w:tcPr>
          <w:p w14:paraId="710BB45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76" w:type="dxa"/>
            <w:vMerge w:val="continue"/>
            <w:tcBorders>
              <w:top w:val="nil"/>
              <w:left w:val="single" w:color="auto" w:sz="4" w:space="0"/>
              <w:bottom w:val="single" w:color="auto" w:sz="4" w:space="0"/>
              <w:right w:val="single" w:color="auto" w:sz="4" w:space="0"/>
            </w:tcBorders>
            <w:shd w:val="clear" w:color="auto" w:fill="auto"/>
            <w:vAlign w:val="center"/>
          </w:tcPr>
          <w:p w14:paraId="0A5ED85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08" w:type="dxa"/>
            <w:vMerge w:val="continue"/>
            <w:tcBorders>
              <w:top w:val="nil"/>
              <w:left w:val="single" w:color="auto" w:sz="4" w:space="0"/>
              <w:bottom w:val="single" w:color="auto" w:sz="4" w:space="0"/>
              <w:right w:val="single" w:color="auto" w:sz="4" w:space="0"/>
            </w:tcBorders>
            <w:shd w:val="clear" w:color="auto" w:fill="auto"/>
            <w:vAlign w:val="center"/>
          </w:tcPr>
          <w:p w14:paraId="3FA3BFA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14:paraId="421BFA46">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税率</w:t>
            </w:r>
          </w:p>
        </w:tc>
        <w:tc>
          <w:tcPr>
            <w:tcW w:w="5794" w:type="dxa"/>
            <w:tcBorders>
              <w:top w:val="single" w:color="auto" w:sz="4" w:space="0"/>
              <w:left w:val="single" w:color="auto" w:sz="4" w:space="0"/>
              <w:bottom w:val="single" w:color="auto" w:sz="4" w:space="0"/>
              <w:right w:val="single" w:color="auto" w:sz="4" w:space="0"/>
            </w:tcBorders>
            <w:shd w:val="clear" w:color="auto" w:fill="auto"/>
            <w:vAlign w:val="center"/>
          </w:tcPr>
          <w:p w14:paraId="0CBAA632">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低于《关于调整我省现行建设工程计价依据增值税税率的通知》（皖造价〔2019〕7号）规定的费率。</w:t>
            </w:r>
          </w:p>
        </w:tc>
      </w:tr>
    </w:tbl>
    <w:p w14:paraId="075662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评审委员会依据上述标准对投标文件进行评审。有一项不符合评审标准的，作无效投标处理</w:t>
      </w:r>
      <w:r>
        <w:rPr>
          <w:rFonts w:hint="eastAsia" w:ascii="宋体" w:hAnsi="宋体" w:cs="宋体"/>
          <w:color w:val="auto"/>
          <w:szCs w:val="21"/>
          <w:highlight w:val="none"/>
          <w:lang w:val="en-US" w:eastAsia="zh-CN"/>
        </w:rPr>
        <w:t>。</w:t>
      </w:r>
    </w:p>
    <w:p w14:paraId="0C6ABCCB">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1.评标方法</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AC4AA0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szCs w:val="21"/>
          <w:highlight w:val="none"/>
          <w:lang w:eastAsia="zh-CN"/>
        </w:rPr>
      </w:pPr>
      <w:bookmarkStart w:id="771" w:name="_Toc324404873"/>
      <w:bookmarkStart w:id="772" w:name="_Toc11945"/>
      <w:bookmarkStart w:id="773" w:name="_Toc35424948"/>
      <w:bookmarkStart w:id="774" w:name="_Toc35425114"/>
      <w:bookmarkStart w:id="775" w:name="_Toc506107325"/>
      <w:bookmarkStart w:id="776" w:name="_Toc78803382"/>
      <w:bookmarkStart w:id="777" w:name="_Toc15058914"/>
      <w:bookmarkStart w:id="778" w:name="_Toc246996976"/>
      <w:bookmarkStart w:id="779" w:name="_Toc152045590"/>
      <w:bookmarkStart w:id="780" w:name="_Toc246996233"/>
      <w:bookmarkStart w:id="781" w:name="_Toc296602478"/>
      <w:bookmarkStart w:id="782" w:name="_Toc144974557"/>
      <w:bookmarkStart w:id="783" w:name="_Toc152042367"/>
      <w:bookmarkStart w:id="784" w:name="_Toc247085748"/>
      <w:bookmarkStart w:id="785" w:name="_Toc179632608"/>
      <w:r>
        <w:rPr>
          <w:rFonts w:hint="eastAsia" w:ascii="宋体" w:hAnsi="宋体" w:eastAsia="宋体" w:cs="宋体"/>
          <w:color w:val="auto"/>
          <w:szCs w:val="21"/>
          <w:highlight w:val="none"/>
        </w:rPr>
        <w:t>本次评标采用</w:t>
      </w:r>
      <w:r>
        <w:rPr>
          <w:rFonts w:hint="eastAsia" w:ascii="宋体" w:hAnsi="宋体" w:cs="宋体"/>
          <w:b/>
          <w:bCs/>
          <w:color w:val="auto"/>
          <w:szCs w:val="21"/>
          <w:highlight w:val="none"/>
          <w:lang w:eastAsia="zh-CN"/>
        </w:rPr>
        <w:t>合理低价法</w:t>
      </w:r>
      <w:r>
        <w:rPr>
          <w:rFonts w:hint="eastAsia" w:ascii="宋体" w:hAnsi="宋体" w:eastAsia="宋体" w:cs="宋体"/>
          <w:color w:val="auto"/>
          <w:szCs w:val="21"/>
          <w:highlight w:val="none"/>
        </w:rPr>
        <w:t>。评标委员会对满足招标文件实质性要求的投标文件，</w:t>
      </w:r>
      <w:r>
        <w:rPr>
          <w:rFonts w:hint="eastAsia" w:ascii="宋体" w:hAnsi="宋体" w:eastAsia="宋体" w:cs="宋体"/>
          <w:b/>
          <w:bCs/>
          <w:color w:val="auto"/>
          <w:szCs w:val="21"/>
          <w:highlight w:val="none"/>
        </w:rPr>
        <w:t>按照合理低价的原则确定中标候选人，投标报价低于所有有效投标报价平均值10%以上的投标单位，招标单位不予选择，在有效报价中按照最低价确定为第一中标候选人，次低的为第二中标候选人，以此类推推荐3名中选候选人。</w:t>
      </w:r>
      <w:r>
        <w:rPr>
          <w:rFonts w:hint="eastAsia" w:ascii="宋体" w:hAnsi="宋体" w:eastAsia="宋体" w:cs="宋体"/>
          <w:color w:val="auto"/>
          <w:szCs w:val="21"/>
          <w:highlight w:val="none"/>
        </w:rPr>
        <w:t>若有效投标报价中最低价有两家或两家以上相同时，由评标委员会主任委员或招标人随机抽取确定排名</w:t>
      </w:r>
      <w:r>
        <w:rPr>
          <w:rFonts w:hint="eastAsia" w:ascii="宋体" w:hAnsi="宋体" w:cs="宋体"/>
          <w:color w:val="auto"/>
          <w:szCs w:val="21"/>
          <w:highlight w:val="none"/>
          <w:lang w:eastAsia="zh-CN"/>
        </w:rPr>
        <w:t>。</w:t>
      </w:r>
    </w:p>
    <w:p w14:paraId="052B9A6D">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771"/>
      <w:bookmarkEnd w:id="772"/>
      <w:bookmarkEnd w:id="773"/>
      <w:bookmarkEnd w:id="774"/>
      <w:bookmarkEnd w:id="775"/>
      <w:bookmarkEnd w:id="776"/>
      <w:bookmarkEnd w:id="777"/>
    </w:p>
    <w:p w14:paraId="26A8BDA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46014B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6" w:name="_Toc15058915"/>
      <w:bookmarkStart w:id="787" w:name="_Toc17377"/>
      <w:bookmarkStart w:id="788" w:name="_Toc35425115"/>
      <w:bookmarkStart w:id="789" w:name="_Toc78803384"/>
      <w:bookmarkStart w:id="790" w:name="_Toc35424949"/>
      <w:bookmarkStart w:id="791" w:name="_Toc506107326"/>
      <w:bookmarkStart w:id="792" w:name="_Toc324404874"/>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EB0BA6">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786"/>
      <w:bookmarkEnd w:id="787"/>
      <w:bookmarkEnd w:id="788"/>
      <w:bookmarkEnd w:id="789"/>
      <w:bookmarkEnd w:id="790"/>
      <w:bookmarkEnd w:id="791"/>
      <w:bookmarkEnd w:id="792"/>
    </w:p>
    <w:p w14:paraId="6D204C9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评标先做准备工作，再进行资</w:t>
      </w:r>
      <w:r>
        <w:rPr>
          <w:rFonts w:hint="eastAsia" w:ascii="宋体" w:hAnsi="宋体" w:cs="宋体"/>
          <w:color w:val="auto"/>
          <w:szCs w:val="21"/>
          <w:highlight w:val="none"/>
          <w:lang w:val="en-US" w:eastAsia="zh-CN"/>
        </w:rPr>
        <w:t>信</w:t>
      </w:r>
      <w:r>
        <w:rPr>
          <w:rFonts w:hint="eastAsia" w:ascii="宋体" w:hAnsi="宋体" w:cs="宋体"/>
          <w:color w:val="auto"/>
          <w:szCs w:val="21"/>
          <w:highlight w:val="none"/>
        </w:rPr>
        <w:t>评审，然后进行商务标评审。</w:t>
      </w:r>
    </w:p>
    <w:p w14:paraId="267FE0A5">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3" w:name="_Toc78803385"/>
      <w:bookmarkStart w:id="794" w:name="_Toc27389"/>
      <w:bookmarkStart w:id="795" w:name="_Toc35425116"/>
      <w:bookmarkStart w:id="796" w:name="_Toc15058916"/>
      <w:bookmarkStart w:id="797" w:name="_Toc35424950"/>
      <w:r>
        <w:rPr>
          <w:rFonts w:hint="eastAsia" w:ascii="宋体" w:hAnsi="宋体" w:eastAsia="宋体" w:cs="宋体"/>
          <w:color w:val="auto"/>
          <w:highlight w:val="none"/>
        </w:rPr>
        <w:t>3.1评标准备工作</w:t>
      </w:r>
      <w:bookmarkEnd w:id="793"/>
      <w:bookmarkEnd w:id="794"/>
      <w:bookmarkEnd w:id="795"/>
      <w:bookmarkEnd w:id="796"/>
      <w:bookmarkEnd w:id="797"/>
    </w:p>
    <w:p w14:paraId="311AD17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018D940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C0CD95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0771DA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5143744D">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14:paraId="0DC00819">
      <w:pPr>
        <w:pStyle w:val="7"/>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8" w:name="_Toc24650"/>
      <w:bookmarkStart w:id="799" w:name="_Toc35425117"/>
      <w:bookmarkStart w:id="800" w:name="_Toc78803386"/>
      <w:bookmarkStart w:id="801" w:name="_Toc15058917"/>
      <w:bookmarkStart w:id="802" w:name="_Toc1299"/>
      <w:bookmarkStart w:id="803" w:name="_Toc35424951"/>
      <w:bookmarkStart w:id="804" w:name="_Toc324404875"/>
      <w:bookmarkStart w:id="805" w:name="_Toc35425120"/>
      <w:bookmarkStart w:id="806" w:name="_Toc15058919"/>
      <w:bookmarkStart w:id="807" w:name="_Toc12200"/>
      <w:bookmarkStart w:id="808" w:name="_Toc35424954"/>
      <w:bookmarkStart w:id="809" w:name="_Toc506107327"/>
      <w:r>
        <w:rPr>
          <w:rFonts w:hint="eastAsia" w:ascii="宋体" w:hAnsi="宋体" w:eastAsia="宋体" w:cs="宋体"/>
          <w:color w:val="auto"/>
          <w:highlight w:val="none"/>
        </w:rPr>
        <w:t>3.2</w:t>
      </w:r>
      <w:bookmarkEnd w:id="798"/>
      <w:bookmarkEnd w:id="799"/>
      <w:bookmarkEnd w:id="800"/>
      <w:bookmarkEnd w:id="801"/>
      <w:bookmarkEnd w:id="802"/>
      <w:bookmarkEnd w:id="803"/>
      <w:bookmarkStart w:id="810" w:name="_Toc35424952"/>
      <w:bookmarkStart w:id="811" w:name="_Toc35425118"/>
      <w:bookmarkStart w:id="812" w:name="_Toc17468"/>
      <w:bookmarkStart w:id="813" w:name="_Toc11990"/>
      <w:bookmarkStart w:id="814" w:name="_Toc15058918"/>
      <w:bookmarkStart w:id="815" w:name="_Toc78803387"/>
      <w:r>
        <w:rPr>
          <w:rFonts w:hint="eastAsia" w:ascii="宋体" w:hAnsi="宋体" w:eastAsia="宋体" w:cs="宋体"/>
          <w:color w:val="auto"/>
          <w:highlight w:val="none"/>
        </w:rPr>
        <w:t>商务标评审</w:t>
      </w:r>
      <w:bookmarkEnd w:id="810"/>
      <w:bookmarkEnd w:id="811"/>
      <w:bookmarkEnd w:id="812"/>
      <w:bookmarkEnd w:id="813"/>
      <w:bookmarkEnd w:id="814"/>
      <w:bookmarkEnd w:id="815"/>
    </w:p>
    <w:p w14:paraId="689EEA11">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14:paraId="25869F54">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6" w:name="_Toc35424953"/>
      <w:bookmarkStart w:id="817" w:name="_Toc35425119"/>
      <w:bookmarkStart w:id="818" w:name="_Toc26895"/>
      <w:bookmarkStart w:id="819" w:name="_Toc18087"/>
      <w:bookmarkStart w:id="820" w:name="_Toc78803388"/>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16"/>
      <w:bookmarkEnd w:id="817"/>
      <w:bookmarkEnd w:id="818"/>
      <w:bookmarkEnd w:id="819"/>
      <w:bookmarkEnd w:id="820"/>
    </w:p>
    <w:p w14:paraId="362FA86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696AA247">
      <w:pPr>
        <w:pStyle w:val="7"/>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21" w:name="_Toc78803389"/>
      <w:r>
        <w:rPr>
          <w:rFonts w:hint="eastAsia" w:ascii="宋体" w:hAnsi="宋体" w:eastAsia="宋体" w:cs="宋体"/>
          <w:color w:val="auto"/>
          <w:highlight w:val="none"/>
        </w:rPr>
        <w:t>4.评审内容</w:t>
      </w:r>
      <w:bookmarkEnd w:id="804"/>
      <w:bookmarkEnd w:id="805"/>
      <w:bookmarkEnd w:id="806"/>
      <w:bookmarkEnd w:id="807"/>
      <w:bookmarkEnd w:id="808"/>
      <w:bookmarkEnd w:id="809"/>
      <w:bookmarkEnd w:id="821"/>
    </w:p>
    <w:p w14:paraId="02E73996">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b/>
          <w:bCs/>
          <w:color w:val="auto"/>
          <w:kern w:val="2"/>
          <w:sz w:val="21"/>
          <w:szCs w:val="21"/>
          <w:highlight w:val="none"/>
        </w:rPr>
      </w:pPr>
      <w:bookmarkStart w:id="822" w:name="_Toc9630"/>
      <w:bookmarkStart w:id="823" w:name="_Toc78803390"/>
      <w:r>
        <w:rPr>
          <w:rFonts w:hint="eastAsia" w:ascii="宋体" w:hAnsi="宋体" w:eastAsia="宋体" w:cs="宋体"/>
          <w:color w:val="auto"/>
          <w:highlight w:val="none"/>
        </w:rPr>
        <w:t>4.1</w:t>
      </w:r>
      <w:bookmarkEnd w:id="822"/>
      <w:bookmarkEnd w:id="823"/>
      <w:bookmarkStart w:id="824" w:name="_Toc35425123"/>
      <w:bookmarkStart w:id="825" w:name="_Toc13125"/>
      <w:bookmarkStart w:id="826" w:name="_Toc35424957"/>
      <w:bookmarkStart w:id="827" w:name="_Toc506107328"/>
      <w:bookmarkStart w:id="828" w:name="_Toc78803392"/>
      <w:bookmarkStart w:id="829" w:name="_Toc324404876"/>
      <w:bookmarkStart w:id="830" w:name="_Toc15058922"/>
      <w:r>
        <w:rPr>
          <w:rFonts w:hint="eastAsia" w:ascii="宋体" w:hAnsi="宋体" w:eastAsia="宋体" w:cs="宋体"/>
          <w:b/>
          <w:bCs/>
          <w:color w:val="auto"/>
          <w:kern w:val="2"/>
          <w:sz w:val="21"/>
          <w:szCs w:val="21"/>
          <w:highlight w:val="none"/>
          <w:lang w:val="en-US" w:eastAsia="zh-CN" w:bidi="ar"/>
        </w:rPr>
        <w:t>商务标评审</w:t>
      </w:r>
    </w:p>
    <w:p w14:paraId="2069F3A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只有通过技术标评审的投标才能够进入本阶段评审。</w:t>
      </w:r>
    </w:p>
    <w:p w14:paraId="1C35D68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.1形式性评审标准：见商务标评审表。</w:t>
      </w:r>
    </w:p>
    <w:p w14:paraId="230D831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.2响应性评审标准：见商务标评审表。</w:t>
      </w:r>
    </w:p>
    <w:p w14:paraId="21E13D9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评标委员会依据上述标准对投标文件进行初步评审。有一项不符合评审标准的，作无效投标处理。</w:t>
      </w:r>
    </w:p>
    <w:p w14:paraId="22CC091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.3投标报价评审</w:t>
      </w:r>
    </w:p>
    <w:p w14:paraId="5ADDC163">
      <w:pPr>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r>
        <w:rPr>
          <w:rFonts w:hint="eastAsia" w:ascii="宋体" w:hAnsi="宋体" w:cs="宋体"/>
          <w:b/>
          <w:bCs/>
          <w:color w:val="auto"/>
          <w:kern w:val="2"/>
          <w:sz w:val="21"/>
          <w:szCs w:val="21"/>
          <w:highlight w:val="none"/>
          <w:lang w:val="en-US" w:eastAsia="zh-CN" w:bidi="ar"/>
        </w:rPr>
        <w:t>。</w:t>
      </w:r>
    </w:p>
    <w:p w14:paraId="36A47C5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s="宋体"/>
          <w:color w:val="auto"/>
          <w:kern w:val="2"/>
          <w:sz w:val="21"/>
          <w:szCs w:val="21"/>
          <w:highlight w:val="none"/>
          <w:lang w:val="en-US" w:eastAsia="zh-CN" w:bidi="ar"/>
        </w:rPr>
        <w:t>4.1.4</w:t>
      </w:r>
      <w:r>
        <w:rPr>
          <w:rFonts w:hint="eastAsia" w:ascii="宋体" w:hAnsi="宋体" w:eastAsia="宋体" w:cs="宋体"/>
          <w:color w:val="auto"/>
          <w:kern w:val="2"/>
          <w:sz w:val="21"/>
          <w:szCs w:val="21"/>
          <w:highlight w:val="none"/>
          <w:lang w:val="en-US" w:eastAsia="zh-CN" w:bidi="ar"/>
        </w:rPr>
        <w:t>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4D9F0ED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（1）投标文件中的大写金额与小写金额不一致的，以大写金额为准。</w:t>
      </w:r>
    </w:p>
    <w:p w14:paraId="1F615FA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（2）总价金额与依据单价计算出的结果不一致的，以单价金额为准修正总价，但单价金额小数点有明显错误的除外。</w:t>
      </w:r>
    </w:p>
    <w:p w14:paraId="4F2593F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（3）工程量清单报价表中综合单价与工程量清单项目价格分析表相对应综合单价不一致时，以工程量清单项目价格分析表中标出的综合单价为准。</w:t>
      </w:r>
    </w:p>
    <w:p w14:paraId="7548F3C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r>
        <w:rPr>
          <w:rFonts w:hint="eastAsia" w:ascii="宋体" w:hAnsi="宋体" w:eastAsia="宋体" w:cs="宋体"/>
          <w:color w:val="auto"/>
          <w:highlight w:val="none"/>
        </w:rPr>
        <w:t>。</w:t>
      </w:r>
    </w:p>
    <w:p w14:paraId="51551E98">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24"/>
      <w:bookmarkEnd w:id="825"/>
      <w:bookmarkEnd w:id="826"/>
      <w:bookmarkEnd w:id="827"/>
      <w:bookmarkEnd w:id="828"/>
      <w:bookmarkEnd w:id="829"/>
      <w:bookmarkEnd w:id="830"/>
    </w:p>
    <w:p w14:paraId="0591E64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14:paraId="18CF85E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（1）未在投标截止时间前通过网上招标投标系统递交有效电子投标文件的，开标系统不予接收，投标将被拒绝。</w:t>
      </w:r>
    </w:p>
    <w:p w14:paraId="2907B0D0">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D9406E7">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14:paraId="7BE7357E">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.1商务标评审</w:t>
      </w:r>
    </w:p>
    <w:p w14:paraId="274DA15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15AFBF2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r>
        <w:rPr>
          <w:rFonts w:hint="eastAsia" w:ascii="宋体" w:hAnsi="宋体" w:cs="宋体"/>
          <w:color w:val="auto"/>
          <w:szCs w:val="21"/>
          <w:highlight w:val="none"/>
          <w:lang w:eastAsia="zh-CN"/>
        </w:rPr>
        <w:t>。</w:t>
      </w:r>
    </w:p>
    <w:p w14:paraId="47CFA92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14:paraId="2C11B3E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9757C0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14:paraId="3C36C6CB">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14:paraId="7954A0F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14:paraId="1706800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14:paraId="28C036DC">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14:paraId="185F8D6A">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14:paraId="5A81403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14:paraId="73F01E5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14:paraId="2589E5A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14:paraId="50B4F429">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）投标人投标MAC地址一致。</w:t>
      </w:r>
    </w:p>
    <w:p w14:paraId="58F77BC1">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12）评标时查询投标文件制作机器码、文件创建标识码及造价软件加密锁号。若存在投标文件制作机器码或创建标识码或造价软件加密锁号信息与其他投标人雷同的，投标无效</w:t>
      </w:r>
      <w:r>
        <w:rPr>
          <w:rFonts w:hint="eastAsia" w:ascii="宋体" w:hAnsi="宋体" w:cs="宋体"/>
          <w:color w:val="auto"/>
          <w:szCs w:val="21"/>
          <w:highlight w:val="none"/>
          <w:lang w:val="en-US" w:eastAsia="zh-CN"/>
        </w:rPr>
        <w:t>。</w:t>
      </w:r>
    </w:p>
    <w:p w14:paraId="32BA7973">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eastAsia="宋体" w:cs="宋体"/>
          <w:color w:val="auto"/>
          <w:szCs w:val="21"/>
          <w:highlight w:val="none"/>
        </w:rPr>
        <w:t>法律、法规规定的其他情形。</w:t>
      </w:r>
    </w:p>
    <w:p w14:paraId="0353053F">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1" w:name="_Toc506107329"/>
      <w:bookmarkStart w:id="832" w:name="_Toc15058923"/>
      <w:bookmarkStart w:id="833" w:name="_Toc35424958"/>
      <w:bookmarkStart w:id="834" w:name="_Toc27846"/>
      <w:bookmarkStart w:id="835" w:name="_Toc78803393"/>
      <w:bookmarkStart w:id="836" w:name="_Toc35425124"/>
      <w:bookmarkStart w:id="837" w:name="_Toc324404877"/>
      <w:r>
        <w:rPr>
          <w:rFonts w:hint="eastAsia" w:ascii="宋体" w:hAnsi="宋体" w:eastAsia="宋体" w:cs="宋体"/>
          <w:color w:val="auto"/>
          <w:highlight w:val="none"/>
        </w:rPr>
        <w:t>6.投标文件的澄清和补正</w:t>
      </w:r>
      <w:bookmarkEnd w:id="831"/>
      <w:bookmarkEnd w:id="832"/>
      <w:bookmarkEnd w:id="833"/>
      <w:bookmarkEnd w:id="834"/>
      <w:bookmarkEnd w:id="835"/>
      <w:bookmarkEnd w:id="836"/>
      <w:bookmarkEnd w:id="837"/>
    </w:p>
    <w:p w14:paraId="6B60B03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14:paraId="5566E826">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4653CAE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6940A8EE">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66DDEAF3">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38" w:name="_Toc35424959"/>
      <w:bookmarkStart w:id="839" w:name="_Toc35425125"/>
      <w:bookmarkStart w:id="840" w:name="_Toc78803394"/>
      <w:bookmarkStart w:id="841" w:name="_Toc324404878"/>
      <w:bookmarkStart w:id="842" w:name="_Toc13990"/>
      <w:bookmarkStart w:id="843" w:name="_Toc506107330"/>
      <w:bookmarkStart w:id="844" w:name="_Toc15058924"/>
      <w:r>
        <w:rPr>
          <w:rFonts w:hint="eastAsia" w:ascii="宋体" w:hAnsi="宋体" w:eastAsia="宋体" w:cs="宋体"/>
          <w:color w:val="auto"/>
          <w:highlight w:val="none"/>
        </w:rPr>
        <w:t>7.评分标准</w:t>
      </w:r>
      <w:bookmarkEnd w:id="838"/>
      <w:bookmarkEnd w:id="839"/>
      <w:bookmarkEnd w:id="840"/>
      <w:bookmarkEnd w:id="841"/>
      <w:bookmarkEnd w:id="842"/>
      <w:bookmarkEnd w:id="843"/>
      <w:bookmarkEnd w:id="844"/>
    </w:p>
    <w:p w14:paraId="573CB804">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评分标准：见商务标评审表。</w:t>
      </w:r>
    </w:p>
    <w:p w14:paraId="045E90A1">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45" w:name="_Toc22863"/>
      <w:bookmarkStart w:id="846" w:name="_Toc35424960"/>
      <w:bookmarkStart w:id="847" w:name="_Toc15058925"/>
      <w:bookmarkStart w:id="848" w:name="_Toc324404879"/>
      <w:bookmarkStart w:id="849" w:name="_Toc78803395"/>
      <w:bookmarkStart w:id="850" w:name="_Toc506107331"/>
      <w:bookmarkStart w:id="851" w:name="_Toc35425126"/>
      <w:r>
        <w:rPr>
          <w:rFonts w:hint="eastAsia" w:ascii="宋体" w:hAnsi="宋体" w:eastAsia="宋体" w:cs="宋体"/>
          <w:color w:val="auto"/>
          <w:highlight w:val="none"/>
        </w:rPr>
        <w:t>8.评审结果</w:t>
      </w:r>
      <w:bookmarkEnd w:id="845"/>
      <w:bookmarkEnd w:id="846"/>
      <w:bookmarkEnd w:id="847"/>
      <w:bookmarkEnd w:id="848"/>
      <w:bookmarkEnd w:id="849"/>
      <w:bookmarkEnd w:id="850"/>
      <w:bookmarkEnd w:id="851"/>
    </w:p>
    <w:p w14:paraId="11A62683">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w:t>
      </w:r>
      <w:r>
        <w:rPr>
          <w:rFonts w:hint="eastAsia" w:ascii="宋体" w:hAnsi="宋体" w:cs="宋体"/>
          <w:color w:val="auto"/>
          <w:szCs w:val="21"/>
          <w:highlight w:val="none"/>
          <w:lang w:val="en-US" w:eastAsia="zh-CN"/>
        </w:rPr>
        <w:t>评标办法规定</w:t>
      </w:r>
      <w:r>
        <w:rPr>
          <w:rFonts w:hint="eastAsia" w:ascii="宋体" w:hAnsi="宋体" w:cs="宋体"/>
          <w:color w:val="auto"/>
          <w:szCs w:val="21"/>
          <w:highlight w:val="none"/>
        </w:rPr>
        <w:t>推荐中标候选人。</w:t>
      </w:r>
    </w:p>
    <w:p w14:paraId="0E2651CA">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238F52C8">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65B3C4C6">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194474DD">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791671E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20299AF4">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14:paraId="4CAD039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14:paraId="5A1B033F">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14:paraId="2A48E275">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14:paraId="5F5136D0">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14:paraId="60CB7F22">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14:paraId="35FE1E15">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EFCF4BC">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D7F3DB2">
      <w:pPr>
        <w:pStyle w:val="7"/>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color w:val="auto"/>
          <w:highlight w:val="none"/>
        </w:rPr>
      </w:pPr>
      <w:bookmarkStart w:id="852" w:name="_Toc35425127"/>
      <w:bookmarkStart w:id="853" w:name="_Toc1576"/>
      <w:bookmarkStart w:id="854" w:name="_Toc324404880"/>
      <w:bookmarkStart w:id="855" w:name="_Toc506107332"/>
      <w:bookmarkStart w:id="856" w:name="_Toc78803396"/>
      <w:bookmarkStart w:id="857" w:name="_Toc15058926"/>
      <w:bookmarkStart w:id="858" w:name="_Toc35424961"/>
      <w:r>
        <w:rPr>
          <w:rFonts w:hint="eastAsia" w:ascii="宋体" w:hAnsi="宋体" w:eastAsia="宋体" w:cs="宋体"/>
          <w:color w:val="auto"/>
          <w:highlight w:val="none"/>
        </w:rPr>
        <w:t>9.其他</w:t>
      </w:r>
      <w:bookmarkEnd w:id="852"/>
      <w:bookmarkEnd w:id="853"/>
      <w:bookmarkEnd w:id="854"/>
      <w:bookmarkEnd w:id="855"/>
      <w:bookmarkEnd w:id="856"/>
      <w:bookmarkEnd w:id="857"/>
      <w:bookmarkEnd w:id="858"/>
    </w:p>
    <w:bookmarkEnd w:id="778"/>
    <w:bookmarkEnd w:id="779"/>
    <w:bookmarkEnd w:id="780"/>
    <w:bookmarkEnd w:id="781"/>
    <w:bookmarkEnd w:id="782"/>
    <w:bookmarkEnd w:id="783"/>
    <w:bookmarkEnd w:id="784"/>
    <w:bookmarkEnd w:id="785"/>
    <w:p w14:paraId="5E753CC7">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59" w:name="_Toc35424962"/>
      <w:bookmarkStart w:id="860" w:name="_Toc506107333"/>
      <w:bookmarkStart w:id="861" w:name="_Toc35425128"/>
      <w:bookmarkStart w:id="862" w:name="_Toc15058927"/>
      <w:bookmarkStart w:id="863" w:name="_Toc152045767"/>
      <w:bookmarkStart w:id="864" w:name="_Toc179632785"/>
      <w:bookmarkStart w:id="865" w:name="_Toc144974826"/>
      <w:bookmarkStart w:id="866" w:name="_Toc152042546"/>
      <w:r>
        <w:rPr>
          <w:rFonts w:hint="eastAsia" w:ascii="宋体" w:hAnsi="宋体" w:eastAsia="宋体" w:cs="宋体"/>
          <w:color w:val="auto"/>
          <w:szCs w:val="21"/>
          <w:highlight w:val="none"/>
        </w:rPr>
        <w:t>投标人提供的与投标文件有关的各类证书、证明、文件、资料等的真实性、合法性由投标人负全责。</w:t>
      </w:r>
    </w:p>
    <w:p w14:paraId="21330EDB">
      <w:pPr>
        <w:rPr>
          <w:color w:val="auto"/>
          <w:highlight w:val="none"/>
        </w:rPr>
      </w:pPr>
    </w:p>
    <w:p w14:paraId="184EE62F">
      <w:pPr>
        <w:rPr>
          <w:rFonts w:hint="eastAsia"/>
          <w:color w:val="auto"/>
          <w:highlight w:val="none"/>
        </w:rPr>
      </w:pPr>
      <w:r>
        <w:rPr>
          <w:rFonts w:hint="eastAsia"/>
          <w:color w:val="auto"/>
          <w:highlight w:val="none"/>
        </w:rPr>
        <w:br w:type="page"/>
      </w:r>
      <w:bookmarkStart w:id="867" w:name="_Toc78803397"/>
    </w:p>
    <w:bookmarkEnd w:id="859"/>
    <w:bookmarkEnd w:id="860"/>
    <w:bookmarkEnd w:id="861"/>
    <w:bookmarkEnd w:id="862"/>
    <w:bookmarkEnd w:id="867"/>
    <w:p w14:paraId="51F85308">
      <w:pPr>
        <w:pStyle w:val="6"/>
        <w:rPr>
          <w:rFonts w:hint="eastAsia" w:ascii="Arial" w:hAnsi="Arial"/>
          <w:color w:val="auto"/>
          <w:kern w:val="0"/>
          <w:sz w:val="32"/>
          <w:szCs w:val="32"/>
          <w:highlight w:val="none"/>
        </w:rPr>
      </w:pPr>
      <w:bookmarkStart w:id="868" w:name="_Toc16721"/>
    </w:p>
    <w:p w14:paraId="47DAF6BF">
      <w:pPr>
        <w:pStyle w:val="6"/>
        <w:rPr>
          <w:color w:val="auto"/>
          <w:highlight w:val="none"/>
        </w:rPr>
      </w:pPr>
      <w:bookmarkStart w:id="869" w:name="_Toc7231"/>
      <w:bookmarkStart w:id="870" w:name="_Toc8750"/>
      <w:bookmarkStart w:id="871" w:name="_Toc27074"/>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8"/>
      <w:bookmarkEnd w:id="869"/>
      <w:bookmarkEnd w:id="870"/>
      <w:bookmarkEnd w:id="871"/>
    </w:p>
    <w:p w14:paraId="58BD9846">
      <w:pPr>
        <w:spacing w:line="360" w:lineRule="auto"/>
        <w:jc w:val="center"/>
        <w:rPr>
          <w:rFonts w:ascii="仿宋_GB2312" w:eastAsia="仿宋_GB2312"/>
          <w:b/>
          <w:color w:val="auto"/>
          <w:sz w:val="28"/>
          <w:szCs w:val="28"/>
          <w:highlight w:val="none"/>
        </w:rPr>
      </w:pPr>
    </w:p>
    <w:p w14:paraId="08173785">
      <w:pPr>
        <w:jc w:val="both"/>
        <w:rPr>
          <w:rFonts w:eastAsia="仿宋_GB2312"/>
          <w:bCs/>
          <w:color w:val="auto"/>
          <w:sz w:val="32"/>
          <w:szCs w:val="32"/>
          <w:highlight w:val="none"/>
          <w:u w:val="single"/>
        </w:rPr>
      </w:pPr>
      <w:bookmarkStart w:id="872" w:name="_Toc60061567"/>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3471F4D4">
      <w:pPr>
        <w:jc w:val="center"/>
        <w:rPr>
          <w:rFonts w:eastAsia="华文中宋"/>
          <w:b/>
          <w:color w:val="auto"/>
          <w:sz w:val="52"/>
          <w:szCs w:val="52"/>
          <w:highlight w:val="none"/>
        </w:rPr>
      </w:pPr>
    </w:p>
    <w:p w14:paraId="4546493B">
      <w:pPr>
        <w:ind w:firstLine="1771" w:firstLineChars="245"/>
        <w:rPr>
          <w:rFonts w:hint="eastAsia" w:ascii="宋体" w:hAnsi="宋体" w:cs="宋体"/>
          <w:b/>
          <w:color w:val="auto"/>
          <w:sz w:val="72"/>
          <w:szCs w:val="52"/>
          <w:highlight w:val="none"/>
        </w:rPr>
      </w:pPr>
    </w:p>
    <w:p w14:paraId="1BD75F33">
      <w:pPr>
        <w:ind w:firstLine="1771" w:firstLineChars="245"/>
        <w:rPr>
          <w:rFonts w:hint="eastAsia" w:ascii="宋体" w:hAnsi="宋体" w:cs="宋体"/>
          <w:b/>
          <w:color w:val="auto"/>
          <w:sz w:val="72"/>
          <w:szCs w:val="52"/>
          <w:highlight w:val="none"/>
        </w:rPr>
      </w:pPr>
    </w:p>
    <w:p w14:paraId="62A60903">
      <w:pPr>
        <w:ind w:firstLine="1771" w:firstLineChars="245"/>
        <w:rPr>
          <w:rFonts w:eastAsia="华文中宋"/>
          <w:b/>
          <w:color w:val="auto"/>
          <w:sz w:val="52"/>
          <w:szCs w:val="52"/>
          <w:highlight w:val="none"/>
        </w:rPr>
      </w:pPr>
      <w:r>
        <w:rPr>
          <w:rFonts w:hint="eastAsia" w:ascii="宋体" w:hAnsi="宋体" w:cs="宋体"/>
          <w:b/>
          <w:color w:val="auto"/>
          <w:sz w:val="72"/>
          <w:szCs w:val="52"/>
          <w:highlight w:val="none"/>
        </w:rPr>
        <w:t>建设工程施工合同</w:t>
      </w:r>
      <w:r>
        <w:rPr>
          <w:rFonts w:eastAsia="华文中宋"/>
          <w:b/>
          <w:color w:val="auto"/>
          <w:sz w:val="52"/>
          <w:szCs w:val="52"/>
          <w:highlight w:val="none"/>
        </w:rPr>
        <w:br w:type="textWrapping"/>
      </w:r>
      <w:r>
        <w:rPr>
          <w:rFonts w:eastAsia="华文中宋"/>
          <w:b/>
          <w:color w:val="auto"/>
          <w:sz w:val="52"/>
          <w:szCs w:val="52"/>
          <w:highlight w:val="none"/>
        </w:rPr>
        <w:t xml:space="preserve"> </w:t>
      </w:r>
    </w:p>
    <w:p w14:paraId="4A3B29BC">
      <w:pPr>
        <w:jc w:val="center"/>
        <w:rPr>
          <w:rFonts w:eastAsia="楷体_GB2312"/>
          <w:b/>
          <w:color w:val="auto"/>
          <w:sz w:val="72"/>
          <w:szCs w:val="72"/>
          <w:highlight w:val="none"/>
        </w:rPr>
      </w:pPr>
    </w:p>
    <w:p w14:paraId="294DACE4">
      <w:pPr>
        <w:jc w:val="center"/>
        <w:rPr>
          <w:rFonts w:hint="eastAsia" w:eastAsia="黑体"/>
          <w:b/>
          <w:color w:val="auto"/>
          <w:sz w:val="52"/>
          <w:szCs w:val="52"/>
          <w:highlight w:val="none"/>
          <w:lang w:eastAsia="zh-CN"/>
        </w:rPr>
      </w:pPr>
    </w:p>
    <w:p w14:paraId="0CF56B63">
      <w:pPr>
        <w:jc w:val="center"/>
        <w:rPr>
          <w:rFonts w:hint="eastAsia" w:eastAsia="黑体"/>
          <w:b/>
          <w:color w:val="auto"/>
          <w:sz w:val="52"/>
          <w:szCs w:val="52"/>
          <w:highlight w:val="none"/>
          <w:lang w:eastAsia="zh-CN"/>
        </w:rPr>
      </w:pPr>
    </w:p>
    <w:p w14:paraId="602C1DAA">
      <w:pPr>
        <w:rPr>
          <w:b/>
          <w:color w:val="auto"/>
          <w:sz w:val="28"/>
          <w:szCs w:val="28"/>
          <w:highlight w:val="none"/>
        </w:rPr>
      </w:pPr>
    </w:p>
    <w:p w14:paraId="53784D56">
      <w:pPr>
        <w:rPr>
          <w:b/>
          <w:color w:val="auto"/>
          <w:sz w:val="28"/>
          <w:szCs w:val="28"/>
          <w:highlight w:val="none"/>
        </w:rPr>
      </w:pPr>
    </w:p>
    <w:p w14:paraId="0F74732D">
      <w:pPr>
        <w:widowControl w:val="0"/>
        <w:spacing w:after="120" w:line="360" w:lineRule="auto"/>
        <w:ind w:left="420" w:leftChars="200" w:firstLine="562" w:firstLineChars="200"/>
        <w:jc w:val="both"/>
        <w:rPr>
          <w:rFonts w:ascii="宋体" w:hAnsi="Times New Roman" w:eastAsia="宋体" w:cs="Times New Roman"/>
          <w:b/>
          <w:color w:val="auto"/>
          <w:kern w:val="2"/>
          <w:sz w:val="28"/>
          <w:szCs w:val="28"/>
          <w:highlight w:val="none"/>
          <w:lang w:val="en-US" w:eastAsia="zh-CN" w:bidi="ar-SA"/>
        </w:rPr>
      </w:pPr>
    </w:p>
    <w:p w14:paraId="116AB070">
      <w:pPr>
        <w:widowControl w:val="0"/>
        <w:spacing w:after="120" w:line="360" w:lineRule="auto"/>
        <w:ind w:left="420" w:leftChars="200" w:firstLine="420" w:firstLineChars="200"/>
        <w:jc w:val="both"/>
        <w:rPr>
          <w:rFonts w:ascii="宋体" w:hAnsi="Times New Roman" w:eastAsia="宋体" w:cs="Times New Roman"/>
          <w:color w:val="auto"/>
          <w:kern w:val="2"/>
          <w:sz w:val="21"/>
          <w:szCs w:val="20"/>
          <w:highlight w:val="none"/>
          <w:lang w:val="en-US" w:eastAsia="zh-CN" w:bidi="ar-SA"/>
        </w:rPr>
      </w:pPr>
    </w:p>
    <w:p w14:paraId="0460971D">
      <w:pPr>
        <w:jc w:val="center"/>
        <w:rPr>
          <w:b/>
          <w:color w:val="auto"/>
          <w:sz w:val="28"/>
          <w:szCs w:val="28"/>
          <w:highlight w:val="none"/>
        </w:rPr>
      </w:pPr>
    </w:p>
    <w:p w14:paraId="4BFCA07B">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1F46D80">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1F46D80">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B058E57">
      <w:pPr>
        <w:jc w:val="center"/>
        <w:outlineLvl w:val="0"/>
        <w:rPr>
          <w:rFonts w:hint="eastAsia"/>
          <w:b/>
          <w:color w:val="auto"/>
          <w:sz w:val="32"/>
          <w:szCs w:val="28"/>
          <w:highlight w:val="none"/>
        </w:rPr>
      </w:pPr>
      <w:bookmarkStart w:id="873" w:name="_Toc12138"/>
      <w:bookmarkStart w:id="874" w:name="_Toc30846"/>
      <w:bookmarkStart w:id="875" w:name="_Toc1470"/>
      <w:bookmarkStart w:id="876" w:name="_Toc32748"/>
      <w:r>
        <w:rPr>
          <w:rFonts w:hint="eastAsia"/>
          <w:b/>
          <w:color w:val="auto"/>
          <w:sz w:val="32"/>
          <w:szCs w:val="28"/>
          <w:highlight w:val="none"/>
        </w:rPr>
        <w:t>国家工商行政管理总局</w:t>
      </w:r>
      <w:bookmarkEnd w:id="873"/>
      <w:bookmarkEnd w:id="874"/>
      <w:bookmarkEnd w:id="875"/>
      <w:bookmarkEnd w:id="876"/>
    </w:p>
    <w:p w14:paraId="13055D47">
      <w:pPr>
        <w:widowControl w:val="0"/>
        <w:spacing w:after="120" w:line="360" w:lineRule="auto"/>
        <w:ind w:left="420" w:leftChars="200" w:firstLine="420" w:firstLineChars="200"/>
        <w:jc w:val="both"/>
        <w:rPr>
          <w:rFonts w:hint="eastAsia" w:ascii="宋体" w:hAnsi="Times New Roman" w:eastAsia="宋体" w:cs="Times New Roman"/>
          <w:color w:val="auto"/>
          <w:kern w:val="2"/>
          <w:sz w:val="21"/>
          <w:szCs w:val="20"/>
          <w:highlight w:val="none"/>
          <w:lang w:val="en-US" w:eastAsia="zh-CN" w:bidi="ar-SA"/>
        </w:rPr>
      </w:pPr>
    </w:p>
    <w:bookmarkEnd w:id="872"/>
    <w:p w14:paraId="3A55EC10">
      <w:pPr>
        <w:rPr>
          <w:rFonts w:hint="eastAsia"/>
          <w:color w:val="auto"/>
          <w:highlight w:val="none"/>
        </w:rPr>
      </w:pPr>
      <w:r>
        <w:rPr>
          <w:rFonts w:hint="eastAsia"/>
          <w:color w:val="auto"/>
          <w:highlight w:val="none"/>
        </w:rPr>
        <w:br w:type="page"/>
      </w:r>
    </w:p>
    <w:p w14:paraId="3A5A1B14">
      <w:pPr>
        <w:keepNext/>
        <w:keepLines/>
        <w:spacing w:line="360" w:lineRule="auto"/>
        <w:jc w:val="center"/>
        <w:outlineLvl w:val="1"/>
        <w:rPr>
          <w:rFonts w:hint="eastAsia" w:ascii="宋体" w:hAnsi="宋体" w:cs="宋体"/>
          <w:b/>
          <w:bCs/>
          <w:color w:val="auto"/>
          <w:sz w:val="32"/>
          <w:szCs w:val="32"/>
          <w:highlight w:val="none"/>
        </w:rPr>
      </w:pPr>
      <w:bookmarkStart w:id="877" w:name="_Toc28799376"/>
      <w:bookmarkStart w:id="878" w:name="_Toc3977"/>
      <w:bookmarkStart w:id="879" w:name="_Toc95223459"/>
      <w:bookmarkStart w:id="880" w:name="_Toc2308"/>
      <w:bookmarkStart w:id="881" w:name="_Toc29801"/>
      <w:r>
        <w:rPr>
          <w:rFonts w:hint="eastAsia" w:ascii="宋体" w:hAnsi="宋体" w:cs="宋体"/>
          <w:b/>
          <w:bCs/>
          <w:color w:val="auto"/>
          <w:sz w:val="32"/>
          <w:szCs w:val="32"/>
          <w:highlight w:val="none"/>
        </w:rPr>
        <w:t>第一节  合同协议书</w:t>
      </w:r>
      <w:bookmarkEnd w:id="877"/>
      <w:bookmarkEnd w:id="878"/>
      <w:bookmarkEnd w:id="879"/>
    </w:p>
    <w:p w14:paraId="4B1FDD70">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中国扬子集团有限公司</w:t>
      </w:r>
    </w:p>
    <w:p w14:paraId="1426B2BD">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14:paraId="7F41C72A">
      <w:pPr>
        <w:spacing w:line="360" w:lineRule="auto"/>
        <w:ind w:firstLine="420" w:firstLineChars="200"/>
        <w:rPr>
          <w:rFonts w:hint="eastAsia" w:ascii="宋体" w:hAnsi="宋体" w:cs="宋体"/>
          <w:color w:val="auto"/>
          <w:szCs w:val="21"/>
          <w:highlight w:val="none"/>
          <w:u w:val="single"/>
        </w:rPr>
      </w:pPr>
    </w:p>
    <w:p w14:paraId="0475AD7B">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2" w:name="_Toc351203481"/>
    </w:p>
    <w:p w14:paraId="3C2FD80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2"/>
    </w:p>
    <w:p w14:paraId="02DE4CDF">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E95C3D8">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14:paraId="4DD1A7F6">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1B83B9F4">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2A0FF2B7">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
          <w:bCs/>
          <w:color w:val="auto"/>
          <w:szCs w:val="21"/>
          <w:highlight w:val="none"/>
          <w:u w:val="single"/>
        </w:rPr>
        <w:t>施工图纸和工程量清单载明的施工内容及施工过程中的变更调整内容（如施工图纸和工程量清单不一致，由招标单位负责解释）</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14:paraId="6E9DF6B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3" w:name="_Toc351203482"/>
      <w:r>
        <w:rPr>
          <w:rFonts w:hint="eastAsia" w:ascii="宋体" w:hAnsi="宋体" w:cs="宋体"/>
          <w:b/>
          <w:color w:val="auto"/>
          <w:szCs w:val="21"/>
          <w:highlight w:val="none"/>
          <w:u w:val="single"/>
        </w:rPr>
        <w:t>二、合同工期</w:t>
      </w:r>
      <w:bookmarkEnd w:id="883"/>
    </w:p>
    <w:p w14:paraId="26E0BEEF">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58F8182C">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34CD3CB4">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083EA2B8">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4" w:name="_Toc351203483"/>
      <w:r>
        <w:rPr>
          <w:rFonts w:hint="eastAsia" w:ascii="宋体" w:hAnsi="宋体" w:cs="宋体"/>
          <w:b/>
          <w:color w:val="auto"/>
          <w:szCs w:val="21"/>
          <w:highlight w:val="none"/>
          <w:u w:val="single"/>
        </w:rPr>
        <w:t>三、质量标准</w:t>
      </w:r>
      <w:bookmarkEnd w:id="884"/>
    </w:p>
    <w:p w14:paraId="45E12E98">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工程质量必须达到国家工程施工质量验收 合格 标准。</w:t>
      </w:r>
    </w:p>
    <w:p w14:paraId="2A114FFA">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5" w:name="_Toc351203484"/>
      <w:r>
        <w:rPr>
          <w:rFonts w:hint="eastAsia" w:ascii="宋体" w:hAnsi="宋体" w:cs="宋体"/>
          <w:b/>
          <w:color w:val="auto"/>
          <w:szCs w:val="21"/>
          <w:highlight w:val="none"/>
          <w:u w:val="single"/>
        </w:rPr>
        <w:t>四、签约合同价与合同价格形式</w:t>
      </w:r>
      <w:bookmarkEnd w:id="885"/>
    </w:p>
    <w:p w14:paraId="7B2EE43D">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4CD8F227">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0AA361FD">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其中：</w:t>
      </w:r>
    </w:p>
    <w:p w14:paraId="64B592A9">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（1）安全文明施工费：</w:t>
      </w:r>
    </w:p>
    <w:p w14:paraId="57EB10E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5E53BCD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（2）材料和工程设备暂估价金额：</w:t>
      </w:r>
    </w:p>
    <w:p w14:paraId="427302AA">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6F4ED233">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（3）专业工程暂估价金额：</w:t>
      </w:r>
    </w:p>
    <w:p w14:paraId="6F0F86A5">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人民币（大写）               (¥          元)；</w:t>
      </w:r>
    </w:p>
    <w:p w14:paraId="1B3F0707">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（4）暂列金额：</w:t>
      </w:r>
    </w:p>
    <w:p w14:paraId="3A6D90AA">
      <w:pPr>
        <w:keepNext w:val="0"/>
        <w:keepLines w:val="0"/>
        <w:widowControl w:val="0"/>
        <w:suppressLineNumbers w:val="0"/>
        <w:spacing w:before="0" w:beforeAutospacing="0" w:after="0" w:afterAutospacing="0" w:line="440" w:lineRule="exact"/>
        <w:ind w:left="0" w:right="0" w:firstLine="420" w:firstLineChars="200"/>
        <w:jc w:val="both"/>
        <w:rPr>
          <w:color w:val="auto"/>
          <w:highlight w:val="none"/>
        </w:rPr>
      </w:pPr>
      <w:r>
        <w:rPr>
          <w:rFonts w:hint="eastAsia" w:ascii="宋体" w:hAnsi="宋体" w:eastAsia="宋体" w:cs="宋体"/>
          <w:color w:val="auto"/>
          <w:kern w:val="2"/>
          <w:sz w:val="21"/>
          <w:szCs w:val="21"/>
          <w:highlight w:val="none"/>
          <w:u w:val="single"/>
          <w:lang w:val="en-US" w:eastAsia="zh-CN" w:bidi="ar"/>
        </w:rPr>
        <w:t>人民币（大写）               (¥          元)</w:t>
      </w:r>
      <w:r>
        <w:rPr>
          <w:rFonts w:hint="eastAsia" w:ascii="宋体" w:hAnsi="宋体" w:eastAsia="宋体" w:cs="宋体"/>
          <w:color w:val="auto"/>
          <w:kern w:val="2"/>
          <w:sz w:val="21"/>
          <w:szCs w:val="21"/>
          <w:highlight w:val="none"/>
          <w:lang w:val="en-US" w:eastAsia="zh-CN" w:bidi="ar"/>
        </w:rPr>
        <w:t>。</w:t>
      </w:r>
    </w:p>
    <w:p w14:paraId="1BE22C13">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 xml:space="preserve">  总价合同   </w:t>
      </w:r>
      <w:r>
        <w:rPr>
          <w:rFonts w:hint="eastAsia" w:ascii="宋体" w:hAnsi="宋体" w:cs="宋体"/>
          <w:color w:val="auto"/>
          <w:szCs w:val="21"/>
          <w:highlight w:val="none"/>
        </w:rPr>
        <w:t>。</w:t>
      </w:r>
    </w:p>
    <w:p w14:paraId="3E9E01D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5"/>
      <w:r>
        <w:rPr>
          <w:rFonts w:hint="eastAsia" w:ascii="宋体" w:hAnsi="宋体" w:cs="宋体"/>
          <w:b/>
          <w:color w:val="auto"/>
          <w:szCs w:val="21"/>
          <w:highlight w:val="none"/>
        </w:rPr>
        <w:t>五、</w:t>
      </w:r>
      <w:bookmarkEnd w:id="886"/>
      <w:r>
        <w:rPr>
          <w:rFonts w:hint="eastAsia" w:ascii="宋体" w:hAnsi="宋体" w:cs="宋体"/>
          <w:b/>
          <w:color w:val="auto"/>
          <w:szCs w:val="21"/>
          <w:highlight w:val="none"/>
        </w:rPr>
        <w:t>项目经理</w:t>
      </w:r>
    </w:p>
    <w:p w14:paraId="1BDD7B6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02AAC1F">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86"/>
      <w:r>
        <w:rPr>
          <w:rFonts w:hint="eastAsia" w:ascii="宋体" w:hAnsi="宋体" w:cs="宋体"/>
          <w:b/>
          <w:color w:val="auto"/>
          <w:szCs w:val="21"/>
          <w:highlight w:val="none"/>
        </w:rPr>
        <w:t>六、合同文件构成</w:t>
      </w:r>
      <w:bookmarkEnd w:id="887"/>
    </w:p>
    <w:p w14:paraId="7E5EA3A8">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5DBCA35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18BDAE10">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477315CB">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6882ECC2">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2A3BE681">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192C4CFA">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14:paraId="0CEBAA0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0E43F415">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6FEF5CF3">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在合同订立及履行过程中形成的与合同有关的文件均构成合同文件组成部分。若招标文件与合同不符时，以招标文件为准，若合同专用条款与通用条款不符时，以专用条款为准，补充条款优先于专用条款。</w:t>
      </w:r>
    </w:p>
    <w:p w14:paraId="5110DFE9">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F900F4">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7"/>
      <w:r>
        <w:rPr>
          <w:rFonts w:hint="eastAsia" w:ascii="宋体" w:hAnsi="宋体" w:cs="宋体"/>
          <w:b/>
          <w:color w:val="auto"/>
          <w:szCs w:val="21"/>
          <w:highlight w:val="none"/>
        </w:rPr>
        <w:t>七、承诺</w:t>
      </w:r>
      <w:bookmarkEnd w:id="888"/>
    </w:p>
    <w:p w14:paraId="53E8DEA5">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3BBA368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21B826F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14:paraId="341656AE">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88"/>
      <w:r>
        <w:rPr>
          <w:rFonts w:hint="eastAsia" w:ascii="宋体" w:hAnsi="宋体" w:cs="宋体"/>
          <w:b/>
          <w:color w:val="auto"/>
          <w:szCs w:val="21"/>
          <w:highlight w:val="none"/>
        </w:rPr>
        <w:t>八、词语含义</w:t>
      </w:r>
      <w:bookmarkEnd w:id="889"/>
    </w:p>
    <w:p w14:paraId="4311365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0B72DD49">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89"/>
      <w:r>
        <w:rPr>
          <w:rFonts w:hint="eastAsia" w:ascii="宋体" w:hAnsi="宋体" w:cs="宋体"/>
          <w:b/>
          <w:color w:val="auto"/>
          <w:szCs w:val="21"/>
          <w:highlight w:val="none"/>
        </w:rPr>
        <w:t>九、签订时间</w:t>
      </w:r>
      <w:bookmarkEnd w:id="890"/>
    </w:p>
    <w:p w14:paraId="21FD032F">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2936B910">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90"/>
      <w:r>
        <w:rPr>
          <w:rFonts w:hint="eastAsia" w:ascii="宋体" w:hAnsi="宋体" w:cs="宋体"/>
          <w:b/>
          <w:color w:val="auto"/>
          <w:szCs w:val="21"/>
          <w:highlight w:val="none"/>
        </w:rPr>
        <w:t>十、签订地点</w:t>
      </w:r>
      <w:bookmarkEnd w:id="891"/>
    </w:p>
    <w:p w14:paraId="7F41BA6E">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F1B06F7">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91"/>
      <w:r>
        <w:rPr>
          <w:rFonts w:hint="eastAsia" w:ascii="宋体" w:hAnsi="宋体" w:cs="宋体"/>
          <w:b/>
          <w:color w:val="auto"/>
          <w:szCs w:val="21"/>
          <w:highlight w:val="none"/>
        </w:rPr>
        <w:t>十一、补充协议</w:t>
      </w:r>
      <w:bookmarkEnd w:id="892"/>
    </w:p>
    <w:p w14:paraId="4B23DB27">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100A9613">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3" w:name="_Toc351203492"/>
      <w:r>
        <w:rPr>
          <w:rFonts w:hint="eastAsia" w:ascii="宋体" w:hAnsi="宋体" w:cs="宋体"/>
          <w:b/>
          <w:color w:val="auto"/>
          <w:szCs w:val="21"/>
          <w:highlight w:val="none"/>
        </w:rPr>
        <w:t>十二、合同生效</w:t>
      </w:r>
      <w:bookmarkEnd w:id="893"/>
    </w:p>
    <w:p w14:paraId="579B2E11">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双方签字盖章后   </w:t>
      </w:r>
      <w:r>
        <w:rPr>
          <w:rFonts w:hint="eastAsia" w:ascii="宋体" w:hAnsi="宋体" w:cs="宋体"/>
          <w:bCs/>
          <w:color w:val="auto"/>
          <w:szCs w:val="21"/>
          <w:highlight w:val="none"/>
        </w:rPr>
        <w:t>生效。</w:t>
      </w:r>
    </w:p>
    <w:p w14:paraId="02DBB085">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4" w:name="_Toc351203493"/>
      <w:r>
        <w:rPr>
          <w:rFonts w:hint="eastAsia" w:ascii="宋体" w:hAnsi="宋体" w:cs="宋体"/>
          <w:b/>
          <w:color w:val="auto"/>
          <w:szCs w:val="21"/>
          <w:highlight w:val="none"/>
        </w:rPr>
        <w:t>十三、合同份数</w:t>
      </w:r>
      <w:bookmarkEnd w:id="894"/>
    </w:p>
    <w:p w14:paraId="25CE4980">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4D160A">
      <w:pPr>
        <w:spacing w:line="360" w:lineRule="auto"/>
        <w:ind w:firstLine="420" w:firstLineChars="200"/>
        <w:rPr>
          <w:rFonts w:hint="eastAsia" w:ascii="宋体" w:hAnsi="宋体" w:cs="宋体"/>
          <w:color w:val="auto"/>
          <w:szCs w:val="21"/>
          <w:highlight w:val="none"/>
        </w:rPr>
      </w:pPr>
    </w:p>
    <w:p w14:paraId="126CCAB6">
      <w:pPr>
        <w:spacing w:line="360" w:lineRule="auto"/>
        <w:ind w:firstLine="420" w:firstLineChars="200"/>
        <w:rPr>
          <w:rFonts w:hint="eastAsia" w:ascii="宋体" w:hAnsi="宋体" w:cs="宋体"/>
          <w:color w:val="auto"/>
          <w:szCs w:val="21"/>
          <w:highlight w:val="none"/>
        </w:rPr>
      </w:pPr>
    </w:p>
    <w:p w14:paraId="0162D5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107FA225">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0F4CC7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4BBAF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51F63AC0">
      <w:pPr>
        <w:spacing w:line="360" w:lineRule="auto"/>
        <w:rPr>
          <w:rFonts w:hint="eastAsia" w:ascii="宋体" w:hAnsi="宋体" w:cs="宋体"/>
          <w:color w:val="auto"/>
          <w:szCs w:val="21"/>
          <w:highlight w:val="none"/>
          <w:u w:val="single"/>
        </w:rPr>
      </w:pPr>
    </w:p>
    <w:p w14:paraId="4F5EBEA0">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34DD1D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36DB66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71461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4CCE89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22DE32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ED617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399944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1F314E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559AFEE6">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20220D54">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80"/>
      <w:bookmarkEnd w:id="881"/>
      <w:bookmarkStart w:id="895" w:name="_Toc15494"/>
      <w:bookmarkStart w:id="896" w:name="_Toc95223460"/>
      <w:bookmarkStart w:id="897"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5"/>
      <w:bookmarkEnd w:id="896"/>
    </w:p>
    <w:p w14:paraId="19336BDD">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使用建设部、国家工商行政管理局印发的《建设工程施工合同（GF-2017-0201示范文本）》第二部分通用条款。上述资料由投标人自行准备。</w:t>
      </w:r>
    </w:p>
    <w:p w14:paraId="1F32A6E6">
      <w:pPr>
        <w:pStyle w:val="8"/>
        <w:jc w:val="center"/>
        <w:rPr>
          <w:rFonts w:hint="eastAsia" w:ascii="黑体" w:eastAsia="黑体" w:cs="黑体"/>
          <w:color w:val="auto"/>
          <w:highlight w:val="none"/>
        </w:rPr>
      </w:pPr>
      <w:bookmarkStart w:id="898" w:name="_Toc14492"/>
      <w:r>
        <w:rPr>
          <w:rFonts w:hint="eastAsia" w:ascii="黑体" w:eastAsia="黑体" w:cs="黑体"/>
          <w:color w:val="auto"/>
          <w:highlight w:val="none"/>
        </w:rPr>
        <w:t>第三节 专用合同条款</w:t>
      </w:r>
    </w:p>
    <w:bookmarkEnd w:id="863"/>
    <w:bookmarkEnd w:id="864"/>
    <w:bookmarkEnd w:id="865"/>
    <w:bookmarkEnd w:id="866"/>
    <w:bookmarkEnd w:id="897"/>
    <w:bookmarkEnd w:id="898"/>
    <w:p w14:paraId="4D49337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bookmarkStart w:id="899" w:name="_Toc95223487"/>
      <w:bookmarkStart w:id="900" w:name="_Toc246997097"/>
      <w:bookmarkStart w:id="901" w:name="_Toc15058934"/>
      <w:bookmarkStart w:id="902" w:name="_Toc246996354"/>
      <w:bookmarkStart w:id="903" w:name="_Toc152042575"/>
      <w:bookmarkStart w:id="904" w:name="_Toc179632806"/>
      <w:bookmarkStart w:id="905" w:name="_Toc35424970"/>
      <w:bookmarkStart w:id="906" w:name="_Toc152045786"/>
      <w:bookmarkStart w:id="907" w:name="_Toc78803398"/>
      <w:bookmarkStart w:id="908" w:name="_Toc324404888"/>
      <w:bookmarkStart w:id="909" w:name="_Toc144974855"/>
      <w:bookmarkStart w:id="910" w:name="_Toc247085872"/>
      <w:bookmarkStart w:id="911" w:name="_Toc506107340"/>
      <w:bookmarkStart w:id="912" w:name="_Toc35425136"/>
      <w:r>
        <w:rPr>
          <w:rFonts w:hint="eastAsia" w:ascii="宋体" w:hAnsi="宋体" w:eastAsia="宋体" w:cs="宋体"/>
          <w:b w:val="0"/>
          <w:bCs/>
          <w:color w:val="auto"/>
          <w:kern w:val="2"/>
          <w:sz w:val="21"/>
          <w:szCs w:val="21"/>
          <w:highlight w:val="none"/>
        </w:rPr>
        <w:t>1. 一般约定</w:t>
      </w:r>
    </w:p>
    <w:p w14:paraId="37D289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 词语定义</w:t>
      </w:r>
    </w:p>
    <w:p w14:paraId="430373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1.1.1合同</w:t>
      </w:r>
    </w:p>
    <w:p w14:paraId="26AEC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1.1.1.10其他合同文件包括：</w:t>
      </w:r>
      <w:r>
        <w:rPr>
          <w:rFonts w:hint="eastAsia" w:ascii="宋体" w:hAnsi="宋体" w:eastAsia="宋体" w:cs="宋体"/>
          <w:color w:val="auto"/>
          <w:kern w:val="0"/>
          <w:sz w:val="21"/>
          <w:szCs w:val="21"/>
          <w:highlight w:val="none"/>
          <w:u w:val="single"/>
          <w:lang w:val="en-US" w:eastAsia="zh-CN" w:bidi="ar"/>
        </w:rPr>
        <w:t>本项目招标文件、在合同订立及履行过程中形成的与合同有关的文件均构成合同文件组成部分，若上述文件有不明确或不一致之处，以招标文件为准。</w:t>
      </w:r>
    </w:p>
    <w:p w14:paraId="65A9D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 合同当事人及其他相关方</w:t>
      </w:r>
    </w:p>
    <w:p w14:paraId="2EA4990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1.1.2.4监理人：</w:t>
      </w:r>
    </w:p>
    <w:p w14:paraId="489EB7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详见监理合同            </w:t>
      </w:r>
      <w:r>
        <w:rPr>
          <w:rFonts w:hint="eastAsia" w:ascii="宋体" w:hAnsi="宋体" w:eastAsia="宋体" w:cs="宋体"/>
          <w:color w:val="auto"/>
          <w:kern w:val="2"/>
          <w:sz w:val="21"/>
          <w:szCs w:val="21"/>
          <w:highlight w:val="none"/>
          <w:lang w:val="en-US" w:eastAsia="zh-CN" w:bidi="ar"/>
        </w:rPr>
        <w:t>；</w:t>
      </w:r>
    </w:p>
    <w:p w14:paraId="481D86F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439FC64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6DFD7D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详见监理合同           </w:t>
      </w:r>
      <w:r>
        <w:rPr>
          <w:rFonts w:hint="eastAsia" w:ascii="宋体" w:hAnsi="宋体" w:eastAsia="宋体" w:cs="宋体"/>
          <w:color w:val="auto"/>
          <w:kern w:val="2"/>
          <w:sz w:val="21"/>
          <w:szCs w:val="21"/>
          <w:highlight w:val="none"/>
          <w:lang w:val="en-US" w:eastAsia="zh-CN" w:bidi="ar"/>
        </w:rPr>
        <w:t>；</w:t>
      </w:r>
    </w:p>
    <w:p w14:paraId="6ED2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详见监理合同            </w:t>
      </w:r>
      <w:r>
        <w:rPr>
          <w:rFonts w:hint="eastAsia" w:ascii="宋体" w:hAnsi="宋体" w:eastAsia="宋体" w:cs="宋体"/>
          <w:color w:val="auto"/>
          <w:kern w:val="2"/>
          <w:sz w:val="21"/>
          <w:szCs w:val="21"/>
          <w:highlight w:val="none"/>
          <w:lang w:val="en-US" w:eastAsia="zh-CN" w:bidi="ar"/>
        </w:rPr>
        <w:t>。</w:t>
      </w:r>
    </w:p>
    <w:p w14:paraId="0B161D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1.1.2.5 设计人：</w:t>
      </w:r>
    </w:p>
    <w:p w14:paraId="3FF40F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名    称：</w:t>
      </w:r>
      <w:r>
        <w:rPr>
          <w:rFonts w:hint="eastAsia" w:ascii="宋体" w:hAnsi="宋体" w:eastAsia="宋体" w:cs="宋体"/>
          <w:color w:val="auto"/>
          <w:kern w:val="2"/>
          <w:sz w:val="21"/>
          <w:szCs w:val="21"/>
          <w:highlight w:val="none"/>
          <w:u w:val="single"/>
          <w:lang w:val="en-US" w:eastAsia="zh-CN" w:bidi="ar"/>
        </w:rPr>
        <w:t xml:space="preserve">    详见设计合同            </w:t>
      </w:r>
      <w:r>
        <w:rPr>
          <w:rFonts w:hint="eastAsia" w:ascii="宋体" w:hAnsi="宋体" w:eastAsia="宋体" w:cs="宋体"/>
          <w:color w:val="auto"/>
          <w:kern w:val="2"/>
          <w:sz w:val="21"/>
          <w:szCs w:val="21"/>
          <w:highlight w:val="none"/>
          <w:lang w:val="en-US" w:eastAsia="zh-CN" w:bidi="ar"/>
        </w:rPr>
        <w:t>；</w:t>
      </w:r>
    </w:p>
    <w:p w14:paraId="0B8DF44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资质类别和等级：</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2B2FB48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详见设计合同   </w:t>
      </w:r>
      <w:r>
        <w:rPr>
          <w:rFonts w:hint="eastAsia" w:ascii="宋体" w:hAnsi="宋体" w:eastAsia="宋体" w:cs="宋体"/>
          <w:color w:val="auto"/>
          <w:kern w:val="2"/>
          <w:sz w:val="21"/>
          <w:szCs w:val="21"/>
          <w:highlight w:val="none"/>
          <w:lang w:val="en-US" w:eastAsia="zh-CN" w:bidi="ar"/>
        </w:rPr>
        <w:t>；</w:t>
      </w:r>
    </w:p>
    <w:p w14:paraId="6D6A4CA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xml:space="preserve">详见设计合同           </w:t>
      </w:r>
      <w:r>
        <w:rPr>
          <w:rFonts w:hint="eastAsia" w:ascii="宋体" w:hAnsi="宋体" w:eastAsia="宋体" w:cs="宋体"/>
          <w:color w:val="auto"/>
          <w:kern w:val="2"/>
          <w:sz w:val="21"/>
          <w:szCs w:val="21"/>
          <w:highlight w:val="none"/>
          <w:lang w:val="en-US" w:eastAsia="zh-CN" w:bidi="ar"/>
        </w:rPr>
        <w:t>；</w:t>
      </w:r>
    </w:p>
    <w:p w14:paraId="3DE0BD7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详见设计合同         </w:t>
      </w:r>
      <w:r>
        <w:rPr>
          <w:rFonts w:hint="eastAsia" w:ascii="宋体" w:hAnsi="宋体" w:eastAsia="宋体" w:cs="宋体"/>
          <w:color w:val="auto"/>
          <w:kern w:val="2"/>
          <w:sz w:val="21"/>
          <w:szCs w:val="21"/>
          <w:highlight w:val="none"/>
          <w:lang w:val="en-US" w:eastAsia="zh-CN" w:bidi="ar"/>
        </w:rPr>
        <w:t>。</w:t>
      </w:r>
    </w:p>
    <w:p w14:paraId="258765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 工程和设备</w:t>
      </w:r>
    </w:p>
    <w:p w14:paraId="6CFDA56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1.1.3.7 作为施工现场组成部分的其他场所包括：</w:t>
      </w:r>
      <w:r>
        <w:rPr>
          <w:rFonts w:hint="eastAsia" w:ascii="宋体" w:hAnsi="宋体" w:eastAsia="宋体" w:cs="宋体"/>
          <w:color w:val="auto"/>
          <w:kern w:val="2"/>
          <w:sz w:val="21"/>
          <w:szCs w:val="21"/>
          <w:highlight w:val="none"/>
          <w:u w:val="single"/>
          <w:lang w:val="en-US" w:eastAsia="zh-CN" w:bidi="ar"/>
        </w:rPr>
        <w:t xml:space="preserve"> 见施工图纸并现场确定</w:t>
      </w:r>
      <w:r>
        <w:rPr>
          <w:rFonts w:hint="eastAsia" w:ascii="宋体" w:hAnsi="宋体" w:eastAsia="宋体" w:cs="宋体"/>
          <w:color w:val="auto"/>
          <w:kern w:val="2"/>
          <w:sz w:val="21"/>
          <w:szCs w:val="21"/>
          <w:highlight w:val="none"/>
          <w:lang w:val="en-US" w:eastAsia="zh-CN" w:bidi="ar"/>
        </w:rPr>
        <w:t>。</w:t>
      </w:r>
    </w:p>
    <w:p w14:paraId="3F6AB4B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1.1.3.9 永久占地包括：</w:t>
      </w:r>
      <w:r>
        <w:rPr>
          <w:rFonts w:hint="eastAsia" w:ascii="宋体" w:hAnsi="宋体" w:eastAsia="宋体" w:cs="宋体"/>
          <w:color w:val="auto"/>
          <w:kern w:val="2"/>
          <w:sz w:val="21"/>
          <w:szCs w:val="21"/>
          <w:highlight w:val="none"/>
          <w:u w:val="single"/>
          <w:lang w:val="en-US" w:eastAsia="zh-CN" w:bidi="ar"/>
        </w:rPr>
        <w:t xml:space="preserve">   见施工图纸 </w:t>
      </w:r>
      <w:r>
        <w:rPr>
          <w:rFonts w:hint="eastAsia" w:ascii="宋体" w:hAnsi="宋体" w:eastAsia="宋体" w:cs="宋体"/>
          <w:color w:val="auto"/>
          <w:kern w:val="0"/>
          <w:sz w:val="21"/>
          <w:szCs w:val="21"/>
          <w:highlight w:val="none"/>
          <w:lang w:val="en-US" w:eastAsia="zh-CN" w:bidi="ar"/>
        </w:rPr>
        <w:t>。</w:t>
      </w:r>
    </w:p>
    <w:p w14:paraId="27250F8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1.1.3.10 临时占地包括：</w:t>
      </w:r>
      <w:r>
        <w:rPr>
          <w:rFonts w:hint="eastAsia" w:ascii="宋体" w:hAnsi="宋体" w:eastAsia="宋体" w:cs="宋体"/>
          <w:color w:val="auto"/>
          <w:kern w:val="2"/>
          <w:sz w:val="21"/>
          <w:szCs w:val="21"/>
          <w:highlight w:val="none"/>
          <w:u w:val="single"/>
          <w:lang w:val="en-US" w:eastAsia="zh-CN" w:bidi="ar"/>
        </w:rPr>
        <w:t xml:space="preserve">   现场确定</w:t>
      </w:r>
      <w:r>
        <w:rPr>
          <w:rFonts w:hint="eastAsia" w:ascii="宋体" w:hAnsi="宋体" w:eastAsia="宋体" w:cs="宋体"/>
          <w:color w:val="auto"/>
          <w:kern w:val="0"/>
          <w:sz w:val="21"/>
          <w:szCs w:val="21"/>
          <w:highlight w:val="none"/>
          <w:lang w:val="en-US" w:eastAsia="zh-CN" w:bidi="ar"/>
        </w:rPr>
        <w:t>。</w:t>
      </w:r>
    </w:p>
    <w:p w14:paraId="5EAD83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1.3法律 </w:t>
      </w:r>
    </w:p>
    <w:p w14:paraId="417EDAD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适用于合同的其他规范性文件：</w:t>
      </w:r>
      <w:r>
        <w:rPr>
          <w:rFonts w:hint="eastAsia" w:ascii="宋体" w:hAnsi="宋体" w:eastAsia="宋体" w:cs="宋体"/>
          <w:color w:val="auto"/>
          <w:kern w:val="2"/>
          <w:sz w:val="21"/>
          <w:szCs w:val="21"/>
          <w:highlight w:val="none"/>
          <w:u w:val="single"/>
          <w:lang w:val="en-US" w:eastAsia="zh-CN" w:bidi="ar"/>
        </w:rPr>
        <w:t xml:space="preserve">  《中华人民共和国民法典》、《中华人民共和国建筑法》、《中华人民共和国招标投标法》、《建设工程质量管理条例》、《建设工程安全生产管理条例》等国家及工程所在地现行有效的法律法规和规章  。</w:t>
      </w:r>
    </w:p>
    <w:p w14:paraId="4643EC0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 标准和规范</w:t>
      </w:r>
    </w:p>
    <w:p w14:paraId="0283E2E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1.4.1适用于工程的标准规范包括：</w:t>
      </w:r>
      <w:r>
        <w:rPr>
          <w:rFonts w:hint="eastAsia" w:ascii="宋体" w:hAnsi="宋体" w:eastAsia="宋体" w:cs="宋体"/>
          <w:color w:val="auto"/>
          <w:kern w:val="2"/>
          <w:sz w:val="21"/>
          <w:szCs w:val="21"/>
          <w:highlight w:val="none"/>
          <w:u w:val="single"/>
          <w:lang w:val="en-US" w:eastAsia="zh-CN" w:bidi="ar"/>
        </w:rPr>
        <w:t xml:space="preserve"> 中华人民共和国住房和城乡建设部等部门及省、市发布的有关文件</w:t>
      </w:r>
      <w:r>
        <w:rPr>
          <w:rFonts w:hint="eastAsia" w:ascii="宋体" w:hAnsi="宋体" w:eastAsia="宋体" w:cs="宋体"/>
          <w:color w:val="auto"/>
          <w:kern w:val="2"/>
          <w:sz w:val="21"/>
          <w:szCs w:val="21"/>
          <w:highlight w:val="none"/>
          <w:lang w:val="en-US" w:eastAsia="zh-CN" w:bidi="ar"/>
        </w:rPr>
        <w:t>。</w:t>
      </w:r>
    </w:p>
    <w:p w14:paraId="058881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1.4.2 发包人提供国外标准、规范的名称：</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承包人自备国内现行适用的标准、规范</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CD01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3F301C2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12B9F1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1.4.3发包人对工程的技术标准和功能要求的特殊要求：</w:t>
      </w:r>
      <w:r>
        <w:rPr>
          <w:rFonts w:hint="eastAsia" w:ascii="宋体" w:hAnsi="宋体" w:eastAsia="宋体" w:cs="宋体"/>
          <w:color w:val="auto"/>
          <w:kern w:val="2"/>
          <w:sz w:val="21"/>
          <w:szCs w:val="21"/>
          <w:highlight w:val="none"/>
          <w:u w:val="single"/>
          <w:lang w:val="en-US" w:eastAsia="zh-CN" w:bidi="ar"/>
        </w:rPr>
        <w:t xml:space="preserve">按现行规范执行  </w:t>
      </w:r>
      <w:r>
        <w:rPr>
          <w:rFonts w:hint="eastAsia" w:ascii="宋体" w:hAnsi="宋体" w:eastAsia="宋体" w:cs="宋体"/>
          <w:color w:val="auto"/>
          <w:kern w:val="2"/>
          <w:sz w:val="21"/>
          <w:szCs w:val="21"/>
          <w:highlight w:val="none"/>
          <w:lang w:val="en-US" w:eastAsia="zh-CN" w:bidi="ar"/>
        </w:rPr>
        <w:t>。</w:t>
      </w:r>
    </w:p>
    <w:p w14:paraId="20BD34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 合同文件的优先顺序</w:t>
      </w:r>
    </w:p>
    <w:p w14:paraId="03E272C7">
      <w:pPr>
        <w:keepNext w:val="0"/>
        <w:keepLines w:val="0"/>
        <w:widowControl w:val="0"/>
        <w:suppressLineNumbers w:val="0"/>
        <w:snapToGrid w:val="0"/>
        <w:spacing w:before="0" w:beforeAutospacing="0" w:after="0" w:afterAutospacing="0" w:line="440" w:lineRule="exact"/>
        <w:ind w:left="0" w:right="0" w:firstLine="420" w:firstLineChars="200"/>
        <w:jc w:val="both"/>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合同文件组成及优先顺序为：</w:t>
      </w:r>
      <w:r>
        <w:rPr>
          <w:rFonts w:hint="eastAsia" w:ascii="宋体" w:hAnsi="宋体" w:eastAsia="宋体" w:cs="宋体"/>
          <w:color w:val="auto"/>
          <w:kern w:val="2"/>
          <w:sz w:val="21"/>
          <w:szCs w:val="21"/>
          <w:highlight w:val="none"/>
          <w:u w:val="single"/>
          <w:lang w:val="en-US" w:eastAsia="zh-CN" w:bidi="ar"/>
        </w:rPr>
        <w:t>（1）合同协议书；（2）中标通知书；（3）确认函及其附录；（4）招标文件；（5）专用合同条款及其附件；（6）通用合同条款；（7）技术标准和要求；（8）图纸；（9）已标价工程量清单或预算书；（10）其他合同文件。</w:t>
      </w:r>
    </w:p>
    <w:p w14:paraId="4639AB7A">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上述各项合同文件包括合同当事人就该项合同文件所作出的补充和修改，属于同一类内容的文件，应以最新签署的为准。</w:t>
      </w:r>
    </w:p>
    <w:p w14:paraId="74F104E1">
      <w:pPr>
        <w:pStyle w:val="42"/>
        <w:keepNext w:val="0"/>
        <w:keepLines w:val="0"/>
        <w:widowControl w:val="0"/>
        <w:suppressLineNumbers w:val="0"/>
        <w:spacing w:before="0" w:beforeAutospacing="1" w:after="0" w:afterAutospacing="0" w:line="44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在合同订立及履行过程中形成的与合同有关的文件均构成合同文件组成部分，并根据其性质确定优先解释顺序。</w:t>
      </w:r>
    </w:p>
    <w:p w14:paraId="598E99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 图纸和承包人文件</w:t>
      </w:r>
      <w:r>
        <w:rPr>
          <w:rFonts w:hint="eastAsia" w:ascii="宋体" w:hAnsi="宋体" w:eastAsia="宋体" w:cs="宋体"/>
          <w:color w:val="auto"/>
          <w:kern w:val="2"/>
          <w:sz w:val="21"/>
          <w:szCs w:val="21"/>
          <w:highlight w:val="none"/>
          <w:lang w:val="en-US" w:eastAsia="zh-CN" w:bidi="ar"/>
        </w:rPr>
        <w:tab/>
      </w:r>
    </w:p>
    <w:p w14:paraId="47BE6C4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图纸的提供</w:t>
      </w:r>
    </w:p>
    <w:p w14:paraId="73D292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发包人向承包人提供图纸的期限：</w:t>
      </w:r>
      <w:r>
        <w:rPr>
          <w:rFonts w:hint="eastAsia" w:ascii="宋体" w:hAnsi="宋体" w:eastAsia="宋体" w:cs="宋体"/>
          <w:color w:val="auto"/>
          <w:kern w:val="2"/>
          <w:sz w:val="21"/>
          <w:szCs w:val="21"/>
          <w:highlight w:val="none"/>
          <w:u w:val="single"/>
          <w:lang w:val="en-US" w:eastAsia="zh-CN" w:bidi="ar"/>
        </w:rPr>
        <w:t xml:space="preserve"> 开工前14天</w:t>
      </w:r>
      <w:r>
        <w:rPr>
          <w:rFonts w:hint="eastAsia" w:ascii="宋体" w:hAnsi="宋体" w:eastAsia="宋体" w:cs="宋体"/>
          <w:color w:val="auto"/>
          <w:kern w:val="2"/>
          <w:sz w:val="21"/>
          <w:szCs w:val="21"/>
          <w:highlight w:val="none"/>
          <w:lang w:val="en-US" w:eastAsia="zh-CN" w:bidi="ar"/>
        </w:rPr>
        <w:t>；</w:t>
      </w:r>
    </w:p>
    <w:p w14:paraId="48391B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发包人向承包人提供图纸的数量：</w:t>
      </w:r>
      <w:r>
        <w:rPr>
          <w:rFonts w:hint="eastAsia" w:ascii="宋体" w:hAnsi="宋体" w:eastAsia="宋体" w:cs="宋体"/>
          <w:color w:val="auto"/>
          <w:kern w:val="2"/>
          <w:sz w:val="21"/>
          <w:szCs w:val="21"/>
          <w:highlight w:val="none"/>
          <w:u w:val="single"/>
          <w:lang w:val="en-US" w:eastAsia="zh-CN" w:bidi="ar"/>
        </w:rPr>
        <w:t xml:space="preserve">3份 </w:t>
      </w:r>
      <w:r>
        <w:rPr>
          <w:rFonts w:hint="eastAsia" w:ascii="宋体" w:hAnsi="宋体" w:eastAsia="宋体" w:cs="宋体"/>
          <w:color w:val="auto"/>
          <w:kern w:val="2"/>
          <w:sz w:val="21"/>
          <w:szCs w:val="21"/>
          <w:highlight w:val="none"/>
          <w:lang w:val="en-US" w:eastAsia="zh-CN" w:bidi="ar"/>
        </w:rPr>
        <w:t>；</w:t>
      </w:r>
    </w:p>
    <w:p w14:paraId="6EFD773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发包人向承包人提供图纸的内容：</w:t>
      </w:r>
      <w:r>
        <w:rPr>
          <w:rFonts w:hint="eastAsia" w:ascii="宋体" w:hAnsi="宋体" w:eastAsia="宋体" w:cs="宋体"/>
          <w:color w:val="auto"/>
          <w:kern w:val="2"/>
          <w:sz w:val="21"/>
          <w:szCs w:val="21"/>
          <w:highlight w:val="none"/>
          <w:u w:val="single"/>
          <w:lang w:val="en-US" w:eastAsia="zh-CN" w:bidi="ar"/>
        </w:rPr>
        <w:t>全套施工图 </w:t>
      </w:r>
      <w:r>
        <w:rPr>
          <w:rFonts w:hint="eastAsia" w:ascii="宋体" w:hAnsi="宋体" w:eastAsia="宋体" w:cs="宋体"/>
          <w:color w:val="auto"/>
          <w:kern w:val="2"/>
          <w:sz w:val="21"/>
          <w:szCs w:val="21"/>
          <w:highlight w:val="none"/>
          <w:lang w:val="en-US" w:eastAsia="zh-CN" w:bidi="ar"/>
        </w:rPr>
        <w:t>。</w:t>
      </w:r>
    </w:p>
    <w:p w14:paraId="7C7854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1.6.4 承包人文件</w:t>
      </w:r>
    </w:p>
    <w:p w14:paraId="42AF79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需要由承包人提供的文件，包括：</w:t>
      </w:r>
      <w:r>
        <w:rPr>
          <w:rFonts w:hint="eastAsia" w:ascii="宋体" w:hAnsi="宋体" w:eastAsia="宋体" w:cs="宋体"/>
          <w:color w:val="auto"/>
          <w:kern w:val="2"/>
          <w:sz w:val="21"/>
          <w:szCs w:val="21"/>
          <w:highlight w:val="none"/>
          <w:u w:val="single"/>
          <w:lang w:val="en-US" w:eastAsia="zh-CN" w:bidi="ar"/>
        </w:rPr>
        <w:t xml:space="preserve">按监理要求执行，包括但不限于项目部人员证书（在领取中标通知书前）、项目部任命文、实施性施工组织设计等  </w:t>
      </w:r>
      <w:r>
        <w:rPr>
          <w:rFonts w:hint="eastAsia" w:ascii="宋体" w:hAnsi="宋体" w:eastAsia="宋体" w:cs="宋体"/>
          <w:color w:val="auto"/>
          <w:kern w:val="2"/>
          <w:sz w:val="21"/>
          <w:szCs w:val="21"/>
          <w:highlight w:val="none"/>
          <w:lang w:val="en-US" w:eastAsia="zh-CN" w:bidi="ar"/>
        </w:rPr>
        <w:t>；</w:t>
      </w:r>
    </w:p>
    <w:p w14:paraId="51C72E8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承包人提供的文件的期限为：</w:t>
      </w:r>
      <w:r>
        <w:rPr>
          <w:rFonts w:hint="eastAsia" w:ascii="宋体" w:hAnsi="宋体" w:eastAsia="宋体" w:cs="宋体"/>
          <w:color w:val="auto"/>
          <w:kern w:val="2"/>
          <w:sz w:val="21"/>
          <w:szCs w:val="21"/>
          <w:highlight w:val="none"/>
          <w:u w:val="single"/>
          <w:lang w:val="en-US" w:eastAsia="zh-CN" w:bidi="ar"/>
        </w:rPr>
        <w:t xml:space="preserve">按监理要求执行    </w:t>
      </w:r>
      <w:r>
        <w:rPr>
          <w:rFonts w:hint="eastAsia" w:ascii="宋体" w:hAnsi="宋体" w:eastAsia="宋体" w:cs="宋体"/>
          <w:color w:val="auto"/>
          <w:kern w:val="2"/>
          <w:sz w:val="21"/>
          <w:szCs w:val="21"/>
          <w:highlight w:val="none"/>
          <w:lang w:val="en-US" w:eastAsia="zh-CN" w:bidi="ar"/>
        </w:rPr>
        <w:t>；</w:t>
      </w:r>
    </w:p>
    <w:p w14:paraId="49885A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承包人提供的文件的数量为：</w:t>
      </w:r>
      <w:r>
        <w:rPr>
          <w:rFonts w:hint="eastAsia" w:ascii="宋体" w:hAnsi="宋体" w:eastAsia="宋体" w:cs="宋体"/>
          <w:color w:val="auto"/>
          <w:kern w:val="2"/>
          <w:sz w:val="21"/>
          <w:szCs w:val="21"/>
          <w:highlight w:val="none"/>
          <w:u w:val="single"/>
          <w:lang w:val="en-US" w:eastAsia="zh-CN" w:bidi="ar"/>
        </w:rPr>
        <w:t xml:space="preserve">  按监理要求执行    </w:t>
      </w:r>
      <w:r>
        <w:rPr>
          <w:rFonts w:hint="eastAsia" w:ascii="宋体" w:hAnsi="宋体" w:eastAsia="宋体" w:cs="宋体"/>
          <w:color w:val="auto"/>
          <w:kern w:val="2"/>
          <w:sz w:val="21"/>
          <w:szCs w:val="21"/>
          <w:highlight w:val="none"/>
          <w:lang w:val="en-US" w:eastAsia="zh-CN" w:bidi="ar"/>
        </w:rPr>
        <w:t>；</w:t>
      </w:r>
    </w:p>
    <w:p w14:paraId="00A5B7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承包人提供的文件的形式为：</w:t>
      </w:r>
      <w:r>
        <w:rPr>
          <w:rFonts w:hint="eastAsia" w:ascii="宋体" w:hAnsi="宋体" w:eastAsia="宋体" w:cs="宋体"/>
          <w:color w:val="auto"/>
          <w:kern w:val="2"/>
          <w:sz w:val="21"/>
          <w:szCs w:val="21"/>
          <w:highlight w:val="none"/>
          <w:u w:val="single"/>
          <w:lang w:val="en-US" w:eastAsia="zh-CN" w:bidi="ar"/>
        </w:rPr>
        <w:t>按监理要求执行  </w:t>
      </w:r>
      <w:r>
        <w:rPr>
          <w:rFonts w:hint="eastAsia" w:ascii="宋体" w:hAnsi="宋体" w:eastAsia="宋体" w:cs="宋体"/>
          <w:color w:val="auto"/>
          <w:kern w:val="2"/>
          <w:sz w:val="21"/>
          <w:szCs w:val="21"/>
          <w:highlight w:val="none"/>
          <w:lang w:val="en-US" w:eastAsia="zh-CN" w:bidi="ar"/>
        </w:rPr>
        <w:t>；</w:t>
      </w:r>
    </w:p>
    <w:p w14:paraId="036A4A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发包人审批承包人文件的期限：</w:t>
      </w:r>
      <w:r>
        <w:rPr>
          <w:rFonts w:hint="eastAsia" w:ascii="宋体" w:hAnsi="宋体" w:eastAsia="宋体" w:cs="宋体"/>
          <w:color w:val="auto"/>
          <w:kern w:val="2"/>
          <w:sz w:val="21"/>
          <w:szCs w:val="21"/>
          <w:highlight w:val="none"/>
          <w:u w:val="single"/>
          <w:lang w:val="en-US" w:eastAsia="zh-CN" w:bidi="ar"/>
        </w:rPr>
        <w:t>  7天 </w:t>
      </w:r>
      <w:r>
        <w:rPr>
          <w:rFonts w:hint="eastAsia" w:ascii="宋体" w:hAnsi="宋体" w:eastAsia="宋体" w:cs="宋体"/>
          <w:color w:val="auto"/>
          <w:kern w:val="2"/>
          <w:sz w:val="21"/>
          <w:szCs w:val="21"/>
          <w:highlight w:val="none"/>
          <w:lang w:val="en-US" w:eastAsia="zh-CN" w:bidi="ar"/>
        </w:rPr>
        <w:t>。</w:t>
      </w:r>
    </w:p>
    <w:p w14:paraId="4AFAB9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1.6.5 图纸和承包人文件的保管</w:t>
      </w:r>
    </w:p>
    <w:p w14:paraId="6D37D2B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关于图纸和承包人文件的保管的约定：</w:t>
      </w:r>
      <w:r>
        <w:rPr>
          <w:rFonts w:hint="eastAsia" w:ascii="宋体" w:hAnsi="宋体" w:eastAsia="宋体" w:cs="宋体"/>
          <w:color w:val="auto"/>
          <w:kern w:val="2"/>
          <w:sz w:val="21"/>
          <w:szCs w:val="21"/>
          <w:highlight w:val="none"/>
          <w:u w:val="single"/>
          <w:lang w:val="en-US" w:eastAsia="zh-CN" w:bidi="ar"/>
        </w:rPr>
        <w:t>除专用合同条款另有约定外，承包人应在施工现场另外保存一套完整的图纸和承包人文件，供发包人、监理人及有关人员进行工程检查时使用</w:t>
      </w:r>
      <w:r>
        <w:rPr>
          <w:rFonts w:hint="eastAsia" w:ascii="宋体" w:hAnsi="宋体" w:eastAsia="宋体" w:cs="宋体"/>
          <w:color w:val="auto"/>
          <w:kern w:val="2"/>
          <w:sz w:val="21"/>
          <w:szCs w:val="21"/>
          <w:highlight w:val="none"/>
          <w:lang w:val="en-US" w:eastAsia="zh-CN" w:bidi="ar"/>
        </w:rPr>
        <w:t>。</w:t>
      </w:r>
    </w:p>
    <w:p w14:paraId="75FECE8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 联络</w:t>
      </w:r>
    </w:p>
    <w:p w14:paraId="6C61CB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1.7.1发包人和承包人应当在</w:t>
      </w:r>
      <w:r>
        <w:rPr>
          <w:rFonts w:hint="eastAsia" w:ascii="宋体" w:hAnsi="宋体" w:eastAsia="宋体" w:cs="宋体"/>
          <w:color w:val="auto"/>
          <w:kern w:val="2"/>
          <w:sz w:val="21"/>
          <w:szCs w:val="21"/>
          <w:highlight w:val="none"/>
          <w:u w:val="single"/>
          <w:lang w:val="en-US" w:eastAsia="zh-CN" w:bidi="ar"/>
        </w:rPr>
        <w:t xml:space="preserve">7天  </w:t>
      </w:r>
      <w:r>
        <w:rPr>
          <w:rFonts w:hint="eastAsia" w:ascii="宋体" w:hAnsi="宋体" w:eastAsia="宋体" w:cs="宋体"/>
          <w:color w:val="auto"/>
          <w:kern w:val="0"/>
          <w:sz w:val="21"/>
          <w:szCs w:val="21"/>
          <w:highlight w:val="none"/>
          <w:lang w:val="en-US" w:eastAsia="zh-CN" w:bidi="ar"/>
        </w:rPr>
        <w:t>内将与合同有关的通知、批准、证明、证书、指示、指令、要求、请求、同意、意见、确定和决定等书面函件送达对方当事人。</w:t>
      </w:r>
    </w:p>
    <w:p w14:paraId="0809086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1.7.2 发包人接收文件的地点：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中国扬子集团有限公司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6A50A09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eastAsia" w:ascii="宋体" w:hAnsi="宋体" w:eastAsia="宋体" w:cs="宋体"/>
          <w:color w:val="auto"/>
          <w:kern w:val="2"/>
          <w:sz w:val="21"/>
          <w:szCs w:val="21"/>
          <w:highlight w:val="none"/>
          <w:u w:val="single"/>
          <w:lang w:val="en-US" w:eastAsia="zh-CN" w:bidi="ar"/>
        </w:rPr>
        <w:t>发包人代表</w:t>
      </w:r>
      <w:r>
        <w:rPr>
          <w:rFonts w:hint="eastAsia" w:ascii="宋体" w:hAnsi="宋体" w:eastAsia="宋体" w:cs="宋体"/>
          <w:color w:val="auto"/>
          <w:kern w:val="0"/>
          <w:sz w:val="21"/>
          <w:szCs w:val="21"/>
          <w:highlight w:val="none"/>
          <w:lang w:val="en-US" w:eastAsia="zh-CN" w:bidi="ar"/>
        </w:rPr>
        <w:t>；</w:t>
      </w:r>
    </w:p>
    <w:p w14:paraId="109F47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中国扬子集团有限公司</w:t>
      </w:r>
      <w:r>
        <w:rPr>
          <w:rFonts w:hint="eastAsia" w:ascii="宋体" w:hAnsi="宋体" w:eastAsia="宋体" w:cs="宋体"/>
          <w:color w:val="auto"/>
          <w:kern w:val="2"/>
          <w:sz w:val="21"/>
          <w:szCs w:val="21"/>
          <w:highlight w:val="none"/>
          <w:u w:val="single"/>
          <w:lang w:val="en-US" w:eastAsia="zh-CN" w:bidi="ar"/>
        </w:rPr>
        <w:t>或项目部</w:t>
      </w:r>
      <w:r>
        <w:rPr>
          <w:rFonts w:hint="eastAsia" w:ascii="宋体" w:hAnsi="宋体" w:eastAsia="宋体" w:cs="宋体"/>
          <w:color w:val="auto"/>
          <w:kern w:val="0"/>
          <w:sz w:val="21"/>
          <w:szCs w:val="21"/>
          <w:highlight w:val="none"/>
          <w:lang w:val="en-US" w:eastAsia="zh-CN" w:bidi="ar"/>
        </w:rPr>
        <w:t>；</w:t>
      </w:r>
    </w:p>
    <w:p w14:paraId="1C814B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eastAsia" w:ascii="宋体" w:hAnsi="宋体" w:eastAsia="宋体" w:cs="宋体"/>
          <w:color w:val="auto"/>
          <w:kern w:val="2"/>
          <w:sz w:val="21"/>
          <w:szCs w:val="21"/>
          <w:highlight w:val="none"/>
          <w:u w:val="single"/>
          <w:lang w:val="en-US" w:eastAsia="zh-CN" w:bidi="ar"/>
        </w:rPr>
        <w:t>项目经理</w:t>
      </w:r>
      <w:r>
        <w:rPr>
          <w:rFonts w:hint="eastAsia" w:ascii="宋体" w:hAnsi="宋体" w:eastAsia="宋体" w:cs="宋体"/>
          <w:color w:val="auto"/>
          <w:kern w:val="0"/>
          <w:sz w:val="21"/>
          <w:szCs w:val="21"/>
          <w:highlight w:val="none"/>
          <w:lang w:val="en-US" w:eastAsia="zh-CN" w:bidi="ar"/>
        </w:rPr>
        <w:t>。</w:t>
      </w:r>
    </w:p>
    <w:p w14:paraId="69FCD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cs="宋体"/>
          <w:color w:val="auto"/>
          <w:kern w:val="2"/>
          <w:sz w:val="21"/>
          <w:szCs w:val="21"/>
          <w:highlight w:val="none"/>
          <w:u w:val="single"/>
          <w:lang w:val="en-US" w:eastAsia="zh-CN" w:bidi="ar"/>
        </w:rPr>
        <w:t>中国扬子集团有限公司</w:t>
      </w:r>
      <w:r>
        <w:rPr>
          <w:rFonts w:hint="eastAsia" w:ascii="宋体" w:hAnsi="宋体" w:eastAsia="宋体" w:cs="宋体"/>
          <w:color w:val="auto"/>
          <w:kern w:val="2"/>
          <w:sz w:val="21"/>
          <w:szCs w:val="21"/>
          <w:highlight w:val="none"/>
          <w:u w:val="single"/>
          <w:lang w:val="en-US" w:eastAsia="zh-CN" w:bidi="ar"/>
        </w:rPr>
        <w:t>或监理部</w:t>
      </w:r>
      <w:r>
        <w:rPr>
          <w:rFonts w:hint="eastAsia" w:ascii="宋体" w:hAnsi="宋体" w:eastAsia="宋体" w:cs="宋体"/>
          <w:color w:val="auto"/>
          <w:kern w:val="0"/>
          <w:sz w:val="21"/>
          <w:szCs w:val="21"/>
          <w:highlight w:val="none"/>
          <w:lang w:val="en-US" w:eastAsia="zh-CN" w:bidi="ar"/>
        </w:rPr>
        <w:t>；</w:t>
      </w:r>
    </w:p>
    <w:p w14:paraId="3F31A42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eastAsia" w:ascii="宋体" w:hAnsi="宋体" w:eastAsia="宋体" w:cs="宋体"/>
          <w:color w:val="auto"/>
          <w:kern w:val="2"/>
          <w:sz w:val="21"/>
          <w:szCs w:val="21"/>
          <w:highlight w:val="none"/>
          <w:u w:val="single"/>
          <w:lang w:val="en-US" w:eastAsia="zh-CN" w:bidi="ar"/>
        </w:rPr>
        <w:t>总监理工程师或总监代表 </w:t>
      </w:r>
      <w:r>
        <w:rPr>
          <w:rFonts w:hint="eastAsia" w:ascii="宋体" w:hAnsi="宋体" w:eastAsia="宋体" w:cs="宋体"/>
          <w:color w:val="auto"/>
          <w:kern w:val="0"/>
          <w:sz w:val="21"/>
          <w:szCs w:val="21"/>
          <w:highlight w:val="none"/>
          <w:lang w:val="en-US" w:eastAsia="zh-CN" w:bidi="ar"/>
        </w:rPr>
        <w:t>。</w:t>
      </w:r>
    </w:p>
    <w:p w14:paraId="7391A71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 交通运输</w:t>
      </w:r>
    </w:p>
    <w:p w14:paraId="253DC6B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1.10.1 出入现场的权利</w:t>
      </w:r>
    </w:p>
    <w:p w14:paraId="2153AC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关于出入现场的权利的约定：</w:t>
      </w:r>
      <w:r>
        <w:rPr>
          <w:rFonts w:hint="eastAsia" w:ascii="宋体" w:hAnsi="宋体" w:eastAsia="宋体" w:cs="宋体"/>
          <w:color w:val="auto"/>
          <w:kern w:val="2"/>
          <w:sz w:val="21"/>
          <w:szCs w:val="21"/>
          <w:highlight w:val="none"/>
          <w:u w:val="single"/>
          <w:lang w:val="en-US" w:eastAsia="zh-CN" w:bidi="ar"/>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2A0083F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14:paraId="6071F419">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1.10.3 场内交通</w:t>
      </w:r>
    </w:p>
    <w:p w14:paraId="27EDC7C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hint="eastAsia" w:ascii="宋体" w:hAnsi="宋体" w:eastAsia="宋体" w:cs="宋体"/>
          <w:color w:val="auto"/>
          <w:kern w:val="2"/>
          <w:sz w:val="21"/>
          <w:szCs w:val="21"/>
          <w:highlight w:val="none"/>
          <w:lang w:val="en-US" w:eastAsia="zh-CN" w:bidi="ar"/>
        </w:rPr>
        <w:t>。</w:t>
      </w:r>
    </w:p>
    <w:p w14:paraId="45C146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2"/>
          <w:sz w:val="21"/>
          <w:szCs w:val="21"/>
          <w:highlight w:val="none"/>
          <w:u w:val="single"/>
          <w:lang w:val="en-US" w:eastAsia="zh-CN" w:bidi="ar"/>
        </w:rPr>
        <w:t xml:space="preserve">自行踏勘，自行解决 </w:t>
      </w:r>
      <w:r>
        <w:rPr>
          <w:rFonts w:hint="eastAsia" w:ascii="宋体" w:hAnsi="宋体" w:eastAsia="宋体" w:cs="宋体"/>
          <w:color w:val="auto"/>
          <w:kern w:val="2"/>
          <w:sz w:val="21"/>
          <w:szCs w:val="21"/>
          <w:highlight w:val="none"/>
          <w:lang w:val="en-US" w:eastAsia="zh-CN" w:bidi="ar"/>
        </w:rPr>
        <w:t>。</w:t>
      </w:r>
    </w:p>
    <w:p w14:paraId="782485B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1.10.4超大件和超重件的运输</w:t>
      </w:r>
    </w:p>
    <w:p w14:paraId="71DB0B0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运输超大件或超重件所需的道路和桥梁临时加固改造费用和其他有关费用由</w:t>
      </w:r>
      <w:r>
        <w:rPr>
          <w:rFonts w:hint="eastAsia" w:ascii="宋体" w:hAnsi="宋体" w:eastAsia="宋体" w:cs="宋体"/>
          <w:color w:val="auto"/>
          <w:kern w:val="2"/>
          <w:sz w:val="21"/>
          <w:szCs w:val="21"/>
          <w:highlight w:val="none"/>
          <w:u w:val="single"/>
          <w:lang w:val="en-US" w:eastAsia="zh-CN" w:bidi="ar"/>
        </w:rPr>
        <w:t xml:space="preserve">  承包方 </w:t>
      </w:r>
      <w:r>
        <w:rPr>
          <w:rFonts w:hint="eastAsia" w:ascii="宋体" w:hAnsi="宋体" w:eastAsia="宋体" w:cs="宋体"/>
          <w:color w:val="auto"/>
          <w:kern w:val="2"/>
          <w:sz w:val="21"/>
          <w:szCs w:val="21"/>
          <w:highlight w:val="none"/>
          <w:lang w:val="en-US" w:eastAsia="zh-CN" w:bidi="ar"/>
        </w:rPr>
        <w:t>承担。</w:t>
      </w:r>
    </w:p>
    <w:p w14:paraId="108340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知识产权</w:t>
      </w:r>
    </w:p>
    <w:p w14:paraId="1F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kern w:val="2"/>
          <w:sz w:val="21"/>
          <w:szCs w:val="21"/>
          <w:highlight w:val="none"/>
          <w:u w:val="single"/>
          <w:lang w:val="en-US" w:eastAsia="zh-CN" w:bidi="ar"/>
        </w:rPr>
        <w:t xml:space="preserve">发包人 </w:t>
      </w:r>
      <w:r>
        <w:rPr>
          <w:rFonts w:hint="eastAsia" w:ascii="宋体" w:hAnsi="宋体" w:eastAsia="宋体" w:cs="宋体"/>
          <w:color w:val="auto"/>
          <w:kern w:val="2"/>
          <w:sz w:val="21"/>
          <w:szCs w:val="21"/>
          <w:highlight w:val="none"/>
          <w:lang w:val="en-US" w:eastAsia="zh-CN" w:bidi="ar"/>
        </w:rPr>
        <w:t>。</w:t>
      </w:r>
    </w:p>
    <w:p w14:paraId="0E7E36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关于发包人提供的上述文件的使用限制的要求：</w:t>
      </w:r>
      <w:r>
        <w:rPr>
          <w:rFonts w:hint="eastAsia" w:ascii="宋体" w:hAnsi="宋体" w:eastAsia="宋体" w:cs="宋体"/>
          <w:color w:val="auto"/>
          <w:kern w:val="2"/>
          <w:sz w:val="21"/>
          <w:szCs w:val="21"/>
          <w:highlight w:val="none"/>
          <w:u w:val="single"/>
          <w:lang w:val="en-US" w:eastAsia="zh-CN" w:bidi="ar"/>
        </w:rPr>
        <w:t>承包人可以为实现合同目的而复制、使用此类文件，但不能用于与合同无关的其他事项。未经发包人书面同意，承包人不得为了合同以外的目的而复制、使用上述文件或将之提供给任何第三方。</w:t>
      </w:r>
    </w:p>
    <w:p w14:paraId="39D6EB7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1.11.2 关于承包人为实施工程所编制文件的著作权的归属：</w:t>
      </w:r>
      <w:r>
        <w:rPr>
          <w:rFonts w:hint="eastAsia" w:ascii="宋体" w:hAnsi="宋体" w:eastAsia="宋体" w:cs="宋体"/>
          <w:color w:val="auto"/>
          <w:kern w:val="2"/>
          <w:sz w:val="21"/>
          <w:szCs w:val="21"/>
          <w:highlight w:val="none"/>
          <w:u w:val="single"/>
          <w:lang w:val="en-US" w:eastAsia="zh-CN" w:bidi="ar"/>
        </w:rPr>
        <w:t xml:space="preserve"> 发包人  </w:t>
      </w:r>
      <w:r>
        <w:rPr>
          <w:rFonts w:hint="eastAsia" w:ascii="宋体" w:hAnsi="宋体" w:eastAsia="宋体" w:cs="宋体"/>
          <w:color w:val="auto"/>
          <w:kern w:val="2"/>
          <w:sz w:val="21"/>
          <w:szCs w:val="21"/>
          <w:highlight w:val="none"/>
          <w:lang w:val="en-US" w:eastAsia="zh-CN" w:bidi="ar"/>
        </w:rPr>
        <w:t>。</w:t>
      </w:r>
    </w:p>
    <w:p w14:paraId="58D8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关于承包人提供的上述文件的使用限制的要求：</w:t>
      </w:r>
      <w:r>
        <w:rPr>
          <w:rFonts w:hint="eastAsia" w:ascii="宋体" w:hAnsi="宋体" w:eastAsia="宋体" w:cs="宋体"/>
          <w:color w:val="auto"/>
          <w:kern w:val="2"/>
          <w:sz w:val="21"/>
          <w:szCs w:val="21"/>
          <w:highlight w:val="none"/>
          <w:u w:val="single"/>
          <w:lang w:val="en-US" w:eastAsia="zh-CN" w:bidi="ar"/>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71F86B5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1.11.4 承包人在施工过程中所采用的专利、专有技术、技术秘密的使用费的承担方式：</w:t>
      </w:r>
      <w:r>
        <w:rPr>
          <w:rFonts w:hint="eastAsia" w:ascii="宋体" w:hAnsi="宋体" w:eastAsia="宋体" w:cs="宋体"/>
          <w:color w:val="auto"/>
          <w:kern w:val="2"/>
          <w:sz w:val="21"/>
          <w:szCs w:val="21"/>
          <w:highlight w:val="none"/>
          <w:u w:val="single"/>
          <w:lang w:val="en-US" w:eastAsia="zh-CN" w:bidi="ar"/>
        </w:rPr>
        <w:t>该费用已包含在签约合同价中。</w:t>
      </w:r>
    </w:p>
    <w:p w14:paraId="6CC69C5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1.13工程量清单错误的修正</w:t>
      </w:r>
    </w:p>
    <w:p w14:paraId="31B4B8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出现工程量清单错误时，是否调整合同价格：</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不调整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DAD6C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允许调整合同价格的工程量偏差范围：</w:t>
      </w:r>
      <w:r>
        <w:rPr>
          <w:rFonts w:hint="eastAsia" w:ascii="宋体" w:hAnsi="宋体" w:cs="宋体"/>
          <w:b/>
          <w:bCs/>
          <w:color w:val="auto"/>
          <w:kern w:val="2"/>
          <w:sz w:val="21"/>
          <w:szCs w:val="21"/>
          <w:highlight w:val="none"/>
          <w:u w:val="single"/>
          <w:lang w:val="en-US" w:eastAsia="zh-CN" w:bidi="ar"/>
        </w:rPr>
        <w:t xml:space="preserve"> 不调整</w:t>
      </w:r>
      <w:r>
        <w:rPr>
          <w:rFonts w:hint="eastAsia" w:ascii="宋体" w:hAnsi="宋体" w:eastAsia="宋体" w:cs="宋体"/>
          <w:b/>
          <w:bCs/>
          <w:color w:val="auto"/>
          <w:kern w:val="2"/>
          <w:sz w:val="21"/>
          <w:szCs w:val="21"/>
          <w:highlight w:val="none"/>
          <w:u w:val="single"/>
          <w:lang w:val="en-US" w:eastAsia="zh-CN" w:bidi="ar"/>
        </w:rPr>
        <w:t>。</w:t>
      </w:r>
    </w:p>
    <w:p w14:paraId="6F4D72A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不调整。</w:t>
      </w:r>
    </w:p>
    <w:p w14:paraId="5FC079E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cs="宋体"/>
          <w:b/>
          <w:bCs w:val="0"/>
          <w:color w:val="auto"/>
          <w:kern w:val="2"/>
          <w:sz w:val="21"/>
          <w:szCs w:val="21"/>
          <w:highlight w:val="none"/>
          <w:u w:val="single"/>
          <w:lang w:val="en-US" w:eastAsia="zh-CN" w:bidi="ar"/>
        </w:rPr>
        <w:t xml:space="preserve"> 不调整</w:t>
      </w:r>
      <w:r>
        <w:rPr>
          <w:rFonts w:hint="eastAsia" w:ascii="宋体" w:hAnsi="宋体" w:eastAsia="宋体" w:cs="宋体"/>
          <w:b/>
          <w:bCs w:val="0"/>
          <w:color w:val="auto"/>
          <w:kern w:val="2"/>
          <w:sz w:val="21"/>
          <w:szCs w:val="21"/>
          <w:highlight w:val="none"/>
          <w:u w:val="single"/>
          <w:lang w:val="en-US" w:eastAsia="zh-CN" w:bidi="ar"/>
        </w:rPr>
        <w:t>。</w:t>
      </w:r>
    </w:p>
    <w:p w14:paraId="0246E5A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 发包人</w:t>
      </w:r>
    </w:p>
    <w:p w14:paraId="4F2FB0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2.2 发包人代表</w:t>
      </w:r>
    </w:p>
    <w:p w14:paraId="1D8563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发包人代表：</w:t>
      </w:r>
    </w:p>
    <w:p w14:paraId="027328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15A777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4E57A16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72F09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1F2110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25208F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3ADF87E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发包人对发包人代表的授权范围如下：</w:t>
      </w:r>
      <w:r>
        <w:rPr>
          <w:rFonts w:hint="eastAsia" w:ascii="宋体" w:hAnsi="宋体" w:eastAsia="宋体" w:cs="宋体"/>
          <w:color w:val="auto"/>
          <w:kern w:val="2"/>
          <w:sz w:val="21"/>
          <w:szCs w:val="21"/>
          <w:highlight w:val="none"/>
          <w:u w:val="single"/>
          <w:lang w:val="en-US" w:eastAsia="zh-CN" w:bidi="ar"/>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14:paraId="561C144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 施工现场、施工条件和基础资料的提供</w:t>
      </w:r>
    </w:p>
    <w:p w14:paraId="7F17E94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2.4.1 提供施工现场</w:t>
      </w:r>
    </w:p>
    <w:p w14:paraId="019296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关于发包人移交施工现场的期限要求：</w:t>
      </w:r>
      <w:r>
        <w:rPr>
          <w:rFonts w:hint="eastAsia" w:ascii="宋体" w:hAnsi="宋体" w:eastAsia="宋体" w:cs="宋体"/>
          <w:color w:val="auto"/>
          <w:kern w:val="2"/>
          <w:sz w:val="21"/>
          <w:szCs w:val="21"/>
          <w:highlight w:val="none"/>
          <w:u w:val="single"/>
          <w:lang w:val="en-US" w:eastAsia="zh-CN" w:bidi="ar"/>
        </w:rPr>
        <w:t>发包人应最迟于开工日期7天前向承包人移交施工现场。</w:t>
      </w:r>
    </w:p>
    <w:p w14:paraId="0207E11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2.4.2 提供施工条件</w:t>
      </w:r>
    </w:p>
    <w:p w14:paraId="08858A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关于发包人应负责提供施工所需要的条件，包括：</w:t>
      </w:r>
      <w:r>
        <w:rPr>
          <w:rFonts w:hint="eastAsia" w:ascii="宋体" w:hAnsi="宋体" w:eastAsia="宋体" w:cs="宋体"/>
          <w:color w:val="auto"/>
          <w:kern w:val="2"/>
          <w:sz w:val="21"/>
          <w:szCs w:val="21"/>
          <w:highlight w:val="none"/>
          <w:u w:val="single"/>
          <w:lang w:val="en-US" w:eastAsia="zh-CN" w:bidi="ar"/>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p>
    <w:p w14:paraId="2A40BD4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2.5 资金来源证明及支付担保</w:t>
      </w:r>
    </w:p>
    <w:p w14:paraId="530264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发包人提供资金来源证明的期限要求：</w:t>
      </w:r>
      <w:r>
        <w:rPr>
          <w:rFonts w:hint="eastAsia" w:ascii="宋体" w:hAnsi="宋体" w:eastAsia="宋体" w:cs="宋体"/>
          <w:color w:val="auto"/>
          <w:kern w:val="2"/>
          <w:sz w:val="21"/>
          <w:szCs w:val="21"/>
          <w:highlight w:val="none"/>
          <w:u w:val="single"/>
          <w:lang w:val="en-US" w:eastAsia="zh-CN" w:bidi="ar"/>
        </w:rPr>
        <w:t xml:space="preserve">自筹资金，不需提供   </w:t>
      </w:r>
      <w:r>
        <w:rPr>
          <w:rFonts w:hint="eastAsia" w:ascii="宋体" w:hAnsi="宋体" w:eastAsia="宋体" w:cs="宋体"/>
          <w:color w:val="auto"/>
          <w:kern w:val="2"/>
          <w:sz w:val="21"/>
          <w:szCs w:val="21"/>
          <w:highlight w:val="none"/>
          <w:lang w:val="en-US" w:eastAsia="zh-CN" w:bidi="ar"/>
        </w:rPr>
        <w:t>。</w:t>
      </w:r>
    </w:p>
    <w:p w14:paraId="0D187E4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发包人是否提供支付担保：</w:t>
      </w:r>
      <w:r>
        <w:rPr>
          <w:rFonts w:hint="eastAsia" w:ascii="宋体" w:hAnsi="宋体" w:eastAsia="宋体" w:cs="宋体"/>
          <w:color w:val="auto"/>
          <w:kern w:val="2"/>
          <w:sz w:val="21"/>
          <w:szCs w:val="21"/>
          <w:highlight w:val="none"/>
          <w:u w:val="single"/>
          <w:lang w:val="en-US" w:eastAsia="zh-CN" w:bidi="ar"/>
        </w:rPr>
        <w:t xml:space="preserve">不提供   </w:t>
      </w:r>
      <w:r>
        <w:rPr>
          <w:rFonts w:hint="eastAsia" w:ascii="宋体" w:hAnsi="宋体" w:eastAsia="宋体" w:cs="宋体"/>
          <w:color w:val="auto"/>
          <w:kern w:val="2"/>
          <w:sz w:val="21"/>
          <w:szCs w:val="21"/>
          <w:highlight w:val="none"/>
          <w:lang w:val="en-US" w:eastAsia="zh-CN" w:bidi="ar"/>
        </w:rPr>
        <w:t>。</w:t>
      </w:r>
    </w:p>
    <w:p w14:paraId="6DF308F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发包人提供支付担保的形式：</w:t>
      </w:r>
      <w:r>
        <w:rPr>
          <w:rFonts w:hint="eastAsia" w:ascii="宋体" w:hAnsi="宋体" w:eastAsia="宋体" w:cs="宋体"/>
          <w:color w:val="auto"/>
          <w:kern w:val="2"/>
          <w:sz w:val="21"/>
          <w:szCs w:val="21"/>
          <w:highlight w:val="none"/>
          <w:u w:val="single"/>
          <w:lang w:val="en-US" w:eastAsia="zh-CN" w:bidi="ar"/>
        </w:rPr>
        <w:t>无  </w:t>
      </w:r>
      <w:r>
        <w:rPr>
          <w:rFonts w:hint="eastAsia" w:ascii="宋体" w:hAnsi="宋体" w:eastAsia="宋体" w:cs="宋体"/>
          <w:color w:val="auto"/>
          <w:kern w:val="2"/>
          <w:sz w:val="21"/>
          <w:szCs w:val="21"/>
          <w:highlight w:val="none"/>
          <w:lang w:val="en-US" w:eastAsia="zh-CN" w:bidi="ar"/>
        </w:rPr>
        <w:t>。</w:t>
      </w:r>
    </w:p>
    <w:p w14:paraId="71ADC087">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3. 承包人</w:t>
      </w:r>
    </w:p>
    <w:p w14:paraId="5501D8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3.1 承包人的一般义务</w:t>
      </w:r>
    </w:p>
    <w:p w14:paraId="596D922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承包人提交的竣工资料的内容：</w:t>
      </w:r>
      <w:r>
        <w:rPr>
          <w:rFonts w:hint="eastAsia" w:ascii="宋体" w:hAnsi="宋体" w:eastAsia="宋体" w:cs="宋体"/>
          <w:color w:val="auto"/>
          <w:kern w:val="2"/>
          <w:sz w:val="21"/>
          <w:szCs w:val="21"/>
          <w:highlight w:val="none"/>
          <w:u w:val="single"/>
          <w:lang w:val="en-US" w:eastAsia="zh-CN" w:bidi="ar"/>
        </w:rPr>
        <w:t xml:space="preserve">   按相关要求执行，包括但不限于竣工图、竣工报告、项目质检资料、结算资料等  </w:t>
      </w:r>
      <w:r>
        <w:rPr>
          <w:rFonts w:hint="eastAsia" w:ascii="宋体" w:hAnsi="宋体" w:eastAsia="宋体" w:cs="宋体"/>
          <w:color w:val="auto"/>
          <w:kern w:val="2"/>
          <w:sz w:val="21"/>
          <w:szCs w:val="21"/>
          <w:highlight w:val="none"/>
          <w:lang w:val="en-US" w:eastAsia="zh-CN" w:bidi="ar"/>
        </w:rPr>
        <w:t>。</w:t>
      </w:r>
    </w:p>
    <w:p w14:paraId="1D56C6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承包人需要提交的竣工资料套数：</w:t>
      </w:r>
      <w:r>
        <w:rPr>
          <w:rFonts w:hint="eastAsia" w:ascii="宋体" w:hAnsi="宋体" w:eastAsia="宋体" w:cs="宋体"/>
          <w:color w:val="auto"/>
          <w:kern w:val="2"/>
          <w:sz w:val="21"/>
          <w:szCs w:val="21"/>
          <w:highlight w:val="none"/>
          <w:u w:val="single"/>
          <w:lang w:val="en-US" w:eastAsia="zh-CN" w:bidi="ar"/>
        </w:rPr>
        <w:t xml:space="preserve">      按相关要求执行，且不少于3套    </w:t>
      </w:r>
      <w:r>
        <w:rPr>
          <w:rFonts w:hint="eastAsia" w:ascii="宋体" w:hAnsi="宋体" w:eastAsia="宋体" w:cs="宋体"/>
          <w:color w:val="auto"/>
          <w:kern w:val="2"/>
          <w:sz w:val="21"/>
          <w:szCs w:val="21"/>
          <w:highlight w:val="none"/>
          <w:lang w:val="en-US" w:eastAsia="zh-CN" w:bidi="ar"/>
        </w:rPr>
        <w:t>。</w:t>
      </w:r>
    </w:p>
    <w:p w14:paraId="748A6D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承包人提交的竣工资料的费用承担：</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2"/>
          <w:sz w:val="21"/>
          <w:szCs w:val="21"/>
          <w:highlight w:val="none"/>
          <w:lang w:val="en-US" w:eastAsia="zh-CN" w:bidi="ar"/>
        </w:rPr>
        <w:t>。</w:t>
      </w:r>
    </w:p>
    <w:p w14:paraId="761C6B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承包人提交的竣工资料移交时间：</w:t>
      </w:r>
      <w:r>
        <w:rPr>
          <w:rFonts w:hint="eastAsia" w:ascii="宋体" w:hAnsi="宋体" w:eastAsia="宋体" w:cs="宋体"/>
          <w:color w:val="auto"/>
          <w:kern w:val="2"/>
          <w:sz w:val="21"/>
          <w:szCs w:val="21"/>
          <w:highlight w:val="none"/>
          <w:u w:val="single"/>
          <w:lang w:val="en-US" w:eastAsia="zh-CN" w:bidi="ar"/>
        </w:rPr>
        <w:t xml:space="preserve">     竣工验收合格后15日内   </w:t>
      </w:r>
      <w:r>
        <w:rPr>
          <w:rFonts w:hint="eastAsia" w:ascii="宋体" w:hAnsi="宋体" w:eastAsia="宋体" w:cs="宋体"/>
          <w:color w:val="auto"/>
          <w:kern w:val="2"/>
          <w:sz w:val="21"/>
          <w:szCs w:val="21"/>
          <w:highlight w:val="none"/>
          <w:lang w:val="en-US" w:eastAsia="zh-CN" w:bidi="ar"/>
        </w:rPr>
        <w:t>。</w:t>
      </w:r>
    </w:p>
    <w:p w14:paraId="7AE8AEC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承包人提交的竣工资料形式要求：</w:t>
      </w:r>
      <w:r>
        <w:rPr>
          <w:rFonts w:hint="eastAsia" w:ascii="宋体" w:hAnsi="宋体" w:eastAsia="宋体" w:cs="宋体"/>
          <w:color w:val="auto"/>
          <w:kern w:val="2"/>
          <w:sz w:val="21"/>
          <w:szCs w:val="21"/>
          <w:highlight w:val="none"/>
          <w:u w:val="single"/>
          <w:lang w:val="en-US" w:eastAsia="zh-CN" w:bidi="ar"/>
        </w:rPr>
        <w:t xml:space="preserve">     纸质及电子形式   </w:t>
      </w:r>
      <w:r>
        <w:rPr>
          <w:rFonts w:hint="eastAsia" w:ascii="宋体" w:hAnsi="宋体" w:eastAsia="宋体" w:cs="宋体"/>
          <w:color w:val="auto"/>
          <w:kern w:val="2"/>
          <w:sz w:val="21"/>
          <w:szCs w:val="21"/>
          <w:highlight w:val="none"/>
          <w:lang w:val="en-US" w:eastAsia="zh-CN" w:bidi="ar"/>
        </w:rPr>
        <w:t>。</w:t>
      </w:r>
    </w:p>
    <w:p w14:paraId="77A019C2">
      <w:pPr>
        <w:keepNext w:val="0"/>
        <w:keepLines w:val="0"/>
        <w:widowControl w:val="0"/>
        <w:numPr>
          <w:ilvl w:val="0"/>
          <w:numId w:val="3"/>
        </w:numPr>
        <w:suppressLineNumbers w:val="0"/>
        <w:spacing w:before="0" w:beforeAutospacing="0" w:after="0" w:afterAutospacing="0" w:line="440" w:lineRule="exact"/>
        <w:ind w:left="0" w:right="0" w:firstLine="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承包人应履行的其他义务：</w:t>
      </w:r>
      <w:r>
        <w:rPr>
          <w:rFonts w:hint="eastAsia" w:ascii="宋体" w:hAnsi="宋体" w:eastAsia="宋体" w:cs="宋体"/>
          <w:color w:val="auto"/>
          <w:kern w:val="2"/>
          <w:sz w:val="21"/>
          <w:szCs w:val="21"/>
          <w:highlight w:val="none"/>
          <w:u w:val="single"/>
          <w:lang w:val="en-US" w:eastAsia="zh-CN" w:bidi="ar"/>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5311BC1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 项目经理</w:t>
      </w:r>
    </w:p>
    <w:p w14:paraId="156239F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 xml:space="preserve">3.2.1 </w:t>
      </w:r>
      <w:r>
        <w:rPr>
          <w:rFonts w:hint="eastAsia" w:ascii="宋体" w:hAnsi="宋体" w:eastAsia="宋体" w:cs="宋体"/>
          <w:color w:val="auto"/>
          <w:kern w:val="2"/>
          <w:sz w:val="21"/>
          <w:szCs w:val="21"/>
          <w:highlight w:val="none"/>
          <w:lang w:val="en-US" w:eastAsia="zh-CN" w:bidi="ar"/>
        </w:rPr>
        <w:t>项目经理：</w:t>
      </w:r>
    </w:p>
    <w:p w14:paraId="5910557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5F9BEFD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身份证号：</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206E905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建造师执业资格等级：</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79F4B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建造师注册证书号：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F2C45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建造师执业印章号：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60963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安全生产考核合格证书号：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29396D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 </w:t>
      </w:r>
      <w:r>
        <w:rPr>
          <w:rFonts w:hint="eastAsia" w:ascii="宋体" w:hAnsi="宋体" w:eastAsia="宋体" w:cs="宋体"/>
          <w:color w:val="auto"/>
          <w:kern w:val="2"/>
          <w:sz w:val="21"/>
          <w:szCs w:val="21"/>
          <w:highlight w:val="none"/>
          <w:lang w:val="en-US" w:eastAsia="zh-CN" w:bidi="ar"/>
        </w:rPr>
        <w:t>；</w:t>
      </w:r>
    </w:p>
    <w:p w14:paraId="63D2BA3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0A6716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0B195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承包人对项目负责人（项目经理）的授权范围如下：</w:t>
      </w:r>
      <w:r>
        <w:rPr>
          <w:rFonts w:hint="eastAsia" w:ascii="宋体" w:hAnsi="宋体" w:eastAsia="宋体" w:cs="宋体"/>
          <w:color w:val="auto"/>
          <w:kern w:val="2"/>
          <w:sz w:val="21"/>
          <w:szCs w:val="21"/>
          <w:highlight w:val="none"/>
          <w:u w:val="single"/>
          <w:lang w:val="en-US" w:eastAsia="zh-CN" w:bidi="ar"/>
        </w:rPr>
        <w:t xml:space="preserve">由承包人明确授权范围  </w:t>
      </w:r>
      <w:r>
        <w:rPr>
          <w:rFonts w:hint="eastAsia" w:ascii="宋体" w:hAnsi="宋体" w:eastAsia="宋体" w:cs="宋体"/>
          <w:color w:val="auto"/>
          <w:kern w:val="2"/>
          <w:sz w:val="21"/>
          <w:szCs w:val="21"/>
          <w:highlight w:val="none"/>
          <w:lang w:val="en-US" w:eastAsia="zh-CN" w:bidi="ar"/>
        </w:rPr>
        <w:t>。</w:t>
      </w:r>
    </w:p>
    <w:p w14:paraId="225AB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每月在施工现场的时间要求：</w:t>
      </w:r>
      <w:r>
        <w:rPr>
          <w:rFonts w:hint="eastAsia" w:ascii="宋体" w:hAnsi="宋体" w:eastAsia="宋体" w:cs="宋体"/>
          <w:color w:val="auto"/>
          <w:kern w:val="2"/>
          <w:sz w:val="21"/>
          <w:szCs w:val="21"/>
          <w:highlight w:val="none"/>
          <w:u w:val="single"/>
          <w:lang w:val="en-US" w:eastAsia="zh-CN" w:bidi="ar"/>
        </w:rPr>
        <w:t>项目经理每月在岗时间不得少于20天，施工现场其他管理人员每月在岗时间不得少于22天。</w:t>
      </w:r>
    </w:p>
    <w:p w14:paraId="51EBD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承包人未提交劳动合同，以及没有为建造师缴纳社会保险证明的违约责任：</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hint="eastAsia" w:ascii="宋体" w:hAnsi="宋体" w:eastAsia="宋体" w:cs="宋体"/>
          <w:color w:val="auto"/>
          <w:kern w:val="2"/>
          <w:sz w:val="21"/>
          <w:szCs w:val="21"/>
          <w:highlight w:val="none"/>
          <w:lang w:val="en-US" w:eastAsia="zh-CN" w:bidi="ar"/>
        </w:rPr>
        <w:t>。</w:t>
      </w:r>
    </w:p>
    <w:p w14:paraId="0CFB9F8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项目负责人</w:t>
      </w:r>
      <w:r>
        <w:rPr>
          <w:rFonts w:hint="eastAsia" w:ascii="宋体" w:hAnsi="宋体" w:eastAsia="宋体" w:cs="宋体"/>
          <w:color w:val="auto"/>
          <w:kern w:val="2"/>
          <w:sz w:val="21"/>
          <w:szCs w:val="21"/>
          <w:highlight w:val="none"/>
          <w:lang w:val="en-US" w:eastAsia="zh-CN" w:bidi="ar"/>
        </w:rPr>
        <w:t>（项目经理）</w:t>
      </w:r>
      <w:r>
        <w:rPr>
          <w:rFonts w:hint="eastAsia" w:ascii="宋体" w:hAnsi="宋体" w:eastAsia="宋体" w:cs="宋体"/>
          <w:color w:val="auto"/>
          <w:kern w:val="0"/>
          <w:sz w:val="21"/>
          <w:szCs w:val="21"/>
          <w:highlight w:val="none"/>
          <w:lang w:val="en-US" w:eastAsia="zh-CN" w:bidi="ar"/>
        </w:rPr>
        <w:t>未经批准，擅自离开施工现场的违约责任：</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4ABFFBF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3.2.3 承包人擅自更换项目负责人（项目经理）的违约责任：</w:t>
      </w:r>
      <w:r>
        <w:rPr>
          <w:rFonts w:hint="eastAsia" w:ascii="宋体" w:hAnsi="宋体" w:eastAsia="宋体" w:cs="宋体"/>
          <w:color w:val="auto"/>
          <w:kern w:val="2"/>
          <w:sz w:val="21"/>
          <w:szCs w:val="21"/>
          <w:highlight w:val="none"/>
          <w:u w:val="single"/>
          <w:lang w:val="en-US" w:eastAsia="zh-CN" w:bidi="ar"/>
        </w:rPr>
        <w:t>项目负责人变更必须经发包人批准，并满足《关于进一步加强建筑施工现场项目负责人变更行为管理的通知》及滁州市其他相关规定要求，除①项目经理因长期疾病、长期出国、辞职或者调离原工作企业不能履行职责（长期是指时间在3个月以上）；②项目经理因行政处罚、涉嫌犯罪或犯罪被羁押或判刑的；③项目经理无能力履行合同的责任和义务，建设单位要求变更的；④非因施工单位责任，合同签订之日起三个月不能开工，或开工后长期停工超合同竣工时间半年以上仍未完成主体工程的；⑤项目经理死亡的；⑥其他法定原因外。上述变更须提供相关证明，疾病须提供三甲及以上医院证明。出国、辞职等原因提出变更的，除需提供相关证明外，须缴纳10万元违约金；项目经理无能力履行合同的责任和义务，建设单位要求变更的，须缴纳20万元违约金，否则不得变更。变更后的项目经理（建造师）必须符合本项目招标文件和投标承诺配备的同等条件人员，并按照滁州市有关规定履行变更审批程序。</w:t>
      </w:r>
    </w:p>
    <w:p w14:paraId="1CDA1B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3.2.4 承包人无正当理由拒绝更换项目经理的违约责任：</w:t>
      </w:r>
      <w:r>
        <w:rPr>
          <w:rFonts w:hint="eastAsia" w:ascii="宋体" w:hAnsi="宋体" w:eastAsia="宋体" w:cs="宋体"/>
          <w:color w:val="auto"/>
          <w:kern w:val="2"/>
          <w:sz w:val="21"/>
          <w:szCs w:val="21"/>
          <w:highlight w:val="none"/>
          <w:u w:val="single"/>
          <w:lang w:val="en-US" w:eastAsia="zh-CN" w:bidi="ar"/>
        </w:rPr>
        <w:t>发包人将组织对项目经理进行业务能力考核，对未按投标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300AC73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 承包人人员</w:t>
      </w:r>
    </w:p>
    <w:p w14:paraId="17A0731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3.3.1 承包人提交项目管理机构及施工现场管理人员安排报告的期限：</w:t>
      </w:r>
      <w:r>
        <w:rPr>
          <w:rFonts w:hint="eastAsia" w:ascii="宋体" w:hAnsi="宋体" w:eastAsia="宋体" w:cs="宋体"/>
          <w:color w:val="auto"/>
          <w:kern w:val="2"/>
          <w:sz w:val="21"/>
          <w:szCs w:val="21"/>
          <w:highlight w:val="none"/>
          <w:u w:val="single"/>
          <w:lang w:val="en-US" w:eastAsia="zh-CN" w:bidi="ar"/>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193056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3.3.3 承包人无正当理由拒绝撤换主要施工管理人员的违约责任：</w:t>
      </w:r>
      <w:r>
        <w:rPr>
          <w:rFonts w:hint="eastAsia" w:ascii="宋体" w:hAnsi="宋体" w:eastAsia="宋体" w:cs="宋体"/>
          <w:color w:val="auto"/>
          <w:kern w:val="2"/>
          <w:sz w:val="21"/>
          <w:szCs w:val="21"/>
          <w:highlight w:val="none"/>
          <w:u w:val="single"/>
          <w:lang w:val="en-US" w:eastAsia="zh-CN" w:bidi="ar"/>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14:paraId="78834CE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3.3.4 承包人主要施工管理人员离开施工现场的批准要求：</w:t>
      </w:r>
      <w:r>
        <w:rPr>
          <w:rFonts w:hint="eastAsia" w:ascii="宋体" w:hAnsi="宋体" w:eastAsia="宋体" w:cs="宋体"/>
          <w:color w:val="auto"/>
          <w:kern w:val="2"/>
          <w:sz w:val="21"/>
          <w:szCs w:val="21"/>
          <w:highlight w:val="none"/>
          <w:u w:val="single"/>
          <w:lang w:val="en-US" w:eastAsia="zh-CN" w:bidi="ar"/>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p>
    <w:p w14:paraId="0833932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3.3.5承包人擅自更换主要施工管理人员的违约责任：按照</w:t>
      </w:r>
      <w:r>
        <w:rPr>
          <w:rFonts w:hint="eastAsia" w:ascii="宋体" w:hAnsi="宋体" w:eastAsia="宋体" w:cs="宋体"/>
          <w:color w:val="auto"/>
          <w:kern w:val="2"/>
          <w:sz w:val="21"/>
          <w:szCs w:val="21"/>
          <w:highlight w:val="none"/>
          <w:u w:val="single"/>
          <w:lang w:val="en-US" w:eastAsia="zh-CN" w:bidi="ar"/>
        </w:rPr>
        <w:t>未按规定在岗履责进行处罚。</w:t>
      </w:r>
    </w:p>
    <w:p w14:paraId="76BED3C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 分包</w:t>
      </w:r>
    </w:p>
    <w:p w14:paraId="69CEE1B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3.5.1 分包的一般约定</w:t>
      </w:r>
    </w:p>
    <w:p w14:paraId="2BB63E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禁止分包的工程包括：</w:t>
      </w:r>
      <w:r>
        <w:rPr>
          <w:rFonts w:hint="eastAsia" w:ascii="宋体" w:hAnsi="宋体" w:eastAsia="宋体" w:cs="宋体"/>
          <w:color w:val="auto"/>
          <w:kern w:val="2"/>
          <w:sz w:val="21"/>
          <w:szCs w:val="21"/>
          <w:highlight w:val="none"/>
          <w:u w:val="single"/>
          <w:lang w:val="en-US" w:eastAsia="zh-CN" w:bidi="ar"/>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2A2CD4E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主体结构、关键性工作的范围：</w:t>
      </w:r>
      <w:r>
        <w:rPr>
          <w:rFonts w:hint="eastAsia" w:ascii="宋体" w:hAnsi="宋体" w:eastAsia="宋体" w:cs="宋体"/>
          <w:color w:val="auto"/>
          <w:kern w:val="2"/>
          <w:sz w:val="21"/>
          <w:szCs w:val="21"/>
          <w:highlight w:val="none"/>
          <w:u w:val="single"/>
          <w:lang w:val="en-US" w:eastAsia="zh-CN" w:bidi="ar"/>
        </w:rPr>
        <w:t>房建、水利工程为主体结构；市政工程为道路基层、面层；桥梁为主体结构；园林景观工程为绿化采购、栽植、养护；等等</w:t>
      </w:r>
      <w:r>
        <w:rPr>
          <w:rFonts w:hint="eastAsia" w:ascii="宋体" w:hAnsi="宋体" w:eastAsia="宋体" w:cs="宋体"/>
          <w:color w:val="auto"/>
          <w:kern w:val="2"/>
          <w:sz w:val="21"/>
          <w:szCs w:val="21"/>
          <w:highlight w:val="none"/>
          <w:lang w:val="en-US" w:eastAsia="zh-CN" w:bidi="ar"/>
        </w:rPr>
        <w:t>。</w:t>
      </w:r>
    </w:p>
    <w:p w14:paraId="3AEA10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3.5.2分包的确定</w:t>
      </w:r>
    </w:p>
    <w:p w14:paraId="578DD8C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允许分包的专业工程包括：</w:t>
      </w:r>
      <w:r>
        <w:rPr>
          <w:rFonts w:hint="eastAsia" w:ascii="宋体" w:hAnsi="宋体" w:eastAsia="宋体" w:cs="宋体"/>
          <w:color w:val="auto"/>
          <w:kern w:val="2"/>
          <w:sz w:val="21"/>
          <w:szCs w:val="21"/>
          <w:highlight w:val="none"/>
          <w:u w:val="single"/>
          <w:lang w:val="en-US" w:eastAsia="zh-CN" w:bidi="ar"/>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4BE7D5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其他关于分包的约定：</w:t>
      </w:r>
      <w:r>
        <w:rPr>
          <w:rFonts w:hint="eastAsia" w:ascii="宋体" w:hAnsi="宋体" w:eastAsia="宋体" w:cs="宋体"/>
          <w:color w:val="auto"/>
          <w:kern w:val="2"/>
          <w:sz w:val="21"/>
          <w:szCs w:val="21"/>
          <w:highlight w:val="none"/>
          <w:u w:val="single"/>
          <w:lang w:val="en-US" w:eastAsia="zh-CN" w:bidi="ar"/>
        </w:rPr>
        <w:t xml:space="preserve"> 承包人不得以劳务分包的名义转包或违法分包工程。</w:t>
      </w:r>
      <w:r>
        <w:rPr>
          <w:rFonts w:hint="eastAsia" w:ascii="宋体" w:hAnsi="宋体" w:eastAsia="宋体" w:cs="宋体"/>
          <w:b/>
          <w:bCs/>
          <w:color w:val="auto"/>
          <w:kern w:val="2"/>
          <w:sz w:val="21"/>
          <w:szCs w:val="21"/>
          <w:highlight w:val="none"/>
          <w:u w:val="single"/>
          <w:lang w:val="en-US" w:eastAsia="zh-CN" w:bidi="ar"/>
        </w:rPr>
        <w:t>发包人一经发现承包人转包、挂靠等行为的，发包人立即解除合同，清退出场。</w:t>
      </w:r>
    </w:p>
    <w:p w14:paraId="2F953F3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3.5.4 分包合同价款</w:t>
      </w:r>
    </w:p>
    <w:p w14:paraId="09EA0BB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关于分包合同价款支付的约定：</w:t>
      </w:r>
      <w:r>
        <w:rPr>
          <w:rFonts w:hint="eastAsia" w:ascii="宋体" w:hAnsi="宋体" w:eastAsia="宋体" w:cs="宋体"/>
          <w:color w:val="auto"/>
          <w:kern w:val="2"/>
          <w:sz w:val="21"/>
          <w:szCs w:val="21"/>
          <w:highlight w:val="none"/>
          <w:u w:val="single"/>
          <w:lang w:val="en-US" w:eastAsia="zh-CN" w:bidi="ar"/>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eastAsia="宋体" w:cs="宋体"/>
          <w:color w:val="auto"/>
          <w:kern w:val="2"/>
          <w:sz w:val="21"/>
          <w:szCs w:val="21"/>
          <w:highlight w:val="none"/>
          <w:lang w:val="en-US" w:eastAsia="zh-CN" w:bidi="ar"/>
        </w:rPr>
        <w:t>。</w:t>
      </w:r>
    </w:p>
    <w:p w14:paraId="4195CD0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3.6 工程照管与成品、半成品保护</w:t>
      </w:r>
    </w:p>
    <w:p w14:paraId="4B305EE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14:paraId="356E4B36">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3.7 履约担保</w:t>
      </w:r>
    </w:p>
    <w:p w14:paraId="6CEA367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承包人是否提供履约担保：</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w:t>
      </w:r>
    </w:p>
    <w:p w14:paraId="3602E8CC">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承包人提供履约担保的形式、金额及期限的：支持银行转账、银行电汇、银行保函、担保机构担保、保证保险使用</w:t>
      </w:r>
    </w:p>
    <w:p w14:paraId="6520A50E">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注：履约保证金的金额：中标合同金额×2％。</w:t>
      </w:r>
    </w:p>
    <w:p w14:paraId="246DAC63">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履约保证金提交期限的要求：签订合同前。 </w:t>
      </w:r>
    </w:p>
    <w:p w14:paraId="700B6F85">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履约保证金退还时限：履约保证金有效期满7日内。</w:t>
      </w:r>
    </w:p>
    <w:p w14:paraId="16E2E591">
      <w:pPr>
        <w:keepNext w:val="0"/>
        <w:keepLines w:val="0"/>
        <w:widowControl w:val="0"/>
        <w:suppressLineNumbers w:val="0"/>
        <w:tabs>
          <w:tab w:val="left" w:pos="77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 监理人</w:t>
      </w:r>
    </w:p>
    <w:p w14:paraId="1FA397E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4.1监理人的一般规定</w:t>
      </w:r>
    </w:p>
    <w:p w14:paraId="21EA9C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关于监理人的监理内容：</w:t>
      </w:r>
      <w:r>
        <w:rPr>
          <w:rFonts w:hint="eastAsia" w:ascii="宋体" w:hAnsi="宋体" w:eastAsia="宋体" w:cs="宋体"/>
          <w:color w:val="auto"/>
          <w:kern w:val="2"/>
          <w:sz w:val="21"/>
          <w:szCs w:val="21"/>
          <w:highlight w:val="none"/>
          <w:u w:val="single"/>
          <w:lang w:val="en-US" w:eastAsia="zh-CN" w:bidi="ar"/>
        </w:rPr>
        <w:t xml:space="preserve">  详见监理合同 </w:t>
      </w:r>
      <w:r>
        <w:rPr>
          <w:rFonts w:hint="eastAsia" w:ascii="宋体" w:hAnsi="宋体" w:eastAsia="宋体" w:cs="宋体"/>
          <w:color w:val="auto"/>
          <w:kern w:val="2"/>
          <w:sz w:val="21"/>
          <w:szCs w:val="21"/>
          <w:highlight w:val="none"/>
          <w:lang w:val="en-US" w:eastAsia="zh-CN" w:bidi="ar"/>
        </w:rPr>
        <w:t>。</w:t>
      </w:r>
    </w:p>
    <w:p w14:paraId="55F1D9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关于监理人的监理权限：</w:t>
      </w:r>
      <w:r>
        <w:rPr>
          <w:rFonts w:hint="eastAsia" w:ascii="宋体" w:hAnsi="宋体" w:eastAsia="宋体" w:cs="宋体"/>
          <w:color w:val="auto"/>
          <w:kern w:val="2"/>
          <w:sz w:val="21"/>
          <w:szCs w:val="21"/>
          <w:highlight w:val="none"/>
          <w:u w:val="single"/>
          <w:lang w:val="en-US" w:eastAsia="zh-CN" w:bidi="ar"/>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hAnsi="宋体" w:eastAsia="宋体" w:cs="宋体"/>
          <w:color w:val="auto"/>
          <w:kern w:val="2"/>
          <w:sz w:val="21"/>
          <w:szCs w:val="21"/>
          <w:highlight w:val="none"/>
          <w:lang w:val="en-US" w:eastAsia="zh-CN" w:bidi="ar"/>
        </w:rPr>
        <w:t xml:space="preserve">。 </w:t>
      </w:r>
    </w:p>
    <w:p w14:paraId="452C09B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关于监理人在施工现场的办公场所、生活场所的提供和费用承担的约定：</w:t>
      </w:r>
      <w:r>
        <w:rPr>
          <w:rFonts w:hint="eastAsia" w:ascii="宋体" w:hAnsi="宋体" w:eastAsia="宋体" w:cs="宋体"/>
          <w:color w:val="auto"/>
          <w:kern w:val="2"/>
          <w:sz w:val="21"/>
          <w:szCs w:val="21"/>
          <w:highlight w:val="none"/>
          <w:u w:val="single"/>
          <w:lang w:val="en-US" w:eastAsia="zh-CN" w:bidi="ar"/>
        </w:rPr>
        <w:t>办公场所由承包人提供和承担，生活场所由监理人自行解决和承担 。</w:t>
      </w:r>
    </w:p>
    <w:p w14:paraId="193F19B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4.2 监理人员</w:t>
      </w:r>
    </w:p>
    <w:p w14:paraId="05527C2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总监理工程师：</w:t>
      </w:r>
    </w:p>
    <w:p w14:paraId="12506DD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姓    名：</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DA0B31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    务：</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6A6237E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监理工程师执业资格证书号：</w:t>
      </w:r>
      <w:r>
        <w:rPr>
          <w:rFonts w:hint="eastAsia" w:ascii="宋体" w:hAnsi="宋体" w:eastAsia="宋体" w:cs="宋体"/>
          <w:color w:val="auto"/>
          <w:kern w:val="2"/>
          <w:sz w:val="21"/>
          <w:szCs w:val="21"/>
          <w:highlight w:val="none"/>
          <w:u w:val="single"/>
          <w:lang w:val="en-US" w:eastAsia="zh-CN" w:bidi="ar"/>
        </w:rPr>
        <w:t> </w:t>
      </w:r>
      <w:r>
        <w:rPr>
          <w:rFonts w:hint="eastAsia" w:ascii="宋体" w:hAnsi="宋体" w:eastAsia="宋体" w:cs="宋体"/>
          <w:color w:val="auto"/>
          <w:kern w:val="2"/>
          <w:sz w:val="21"/>
          <w:szCs w:val="21"/>
          <w:highlight w:val="none"/>
          <w:lang w:val="en-US" w:eastAsia="zh-CN" w:bidi="ar"/>
        </w:rPr>
        <w:t>；</w:t>
      </w:r>
    </w:p>
    <w:p w14:paraId="1377B7E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联系电话：</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772FC7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电子信箱：</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2779818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通信地址：</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0A82DEE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关于监理人的其他约定：</w:t>
      </w:r>
      <w:r>
        <w:rPr>
          <w:rFonts w:hint="eastAsia" w:ascii="宋体" w:hAnsi="宋体" w:eastAsia="宋体" w:cs="宋体"/>
          <w:color w:val="auto"/>
          <w:kern w:val="2"/>
          <w:sz w:val="21"/>
          <w:szCs w:val="21"/>
          <w:highlight w:val="none"/>
          <w:u w:val="single"/>
          <w:lang w:val="en-US" w:eastAsia="zh-CN" w:bidi="ar"/>
        </w:rPr>
        <w:t>   </w:t>
      </w:r>
      <w:r>
        <w:rPr>
          <w:rFonts w:hint="eastAsia" w:ascii="宋体" w:hAnsi="宋体" w:eastAsia="宋体" w:cs="宋体"/>
          <w:color w:val="auto"/>
          <w:kern w:val="2"/>
          <w:sz w:val="21"/>
          <w:szCs w:val="21"/>
          <w:highlight w:val="none"/>
          <w:lang w:val="en-US" w:eastAsia="zh-CN" w:bidi="ar"/>
        </w:rPr>
        <w:t>。</w:t>
      </w:r>
    </w:p>
    <w:p w14:paraId="718F6E9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4.4 商定或确定</w:t>
      </w:r>
    </w:p>
    <w:p w14:paraId="2072696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在发包人和承包人不能通过协商达成一致意见时，发包人授权监理人对以下事项进行确定：</w:t>
      </w:r>
    </w:p>
    <w:p w14:paraId="34951BE6">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2"/>
          <w:sz w:val="21"/>
          <w:szCs w:val="21"/>
          <w:highlight w:val="none"/>
          <w:u w:val="single"/>
          <w:lang w:val="en-US" w:eastAsia="zh-CN" w:bidi="ar"/>
        </w:rPr>
        <w:t xml:space="preserve">    施工方案     </w:t>
      </w:r>
      <w:r>
        <w:rPr>
          <w:rFonts w:hint="eastAsia" w:ascii="宋体" w:hAnsi="宋体" w:eastAsia="宋体" w:cs="宋体"/>
          <w:color w:val="auto"/>
          <w:kern w:val="2"/>
          <w:sz w:val="21"/>
          <w:szCs w:val="21"/>
          <w:highlight w:val="none"/>
          <w:lang w:val="en-US" w:eastAsia="zh-CN" w:bidi="ar"/>
        </w:rPr>
        <w:t>；</w:t>
      </w:r>
    </w:p>
    <w:p w14:paraId="2C823B1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2"/>
          <w:sz w:val="21"/>
          <w:szCs w:val="21"/>
          <w:highlight w:val="none"/>
          <w:u w:val="single"/>
          <w:lang w:val="en-US" w:eastAsia="zh-CN" w:bidi="ar"/>
        </w:rPr>
        <w:t xml:space="preserve">   索赔事项等    </w:t>
      </w:r>
      <w:r>
        <w:rPr>
          <w:rFonts w:hint="eastAsia" w:ascii="宋体" w:hAnsi="宋体" w:eastAsia="宋体" w:cs="宋体"/>
          <w:color w:val="auto"/>
          <w:kern w:val="2"/>
          <w:sz w:val="21"/>
          <w:szCs w:val="21"/>
          <w:highlight w:val="none"/>
          <w:lang w:val="en-US" w:eastAsia="zh-CN" w:bidi="ar"/>
        </w:rPr>
        <w:t>；</w:t>
      </w:r>
    </w:p>
    <w:p w14:paraId="6123DC6B">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5. 工程质量</w:t>
      </w:r>
    </w:p>
    <w:p w14:paraId="638004F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 质量要求</w:t>
      </w:r>
    </w:p>
    <w:p w14:paraId="580797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5.1.1 特殊质量标准和要求：</w:t>
      </w:r>
      <w:r>
        <w:rPr>
          <w:rFonts w:hint="eastAsia" w:ascii="宋体" w:hAnsi="宋体" w:eastAsia="宋体" w:cs="宋体"/>
          <w:color w:val="auto"/>
          <w:kern w:val="2"/>
          <w:sz w:val="21"/>
          <w:szCs w:val="21"/>
          <w:highlight w:val="none"/>
          <w:u w:val="single"/>
          <w:lang w:val="en-US" w:eastAsia="zh-CN" w:bidi="ar"/>
        </w:rPr>
        <w:t xml:space="preserve"> 工程质量必须达到国家工程施工质量验收 合格 标准。 </w:t>
      </w:r>
    </w:p>
    <w:p w14:paraId="067D079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关于工程奖项的约定：</w:t>
      </w:r>
      <w:r>
        <w:rPr>
          <w:rFonts w:hint="eastAsia" w:ascii="宋体" w:hAnsi="宋体" w:eastAsia="宋体" w:cs="宋体"/>
          <w:color w:val="auto"/>
          <w:kern w:val="2"/>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4C1B259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 隐蔽工程检查</w:t>
      </w:r>
    </w:p>
    <w:p w14:paraId="37271F1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5.3.1隐蔽工程隐蔽前，承包人应当对工程隐蔽部位进行自检，并经自检确认是否具备覆盖条件。</w:t>
      </w:r>
    </w:p>
    <w:p w14:paraId="5DF219E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5.3.2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w:t>
      </w:r>
    </w:p>
    <w:p w14:paraId="4B305A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87D858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47A3157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监理人不能按时进行检查时，应提前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0546B2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6D9D091A">
      <w:pPr>
        <w:pStyle w:val="9"/>
        <w:widowControl/>
        <w:tabs>
          <w:tab w:val="left" w:pos="3315"/>
        </w:tabs>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6. 安全文明施工与环境保护</w:t>
      </w:r>
      <w:r>
        <w:rPr>
          <w:rFonts w:hint="eastAsia" w:ascii="宋体" w:hAnsi="Arial" w:eastAsia="宋体" w:cs="宋体"/>
          <w:b w:val="0"/>
          <w:bCs/>
          <w:color w:val="auto"/>
          <w:kern w:val="2"/>
          <w:sz w:val="21"/>
          <w:szCs w:val="21"/>
          <w:highlight w:val="none"/>
        </w:rPr>
        <w:tab/>
      </w:r>
    </w:p>
    <w:p w14:paraId="2AC2A72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6.1安全文明施工</w:t>
      </w:r>
    </w:p>
    <w:p w14:paraId="0A8E29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6.1.1 项目安全生产的达标目标及相应事项的约定</w:t>
      </w:r>
      <w:r>
        <w:rPr>
          <w:rFonts w:hint="eastAsia" w:ascii="宋体" w:hAnsi="宋体" w:eastAsia="宋体" w:cs="宋体"/>
          <w:color w:val="auto"/>
          <w:kern w:val="2"/>
          <w:sz w:val="21"/>
          <w:szCs w:val="21"/>
          <w:highlight w:val="none"/>
          <w:u w:val="single"/>
          <w:lang w:val="en-US" w:eastAsia="zh-CN" w:bidi="ar"/>
        </w:rPr>
        <w:t xml:space="preserve">  /    。</w:t>
      </w:r>
    </w:p>
    <w:p w14:paraId="5380A9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6.1.4 关于治安保卫的特别约定：</w:t>
      </w:r>
      <w:r>
        <w:rPr>
          <w:rFonts w:hint="eastAsia" w:ascii="宋体" w:hAnsi="宋体" w:eastAsia="宋体" w:cs="宋体"/>
          <w:color w:val="auto"/>
          <w:kern w:val="2"/>
          <w:sz w:val="21"/>
          <w:szCs w:val="21"/>
          <w:highlight w:val="none"/>
          <w:u w:val="single"/>
          <w:lang w:val="en-US" w:eastAsia="zh-CN" w:bidi="ar"/>
        </w:rPr>
        <w:t xml:space="preserve"> 由承包人负责。</w:t>
      </w:r>
    </w:p>
    <w:p w14:paraId="012C5AD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关于编制施工场地治安管理计划的约定：</w:t>
      </w:r>
      <w:r>
        <w:rPr>
          <w:rFonts w:hint="eastAsia" w:ascii="宋体" w:hAnsi="宋体" w:eastAsia="宋体" w:cs="宋体"/>
          <w:color w:val="auto"/>
          <w:kern w:val="2"/>
          <w:sz w:val="21"/>
          <w:szCs w:val="21"/>
          <w:highlight w:val="none"/>
          <w:u w:val="single"/>
          <w:lang w:val="en-US" w:eastAsia="zh-CN" w:bidi="ar"/>
        </w:rPr>
        <w:t xml:space="preserve">   由承包人负责       </w:t>
      </w:r>
      <w:r>
        <w:rPr>
          <w:rFonts w:hint="eastAsia" w:ascii="宋体" w:hAnsi="宋体" w:eastAsia="宋体" w:cs="宋体"/>
          <w:color w:val="auto"/>
          <w:kern w:val="2"/>
          <w:sz w:val="21"/>
          <w:szCs w:val="21"/>
          <w:highlight w:val="none"/>
          <w:lang w:val="en-US" w:eastAsia="zh-CN" w:bidi="ar"/>
        </w:rPr>
        <w:t>。</w:t>
      </w:r>
    </w:p>
    <w:p w14:paraId="1E2A1D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6.1.5 文明施工</w:t>
      </w:r>
    </w:p>
    <w:p w14:paraId="75542C5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合同当事人对文明施工的要求：</w:t>
      </w:r>
      <w:r>
        <w:rPr>
          <w:rFonts w:hint="eastAsia" w:ascii="宋体" w:hAnsi="宋体" w:eastAsia="宋体" w:cs="宋体"/>
          <w:color w:val="auto"/>
          <w:kern w:val="2"/>
          <w:sz w:val="21"/>
          <w:szCs w:val="21"/>
          <w:highlight w:val="none"/>
          <w:u w:val="single"/>
          <w:lang w:val="en-US" w:eastAsia="zh-CN" w:bidi="ar"/>
        </w:rPr>
        <w:t xml:space="preserve"> 承包人必须根据滁州当地政府管理机构及发包人的要求进行安全文明施工并交纳有关费用  </w:t>
      </w:r>
      <w:r>
        <w:rPr>
          <w:rFonts w:hint="eastAsia" w:ascii="宋体" w:hAnsi="宋体" w:eastAsia="宋体" w:cs="宋体"/>
          <w:color w:val="auto"/>
          <w:kern w:val="2"/>
          <w:sz w:val="21"/>
          <w:szCs w:val="21"/>
          <w:highlight w:val="none"/>
          <w:lang w:val="en-US" w:eastAsia="zh-CN" w:bidi="ar"/>
        </w:rPr>
        <w:t>。</w:t>
      </w:r>
    </w:p>
    <w:p w14:paraId="05AB618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6.1.6 关于安全文明施工费支付比例和支付期限的约定：</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4380C6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6.1.7承包人可以按照《安徽省建筑施工安全质量标准化示范工地申报考核办法》的通知要求申报省级“安全质量标准化示范工地”，费用自理。奖励资金不另行支付，奖励费用包含在承包人的投标报价中。</w:t>
      </w:r>
    </w:p>
    <w:p w14:paraId="5831AB3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6.1.9发生安全事故，承包人应按照有关规定立即上报有关部门并通知工程师，同时按照政府有关要求处理，由事故责任方承担发生的费用。发包人根据事故的分类对承包人进行处以违约：（1）特别重大事故，发包人对承包人处以50万元的人民币违约金；（2）重大事故，发包人对承包人处以30万元的人民币违约金；（3）较大事故，发包人对承包人处以20万元的人民币违约金；（4）一般事故，发包人对承包人处以10万元的人民币违约金；并承担因施工安全事故给本工程建设单位、项目管理单位和监理人带来的经济损失。</w:t>
      </w:r>
    </w:p>
    <w:p w14:paraId="264E4C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6.1.10发生质量事故，承包人应按照有关规定立即上报有关部门并通知工程师，同时按照政府有关要求处理，由事故责任方承担发生的费用。发包人根据事故的分类对承包人进行处以违约：（1）特别重大质量事故，发包人对承包人处以50万元的人民币违约金；（2）重大质量事故，发包人对承包人处以30万元的人民币违约金；（3）严重质量事故，发包人对承包人处以20万元的人民币违约金；（4）一般质量事故，发包人对承包人处以10万元的人民币违约金；并承担因施工质量事故给本工程建设单位、项目管理单位和监理人带来的经济损失。</w:t>
      </w:r>
    </w:p>
    <w:p w14:paraId="5A4641F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bCs/>
          <w:color w:val="auto"/>
          <w:kern w:val="2"/>
          <w:sz w:val="21"/>
          <w:szCs w:val="21"/>
          <w:highlight w:val="none"/>
          <w:lang w:val="en-US" w:eastAsia="zh-CN" w:bidi="ar"/>
        </w:rPr>
        <w:t>6.1.11承包方自行解决进场道路绿化开口协调及费用，所需费用已包含在投标综合单价中，不另计。</w:t>
      </w:r>
    </w:p>
    <w:p w14:paraId="60BB2EE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7. 工期和进度</w:t>
      </w:r>
    </w:p>
    <w:p w14:paraId="26B60262">
      <w:pPr>
        <w:keepNext w:val="0"/>
        <w:keepLines w:val="0"/>
        <w:widowControl w:val="0"/>
        <w:suppressLineNumbers w:val="0"/>
        <w:tabs>
          <w:tab w:val="left" w:pos="3240"/>
        </w:tabs>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 施工组织设计</w:t>
      </w:r>
      <w:r>
        <w:rPr>
          <w:rFonts w:hint="eastAsia" w:ascii="宋体" w:hAnsi="宋体" w:eastAsia="宋体" w:cs="宋体"/>
          <w:color w:val="auto"/>
          <w:kern w:val="2"/>
          <w:sz w:val="21"/>
          <w:szCs w:val="21"/>
          <w:highlight w:val="none"/>
          <w:lang w:val="en-US" w:eastAsia="zh-CN" w:bidi="ar"/>
        </w:rPr>
        <w:tab/>
      </w:r>
    </w:p>
    <w:p w14:paraId="24E3A88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7.1.1 （9）合</w:t>
      </w:r>
      <w:r>
        <w:rPr>
          <w:rFonts w:hint="eastAsia" w:ascii="宋体" w:hAnsi="宋体" w:eastAsia="宋体" w:cs="宋体"/>
          <w:color w:val="auto"/>
          <w:kern w:val="0"/>
          <w:sz w:val="21"/>
          <w:szCs w:val="21"/>
          <w:highlight w:val="none"/>
          <w:lang w:val="en-US" w:eastAsia="zh-CN" w:bidi="ar"/>
        </w:rPr>
        <w:t>同当事人约定的施工组织设计应包括的其他内容：</w:t>
      </w:r>
      <w:r>
        <w:rPr>
          <w:rFonts w:hint="eastAsia" w:ascii="宋体" w:hAnsi="宋体" w:eastAsia="宋体" w:cs="宋体"/>
          <w:color w:val="auto"/>
          <w:kern w:val="2"/>
          <w:sz w:val="21"/>
          <w:szCs w:val="21"/>
          <w:highlight w:val="none"/>
          <w:u w:val="single"/>
          <w:lang w:val="en-US" w:eastAsia="zh-CN" w:bidi="ar"/>
        </w:rPr>
        <w:t xml:space="preserve">  本工程需按照总进度计划编制每月施工进度计划，经监理、发包人审批后作为进度考核和进度款支付的依据  </w:t>
      </w:r>
      <w:r>
        <w:rPr>
          <w:rFonts w:hint="eastAsia" w:ascii="宋体" w:hAnsi="宋体" w:eastAsia="宋体" w:cs="宋体"/>
          <w:color w:val="auto"/>
          <w:kern w:val="2"/>
          <w:sz w:val="21"/>
          <w:szCs w:val="21"/>
          <w:highlight w:val="none"/>
          <w:lang w:val="en-US" w:eastAsia="zh-CN" w:bidi="ar"/>
        </w:rPr>
        <w:t>。</w:t>
      </w:r>
    </w:p>
    <w:p w14:paraId="535A8F3E">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C13FD9F">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eastAsia" w:ascii="宋体" w:hAnsi="宋体" w:eastAsia="宋体" w:cs="宋体"/>
          <w:color w:val="auto"/>
          <w:kern w:val="2"/>
          <w:sz w:val="21"/>
          <w:szCs w:val="21"/>
          <w:highlight w:val="none"/>
          <w:u w:val="single"/>
          <w:lang w:val="en-US" w:eastAsia="zh-CN" w:bidi="ar"/>
        </w:rPr>
        <w:t xml:space="preserve">图纸会审及设计交底后一周内提供标后实施性施工组织设计 </w:t>
      </w:r>
      <w:r>
        <w:rPr>
          <w:rFonts w:hint="eastAsia" w:ascii="宋体" w:hAnsi="宋体" w:eastAsia="宋体" w:cs="宋体"/>
          <w:color w:val="auto"/>
          <w:kern w:val="2"/>
          <w:sz w:val="21"/>
          <w:szCs w:val="21"/>
          <w:highlight w:val="none"/>
          <w:lang w:val="en-US" w:eastAsia="zh-CN" w:bidi="ar"/>
        </w:rPr>
        <w:t>。</w:t>
      </w:r>
    </w:p>
    <w:p w14:paraId="136EF90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发包人和监理人在收到详细的施工组织设计后确认或提出修改意见的期限：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6D2C7A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 施工进度计划</w:t>
      </w:r>
    </w:p>
    <w:p w14:paraId="4EDBBF2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7.2.2 施工进度计划的修订</w:t>
      </w:r>
    </w:p>
    <w:p w14:paraId="43F11D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发包人和监理人在收到修订的施工进度计划后确认或提出修改意见的期限：</w:t>
      </w:r>
      <w:r>
        <w:rPr>
          <w:rFonts w:hint="eastAsia" w:ascii="宋体" w:hAnsi="宋体" w:eastAsia="宋体" w:cs="宋体"/>
          <w:color w:val="auto"/>
          <w:kern w:val="2"/>
          <w:sz w:val="21"/>
          <w:szCs w:val="21"/>
          <w:highlight w:val="none"/>
          <w:u w:val="single"/>
          <w:lang w:val="en-US" w:eastAsia="zh-CN" w:bidi="ar"/>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503705A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 开工</w:t>
      </w:r>
    </w:p>
    <w:p w14:paraId="36C79B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7.3.1 开工准备</w:t>
      </w:r>
    </w:p>
    <w:p w14:paraId="2DD25D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关于承包人提交</w:t>
      </w:r>
      <w:r>
        <w:rPr>
          <w:rFonts w:hint="eastAsia" w:ascii="宋体" w:hAnsi="宋体" w:eastAsia="宋体" w:cs="宋体"/>
          <w:color w:val="auto"/>
          <w:kern w:val="0"/>
          <w:sz w:val="21"/>
          <w:szCs w:val="21"/>
          <w:highlight w:val="none"/>
          <w:lang w:val="en-US" w:eastAsia="zh-CN" w:bidi="ar"/>
        </w:rPr>
        <w:t>工程开工报审表的期限：</w:t>
      </w:r>
      <w:r>
        <w:rPr>
          <w:rFonts w:hint="eastAsia" w:ascii="宋体" w:hAnsi="宋体" w:eastAsia="宋体" w:cs="宋体"/>
          <w:color w:val="auto"/>
          <w:kern w:val="2"/>
          <w:sz w:val="21"/>
          <w:szCs w:val="21"/>
          <w:highlight w:val="none"/>
          <w:u w:val="single"/>
          <w:lang w:val="en-US" w:eastAsia="zh-CN" w:bidi="ar"/>
        </w:rPr>
        <w:t xml:space="preserve"> 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7975E8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关于承包人应完成的其他开工准备工作及期限：</w:t>
      </w:r>
      <w:r>
        <w:rPr>
          <w:rFonts w:hint="eastAsia" w:ascii="宋体" w:hAnsi="宋体" w:eastAsia="宋体" w:cs="宋体"/>
          <w:color w:val="auto"/>
          <w:kern w:val="2"/>
          <w:sz w:val="21"/>
          <w:szCs w:val="21"/>
          <w:highlight w:val="none"/>
          <w:u w:val="single"/>
          <w:lang w:val="en-US" w:eastAsia="zh-CN" w:bidi="ar"/>
        </w:rPr>
        <w:t>合同当事人应按约定完成开工准备工作。</w:t>
      </w:r>
    </w:p>
    <w:p w14:paraId="437D683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7.3.2开工通知</w:t>
      </w:r>
    </w:p>
    <w:p w14:paraId="4DCA42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因发包人原因造成监理人未能在计划开工日期之日起</w:t>
      </w:r>
      <w:r>
        <w:rPr>
          <w:rFonts w:hint="eastAsia" w:ascii="宋体" w:hAnsi="宋体" w:eastAsia="宋体" w:cs="宋体"/>
          <w:color w:val="auto"/>
          <w:kern w:val="2"/>
          <w:sz w:val="21"/>
          <w:szCs w:val="21"/>
          <w:highlight w:val="none"/>
          <w:u w:val="single"/>
          <w:lang w:val="en-US" w:eastAsia="zh-CN" w:bidi="ar"/>
        </w:rPr>
        <w:t xml:space="preserve">  90  </w:t>
      </w:r>
      <w:r>
        <w:rPr>
          <w:rFonts w:hint="eastAsia" w:ascii="宋体" w:hAnsi="宋体" w:eastAsia="宋体" w:cs="宋体"/>
          <w:color w:val="auto"/>
          <w:kern w:val="2"/>
          <w:sz w:val="21"/>
          <w:szCs w:val="21"/>
          <w:highlight w:val="none"/>
          <w:lang w:val="en-US" w:eastAsia="zh-CN" w:bidi="ar"/>
        </w:rPr>
        <w:t>天内发出开工通知的，承包人有权提出价格调整要求，或者解除合同。</w:t>
      </w:r>
    </w:p>
    <w:p w14:paraId="0C4E5C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 测量放线</w:t>
      </w:r>
    </w:p>
    <w:p w14:paraId="3ED9CE0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7.4.1发包人通过监理人向承包人提供测量基准点、基准线和水准点及其书面资料的期限：</w:t>
      </w:r>
      <w:r>
        <w:rPr>
          <w:rFonts w:hint="eastAsia" w:ascii="宋体" w:hAnsi="宋体" w:eastAsia="宋体" w:cs="宋体"/>
          <w:color w:val="auto"/>
          <w:kern w:val="2"/>
          <w:sz w:val="21"/>
          <w:szCs w:val="21"/>
          <w:highlight w:val="none"/>
          <w:u w:val="single"/>
          <w:lang w:val="en-US" w:eastAsia="zh-CN" w:bidi="ar"/>
        </w:rPr>
        <w:t xml:space="preserve"> 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CA3AB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 工期延误</w:t>
      </w:r>
    </w:p>
    <w:p w14:paraId="34D6304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7.5.1 因发包人原因导致工期延误</w:t>
      </w:r>
    </w:p>
    <w:p w14:paraId="73DBED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（7）因发包人原因导致工期延误的其他情形：</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 xml:space="preserve">        </w:t>
      </w:r>
    </w:p>
    <w:p w14:paraId="21230DE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7.5.2 因承包人原因导致工期延误</w:t>
      </w:r>
    </w:p>
    <w:p w14:paraId="15D353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因承包人原因造成工期延误，逾期竣工违约金的计算方法为：</w:t>
      </w:r>
      <w:r>
        <w:rPr>
          <w:rFonts w:hint="eastAsia" w:ascii="宋体" w:hAnsi="宋体" w:eastAsia="宋体" w:cs="宋体"/>
          <w:color w:val="auto"/>
          <w:kern w:val="2"/>
          <w:sz w:val="21"/>
          <w:szCs w:val="21"/>
          <w:highlight w:val="none"/>
          <w:u w:val="single"/>
          <w:lang w:val="en-US" w:eastAsia="zh-CN" w:bidi="ar"/>
        </w:rPr>
        <w:t xml:space="preserve">  因承包方原因造成的工期延误，每推迟一天，按3000元处以违约金；月工程量未完成的当期不得请款，当月未完成的工程量纳入下月一并完成，完不成的仍不予请款，依此类推。连续两个月工程量未完成的立即限制承包人一年内不得参与发包人项目投标。</w:t>
      </w:r>
    </w:p>
    <w:p w14:paraId="6F2FB5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因承包人原因造成工期延误，逾期竣工违约金的上限：</w:t>
      </w:r>
      <w:r>
        <w:rPr>
          <w:rFonts w:hint="eastAsia" w:ascii="宋体" w:hAnsi="宋体" w:eastAsia="宋体" w:cs="宋体"/>
          <w:color w:val="auto"/>
          <w:kern w:val="2"/>
          <w:sz w:val="21"/>
          <w:szCs w:val="21"/>
          <w:highlight w:val="none"/>
          <w:u w:val="single"/>
          <w:lang w:val="en-US" w:eastAsia="zh-CN" w:bidi="ar"/>
        </w:rPr>
        <w:t xml:space="preserve"> 全额履约保证金 </w:t>
      </w:r>
      <w:r>
        <w:rPr>
          <w:rFonts w:hint="eastAsia" w:ascii="宋体" w:hAnsi="宋体" w:eastAsia="宋体" w:cs="宋体"/>
          <w:color w:val="auto"/>
          <w:kern w:val="2"/>
          <w:sz w:val="21"/>
          <w:szCs w:val="21"/>
          <w:highlight w:val="none"/>
          <w:lang w:val="en-US" w:eastAsia="zh-CN" w:bidi="ar"/>
        </w:rPr>
        <w:t>。</w:t>
      </w:r>
    </w:p>
    <w:p w14:paraId="191AFF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业主单位根据拖延工期的严重程度采用以下方法处理:</w:t>
      </w:r>
    </w:p>
    <w:p w14:paraId="67F52C7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（1）</w:t>
      </w:r>
      <w:r>
        <w:rPr>
          <w:rFonts w:hint="eastAsia" w:ascii="宋体" w:hAnsi="宋体" w:eastAsia="宋体" w:cs="宋体"/>
          <w:bCs/>
          <w:color w:val="auto"/>
          <w:kern w:val="2"/>
          <w:sz w:val="21"/>
          <w:szCs w:val="21"/>
          <w:highlight w:val="none"/>
          <w:u w:val="single"/>
          <w:lang w:val="en-US" w:eastAsia="zh-CN" w:bidi="ar"/>
        </w:rPr>
        <w:t>督促承包人采取有效的赶工措施（费用自理）；</w:t>
      </w:r>
    </w:p>
    <w:p w14:paraId="62665CC6">
      <w:pPr>
        <w:keepNext w:val="0"/>
        <w:keepLines w:val="0"/>
        <w:widowControl w:val="0"/>
        <w:suppressLineNumbers w:val="0"/>
        <w:snapToGrid w:val="0"/>
        <w:spacing w:before="0" w:beforeAutospacing="0" w:after="0" w:afterAutospacing="0" w:line="400" w:lineRule="exact"/>
        <w:ind w:left="0" w:right="-334" w:rightChars="-159"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position w:val="6"/>
          <w:sz w:val="21"/>
          <w:szCs w:val="21"/>
          <w:highlight w:val="none"/>
          <w:u w:val="single"/>
          <w:lang w:val="en-US" w:eastAsia="zh-CN" w:bidi="ar"/>
        </w:rPr>
        <w:t>发包人根据本项目总体施工计划对工程各分部分项工程的进度目标确定之后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承包人应采取各种措施确保本合同内各分部分项工程进度目标的实现</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如果在工程实施某个分部分项工程，承包人的实际进度滞后该分部分项工程进度目标7天以上</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并无法确保该分部分项工程进度目标的完成或承包人虽采取了一些措施，但仍无法按交工期交工时</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监理工程师应立即通知发包人，并抄送承包人。发包人向承包人发出书面警告通知3天后</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发包人有权终止合同，也可将本合同工程中的一部分或剩余工作交由其他承包人或指定分包人完成</w:t>
      </w:r>
      <w:r>
        <w:rPr>
          <w:rFonts w:hint="eastAsia" w:ascii="宋体" w:hAnsi="宋体" w:eastAsia="宋体" w:cs="宋体"/>
          <w:color w:val="auto"/>
          <w:kern w:val="2"/>
          <w:sz w:val="21"/>
          <w:szCs w:val="21"/>
          <w:highlight w:val="none"/>
          <w:u w:val="single"/>
          <w:lang w:val="en-US" w:eastAsia="zh-CN" w:bidi="ar"/>
        </w:rPr>
        <w:t>，</w:t>
      </w:r>
      <w:r>
        <w:rPr>
          <w:rFonts w:hint="eastAsia" w:ascii="宋体" w:hAnsi="宋体" w:eastAsia="宋体" w:cs="宋体"/>
          <w:color w:val="auto"/>
          <w:kern w:val="2"/>
          <w:position w:val="6"/>
          <w:sz w:val="21"/>
          <w:szCs w:val="21"/>
          <w:highlight w:val="none"/>
          <w:u w:val="single"/>
          <w:lang w:val="en-US" w:eastAsia="zh-CN" w:bidi="ar"/>
        </w:rPr>
        <w:t>因此所增加的一切费用由原承包人承担</w:t>
      </w:r>
      <w:r>
        <w:rPr>
          <w:rFonts w:hint="eastAsia" w:ascii="宋体" w:hAnsi="宋体" w:eastAsia="宋体" w:cs="宋体"/>
          <w:color w:val="auto"/>
          <w:kern w:val="2"/>
          <w:sz w:val="21"/>
          <w:szCs w:val="21"/>
          <w:highlight w:val="none"/>
          <w:u w:val="single"/>
          <w:lang w:val="en-US" w:eastAsia="zh-CN" w:bidi="ar"/>
        </w:rPr>
        <w:t>。</w:t>
      </w:r>
    </w:p>
    <w:p w14:paraId="20A17B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（3）</w:t>
      </w:r>
      <w:r>
        <w:rPr>
          <w:rFonts w:hint="eastAsia" w:ascii="宋体" w:hAnsi="宋体" w:eastAsia="宋体" w:cs="宋体"/>
          <w:bCs/>
          <w:color w:val="auto"/>
          <w:kern w:val="2"/>
          <w:sz w:val="21"/>
          <w:szCs w:val="21"/>
          <w:highlight w:val="none"/>
          <w:u w:val="single"/>
          <w:lang w:val="en-US" w:eastAsia="zh-CN" w:bidi="ar"/>
        </w:rPr>
        <w:t xml:space="preserve">对严重拖延工期，经发包人多次督促，承包人拒不执行的，发包人可中止施工合同，并和承包人进行清算。同时按原中标价格另选同样资质的施工队伍进场施工，原承包人须无条件配合，不得以任何借口阻挠另选的施工队伍施工，不得向发包人提出任何索赔要求。  </w:t>
      </w:r>
    </w:p>
    <w:p w14:paraId="24938CA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7.6 不利物质条件</w:t>
      </w:r>
    </w:p>
    <w:p w14:paraId="7CDC3B9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不利物质条件的其他情形和有关约定：</w:t>
      </w:r>
      <w:r>
        <w:rPr>
          <w:rFonts w:hint="eastAsia" w:ascii="宋体" w:hAnsi="宋体" w:eastAsia="宋体" w:cs="宋体"/>
          <w:color w:val="auto"/>
          <w:kern w:val="2"/>
          <w:sz w:val="21"/>
          <w:szCs w:val="21"/>
          <w:highlight w:val="none"/>
          <w:u w:val="single"/>
          <w:lang w:val="en-US" w:eastAsia="zh-CN" w:bidi="ar"/>
        </w:rPr>
        <w:t xml:space="preserve"> 无  。</w:t>
      </w:r>
    </w:p>
    <w:p w14:paraId="5927BF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7.7异常恶劣的气候条件</w:t>
      </w:r>
    </w:p>
    <w:p w14:paraId="7B0A5A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发包人和承包人同意以下情形视为异常恶劣的气候条件：</w:t>
      </w:r>
    </w:p>
    <w:p w14:paraId="3358023E">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8B2EC3">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94904E4">
      <w:pPr>
        <w:keepNext w:val="0"/>
        <w:keepLines w:val="0"/>
        <w:widowControl w:val="0"/>
        <w:numPr>
          <w:ilvl w:val="0"/>
          <w:numId w:val="4"/>
        </w:numPr>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C1EA08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 提前竣工的奖励</w:t>
      </w:r>
    </w:p>
    <w:p w14:paraId="296BAB9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7.9.2提前竣工的奖励：</w:t>
      </w:r>
      <w:r>
        <w:rPr>
          <w:rFonts w:hint="eastAsia" w:ascii="宋体" w:hAnsi="宋体" w:eastAsia="宋体" w:cs="宋体"/>
          <w:color w:val="auto"/>
          <w:kern w:val="2"/>
          <w:sz w:val="21"/>
          <w:szCs w:val="21"/>
          <w:highlight w:val="none"/>
          <w:u w:val="single"/>
          <w:lang w:val="en-US" w:eastAsia="zh-CN" w:bidi="ar"/>
        </w:rPr>
        <w:t xml:space="preserve"> 由发包人根据提前竣工天数，结合项目考勤、质量、安全等实际情况综合考虑     </w:t>
      </w:r>
      <w:r>
        <w:rPr>
          <w:rFonts w:hint="eastAsia" w:ascii="宋体" w:hAnsi="宋体" w:eastAsia="宋体" w:cs="宋体"/>
          <w:color w:val="auto"/>
          <w:kern w:val="2"/>
          <w:sz w:val="21"/>
          <w:szCs w:val="21"/>
          <w:highlight w:val="none"/>
          <w:lang w:val="en-US" w:eastAsia="zh-CN" w:bidi="ar"/>
        </w:rPr>
        <w:t>。</w:t>
      </w:r>
    </w:p>
    <w:p w14:paraId="38BAD3C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8. 材料与设备</w:t>
      </w:r>
    </w:p>
    <w:p w14:paraId="7AB7526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8.4材料与工程设备的保管与使用</w:t>
      </w:r>
    </w:p>
    <w:p w14:paraId="79F8E61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8.4.1发包人供应的材料设备的保管费用的承担：</w:t>
      </w:r>
      <w:r>
        <w:rPr>
          <w:rFonts w:hint="eastAsia" w:ascii="宋体" w:hAnsi="宋体" w:eastAsia="宋体" w:cs="宋体"/>
          <w:color w:val="auto"/>
          <w:kern w:val="2"/>
          <w:sz w:val="21"/>
          <w:szCs w:val="21"/>
          <w:highlight w:val="none"/>
          <w:u w:val="single"/>
          <w:lang w:val="en-US" w:eastAsia="zh-CN" w:bidi="ar"/>
        </w:rPr>
        <w:t xml:space="preserve">   /。</w:t>
      </w:r>
    </w:p>
    <w:p w14:paraId="2826934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8.6 样品</w:t>
      </w:r>
    </w:p>
    <w:p w14:paraId="3591B09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8.6.1样品的报送与封存</w:t>
      </w:r>
    </w:p>
    <w:p w14:paraId="7AE55CF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2"/>
          <w:sz w:val="21"/>
          <w:szCs w:val="21"/>
          <w:highlight w:val="none"/>
          <w:u w:val="single"/>
          <w:lang w:val="en-US" w:eastAsia="zh-CN" w:bidi="ar"/>
        </w:rPr>
        <w:t xml:space="preserve"> 执行招标文件。 </w:t>
      </w:r>
    </w:p>
    <w:p w14:paraId="2ABCF6A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 施工设备和临时设施</w:t>
      </w:r>
    </w:p>
    <w:p w14:paraId="1B0DCF0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8.8.1 承包人提供的施工设备和临时设施</w:t>
      </w:r>
    </w:p>
    <w:p w14:paraId="1D5EBFF8">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关于修建临时设施费用承担的约定：</w:t>
      </w:r>
      <w:r>
        <w:rPr>
          <w:rFonts w:hint="eastAsia" w:ascii="宋体" w:hAnsi="宋体" w:eastAsia="宋体" w:cs="宋体"/>
          <w:color w:val="auto"/>
          <w:kern w:val="2"/>
          <w:sz w:val="21"/>
          <w:szCs w:val="21"/>
          <w:highlight w:val="none"/>
          <w:u w:val="single"/>
          <w:lang w:val="en-US" w:eastAsia="zh-CN" w:bidi="ar"/>
        </w:rPr>
        <w:t xml:space="preserve">  由承包人自行承担费用   </w:t>
      </w:r>
      <w:r>
        <w:rPr>
          <w:rFonts w:hint="eastAsia" w:ascii="宋体" w:hAnsi="宋体" w:eastAsia="宋体" w:cs="宋体"/>
          <w:color w:val="auto"/>
          <w:kern w:val="2"/>
          <w:sz w:val="21"/>
          <w:szCs w:val="21"/>
          <w:highlight w:val="none"/>
          <w:lang w:val="en-US" w:eastAsia="zh-CN" w:bidi="ar"/>
        </w:rPr>
        <w:t>。</w:t>
      </w:r>
    </w:p>
    <w:p w14:paraId="3E11C3C1">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9. 试验与检验</w:t>
      </w:r>
    </w:p>
    <w:p w14:paraId="29FC34C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9.1试验设备与试验人员</w:t>
      </w:r>
    </w:p>
    <w:p w14:paraId="1CF3D3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9.1.2 试验设备</w:t>
      </w:r>
    </w:p>
    <w:p w14:paraId="7707A3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施工现场需要配置的试验场所：</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 xml:space="preserve">。 </w:t>
      </w:r>
    </w:p>
    <w:p w14:paraId="5FBF9FA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施工现场需要配备的试验设备：</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19F02D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施工现场需要具备的其他试验条件：</w:t>
      </w:r>
      <w:r>
        <w:rPr>
          <w:rFonts w:hint="eastAsia" w:ascii="宋体" w:hAnsi="宋体" w:eastAsia="宋体" w:cs="宋体"/>
          <w:color w:val="auto"/>
          <w:kern w:val="2"/>
          <w:sz w:val="21"/>
          <w:szCs w:val="21"/>
          <w:highlight w:val="none"/>
          <w:u w:val="single"/>
          <w:lang w:val="en-US" w:eastAsia="zh-CN" w:bidi="ar"/>
        </w:rPr>
        <w:t xml:space="preserve">   执行招标文件   </w:t>
      </w:r>
      <w:r>
        <w:rPr>
          <w:rFonts w:hint="eastAsia" w:ascii="宋体" w:hAnsi="宋体" w:eastAsia="宋体" w:cs="宋体"/>
          <w:color w:val="auto"/>
          <w:kern w:val="2"/>
          <w:sz w:val="21"/>
          <w:szCs w:val="21"/>
          <w:highlight w:val="none"/>
          <w:lang w:val="en-US" w:eastAsia="zh-CN" w:bidi="ar"/>
        </w:rPr>
        <w:t>。</w:t>
      </w:r>
    </w:p>
    <w:p w14:paraId="5DAEB9C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9.4 现场工艺试验 </w:t>
      </w:r>
    </w:p>
    <w:p w14:paraId="1F8C053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现场工艺试验的有关约定：</w:t>
      </w:r>
      <w:r>
        <w:rPr>
          <w:rFonts w:hint="eastAsia" w:ascii="宋体" w:hAnsi="宋体" w:eastAsia="宋体" w:cs="宋体"/>
          <w:color w:val="auto"/>
          <w:kern w:val="2"/>
          <w:sz w:val="21"/>
          <w:szCs w:val="21"/>
          <w:highlight w:val="none"/>
          <w:u w:val="single"/>
          <w:lang w:val="en-US" w:eastAsia="zh-CN" w:bidi="ar"/>
        </w:rPr>
        <w:t xml:space="preserve">   按监理人指示    </w:t>
      </w:r>
      <w:r>
        <w:rPr>
          <w:rFonts w:hint="eastAsia" w:ascii="宋体" w:hAnsi="宋体" w:eastAsia="宋体" w:cs="宋体"/>
          <w:color w:val="auto"/>
          <w:kern w:val="2"/>
          <w:sz w:val="21"/>
          <w:szCs w:val="21"/>
          <w:highlight w:val="none"/>
          <w:lang w:val="en-US" w:eastAsia="zh-CN" w:bidi="ar"/>
        </w:rPr>
        <w:t>。</w:t>
      </w:r>
    </w:p>
    <w:p w14:paraId="07082A86">
      <w:pPr>
        <w:pStyle w:val="9"/>
        <w:widowControl/>
        <w:snapToGrid w:val="0"/>
        <w:spacing w:before="0" w:beforeAutospacing="0" w:after="0" w:afterAutospacing="0" w:line="440" w:lineRule="exact"/>
        <w:ind w:left="0" w:firstLine="420" w:firstLineChars="200"/>
        <w:rPr>
          <w:rFonts w:hint="eastAsia" w:ascii="宋体" w:hAnsi="宋体"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10. 变更</w:t>
      </w:r>
    </w:p>
    <w:p w14:paraId="477635D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10.1变更的范围</w:t>
      </w:r>
    </w:p>
    <w:p w14:paraId="5C7F1A6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关于变更范围的约定：</w:t>
      </w:r>
      <w:r>
        <w:rPr>
          <w:rFonts w:hint="eastAsia" w:ascii="宋体" w:hAnsi="宋体" w:eastAsia="宋体" w:cs="宋体"/>
          <w:b/>
          <w:bCs w:val="0"/>
          <w:color w:val="auto"/>
          <w:kern w:val="2"/>
          <w:sz w:val="21"/>
          <w:szCs w:val="21"/>
          <w:highlight w:val="none"/>
          <w:u w:val="single"/>
          <w:lang w:val="en-US" w:eastAsia="zh-CN" w:bidi="ar"/>
        </w:rPr>
        <w:t>执行合同通用条款</w:t>
      </w:r>
      <w:r>
        <w:rPr>
          <w:rFonts w:hint="eastAsia" w:ascii="宋体" w:hAnsi="宋体" w:eastAsia="宋体" w:cs="宋体"/>
          <w:b/>
          <w:bCs/>
          <w:color w:val="auto"/>
          <w:kern w:val="2"/>
          <w:sz w:val="21"/>
          <w:szCs w:val="21"/>
          <w:highlight w:val="none"/>
          <w:u w:val="single"/>
          <w:lang w:val="en-US" w:eastAsia="zh-CN" w:bidi="ar"/>
        </w:rPr>
        <w:t>。</w:t>
      </w:r>
    </w:p>
    <w:p w14:paraId="63BFEB0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10.4 变更估价</w:t>
      </w:r>
    </w:p>
    <w:p w14:paraId="1554337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10.4.1变更估价原则</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关于变更估价的约定:</w:t>
      </w:r>
    </w:p>
    <w:p w14:paraId="05BA19E1">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u w:val="single"/>
        </w:rPr>
      </w:pPr>
      <w:r>
        <w:rPr>
          <w:rFonts w:hint="eastAsia" w:ascii="宋体" w:hAnsi="宋体" w:eastAsia="宋体" w:cs="宋体"/>
          <w:b/>
          <w:bCs/>
          <w:color w:val="auto"/>
          <w:kern w:val="2"/>
          <w:sz w:val="21"/>
          <w:szCs w:val="21"/>
          <w:highlight w:val="none"/>
          <w:lang w:val="en-US" w:eastAsia="zh-CN" w:bidi="ar"/>
        </w:rPr>
        <w:t>变更导致结算工程量（含1.13清单工程量错误产生的工程量）减少0-100%或增加15%以内部分，执行下列第（1）款或第（2）款确定的单价；但超出15%以外部分，结算单价按第（1）款或第（2）款对应的结算单价按最高投标限价单价×投标让利幅度计算且结算单价不得高于中标单价；已标价工程量清单或预算书中无相同项目及类似项目单价的新增项目单价按照最高投标限价的编制原则重新组价×投标让利幅度（上述投标让利幅度为中标价/最高投标限价，其中中标价和最高投标限价均扣除暂列金额、暂估价及相应税金），结算价格最终以相关部门审核价为准；</w:t>
      </w:r>
    </w:p>
    <w:p w14:paraId="614A0516">
      <w:pPr>
        <w:keepNext w:val="0"/>
        <w:keepLines w:val="0"/>
        <w:widowControl w:val="0"/>
        <w:suppressLineNumbers w:val="0"/>
        <w:snapToGrid w:val="0"/>
        <w:spacing w:before="0" w:beforeAutospacing="0" w:after="0" w:afterAutospacing="0" w:line="440" w:lineRule="exact"/>
        <w:ind w:left="0" w:right="0" w:firstLine="422" w:firstLineChars="200"/>
        <w:jc w:val="left"/>
        <w:rPr>
          <w:rFonts w:hint="eastAsia" w:ascii="宋体" w:hAnsi="宋体" w:eastAsia="宋体" w:cs="宋体"/>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（1）已标价工程量清单或预算书有相同项目的，按照相同项目单价认定；</w:t>
      </w:r>
    </w:p>
    <w:p w14:paraId="0D5BAAEC">
      <w:pPr>
        <w:keepNext w:val="0"/>
        <w:keepLines w:val="0"/>
        <w:widowControl w:val="0"/>
        <w:suppressLineNumbers w:val="0"/>
        <w:autoSpaceDE w:val="0"/>
        <w:autoSpaceDN w:val="0"/>
        <w:adjustRightInd w:val="0"/>
        <w:spacing w:before="0" w:beforeAutospacing="0" w:after="0" w:afterAutospacing="0" w:line="440" w:lineRule="exact"/>
        <w:ind w:left="0" w:right="0"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已标价工程量清单或预算书中无相同项目，但有类似项目的，参照类似项目的单价认定。</w:t>
      </w:r>
    </w:p>
    <w:p w14:paraId="561FD36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技术措施费调整：</w:t>
      </w:r>
      <w:r>
        <w:rPr>
          <w:rFonts w:hint="eastAsia" w:ascii="宋体" w:hAnsi="宋体" w:eastAsia="宋体" w:cs="宋体"/>
          <w:b/>
          <w:bCs w:val="0"/>
          <w:color w:val="auto"/>
          <w:kern w:val="2"/>
          <w:sz w:val="21"/>
          <w:szCs w:val="21"/>
          <w:highlight w:val="none"/>
          <w:u w:val="single"/>
          <w:lang w:val="en-US" w:eastAsia="zh-CN" w:bidi="ar"/>
        </w:rPr>
        <w:t xml:space="preserve"> 因承包人改变施工技术措施，造成的价格变动，措施费不予调整。因工程变更必须改变原来施工技术措施，造成价格变动的，按实调整，变更组价原则同上。</w:t>
      </w:r>
    </w:p>
    <w:p w14:paraId="09A6A95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组织措施费调整：</w:t>
      </w:r>
      <w:r>
        <w:rPr>
          <w:rFonts w:hint="eastAsia" w:ascii="宋体" w:hAnsi="宋体" w:eastAsia="宋体" w:cs="宋体"/>
          <w:b/>
          <w:bCs w:val="0"/>
          <w:color w:val="auto"/>
          <w:kern w:val="2"/>
          <w:sz w:val="21"/>
          <w:szCs w:val="21"/>
          <w:highlight w:val="none"/>
          <w:u w:val="single"/>
          <w:lang w:val="en-US" w:eastAsia="zh-CN" w:bidi="ar"/>
        </w:rPr>
        <w:t>按实调整。</w:t>
      </w:r>
    </w:p>
    <w:p w14:paraId="6E79B32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10.5承包人的合理化建议</w:t>
      </w:r>
    </w:p>
    <w:p w14:paraId="7962B7A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监理人审查承包人合理化建议的期限：</w:t>
      </w:r>
      <w:r>
        <w:rPr>
          <w:rFonts w:hint="eastAsia" w:ascii="宋体" w:hAnsi="宋体" w:eastAsia="宋体" w:cs="宋体"/>
          <w:color w:val="auto"/>
          <w:kern w:val="2"/>
          <w:sz w:val="21"/>
          <w:szCs w:val="21"/>
          <w:highlight w:val="none"/>
          <w:u w:val="single"/>
          <w:lang w:val="en-US" w:eastAsia="zh-CN" w:bidi="ar"/>
        </w:rPr>
        <w:t xml:space="preserve"> 监理人应在收到承包人提交的合理化建议后7天内审查完毕并报送发包人，发现其中存在技术上的缺陷，应通知承包人修改。</w:t>
      </w:r>
    </w:p>
    <w:p w14:paraId="397A3DD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发包人审批承包人合理化建议的期限：</w:t>
      </w:r>
      <w:r>
        <w:rPr>
          <w:rFonts w:hint="eastAsia" w:ascii="宋体" w:hAnsi="宋体" w:eastAsia="宋体" w:cs="宋体"/>
          <w:color w:val="auto"/>
          <w:kern w:val="2"/>
          <w:sz w:val="21"/>
          <w:szCs w:val="21"/>
          <w:highlight w:val="none"/>
          <w:u w:val="single"/>
          <w:lang w:val="en-US" w:eastAsia="zh-CN" w:bidi="ar"/>
        </w:rPr>
        <w:t xml:space="preserve"> 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3E7679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承包人提出的合理化建议降低了合同价格或者提高了工程经济效益的奖励的方法和金额为：</w:t>
      </w:r>
      <w:r>
        <w:rPr>
          <w:rFonts w:hint="eastAsia" w:ascii="宋体" w:hAnsi="宋体" w:eastAsia="宋体" w:cs="宋体"/>
          <w:color w:val="auto"/>
          <w:kern w:val="2"/>
          <w:sz w:val="21"/>
          <w:szCs w:val="21"/>
          <w:highlight w:val="none"/>
          <w:u w:val="single"/>
          <w:lang w:val="en-US" w:eastAsia="zh-CN" w:bidi="ar"/>
        </w:rPr>
        <w:t>由发包人根据合同价格降低额或工程经济效益提高承担，结合项目考勤、质量、安全、进度等实际情况综合考虑</w:t>
      </w:r>
      <w:r>
        <w:rPr>
          <w:rFonts w:hint="eastAsia" w:ascii="宋体" w:hAnsi="宋体" w:eastAsia="宋体" w:cs="宋体"/>
          <w:color w:val="auto"/>
          <w:kern w:val="2"/>
          <w:sz w:val="21"/>
          <w:szCs w:val="21"/>
          <w:highlight w:val="none"/>
          <w:lang w:val="en-US" w:eastAsia="zh-CN" w:bidi="ar"/>
        </w:rPr>
        <w:t>。</w:t>
      </w:r>
    </w:p>
    <w:p w14:paraId="1353A414">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 暂估价</w:t>
      </w:r>
    </w:p>
    <w:p w14:paraId="5FE65B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暂估价材料和工程设备的明细</w:t>
      </w:r>
      <w:r>
        <w:rPr>
          <w:rFonts w:hint="eastAsia" w:ascii="宋体" w:hAnsi="宋体" w:eastAsia="宋体" w:cs="宋体"/>
          <w:color w:val="auto"/>
          <w:kern w:val="0"/>
          <w:sz w:val="21"/>
          <w:szCs w:val="21"/>
          <w:highlight w:val="none"/>
          <w:u w:val="single"/>
          <w:lang w:val="en-US" w:eastAsia="zh-CN" w:bidi="ar"/>
        </w:rPr>
        <w:t>详见《暂估价一览表》。</w:t>
      </w:r>
    </w:p>
    <w:p w14:paraId="1859070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10.7.1 依法必须招标的暂估价项目</w:t>
      </w:r>
    </w:p>
    <w:p w14:paraId="0374DF2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对于依法必须招标的暂估价项目的确认和批准采取</w:t>
      </w:r>
      <w:r>
        <w:rPr>
          <w:rFonts w:hint="eastAsia" w:ascii="宋体" w:hAnsi="宋体" w:eastAsia="宋体" w:cs="宋体"/>
          <w:color w:val="auto"/>
          <w:kern w:val="2"/>
          <w:sz w:val="21"/>
          <w:szCs w:val="21"/>
          <w:highlight w:val="none"/>
          <w:u w:val="single"/>
          <w:lang w:val="en-US" w:eastAsia="zh-CN" w:bidi="ar"/>
        </w:rPr>
        <w:t>第2种</w:t>
      </w:r>
      <w:r>
        <w:rPr>
          <w:rFonts w:hint="eastAsia" w:ascii="宋体" w:hAnsi="宋体" w:eastAsia="宋体" w:cs="宋体"/>
          <w:color w:val="auto"/>
          <w:kern w:val="2"/>
          <w:sz w:val="21"/>
          <w:szCs w:val="21"/>
          <w:highlight w:val="none"/>
          <w:lang w:val="en-US" w:eastAsia="zh-CN" w:bidi="ar"/>
        </w:rPr>
        <w:t>方式确定。</w:t>
      </w:r>
    </w:p>
    <w:p w14:paraId="21AFC33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10.7.2 不属于依法必须招标的暂估价项目</w:t>
      </w:r>
    </w:p>
    <w:p w14:paraId="29627A5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对于不属于依法必须招标的暂估价项目的确认和批准采取询价或共同交易方式确定。</w:t>
      </w:r>
    </w:p>
    <w:p w14:paraId="2750C8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第3种方式：承包人直接实施的暂估价项目</w:t>
      </w:r>
    </w:p>
    <w:p w14:paraId="0A69E8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承包人直接实施的暂估价项目的约定：</w:t>
      </w:r>
      <w:r>
        <w:rPr>
          <w:rFonts w:hint="eastAsia" w:ascii="宋体" w:hAnsi="宋体" w:eastAsia="宋体" w:cs="宋体"/>
          <w:color w:val="auto"/>
          <w:kern w:val="2"/>
          <w:sz w:val="21"/>
          <w:szCs w:val="21"/>
          <w:highlight w:val="none"/>
          <w:u w:val="single"/>
          <w:lang w:val="en-US" w:eastAsia="zh-CN" w:bidi="ar"/>
        </w:rPr>
        <w:t xml:space="preserve">   无    。</w:t>
      </w:r>
    </w:p>
    <w:p w14:paraId="048E027A">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10.8 暂列金额</w:t>
      </w:r>
    </w:p>
    <w:p w14:paraId="5488A23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eastAsia" w:ascii="宋体" w:hAnsi="宋体" w:eastAsia="宋体" w:cs="宋体"/>
          <w:color w:val="auto"/>
          <w:kern w:val="2"/>
          <w:sz w:val="21"/>
          <w:szCs w:val="21"/>
          <w:highlight w:val="none"/>
          <w:u w:val="single"/>
          <w:lang w:val="en-US" w:eastAsia="zh-CN" w:bidi="ar"/>
        </w:rPr>
        <w:t xml:space="preserve"> 暂列金额应按照发包人的要求使用。</w:t>
      </w:r>
    </w:p>
    <w:p w14:paraId="00B9000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11. 价格调整</w:t>
      </w:r>
    </w:p>
    <w:p w14:paraId="1AE2DC70">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11.1 市场价格波动引起的调整</w:t>
      </w:r>
    </w:p>
    <w:p w14:paraId="0BD4DD66">
      <w:pPr>
        <w:keepNext w:val="0"/>
        <w:keepLines w:val="0"/>
        <w:widowControl w:val="0"/>
        <w:suppressLineNumbers w:val="0"/>
        <w:snapToGrid w:val="0"/>
        <w:spacing w:before="0" w:beforeAutospacing="0" w:after="0" w:afterAutospacing="0" w:line="40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2"/>
          <w:sz w:val="21"/>
          <w:szCs w:val="21"/>
          <w:highlight w:val="none"/>
          <w:u w:val="single"/>
          <w:lang w:val="en-US" w:eastAsia="zh-CN" w:bidi="ar"/>
        </w:rPr>
        <w:t xml:space="preserve"> 不调整 </w:t>
      </w:r>
      <w:r>
        <w:rPr>
          <w:rFonts w:hint="eastAsia" w:ascii="宋体" w:hAnsi="宋体" w:eastAsia="宋体" w:cs="宋体"/>
          <w:color w:val="auto"/>
          <w:kern w:val="2"/>
          <w:sz w:val="21"/>
          <w:szCs w:val="21"/>
          <w:highlight w:val="none"/>
          <w:lang w:val="en-US" w:eastAsia="zh-CN" w:bidi="ar"/>
        </w:rPr>
        <w:t>。</w:t>
      </w:r>
    </w:p>
    <w:p w14:paraId="43627A9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第2种方式：采用造价信息进行价格调整：无。</w:t>
      </w:r>
    </w:p>
    <w:p w14:paraId="494EE033">
      <w:pPr>
        <w:keepNext w:val="0"/>
        <w:keepLines w:val="0"/>
        <w:widowControl w:val="0"/>
        <w:suppressLineNumbers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第3种方式：其他价格调整方式：</w:t>
      </w:r>
      <w:r>
        <w:rPr>
          <w:rFonts w:hint="eastAsia" w:ascii="宋体" w:hAnsi="宋体" w:eastAsia="宋体" w:cs="宋体"/>
          <w:color w:val="auto"/>
          <w:kern w:val="2"/>
          <w:sz w:val="21"/>
          <w:szCs w:val="21"/>
          <w:highlight w:val="none"/>
          <w:u w:val="single"/>
          <w:lang w:val="en-US" w:eastAsia="zh-CN" w:bidi="ar"/>
        </w:rPr>
        <w:t xml:space="preserve">   无。</w:t>
      </w:r>
    </w:p>
    <w:p w14:paraId="34B81BCF">
      <w:pPr>
        <w:pStyle w:val="9"/>
        <w:widowControl/>
        <w:snapToGrid w:val="0"/>
        <w:spacing w:before="0" w:beforeAutospacing="0" w:after="0" w:afterAutospacing="0" w:line="440" w:lineRule="exact"/>
        <w:ind w:left="0" w:firstLine="420" w:firstLineChars="200"/>
        <w:rPr>
          <w:rFonts w:hint="eastAsia" w:ascii="宋体" w:hAnsi="宋体" w:eastAsia="宋体" w:cs="宋体"/>
          <w:b/>
          <w:bCs w:val="0"/>
          <w:color w:val="auto"/>
          <w:kern w:val="2"/>
          <w:sz w:val="21"/>
          <w:szCs w:val="21"/>
          <w:highlight w:val="none"/>
        </w:rPr>
      </w:pPr>
      <w:r>
        <w:rPr>
          <w:rFonts w:hint="eastAsia" w:ascii="宋体" w:hAnsi="宋体" w:eastAsia="宋体" w:cs="宋体"/>
          <w:b w:val="0"/>
          <w:bCs w:val="0"/>
          <w:color w:val="auto"/>
          <w:kern w:val="2"/>
          <w:sz w:val="21"/>
          <w:szCs w:val="21"/>
          <w:highlight w:val="none"/>
        </w:rPr>
        <w:t>11.2人工费调整方法：</w:t>
      </w:r>
      <w:r>
        <w:rPr>
          <w:rFonts w:hint="eastAsia" w:ascii="宋体" w:hAnsi="宋体" w:eastAsia="宋体" w:cs="宋体"/>
          <w:b/>
          <w:bCs w:val="0"/>
          <w:color w:val="auto"/>
          <w:kern w:val="2"/>
          <w:sz w:val="21"/>
          <w:szCs w:val="21"/>
          <w:highlight w:val="none"/>
        </w:rPr>
        <w:t>按滁州市住房和城乡建设局发布的《关于发布滁州市建设工程人工价格信息的通知》建科（2021）34号文件规定执行</w:t>
      </w:r>
    </w:p>
    <w:p w14:paraId="3853294C">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12. 合同价格、计量与支付</w:t>
      </w:r>
    </w:p>
    <w:p w14:paraId="488F5F90">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12.1 合同价格形式</w:t>
      </w:r>
    </w:p>
    <w:p w14:paraId="64E013B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1、总价合同。</w:t>
      </w:r>
    </w:p>
    <w:p w14:paraId="203F58A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总价包含的风险范围：</w:t>
      </w:r>
      <w:r>
        <w:rPr>
          <w:rFonts w:hint="eastAsia" w:ascii="宋体" w:hAnsi="宋体" w:eastAsia="宋体" w:cs="宋体"/>
          <w:b/>
          <w:bCs w:val="0"/>
          <w:color w:val="auto"/>
          <w:kern w:val="2"/>
          <w:sz w:val="21"/>
          <w:szCs w:val="21"/>
          <w:highlight w:val="none"/>
          <w:u w:val="single"/>
          <w:lang w:val="en-US" w:eastAsia="zh-CN" w:bidi="ar"/>
        </w:rPr>
        <w:t>各种因素引起的材料价格（合同允许调差的材料除外）、机械使用费、管理费、利润等。</w:t>
      </w:r>
    </w:p>
    <w:p w14:paraId="11E8B72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风险费用的计算方法：</w:t>
      </w:r>
      <w:r>
        <w:rPr>
          <w:rFonts w:hint="eastAsia" w:ascii="宋体" w:hAnsi="宋体" w:eastAsia="宋体" w:cs="宋体"/>
          <w:color w:val="auto"/>
          <w:kern w:val="2"/>
          <w:sz w:val="21"/>
          <w:szCs w:val="21"/>
          <w:highlight w:val="none"/>
          <w:u w:val="single"/>
          <w:lang w:val="en-US" w:eastAsia="zh-CN" w:bidi="ar"/>
        </w:rPr>
        <w:t xml:space="preserve"> 不考虑  </w:t>
      </w:r>
    </w:p>
    <w:p w14:paraId="30FBA87B">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风险范围以外合同价格的调整方法：</w:t>
      </w:r>
      <w:r>
        <w:rPr>
          <w:rFonts w:hint="eastAsia" w:ascii="宋体" w:hAnsi="宋体" w:cs="宋体"/>
          <w:b/>
          <w:bCs w:val="0"/>
          <w:color w:val="auto"/>
          <w:kern w:val="2"/>
          <w:sz w:val="21"/>
          <w:szCs w:val="21"/>
          <w:highlight w:val="none"/>
          <w:u w:val="single"/>
          <w:lang w:val="en-US" w:eastAsia="zh-CN" w:bidi="ar"/>
        </w:rPr>
        <w:t xml:space="preserve"> 不考虑</w:t>
      </w:r>
      <w:r>
        <w:rPr>
          <w:rFonts w:hint="eastAsia" w:ascii="宋体" w:hAnsi="宋体" w:eastAsia="宋体" w:cs="宋体"/>
          <w:b/>
          <w:bCs w:val="0"/>
          <w:color w:val="auto"/>
          <w:kern w:val="2"/>
          <w:sz w:val="21"/>
          <w:szCs w:val="21"/>
          <w:highlight w:val="none"/>
          <w:u w:val="single"/>
          <w:lang w:val="en-US" w:eastAsia="zh-CN" w:bidi="ar"/>
        </w:rPr>
        <w:t>。</w:t>
      </w:r>
      <w:r>
        <w:rPr>
          <w:rFonts w:hint="eastAsia" w:ascii="宋体" w:hAnsi="宋体" w:eastAsia="宋体" w:cs="宋体"/>
          <w:bCs/>
          <w:color w:val="auto"/>
          <w:kern w:val="2"/>
          <w:sz w:val="21"/>
          <w:szCs w:val="21"/>
          <w:highlight w:val="none"/>
          <w:u w:val="single"/>
          <w:lang w:val="en-US" w:eastAsia="zh-CN" w:bidi="ar"/>
        </w:rPr>
        <w:t xml:space="preserve"> </w:t>
      </w:r>
    </w:p>
    <w:p w14:paraId="0C3CAF36">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 预付款</w:t>
      </w:r>
    </w:p>
    <w:p w14:paraId="6CB14B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12.2.1 预付款的支付</w:t>
      </w:r>
    </w:p>
    <w:p w14:paraId="48038E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预付款支付比例或金额：</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68105F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预付款支付期限：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FBB8C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预付款扣回的方式：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AB147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12.2.2 预付款担保</w:t>
      </w:r>
    </w:p>
    <w:p w14:paraId="28621E5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承包人提交预付款担保的期限：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35C2554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预付款担保的形式为：</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EAD004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 计量</w:t>
      </w:r>
    </w:p>
    <w:p w14:paraId="25CE12E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12.3.1 计量原则</w:t>
      </w:r>
    </w:p>
    <w:p w14:paraId="3322699E">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工程量计算规则：</w:t>
      </w:r>
      <w:r>
        <w:rPr>
          <w:rFonts w:hint="eastAsia" w:ascii="宋体" w:hAnsi="宋体" w:eastAsia="宋体" w:cs="宋体"/>
          <w:color w:val="auto"/>
          <w:kern w:val="2"/>
          <w:sz w:val="21"/>
          <w:szCs w:val="21"/>
          <w:highlight w:val="none"/>
          <w:u w:val="single"/>
          <w:lang w:val="en-US" w:eastAsia="zh-CN" w:bidi="ar"/>
        </w:rPr>
        <w:t>执行现行建设工程工程量清单计价规范（GB50500）、安徽省建设工程计价依据。</w:t>
      </w:r>
    </w:p>
    <w:p w14:paraId="5AA7D814">
      <w:pPr>
        <w:keepNext w:val="0"/>
        <w:keepLines w:val="0"/>
        <w:widowControl w:val="0"/>
        <w:suppressLineNumbers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12.3.2 计量周期</w:t>
      </w:r>
    </w:p>
    <w:p w14:paraId="13A5754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关于计量周期的约定：</w:t>
      </w:r>
      <w:r>
        <w:rPr>
          <w:rFonts w:hint="eastAsia" w:ascii="宋体" w:hAnsi="宋体" w:eastAsia="宋体" w:cs="宋体"/>
          <w:color w:val="auto"/>
          <w:kern w:val="2"/>
          <w:sz w:val="21"/>
          <w:szCs w:val="21"/>
          <w:highlight w:val="none"/>
          <w:u w:val="single"/>
          <w:lang w:val="en-US" w:eastAsia="zh-CN" w:bidi="ar"/>
        </w:rPr>
        <w:t xml:space="preserve">   按月计量   </w:t>
      </w:r>
      <w:r>
        <w:rPr>
          <w:rFonts w:hint="eastAsia" w:ascii="宋体" w:hAnsi="宋体" w:eastAsia="宋体" w:cs="宋体"/>
          <w:color w:val="auto"/>
          <w:kern w:val="2"/>
          <w:sz w:val="21"/>
          <w:szCs w:val="21"/>
          <w:highlight w:val="none"/>
          <w:lang w:val="en-US" w:eastAsia="zh-CN" w:bidi="ar"/>
        </w:rPr>
        <w:t>。</w:t>
      </w:r>
    </w:p>
    <w:p w14:paraId="7520FFA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12.3.3 单价合同的计量</w:t>
      </w:r>
    </w:p>
    <w:p w14:paraId="0D1550F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关于单价合同计量的约定：</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p>
    <w:p w14:paraId="3E25482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12.3.4 总价合同的计量</w:t>
      </w:r>
    </w:p>
    <w:p w14:paraId="4E870C5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关于总价合同计量的约定：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按进度计量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70C75E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12.3.5总价合同采用支付分解表计量支付的，是否适用第</w:t>
      </w:r>
      <w:r>
        <w:rPr>
          <w:rFonts w:hint="eastAsia" w:ascii="宋体" w:hAnsi="宋体" w:eastAsia="宋体" w:cs="宋体"/>
          <w:color w:val="auto"/>
          <w:kern w:val="0"/>
          <w:sz w:val="21"/>
          <w:szCs w:val="21"/>
          <w:highlight w:val="none"/>
          <w:lang w:val="en-US" w:eastAsia="zh-CN" w:bidi="ar"/>
        </w:rPr>
        <w:t xml:space="preserve">12.3.4 </w:t>
      </w:r>
      <w:r>
        <w:rPr>
          <w:rFonts w:hint="eastAsia" w:ascii="宋体" w:hAnsi="宋体" w:eastAsia="宋体" w:cs="宋体"/>
          <w:color w:val="auto"/>
          <w:kern w:val="2"/>
          <w:sz w:val="21"/>
          <w:szCs w:val="21"/>
          <w:highlight w:val="none"/>
          <w:lang w:val="en-US" w:eastAsia="zh-CN" w:bidi="ar"/>
        </w:rPr>
        <w:t>项</w:t>
      </w:r>
      <w:r>
        <w:rPr>
          <w:rFonts w:hint="eastAsia" w:ascii="宋体" w:hAnsi="宋体" w:eastAsia="宋体" w:cs="宋体"/>
          <w:color w:val="auto"/>
          <w:kern w:val="0"/>
          <w:sz w:val="21"/>
          <w:szCs w:val="21"/>
          <w:highlight w:val="none"/>
          <w:lang w:val="en-US" w:eastAsia="zh-CN" w:bidi="ar"/>
        </w:rPr>
        <w:t>〔总价合同的计量〕</w:t>
      </w:r>
      <w:r>
        <w:rPr>
          <w:rFonts w:hint="eastAsia" w:ascii="宋体" w:hAnsi="宋体" w:eastAsia="宋体" w:cs="宋体"/>
          <w:color w:val="auto"/>
          <w:kern w:val="2"/>
          <w:sz w:val="21"/>
          <w:szCs w:val="21"/>
          <w:highlight w:val="none"/>
          <w:lang w:val="en-US" w:eastAsia="zh-CN" w:bidi="ar"/>
        </w:rPr>
        <w:t>约定进行计量：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是</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DB355D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12.3.6 其他价格形式合同的计量</w:t>
      </w:r>
    </w:p>
    <w:p w14:paraId="46854DC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其他价格形式的计量方式和程序：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0143D74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 工程进度款支付</w:t>
      </w:r>
    </w:p>
    <w:p w14:paraId="23400F7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12.4.1 付款周期</w:t>
      </w:r>
    </w:p>
    <w:p w14:paraId="1CB4D43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关于付款周期的约定：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u w:val="single"/>
          <w:lang w:val="en-US" w:eastAsia="zh-CN" w:bidi="ar"/>
        </w:rPr>
        <w:t>工程竣工验收合格后付至</w:t>
      </w:r>
      <w:r>
        <w:rPr>
          <w:rFonts w:hint="eastAsia" w:ascii="宋体" w:hAnsi="宋体" w:cs="宋体"/>
          <w:b/>
          <w:bCs/>
          <w:color w:val="auto"/>
          <w:kern w:val="2"/>
          <w:sz w:val="21"/>
          <w:szCs w:val="21"/>
          <w:highlight w:val="none"/>
          <w:u w:val="single"/>
          <w:lang w:val="en-US" w:eastAsia="zh-CN" w:bidi="ar"/>
        </w:rPr>
        <w:t>合同总价</w:t>
      </w:r>
      <w:r>
        <w:rPr>
          <w:rFonts w:hint="eastAsia" w:ascii="宋体" w:hAnsi="宋体" w:eastAsia="宋体" w:cs="宋体"/>
          <w:b/>
          <w:bCs/>
          <w:color w:val="auto"/>
          <w:kern w:val="2"/>
          <w:sz w:val="21"/>
          <w:szCs w:val="21"/>
          <w:highlight w:val="none"/>
          <w:u w:val="single"/>
          <w:lang w:val="en-US" w:eastAsia="zh-CN" w:bidi="ar"/>
        </w:rPr>
        <w:t>的98%，剩余2%作为工程质量保证金，工程缺陷责任期（缺陷责任期两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66FB8F0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12.4.2 进度付款申请单的编制</w:t>
      </w:r>
    </w:p>
    <w:p w14:paraId="5E1B7C3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关于进度付款申请单编制的约定：</w:t>
      </w:r>
      <w:r>
        <w:rPr>
          <w:rFonts w:hint="eastAsia" w:ascii="宋体" w:hAnsi="宋体" w:eastAsia="宋体" w:cs="宋体"/>
          <w:color w:val="auto"/>
          <w:kern w:val="2"/>
          <w:sz w:val="21"/>
          <w:szCs w:val="21"/>
          <w:highlight w:val="none"/>
          <w:u w:val="single"/>
          <w:lang w:val="en-US" w:eastAsia="zh-CN" w:bidi="ar"/>
        </w:rPr>
        <w:t>执行发包人统一内容格式。</w:t>
      </w:r>
    </w:p>
    <w:p w14:paraId="71B5649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12.4.3 进度付款申请单的提交</w:t>
      </w:r>
    </w:p>
    <w:p w14:paraId="63A6BFE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（1）单价合同进度付款申请单提交的约定：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w:t>
      </w:r>
      <w:r>
        <w:rPr>
          <w:rFonts w:hint="eastAsia" w:ascii="黑体" w:hAnsi="宋体" w:eastAsia="黑体" w:cs="黑体"/>
          <w:b/>
          <w:bCs/>
          <w:color w:val="auto"/>
          <w:kern w:val="2"/>
          <w:sz w:val="21"/>
          <w:szCs w:val="21"/>
          <w:highlight w:val="none"/>
          <w:u w:val="single"/>
          <w:lang w:val="en-US" w:eastAsia="zh-CN" w:bidi="ar"/>
        </w:rPr>
        <w:t>。</w:t>
      </w:r>
    </w:p>
    <w:p w14:paraId="2E598B5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（2）总价合同进度付款申请单提交的约定：</w:t>
      </w:r>
      <w:r>
        <w:rPr>
          <w:rFonts w:hint="eastAsia" w:ascii="宋体" w:hAnsi="宋体" w:eastAsia="宋体" w:cs="宋体"/>
          <w:color w:val="auto"/>
          <w:kern w:val="2"/>
          <w:sz w:val="21"/>
          <w:szCs w:val="21"/>
          <w:highlight w:val="none"/>
          <w:u w:val="single"/>
          <w:lang w:val="en-US" w:eastAsia="zh-CN" w:bidi="ar"/>
        </w:rPr>
        <w:t xml:space="preserve">   </w:t>
      </w:r>
      <w:r>
        <w:rPr>
          <w:rFonts w:hint="eastAsia" w:ascii="黑体" w:hAnsi="宋体" w:eastAsia="黑体" w:cs="黑体"/>
          <w:b/>
          <w:bCs/>
          <w:color w:val="auto"/>
          <w:kern w:val="2"/>
          <w:sz w:val="21"/>
          <w:szCs w:val="21"/>
          <w:highlight w:val="none"/>
          <w:u w:val="single"/>
          <w:lang w:val="en-US" w:eastAsia="zh-CN" w:bidi="ar"/>
        </w:rPr>
        <w:t>按施工进度付款，承包人每月月底前向发包人报送请款资料</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257F80F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（3）其他价格形式合同进度付款申请单提交的约定：</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4C46DC4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12.4.4 进度款审核和支付</w:t>
      </w:r>
    </w:p>
    <w:p w14:paraId="3446C64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（1）监理人审查并报送发包人的期限：</w:t>
      </w:r>
      <w:r>
        <w:rPr>
          <w:rFonts w:hint="eastAsia" w:ascii="宋体" w:hAnsi="宋体" w:eastAsia="宋体" w:cs="宋体"/>
          <w:color w:val="auto"/>
          <w:kern w:val="2"/>
          <w:sz w:val="21"/>
          <w:szCs w:val="21"/>
          <w:highlight w:val="none"/>
          <w:u w:val="single"/>
          <w:lang w:val="en-US" w:eastAsia="zh-CN" w:bidi="ar"/>
        </w:rPr>
        <w:t xml:space="preserve"> 监理人应在收到承包人进度付款申请单以及相关资料后7天内完成审查并报送发包人。</w:t>
      </w:r>
    </w:p>
    <w:p w14:paraId="1E04D8F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发包人完成审批并签发进度款支付证书的期限：</w:t>
      </w:r>
      <w:r>
        <w:rPr>
          <w:rFonts w:hint="eastAsia" w:ascii="宋体" w:hAnsi="宋体" w:eastAsia="宋体" w:cs="宋体"/>
          <w:color w:val="auto"/>
          <w:kern w:val="2"/>
          <w:sz w:val="21"/>
          <w:szCs w:val="21"/>
          <w:highlight w:val="none"/>
          <w:u w:val="single"/>
          <w:lang w:val="en-US" w:eastAsia="zh-CN" w:bidi="ar"/>
        </w:rPr>
        <w:t>发包人应在收到后7天内完成审批并签发进度款支付证书，跟踪审计人员审核时间除外</w:t>
      </w:r>
      <w:r>
        <w:rPr>
          <w:rFonts w:hint="eastAsia" w:ascii="宋体" w:hAnsi="宋体" w:eastAsia="宋体" w:cs="宋体"/>
          <w:color w:val="auto"/>
          <w:kern w:val="2"/>
          <w:sz w:val="21"/>
          <w:szCs w:val="21"/>
          <w:highlight w:val="none"/>
          <w:lang w:val="en-US" w:eastAsia="zh-CN" w:bidi="ar"/>
        </w:rPr>
        <w:t>。</w:t>
      </w:r>
    </w:p>
    <w:p w14:paraId="5F15AF32">
      <w:pPr>
        <w:keepNext w:val="0"/>
        <w:keepLines w:val="0"/>
        <w:widowControl w:val="0"/>
        <w:suppressLineNumbers w:val="0"/>
        <w:tabs>
          <w:tab w:val="left" w:pos="0"/>
        </w:tabs>
        <w:snapToGrid w:val="0"/>
        <w:spacing w:before="0" w:beforeAutospacing="0" w:after="0" w:afterAutospacing="0" w:line="440" w:lineRule="exact"/>
        <w:ind w:left="0" w:right="0" w:firstLine="420" w:firstLineChars="200"/>
        <w:jc w:val="both"/>
        <w:rPr>
          <w:rFonts w:hint="eastAsia" w:ascii="宋体" w:hAnsi="宋体" w:eastAsia="宋体" w:cs="宋体"/>
          <w:b/>
          <w:bCs w:val="0"/>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（2）发包人支付进度款的期限：发票送达一周内完成支付。</w:t>
      </w:r>
    </w:p>
    <w:p w14:paraId="6F7D959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发包人逾期支付进度款的违约金的计算方式：</w:t>
      </w:r>
      <w:r>
        <w:rPr>
          <w:rFonts w:hint="eastAsia" w:ascii="宋体" w:hAnsi="宋体" w:eastAsia="宋体" w:cs="宋体"/>
          <w:color w:val="auto"/>
          <w:kern w:val="2"/>
          <w:sz w:val="21"/>
          <w:szCs w:val="21"/>
          <w:highlight w:val="none"/>
          <w:u w:val="single"/>
          <w:lang w:val="en-US" w:eastAsia="zh-CN" w:bidi="ar"/>
        </w:rPr>
        <w:t xml:space="preserve">   不采用   </w:t>
      </w:r>
      <w:r>
        <w:rPr>
          <w:rFonts w:hint="eastAsia" w:ascii="宋体" w:hAnsi="宋体" w:eastAsia="宋体" w:cs="宋体"/>
          <w:color w:val="auto"/>
          <w:kern w:val="2"/>
          <w:sz w:val="21"/>
          <w:szCs w:val="21"/>
          <w:highlight w:val="none"/>
          <w:lang w:val="en-US" w:eastAsia="zh-CN" w:bidi="ar"/>
        </w:rPr>
        <w:t>。</w:t>
      </w:r>
    </w:p>
    <w:p w14:paraId="6BE035B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12.4.6 支付分解表的编制</w:t>
      </w:r>
    </w:p>
    <w:p w14:paraId="210819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2、总价合同支付分解表的编制与审批：</w:t>
      </w:r>
      <w:r>
        <w:rPr>
          <w:rFonts w:hint="eastAsia" w:ascii="宋体" w:hAnsi="宋体" w:eastAsia="宋体" w:cs="宋体"/>
          <w:color w:val="auto"/>
          <w:kern w:val="2"/>
          <w:sz w:val="21"/>
          <w:szCs w:val="21"/>
          <w:highlight w:val="none"/>
          <w:u w:val="single"/>
          <w:lang w:val="en-US" w:eastAsia="zh-CN" w:bidi="ar"/>
        </w:rPr>
        <w:t xml:space="preserve">   执行发包人统一内容格式   </w:t>
      </w:r>
      <w:r>
        <w:rPr>
          <w:rFonts w:hint="eastAsia" w:ascii="宋体" w:hAnsi="宋体" w:eastAsia="宋体" w:cs="宋体"/>
          <w:color w:val="auto"/>
          <w:kern w:val="2"/>
          <w:sz w:val="21"/>
          <w:szCs w:val="21"/>
          <w:highlight w:val="none"/>
          <w:lang w:val="en-US" w:eastAsia="zh-CN" w:bidi="ar"/>
        </w:rPr>
        <w:t>。</w:t>
      </w:r>
    </w:p>
    <w:p w14:paraId="6FE8787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3、单价合同的总价项目支付分解表的编制与审批：</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不采用</w:t>
      </w:r>
      <w:r>
        <w:rPr>
          <w:rFonts w:hint="eastAsia" w:ascii="宋体" w:hAnsi="宋体" w:cs="宋体"/>
          <w:color w:val="auto"/>
          <w:kern w:val="2"/>
          <w:sz w:val="21"/>
          <w:szCs w:val="21"/>
          <w:highlight w:val="none"/>
          <w:u w:val="single"/>
          <w:lang w:val="en-US" w:eastAsia="zh-CN" w:bidi="ar"/>
        </w:rPr>
        <w:t>。</w:t>
      </w:r>
    </w:p>
    <w:p w14:paraId="2DCF348A">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val="0"/>
          <w:color w:val="auto"/>
          <w:kern w:val="2"/>
          <w:sz w:val="21"/>
          <w:szCs w:val="21"/>
          <w:highlight w:val="none"/>
          <w:lang w:val="en-US" w:eastAsia="zh-CN" w:bidi="ar"/>
        </w:rPr>
        <w:t>1</w:t>
      </w:r>
      <w:r>
        <w:rPr>
          <w:rFonts w:hint="eastAsia" w:ascii="宋体" w:hAnsi="宋体" w:eastAsia="宋体" w:cs="宋体"/>
          <w:color w:val="auto"/>
          <w:kern w:val="2"/>
          <w:sz w:val="21"/>
          <w:szCs w:val="21"/>
          <w:highlight w:val="none"/>
          <w:lang w:val="en-US" w:eastAsia="zh-CN" w:bidi="ar"/>
        </w:rPr>
        <w:t>2.4.7 农民工工资管理</w:t>
      </w:r>
      <w:r>
        <w:rPr>
          <w:rFonts w:hint="eastAsia" w:ascii="宋体" w:hAnsi="宋体" w:eastAsia="宋体" w:cs="宋体"/>
          <w:b/>
          <w:bCs w:val="0"/>
          <w:color w:val="auto"/>
          <w:kern w:val="2"/>
          <w:sz w:val="21"/>
          <w:szCs w:val="21"/>
          <w:highlight w:val="none"/>
          <w:lang w:val="en-US" w:eastAsia="zh-CN" w:bidi="ar"/>
        </w:rPr>
        <w:t>（农民工工资保证金支持保函使用）</w:t>
      </w:r>
    </w:p>
    <w:p w14:paraId="29C41BA6">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(1)本工程农民工工资实行专用账户管理，承包人设立的专用账户开户行为</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，账号：</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w:t>
      </w:r>
    </w:p>
    <w:p w14:paraId="56622A0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(2)本工程工资性工程款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元（相应的最低工资标准乘建筑面积）；其中工资性工程预付款</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元。(工资性工程款除月工期)</w:t>
      </w:r>
    </w:p>
    <w:p w14:paraId="4106BB27">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(3)发包人在监理人签发开工报告前，将工资性工程预付款转入承包人开立的农民工工资专用账户。工程开工后第一个月支付工资性工程进度款起，分</w:t>
      </w:r>
      <w:r>
        <w:rPr>
          <w:rFonts w:hint="eastAsia" w:ascii="宋体" w:hAnsi="宋体" w:eastAsia="宋体" w:cs="宋体"/>
          <w:bCs/>
          <w:color w:val="auto"/>
          <w:kern w:val="2"/>
          <w:sz w:val="21"/>
          <w:szCs w:val="21"/>
          <w:highlight w:val="none"/>
          <w:u w:val="single"/>
          <w:lang w:val="en-US" w:eastAsia="zh-CN" w:bidi="ar"/>
        </w:rPr>
        <w:t xml:space="preserve">     </w:t>
      </w:r>
      <w:r>
        <w:rPr>
          <w:rFonts w:hint="eastAsia" w:ascii="宋体" w:hAnsi="宋体" w:eastAsia="宋体" w:cs="宋体"/>
          <w:bCs/>
          <w:color w:val="auto"/>
          <w:kern w:val="2"/>
          <w:sz w:val="21"/>
          <w:szCs w:val="21"/>
          <w:highlight w:val="none"/>
          <w:lang w:val="en-US" w:eastAsia="zh-CN" w:bidi="ar"/>
        </w:rPr>
        <w:t>月扣回工资性工程预付款。</w:t>
      </w:r>
    </w:p>
    <w:p w14:paraId="760DE422">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(4)发包人于每月25日前将工资性工程进度款转入农民工工资专用账户。</w:t>
      </w:r>
    </w:p>
    <w:p w14:paraId="7048DA2E">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(5)承包人每月25日前上报本工程农民工工资清单，每月10日前委托开设农民工工资专用账户的银行支付农民工工资。</w:t>
      </w:r>
    </w:p>
    <w:p w14:paraId="1B47D83D">
      <w:pPr>
        <w:keepNext w:val="0"/>
        <w:keepLines w:val="0"/>
        <w:widowControl w:val="0"/>
        <w:suppressLineNumbers w:val="0"/>
        <w:autoSpaceDE w:val="0"/>
        <w:autoSpaceDN/>
        <w:snapToGrid w:val="0"/>
        <w:spacing w:before="0" w:beforeAutospacing="0" w:after="0" w:afterAutospacing="0" w:line="440" w:lineRule="exact"/>
        <w:ind w:left="0" w:right="0" w:firstLine="420" w:firstLineChars="200"/>
        <w:jc w:val="left"/>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(6)工程竣工后，经项目部农民工维权组确认无农民工工资拖欠后，发、承双方办理农民工工资专用账户撤销手续，农民工工资专用账户余额划至本合同约定的承包人账户。</w:t>
      </w:r>
    </w:p>
    <w:p w14:paraId="2016B6D0">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13. 验收和工程试车</w:t>
      </w:r>
    </w:p>
    <w:p w14:paraId="47A6402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 分部分项工程验收</w:t>
      </w:r>
    </w:p>
    <w:p w14:paraId="46EC2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13.1.2监理人不能按时进行验收时，应提前</w:t>
      </w:r>
      <w:r>
        <w:rPr>
          <w:rFonts w:hint="eastAsia" w:ascii="宋体" w:hAnsi="宋体" w:eastAsia="宋体" w:cs="宋体"/>
          <w:color w:val="auto"/>
          <w:kern w:val="2"/>
          <w:sz w:val="21"/>
          <w:szCs w:val="21"/>
          <w:highlight w:val="none"/>
          <w:u w:val="single"/>
          <w:lang w:val="en-US" w:eastAsia="zh-CN" w:bidi="ar"/>
        </w:rPr>
        <w:t xml:space="preserve">  3  </w:t>
      </w:r>
      <w:r>
        <w:rPr>
          <w:rFonts w:hint="eastAsia" w:ascii="宋体" w:hAnsi="宋体" w:eastAsia="宋体" w:cs="宋体"/>
          <w:color w:val="auto"/>
          <w:kern w:val="2"/>
          <w:sz w:val="21"/>
          <w:szCs w:val="21"/>
          <w:highlight w:val="none"/>
          <w:lang w:val="en-US" w:eastAsia="zh-CN" w:bidi="ar"/>
        </w:rPr>
        <w:t>小时提交书面延期要求。</w:t>
      </w:r>
    </w:p>
    <w:p w14:paraId="4B0C471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关于延期最长不得超过：</w:t>
      </w:r>
      <w:r>
        <w:rPr>
          <w:rFonts w:hint="eastAsia" w:ascii="宋体" w:hAnsi="宋体" w:eastAsia="宋体" w:cs="宋体"/>
          <w:color w:val="auto"/>
          <w:kern w:val="2"/>
          <w:sz w:val="21"/>
          <w:szCs w:val="21"/>
          <w:highlight w:val="none"/>
          <w:u w:val="single"/>
          <w:lang w:val="en-US" w:eastAsia="zh-CN" w:bidi="ar"/>
        </w:rPr>
        <w:t xml:space="preserve"> 6  </w:t>
      </w:r>
      <w:r>
        <w:rPr>
          <w:rFonts w:hint="eastAsia" w:ascii="宋体" w:hAnsi="宋体" w:eastAsia="宋体" w:cs="宋体"/>
          <w:color w:val="auto"/>
          <w:kern w:val="2"/>
          <w:sz w:val="21"/>
          <w:szCs w:val="21"/>
          <w:highlight w:val="none"/>
          <w:lang w:val="en-US" w:eastAsia="zh-CN" w:bidi="ar"/>
        </w:rPr>
        <w:t>小时。</w:t>
      </w:r>
    </w:p>
    <w:p w14:paraId="57680BCD">
      <w:pPr>
        <w:keepNext w:val="0"/>
        <w:keepLines w:val="0"/>
        <w:widowControl w:val="0"/>
        <w:suppressLineNumbers w:val="0"/>
        <w:wordWrap w:val="0"/>
        <w:snapToGrid w:val="0"/>
        <w:spacing w:before="0" w:beforeAutospacing="0" w:after="0" w:afterAutospacing="0" w:line="440" w:lineRule="exact"/>
        <w:ind w:left="0" w:right="0" w:firstLine="420" w:firstLineChars="200"/>
        <w:jc w:val="both"/>
        <w:textAlignment w:val="bottom"/>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 竣工验收</w:t>
      </w:r>
    </w:p>
    <w:p w14:paraId="266ACB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13.2.2竣工验收程序</w:t>
      </w:r>
    </w:p>
    <w:p w14:paraId="23455EC0">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关于竣工验收程序的约定：</w:t>
      </w:r>
      <w:r>
        <w:rPr>
          <w:rFonts w:hint="eastAsia" w:ascii="宋体" w:hAnsi="宋体" w:eastAsia="宋体" w:cs="宋体"/>
          <w:color w:val="auto"/>
          <w:kern w:val="2"/>
          <w:sz w:val="21"/>
          <w:szCs w:val="21"/>
          <w:highlight w:val="none"/>
          <w:u w:val="single"/>
          <w:lang w:val="en-US" w:eastAsia="zh-CN" w:bidi="ar"/>
        </w:rPr>
        <w:t>承包人取得工程完工证明之日起即为工程实际竣工日期（该时间仅用于计算工期，不用于质量保修期、缺陷责任期等）。</w:t>
      </w:r>
    </w:p>
    <w:p w14:paraId="234CB3EF">
      <w:pPr>
        <w:keepNext w:val="0"/>
        <w:keepLines w:val="0"/>
        <w:widowControl w:val="0"/>
        <w:suppressLineNumbers w:val="0"/>
        <w:wordWrap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0CBBB49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13.2.5移交、接收全部与部分工程</w:t>
      </w:r>
    </w:p>
    <w:p w14:paraId="1DEEB41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eastAsia" w:ascii="宋体" w:hAnsi="宋体" w:eastAsia="宋体" w:cs="宋体"/>
          <w:color w:val="auto"/>
          <w:kern w:val="2"/>
          <w:sz w:val="21"/>
          <w:szCs w:val="21"/>
          <w:highlight w:val="none"/>
          <w:u w:val="single"/>
          <w:lang w:val="en-US" w:eastAsia="zh-CN" w:bidi="ar"/>
        </w:rPr>
        <w:t xml:space="preserve"> 承包人应当无条件配合发包人在30日内将工程移交给管养单位。</w:t>
      </w:r>
    </w:p>
    <w:p w14:paraId="0F3BFE1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eastAsia" w:ascii="宋体" w:hAnsi="宋体" w:eastAsia="宋体" w:cs="宋体"/>
          <w:color w:val="auto"/>
          <w:kern w:val="2"/>
          <w:sz w:val="21"/>
          <w:szCs w:val="21"/>
          <w:highlight w:val="none"/>
          <w:u w:val="single"/>
          <w:lang w:val="en-US" w:eastAsia="zh-CN" w:bidi="ar"/>
        </w:rPr>
        <w:t xml:space="preserve">  不考虑  </w:t>
      </w:r>
      <w:r>
        <w:rPr>
          <w:rFonts w:hint="eastAsia" w:ascii="宋体" w:hAnsi="宋体" w:eastAsia="宋体" w:cs="宋体"/>
          <w:color w:val="auto"/>
          <w:kern w:val="2"/>
          <w:sz w:val="21"/>
          <w:szCs w:val="21"/>
          <w:highlight w:val="none"/>
          <w:lang w:val="en-US" w:eastAsia="zh-CN" w:bidi="ar"/>
        </w:rPr>
        <w:t>。</w:t>
      </w:r>
    </w:p>
    <w:p w14:paraId="4DE9C18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承包人未按时移交工程的，违约金的计算方法为：</w:t>
      </w:r>
      <w:r>
        <w:rPr>
          <w:rFonts w:hint="eastAsia" w:ascii="宋体" w:hAnsi="宋体" w:eastAsia="宋体" w:cs="宋体"/>
          <w:color w:val="auto"/>
          <w:kern w:val="2"/>
          <w:sz w:val="21"/>
          <w:szCs w:val="21"/>
          <w:highlight w:val="none"/>
          <w:u w:val="single"/>
          <w:lang w:val="en-US" w:eastAsia="zh-CN" w:bidi="ar"/>
        </w:rPr>
        <w:t xml:space="preserve"> 因承包人原因，未按合同期限按时移交的，暂停工程款支付，发包人可动用质保金，用于工程质量整改  </w:t>
      </w:r>
      <w:r>
        <w:rPr>
          <w:rFonts w:hint="eastAsia" w:ascii="宋体" w:hAnsi="宋体" w:eastAsia="宋体" w:cs="宋体"/>
          <w:color w:val="auto"/>
          <w:kern w:val="2"/>
          <w:sz w:val="21"/>
          <w:szCs w:val="21"/>
          <w:highlight w:val="none"/>
          <w:lang w:val="en-US" w:eastAsia="zh-CN" w:bidi="ar"/>
        </w:rPr>
        <w:t>。</w:t>
      </w:r>
    </w:p>
    <w:p w14:paraId="76E2B88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13.3 工程试车</w:t>
      </w:r>
    </w:p>
    <w:p w14:paraId="7D97E47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13.3.1 试车程序</w:t>
      </w:r>
    </w:p>
    <w:p w14:paraId="3A88BE4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eastAsia" w:ascii="宋体" w:hAnsi="宋体" w:eastAsia="宋体" w:cs="宋体"/>
          <w:color w:val="auto"/>
          <w:kern w:val="2"/>
          <w:sz w:val="21"/>
          <w:szCs w:val="21"/>
          <w:highlight w:val="none"/>
          <w:u w:val="single"/>
          <w:lang w:val="en-US" w:eastAsia="zh-CN" w:bidi="ar"/>
        </w:rPr>
        <w:t xml:space="preserve">  工程需要试车的，试车内容应与承包人承包范围相一致，试车费用由承包人承担。</w:t>
      </w:r>
    </w:p>
    <w:p w14:paraId="29BC3C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（1）单机无负荷试车费用由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6D7A48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（2）无负荷联动试车费用由</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宋体" w:hAnsi="宋体" w:eastAsia="宋体" w:cs="宋体"/>
          <w:color w:val="auto"/>
          <w:kern w:val="0"/>
          <w:sz w:val="21"/>
          <w:szCs w:val="21"/>
          <w:highlight w:val="none"/>
          <w:lang w:val="en-US" w:eastAsia="zh-CN" w:bidi="ar"/>
        </w:rPr>
        <w:t>承担。</w:t>
      </w:r>
    </w:p>
    <w:p w14:paraId="7F1365C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13.3.3 投料试车</w:t>
      </w:r>
    </w:p>
    <w:p w14:paraId="5D3AA4B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eastAsia" w:ascii="宋体" w:hAnsi="宋体" w:eastAsia="宋体" w:cs="宋体"/>
          <w:color w:val="auto"/>
          <w:kern w:val="0"/>
          <w:sz w:val="21"/>
          <w:szCs w:val="21"/>
          <w:highlight w:val="none"/>
          <w:u w:val="single"/>
          <w:lang w:val="en-US" w:eastAsia="zh-CN" w:bidi="ar"/>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7D64F8D">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13.6 竣工退场</w:t>
      </w:r>
    </w:p>
    <w:p w14:paraId="5EBC0A7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13.6.1 竣工退场</w:t>
      </w:r>
    </w:p>
    <w:p w14:paraId="20E6B9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eastAsia" w:ascii="宋体" w:hAnsi="宋体" w:eastAsia="宋体" w:cs="宋体"/>
          <w:color w:val="auto"/>
          <w:kern w:val="2"/>
          <w:sz w:val="21"/>
          <w:szCs w:val="21"/>
          <w:highlight w:val="none"/>
          <w:u w:val="single"/>
          <w:lang w:val="en-US" w:eastAsia="zh-CN" w:bidi="ar"/>
        </w:rPr>
        <w:t>工程竣工合格后，7天内退场。</w:t>
      </w:r>
    </w:p>
    <w:p w14:paraId="6908B632">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14. 竣工结算</w:t>
      </w:r>
    </w:p>
    <w:p w14:paraId="479C957F">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14.1 竣工付款申请</w:t>
      </w:r>
    </w:p>
    <w:p w14:paraId="554B3DA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承包人提交竣工付款申请单的期限：</w:t>
      </w:r>
      <w:r>
        <w:rPr>
          <w:rFonts w:hint="eastAsia" w:ascii="宋体" w:hAnsi="宋体" w:eastAsia="宋体" w:cs="宋体"/>
          <w:color w:val="auto"/>
          <w:kern w:val="2"/>
          <w:sz w:val="21"/>
          <w:szCs w:val="21"/>
          <w:highlight w:val="none"/>
          <w:u w:val="single"/>
          <w:lang w:val="en-US" w:eastAsia="zh-CN" w:bidi="ar"/>
        </w:rPr>
        <w:t>承包人须于竣工验收合格后60日内完成竣工结算报告和完整结算资料上报，特殊情况，经分管领导批准的可以延长。凡因承包人原因，未能在规定时间内上报竣工结算的，处罚10000元/月的违约金。情节严重的，项目单位有权按已有资料或按已付款报相关部门办理结算。</w:t>
      </w:r>
    </w:p>
    <w:p w14:paraId="406721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竣工结算申请单应包括的内容：</w:t>
      </w:r>
      <w:r>
        <w:rPr>
          <w:rFonts w:hint="eastAsia" w:ascii="宋体" w:hAnsi="宋体" w:eastAsia="宋体" w:cs="宋体"/>
          <w:color w:val="auto"/>
          <w:kern w:val="2"/>
          <w:sz w:val="21"/>
          <w:szCs w:val="21"/>
          <w:highlight w:val="none"/>
          <w:u w:val="single"/>
          <w:lang w:val="en-US" w:eastAsia="zh-CN" w:bidi="ar"/>
        </w:rPr>
        <w:t>执行发包人统一内容格式。</w:t>
      </w:r>
    </w:p>
    <w:p w14:paraId="702D1B7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14.2 竣工结算审核</w:t>
      </w:r>
    </w:p>
    <w:p w14:paraId="7A6C0F0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发包人审批竣工付款申请单的期限：</w:t>
      </w:r>
      <w:r>
        <w:rPr>
          <w:rFonts w:hint="eastAsia" w:ascii="宋体" w:hAnsi="宋体" w:eastAsia="宋体" w:cs="宋体"/>
          <w:color w:val="auto"/>
          <w:kern w:val="2"/>
          <w:sz w:val="21"/>
          <w:szCs w:val="21"/>
          <w:highlight w:val="none"/>
          <w:u w:val="single"/>
          <w:lang w:val="en-US" w:eastAsia="zh-CN" w:bidi="ar"/>
        </w:rPr>
        <w:t xml:space="preserve"> 相关部门审核通过后7天内完成审批并签发结算款支付证书</w:t>
      </w:r>
      <w:r>
        <w:rPr>
          <w:rFonts w:hint="eastAsia" w:ascii="宋体" w:hAnsi="宋体" w:eastAsia="宋体" w:cs="宋体"/>
          <w:color w:val="auto"/>
          <w:kern w:val="2"/>
          <w:sz w:val="21"/>
          <w:szCs w:val="21"/>
          <w:highlight w:val="none"/>
          <w:lang w:val="en-US" w:eastAsia="zh-CN" w:bidi="ar"/>
        </w:rPr>
        <w:t>。</w:t>
      </w:r>
    </w:p>
    <w:p w14:paraId="42AFDA2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发包人完成竣工付款的期限：</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1E634D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关于竣工付款证书异议部分复核的方式和程序：</w:t>
      </w:r>
      <w:r>
        <w:rPr>
          <w:rFonts w:hint="eastAsia" w:ascii="宋体" w:hAnsi="宋体" w:eastAsia="宋体" w:cs="宋体"/>
          <w:color w:val="auto"/>
          <w:kern w:val="2"/>
          <w:sz w:val="21"/>
          <w:szCs w:val="21"/>
          <w:highlight w:val="none"/>
          <w:u w:val="single"/>
          <w:lang w:val="en-US" w:eastAsia="zh-CN" w:bidi="ar"/>
        </w:rPr>
        <w:t xml:space="preserve"> 按照第20条〔争议解决〕约定处理。</w:t>
      </w:r>
    </w:p>
    <w:p w14:paraId="709A5BDE">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 最终结清</w:t>
      </w:r>
    </w:p>
    <w:p w14:paraId="279B8D1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14.4.1 最终结清申请单</w:t>
      </w:r>
    </w:p>
    <w:p w14:paraId="472039F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eastAsia" w:ascii="宋体" w:hAnsi="宋体" w:eastAsia="宋体" w:cs="宋体"/>
          <w:color w:val="auto"/>
          <w:kern w:val="2"/>
          <w:sz w:val="21"/>
          <w:szCs w:val="21"/>
          <w:highlight w:val="none"/>
          <w:u w:val="single"/>
          <w:lang w:val="en-US" w:eastAsia="zh-CN" w:bidi="ar"/>
        </w:rPr>
        <w:t xml:space="preserve"> 4份  </w:t>
      </w:r>
      <w:r>
        <w:rPr>
          <w:rFonts w:hint="eastAsia" w:ascii="宋体" w:hAnsi="宋体" w:eastAsia="宋体" w:cs="宋体"/>
          <w:color w:val="auto"/>
          <w:kern w:val="2"/>
          <w:sz w:val="21"/>
          <w:szCs w:val="21"/>
          <w:highlight w:val="none"/>
          <w:lang w:val="en-US" w:eastAsia="zh-CN" w:bidi="ar"/>
        </w:rPr>
        <w:t>。</w:t>
      </w:r>
    </w:p>
    <w:p w14:paraId="4C0D51D7">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缺陷责任期满经复查合格后7天内。</w:t>
      </w:r>
    </w:p>
    <w:p w14:paraId="5D04E4D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14.4.2 最终结清证书和支付</w:t>
      </w:r>
    </w:p>
    <w:p w14:paraId="7B8DFF6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（1）发包人完成最终结清申请单的审批并颁发最终结清证书的期限：</w:t>
      </w:r>
      <w:r>
        <w:rPr>
          <w:rFonts w:hint="eastAsia" w:ascii="宋体" w:hAnsi="宋体" w:eastAsia="宋体" w:cs="宋体"/>
          <w:color w:val="auto"/>
          <w:kern w:val="2"/>
          <w:sz w:val="21"/>
          <w:szCs w:val="21"/>
          <w:highlight w:val="none"/>
          <w:u w:val="single"/>
          <w:lang w:val="en-US" w:eastAsia="zh-CN" w:bidi="ar"/>
        </w:rPr>
        <w:t xml:space="preserve"> 缺陷责任期满经复查合格后14天内。</w:t>
      </w:r>
    </w:p>
    <w:p w14:paraId="0F9198E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（2）发包人完成支付的期限：</w:t>
      </w:r>
      <w:r>
        <w:rPr>
          <w:rFonts w:hint="eastAsia" w:ascii="宋体" w:hAnsi="宋体" w:eastAsia="宋体" w:cs="宋体"/>
          <w:color w:val="auto"/>
          <w:kern w:val="2"/>
          <w:sz w:val="21"/>
          <w:szCs w:val="21"/>
          <w:highlight w:val="none"/>
          <w:u w:val="single"/>
          <w:lang w:val="en-US" w:eastAsia="zh-CN" w:bidi="ar"/>
        </w:rPr>
        <w:t xml:space="preserve">发包人在发票送达一周内完成支付 </w:t>
      </w:r>
      <w:r>
        <w:rPr>
          <w:rFonts w:hint="eastAsia" w:ascii="宋体" w:hAnsi="宋体" w:eastAsia="宋体" w:cs="宋体"/>
          <w:color w:val="auto"/>
          <w:kern w:val="2"/>
          <w:sz w:val="21"/>
          <w:szCs w:val="21"/>
          <w:highlight w:val="none"/>
          <w:lang w:val="en-US" w:eastAsia="zh-CN" w:bidi="ar"/>
        </w:rPr>
        <w:t>。</w:t>
      </w:r>
    </w:p>
    <w:p w14:paraId="7CC064A3">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15. 缺陷责任期与保修</w:t>
      </w:r>
    </w:p>
    <w:p w14:paraId="743A5A4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15.2缺陷责任期</w:t>
      </w:r>
    </w:p>
    <w:p w14:paraId="6853B39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缺陷责任期的具体期限：</w:t>
      </w:r>
      <w:r>
        <w:rPr>
          <w:rFonts w:hint="eastAsia" w:ascii="黑体" w:hAnsi="宋体" w:eastAsia="黑体" w:cs="黑体"/>
          <w:b/>
          <w:bCs/>
          <w:color w:val="auto"/>
          <w:kern w:val="2"/>
          <w:sz w:val="21"/>
          <w:szCs w:val="21"/>
          <w:highlight w:val="none"/>
          <w:u w:val="single"/>
          <w:lang w:val="en-US" w:eastAsia="zh-CN" w:bidi="ar"/>
        </w:rPr>
        <w:t>详见付款方式</w:t>
      </w:r>
      <w:r>
        <w:rPr>
          <w:rFonts w:hint="eastAsia" w:ascii="宋体" w:hAnsi="宋体" w:eastAsia="宋体" w:cs="宋体"/>
          <w:color w:val="auto"/>
          <w:kern w:val="2"/>
          <w:sz w:val="21"/>
          <w:szCs w:val="21"/>
          <w:highlight w:val="none"/>
          <w:u w:val="single"/>
          <w:lang w:val="en-US" w:eastAsia="zh-CN" w:bidi="ar"/>
        </w:rPr>
        <w:t>。</w:t>
      </w:r>
    </w:p>
    <w:p w14:paraId="4AAF2AC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 质量保证金</w:t>
      </w:r>
    </w:p>
    <w:p w14:paraId="7E1D59A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关于是否扣留质量保证金的约定：</w:t>
      </w:r>
      <w:r>
        <w:rPr>
          <w:rFonts w:hint="eastAsia" w:ascii="宋体" w:hAnsi="宋体" w:eastAsia="宋体" w:cs="宋体"/>
          <w:color w:val="auto"/>
          <w:kern w:val="2"/>
          <w:sz w:val="21"/>
          <w:szCs w:val="21"/>
          <w:highlight w:val="none"/>
          <w:u w:val="single"/>
          <w:lang w:val="en-US" w:eastAsia="zh-CN" w:bidi="ar"/>
        </w:rPr>
        <w:t xml:space="preserve">  是 </w:t>
      </w:r>
      <w:r>
        <w:rPr>
          <w:rFonts w:hint="eastAsia" w:ascii="宋体" w:hAnsi="宋体" w:eastAsia="宋体" w:cs="宋体"/>
          <w:color w:val="auto"/>
          <w:kern w:val="2"/>
          <w:sz w:val="21"/>
          <w:szCs w:val="21"/>
          <w:highlight w:val="none"/>
          <w:lang w:val="en-US" w:eastAsia="zh-CN" w:bidi="ar"/>
        </w:rPr>
        <w:t>。在工程项目竣工前，承包人按专用合同条款第3.7款提供履约保证金的，发包人不得同时预留工程质量保证金。</w:t>
      </w:r>
    </w:p>
    <w:p w14:paraId="70B42D11">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15.3.1 承包人提供质量保证金的方式</w:t>
      </w:r>
    </w:p>
    <w:p w14:paraId="26A46B36">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质量保证金采用第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13BA907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（1）质量保证金保函，保证金额为：</w:t>
      </w:r>
      <w:r>
        <w:rPr>
          <w:rFonts w:hint="eastAsia" w:ascii="宋体" w:hAnsi="宋体" w:eastAsia="宋体" w:cs="宋体"/>
          <w:b w:val="0"/>
          <w:bCs w:val="0"/>
          <w:color w:val="auto"/>
          <w:kern w:val="0"/>
          <w:sz w:val="21"/>
          <w:szCs w:val="21"/>
          <w:highlight w:val="none"/>
          <w:u w:val="single"/>
          <w:lang w:val="en-US" w:eastAsia="zh-CN" w:bidi="ar"/>
        </w:rPr>
        <w:t>2%的工程款</w:t>
      </w:r>
      <w:r>
        <w:rPr>
          <w:rFonts w:hint="eastAsia" w:ascii="宋体" w:hAnsi="宋体" w:eastAsia="宋体" w:cs="宋体"/>
          <w:b w:val="0"/>
          <w:bCs w:val="0"/>
          <w:color w:val="auto"/>
          <w:kern w:val="0"/>
          <w:sz w:val="21"/>
          <w:szCs w:val="21"/>
          <w:highlight w:val="none"/>
          <w:lang w:val="en-US" w:eastAsia="zh-CN" w:bidi="ar"/>
        </w:rPr>
        <w:t xml:space="preserve">； </w:t>
      </w:r>
    </w:p>
    <w:p w14:paraId="2B74B139">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u w:val="single"/>
          <w:lang w:val="en-US" w:eastAsia="zh-CN" w:bidi="ar"/>
        </w:rPr>
        <w:t>2</w:t>
      </w:r>
      <w:r>
        <w:rPr>
          <w:rFonts w:hint="eastAsia" w:ascii="宋体" w:hAnsi="宋体" w:eastAsia="宋体" w:cs="宋体"/>
          <w:b w:val="0"/>
          <w:bCs w:val="0"/>
          <w:color w:val="auto"/>
          <w:kern w:val="0"/>
          <w:sz w:val="21"/>
          <w:szCs w:val="21"/>
          <w:highlight w:val="none"/>
          <w:lang w:val="en-US" w:eastAsia="zh-CN" w:bidi="ar"/>
        </w:rPr>
        <w:t>%的工程款；</w:t>
      </w:r>
    </w:p>
    <w:p w14:paraId="0997443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BABC55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 xml:space="preserve">15.3.2 质量保证金的扣留 </w:t>
      </w:r>
    </w:p>
    <w:p w14:paraId="316C90CA">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bidi="ar"/>
        </w:rPr>
        <w:t>质量保证金的扣留采取第</w:t>
      </w:r>
      <w:r>
        <w:rPr>
          <w:rFonts w:hint="eastAsia" w:ascii="宋体" w:hAnsi="宋体" w:eastAsia="宋体" w:cs="宋体"/>
          <w:b w:val="0"/>
          <w:bCs w:val="0"/>
          <w:color w:val="auto"/>
          <w:kern w:val="2"/>
          <w:sz w:val="21"/>
          <w:szCs w:val="21"/>
          <w:highlight w:val="none"/>
          <w:u w:val="single"/>
          <w:lang w:val="en-US" w:eastAsia="zh-CN" w:bidi="ar"/>
        </w:rPr>
        <w:t xml:space="preserve">   </w:t>
      </w:r>
      <w:r>
        <w:rPr>
          <w:rFonts w:hint="eastAsia" w:ascii="宋体" w:hAnsi="宋体" w:eastAsia="宋体" w:cs="宋体"/>
          <w:b w:val="0"/>
          <w:bCs w:val="0"/>
          <w:color w:val="auto"/>
          <w:kern w:val="2"/>
          <w:sz w:val="21"/>
          <w:szCs w:val="21"/>
          <w:highlight w:val="none"/>
          <w:lang w:val="en-US" w:eastAsia="zh-CN" w:bidi="ar"/>
        </w:rPr>
        <w:t>种方式：</w:t>
      </w:r>
    </w:p>
    <w:p w14:paraId="641E646D">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（1）在支付工程进度款时逐次扣留，在此情形下，质量保证金的计算基数不包括预付款的支付、扣回以及价格调整的金额；</w:t>
      </w:r>
    </w:p>
    <w:p w14:paraId="465164C4">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（2）工程竣工结算时一次性扣留质量保证金；</w:t>
      </w:r>
    </w:p>
    <w:p w14:paraId="21AF4D40">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（3）其他扣留方式:</w:t>
      </w:r>
      <w:r>
        <w:rPr>
          <w:rFonts w:hint="eastAsia" w:ascii="宋体" w:hAnsi="宋体" w:eastAsia="宋体" w:cs="宋体"/>
          <w:b w:val="0"/>
          <w:bCs w:val="0"/>
          <w:color w:val="auto"/>
          <w:kern w:val="0"/>
          <w:sz w:val="21"/>
          <w:szCs w:val="21"/>
          <w:highlight w:val="none"/>
          <w:u w:val="single"/>
          <w:lang w:val="en-US" w:eastAsia="zh-CN" w:bidi="ar"/>
        </w:rPr>
        <w:t xml:space="preserve">  /    </w:t>
      </w:r>
      <w:r>
        <w:rPr>
          <w:rFonts w:hint="eastAsia" w:ascii="宋体" w:hAnsi="宋体" w:eastAsia="宋体" w:cs="宋体"/>
          <w:b w:val="0"/>
          <w:bCs w:val="0"/>
          <w:color w:val="auto"/>
          <w:kern w:val="0"/>
          <w:sz w:val="21"/>
          <w:szCs w:val="21"/>
          <w:highlight w:val="none"/>
          <w:lang w:val="en-US" w:eastAsia="zh-CN" w:bidi="ar"/>
        </w:rPr>
        <w:t>。</w:t>
      </w:r>
    </w:p>
    <w:p w14:paraId="0560352F">
      <w:pPr>
        <w:keepNext w:val="0"/>
        <w:keepLines w:val="0"/>
        <w:widowControl w:val="0"/>
        <w:suppressLineNumbers w:val="0"/>
        <w:adjustRightInd w:val="0"/>
        <w:snapToGrid w:val="0"/>
        <w:spacing w:before="0" w:beforeAutospacing="0" w:after="0" w:afterAutospacing="0" w:line="384" w:lineRule="auto"/>
        <w:ind w:left="0" w:right="0" w:firstLine="420" w:firstLineChars="200"/>
        <w:jc w:val="both"/>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关于质量保证金的补充约定：</w:t>
      </w:r>
      <w:r>
        <w:rPr>
          <w:rFonts w:hint="eastAsia" w:ascii="宋体" w:hAnsi="宋体" w:eastAsia="宋体" w:cs="宋体"/>
          <w:color w:val="auto"/>
          <w:kern w:val="0"/>
          <w:sz w:val="21"/>
          <w:szCs w:val="21"/>
          <w:highlight w:val="none"/>
          <w:u w:val="single"/>
          <w:lang w:val="en-US" w:eastAsia="zh-CN" w:bidi="ar"/>
        </w:rPr>
        <w:t xml:space="preserve"> /        </w:t>
      </w:r>
      <w:r>
        <w:rPr>
          <w:rFonts w:hint="eastAsia" w:ascii="宋体" w:hAnsi="宋体" w:eastAsia="宋体" w:cs="宋体"/>
          <w:color w:val="auto"/>
          <w:kern w:val="2"/>
          <w:sz w:val="21"/>
          <w:szCs w:val="21"/>
          <w:highlight w:val="none"/>
          <w:lang w:val="en-US" w:eastAsia="zh-CN" w:bidi="ar"/>
        </w:rPr>
        <w:t>。</w:t>
      </w:r>
    </w:p>
    <w:p w14:paraId="30129A52">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15.4保修</w:t>
      </w:r>
    </w:p>
    <w:p w14:paraId="3758904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15.4.1 保修责任</w:t>
      </w:r>
    </w:p>
    <w:p w14:paraId="73B8024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工程保修期为：</w:t>
      </w:r>
      <w:r>
        <w:rPr>
          <w:rFonts w:hint="eastAsia" w:ascii="宋体" w:hAnsi="宋体" w:eastAsia="宋体" w:cs="宋体"/>
          <w:color w:val="auto"/>
          <w:kern w:val="0"/>
          <w:sz w:val="21"/>
          <w:szCs w:val="21"/>
          <w:highlight w:val="none"/>
          <w:u w:val="single"/>
          <w:lang w:val="en-US" w:eastAsia="zh-CN" w:bidi="ar"/>
        </w:rPr>
        <w:t xml:space="preserve">   执行《建设工程质量管理条例》及有关规定，</w:t>
      </w:r>
      <w:r>
        <w:rPr>
          <w:rFonts w:hint="eastAsia" w:ascii="宋体" w:hAnsi="宋体" w:eastAsia="宋体" w:cs="宋体"/>
          <w:b/>
          <w:bCs w:val="0"/>
          <w:color w:val="auto"/>
          <w:kern w:val="2"/>
          <w:sz w:val="21"/>
          <w:szCs w:val="21"/>
          <w:highlight w:val="none"/>
          <w:u w:val="single"/>
          <w:shd w:val="clear" w:fill="FFFFFF"/>
          <w:lang w:val="en-US" w:eastAsia="zh-CN" w:bidi="ar"/>
        </w:rPr>
        <w:t>如与国家最新相关标准冲突的按标准较高的执行</w:t>
      </w:r>
      <w:r>
        <w:rPr>
          <w:rFonts w:hint="eastAsia" w:ascii="宋体" w:hAnsi="宋体" w:eastAsia="宋体" w:cs="宋体"/>
          <w:color w:val="auto"/>
          <w:kern w:val="0"/>
          <w:sz w:val="21"/>
          <w:szCs w:val="21"/>
          <w:highlight w:val="none"/>
          <w:u w:val="single"/>
          <w:lang w:val="en-US" w:eastAsia="zh-CN" w:bidi="ar"/>
        </w:rPr>
        <w:t xml:space="preserve">。     </w:t>
      </w:r>
    </w:p>
    <w:p w14:paraId="29D557CA">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eastAsia" w:ascii="宋体" w:hAnsi="宋体" w:eastAsia="宋体" w:cs="宋体"/>
          <w:color w:val="auto"/>
          <w:kern w:val="0"/>
          <w:sz w:val="21"/>
          <w:szCs w:val="21"/>
          <w:highlight w:val="none"/>
          <w:u w:val="single"/>
          <w:lang w:val="en-US" w:eastAsia="zh-CN" w:bidi="ar"/>
        </w:rPr>
        <w:t xml:space="preserve">   自承包人收到保修通知起24小时内到达工程现场。  </w:t>
      </w:r>
    </w:p>
    <w:p w14:paraId="7A998E99">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16. 违约</w:t>
      </w:r>
    </w:p>
    <w:p w14:paraId="77494DC1">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 发包人违约</w:t>
      </w:r>
    </w:p>
    <w:p w14:paraId="4C6DC20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16.1.1发包人违约的情形</w:t>
      </w:r>
    </w:p>
    <w:p w14:paraId="0D7DF0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发包人违约的其他情形：</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5F15A51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16.1.2 发包人违约的责任</w:t>
      </w:r>
    </w:p>
    <w:p w14:paraId="2D040EF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3FDB219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（1）因发包人原因未能在计划开工日期前7天内下达开工通知的违约责任：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1F8FC893">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（2）因发包人原因未能按合同约定支付合同价款的违约责任：</w:t>
      </w:r>
      <w:r>
        <w:rPr>
          <w:rFonts w:hint="eastAsia" w:ascii="宋体" w:hAnsi="宋体" w:eastAsia="宋体" w:cs="宋体"/>
          <w:color w:val="auto"/>
          <w:kern w:val="0"/>
          <w:sz w:val="21"/>
          <w:szCs w:val="21"/>
          <w:highlight w:val="none"/>
          <w:u w:val="single"/>
          <w:lang w:val="en-US" w:eastAsia="zh-CN" w:bidi="ar"/>
        </w:rPr>
        <w:t xml:space="preserve">  可按照中国人民银行发布的同期同类贷款基准利率支付违约金</w:t>
      </w:r>
      <w:r>
        <w:rPr>
          <w:rFonts w:hint="eastAsia" w:ascii="宋体" w:hAnsi="宋体" w:eastAsia="宋体" w:cs="宋体"/>
          <w:color w:val="auto"/>
          <w:kern w:val="0"/>
          <w:sz w:val="21"/>
          <w:szCs w:val="21"/>
          <w:highlight w:val="none"/>
          <w:lang w:val="en-US" w:eastAsia="zh-CN" w:bidi="ar"/>
        </w:rPr>
        <w:t>。</w:t>
      </w:r>
    </w:p>
    <w:p w14:paraId="0C8E11FC">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lang w:val="en-US" w:eastAsia="zh-CN" w:bidi="ar"/>
        </w:rPr>
        <w:t xml:space="preserve">   发包人可追加与被取消的工作造价相当的额外工作做为补偿   </w:t>
      </w:r>
      <w:r>
        <w:rPr>
          <w:rFonts w:hint="eastAsia" w:ascii="宋体" w:hAnsi="宋体" w:eastAsia="宋体" w:cs="宋体"/>
          <w:color w:val="auto"/>
          <w:kern w:val="0"/>
          <w:sz w:val="21"/>
          <w:szCs w:val="21"/>
          <w:highlight w:val="none"/>
          <w:lang w:val="en-US" w:eastAsia="zh-CN" w:bidi="ar"/>
        </w:rPr>
        <w:t>。</w:t>
      </w:r>
    </w:p>
    <w:p w14:paraId="6BB619C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lang w:val="en-US" w:eastAsia="zh-CN" w:bidi="ar"/>
        </w:rPr>
        <w:t xml:space="preserve">   发包人可补足或更换材料、工程设备；对工期造成延误的可以顺延；增加承包人成本的可予以补偿  </w:t>
      </w:r>
      <w:r>
        <w:rPr>
          <w:rFonts w:hint="eastAsia" w:ascii="宋体" w:hAnsi="宋体" w:eastAsia="宋体" w:cs="宋体"/>
          <w:color w:val="auto"/>
          <w:kern w:val="0"/>
          <w:sz w:val="21"/>
          <w:szCs w:val="21"/>
          <w:highlight w:val="none"/>
          <w:lang w:val="en-US" w:eastAsia="zh-CN" w:bidi="ar"/>
        </w:rPr>
        <w:t>。</w:t>
      </w:r>
    </w:p>
    <w:p w14:paraId="2DD8292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（5）因发包人违反合同约定造成暂停施工的违约责任：</w:t>
      </w:r>
      <w:r>
        <w:rPr>
          <w:rFonts w:hint="eastAsia" w:ascii="宋体" w:hAnsi="宋体" w:eastAsia="宋体" w:cs="宋体"/>
          <w:color w:val="auto"/>
          <w:kern w:val="0"/>
          <w:sz w:val="21"/>
          <w:szCs w:val="21"/>
          <w:highlight w:val="none"/>
          <w:u w:val="single"/>
          <w:lang w:val="en-US" w:eastAsia="zh-CN" w:bidi="ar"/>
        </w:rPr>
        <w:t xml:space="preserve">  可顺延工期  </w:t>
      </w:r>
      <w:r>
        <w:rPr>
          <w:rFonts w:hint="eastAsia" w:ascii="宋体" w:hAnsi="宋体" w:eastAsia="宋体" w:cs="宋体"/>
          <w:color w:val="auto"/>
          <w:kern w:val="0"/>
          <w:sz w:val="21"/>
          <w:szCs w:val="21"/>
          <w:highlight w:val="none"/>
          <w:lang w:val="en-US" w:eastAsia="zh-CN" w:bidi="ar"/>
        </w:rPr>
        <w:t>。</w:t>
      </w:r>
    </w:p>
    <w:p w14:paraId="46A6C46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lang w:val="en-US" w:eastAsia="zh-CN" w:bidi="ar"/>
        </w:rPr>
        <w:t xml:space="preserve"> 对工期造成影响的可顺延工期  </w:t>
      </w:r>
      <w:r>
        <w:rPr>
          <w:rFonts w:hint="eastAsia" w:ascii="宋体" w:hAnsi="宋体" w:eastAsia="宋体" w:cs="宋体"/>
          <w:color w:val="auto"/>
          <w:kern w:val="0"/>
          <w:sz w:val="21"/>
          <w:szCs w:val="21"/>
          <w:highlight w:val="none"/>
          <w:lang w:val="en-US" w:eastAsia="zh-CN" w:bidi="ar"/>
        </w:rPr>
        <w:t>。</w:t>
      </w:r>
    </w:p>
    <w:p w14:paraId="424060A6">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（7）其他：</w:t>
      </w:r>
      <w:r>
        <w:rPr>
          <w:rFonts w:hint="eastAsia" w:ascii="宋体" w:hAnsi="宋体" w:eastAsia="宋体" w:cs="宋体"/>
          <w:color w:val="auto"/>
          <w:kern w:val="0"/>
          <w:sz w:val="21"/>
          <w:szCs w:val="21"/>
          <w:highlight w:val="none"/>
          <w:u w:val="single"/>
          <w:lang w:val="en-US" w:eastAsia="zh-CN" w:bidi="ar"/>
        </w:rPr>
        <w:t xml:space="preserve">  无  </w:t>
      </w:r>
      <w:r>
        <w:rPr>
          <w:rFonts w:hint="eastAsia" w:ascii="宋体" w:hAnsi="宋体" w:eastAsia="宋体" w:cs="宋体"/>
          <w:color w:val="auto"/>
          <w:kern w:val="0"/>
          <w:sz w:val="21"/>
          <w:szCs w:val="21"/>
          <w:highlight w:val="none"/>
          <w:lang w:val="en-US" w:eastAsia="zh-CN" w:bidi="ar"/>
        </w:rPr>
        <w:t>。</w:t>
      </w:r>
    </w:p>
    <w:p w14:paraId="2C6ABF50">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16.1.3 因发包人违约解除合同</w:t>
      </w:r>
    </w:p>
    <w:p w14:paraId="34E7B4B4">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承包人按16.1.1项〔发包人违约的情形〕约定暂停施工满</w:t>
      </w:r>
      <w:r>
        <w:rPr>
          <w:rFonts w:hint="eastAsia" w:ascii="宋体" w:hAnsi="宋体" w:eastAsia="宋体" w:cs="宋体"/>
          <w:color w:val="auto"/>
          <w:kern w:val="0"/>
          <w:sz w:val="21"/>
          <w:szCs w:val="21"/>
          <w:highlight w:val="none"/>
          <w:u w:val="single"/>
          <w:lang w:val="en-US" w:eastAsia="zh-CN" w:bidi="ar"/>
        </w:rPr>
        <w:t xml:space="preserve">  28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C28A0E8">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 承包人违约</w:t>
      </w:r>
    </w:p>
    <w:p w14:paraId="5D83399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16.2.1 承包人违约的情形</w:t>
      </w:r>
    </w:p>
    <w:p w14:paraId="5E2BACC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p>
    <w:p w14:paraId="239EBFC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16.2.2承包人违约的责任</w:t>
      </w:r>
    </w:p>
    <w:p w14:paraId="1A9ED6DD">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承包人违约责任的承担方式和计算方法：</w:t>
      </w:r>
      <w:r>
        <w:rPr>
          <w:rFonts w:hint="eastAsia" w:ascii="宋体" w:hAnsi="宋体" w:eastAsia="宋体" w:cs="宋体"/>
          <w:color w:val="auto"/>
          <w:kern w:val="0"/>
          <w:sz w:val="21"/>
          <w:szCs w:val="21"/>
          <w:highlight w:val="none"/>
          <w:u w:val="single"/>
          <w:lang w:val="en-US" w:eastAsia="zh-CN" w:bidi="ar"/>
        </w:rPr>
        <w:t xml:space="preserve"> 执行补充条款   </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 xml:space="preserve">    </w:t>
      </w:r>
    </w:p>
    <w:p w14:paraId="2CC6B57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16.2.3 因承包人违约解除合同</w:t>
      </w:r>
    </w:p>
    <w:p w14:paraId="232B4DD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执行</w:t>
      </w:r>
      <w:r>
        <w:rPr>
          <w:rFonts w:hint="eastAsia" w:ascii="宋体" w:hAnsi="宋体" w:eastAsia="宋体" w:cs="宋体"/>
          <w:color w:val="auto"/>
          <w:kern w:val="2"/>
          <w:sz w:val="21"/>
          <w:szCs w:val="21"/>
          <w:highlight w:val="none"/>
          <w:u w:val="single"/>
          <w:lang w:val="en-US" w:eastAsia="zh-CN" w:bidi="ar"/>
        </w:rPr>
        <w:t>补充条款。</w:t>
      </w:r>
    </w:p>
    <w:p w14:paraId="28CF0D3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lang w:val="en-US" w:eastAsia="zh-CN" w:bidi="ar"/>
        </w:rPr>
        <w:t xml:space="preserve">   发包人不承担费用   </w:t>
      </w:r>
      <w:r>
        <w:rPr>
          <w:rFonts w:hint="eastAsia" w:ascii="宋体" w:hAnsi="宋体" w:eastAsia="宋体" w:cs="宋体"/>
          <w:color w:val="auto"/>
          <w:kern w:val="0"/>
          <w:sz w:val="21"/>
          <w:szCs w:val="21"/>
          <w:highlight w:val="none"/>
          <w:lang w:val="en-US" w:eastAsia="zh-CN" w:bidi="ar"/>
        </w:rPr>
        <w:t>。</w:t>
      </w:r>
    </w:p>
    <w:p w14:paraId="020BD656">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 xml:space="preserve">17. 不可抗力 </w:t>
      </w:r>
    </w:p>
    <w:p w14:paraId="76728199">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17.1 不可抗力的确认</w:t>
      </w:r>
    </w:p>
    <w:p w14:paraId="591F0EE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2"/>
          <w:sz w:val="21"/>
          <w:szCs w:val="21"/>
          <w:highlight w:val="none"/>
          <w:lang w:val="en-US" w:eastAsia="zh-CN" w:bidi="ar"/>
        </w:rPr>
        <w:t>除通用合同条款约定的不可抗力事件之外，视为不可抗力的其他情形：</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u w:val="single"/>
          <w:lang w:val="en-US" w:eastAsia="zh-CN" w:bidi="ar"/>
        </w:rPr>
        <w:t>无</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A618DC">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17.4 因不可抗力解除合同</w:t>
      </w:r>
    </w:p>
    <w:p w14:paraId="3D739A61">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合同解除后，发包人应在</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完成款项的支付。</w:t>
      </w:r>
    </w:p>
    <w:p w14:paraId="2260F2FF">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18. 保险</w:t>
      </w:r>
    </w:p>
    <w:p w14:paraId="5DB1EB1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18.1 工程保险</w:t>
      </w:r>
    </w:p>
    <w:p w14:paraId="05740323">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关于工程保险的特别约定：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7173782B">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18.3 其他保险</w:t>
      </w:r>
    </w:p>
    <w:p w14:paraId="05DE9B5F">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en-US" w:eastAsia="zh-CN" w:bidi="ar"/>
        </w:rPr>
        <w:t>关于其他保险的约定：</w:t>
      </w:r>
      <w:r>
        <w:rPr>
          <w:rFonts w:hint="eastAsia" w:ascii="宋体" w:hAnsi="宋体" w:eastAsia="宋体" w:cs="宋体"/>
          <w:color w:val="auto"/>
          <w:kern w:val="0"/>
          <w:sz w:val="21"/>
          <w:szCs w:val="21"/>
          <w:highlight w:val="none"/>
          <w:u w:val="single"/>
          <w:lang w:val="en-US" w:eastAsia="zh-CN" w:bidi="ar"/>
        </w:rPr>
        <w:t xml:space="preserve"> 执行国家、省、市有关规定</w:t>
      </w:r>
    </w:p>
    <w:p w14:paraId="0BF6AA28">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承包人是否应为其施工设备等办理财产保险：</w:t>
      </w:r>
      <w:r>
        <w:rPr>
          <w:rFonts w:hint="eastAsia" w:ascii="宋体" w:hAnsi="宋体" w:eastAsia="宋体" w:cs="宋体"/>
          <w:color w:val="auto"/>
          <w:kern w:val="2"/>
          <w:sz w:val="21"/>
          <w:szCs w:val="21"/>
          <w:highlight w:val="none"/>
          <w:u w:val="single"/>
          <w:lang w:val="en-US" w:eastAsia="zh-CN" w:bidi="ar"/>
        </w:rPr>
        <w:t xml:space="preserve"> 承包人应为其施工设备等办理财产保险。</w:t>
      </w:r>
    </w:p>
    <w:p w14:paraId="7F2DFD75">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18.7 通知义务</w:t>
      </w:r>
    </w:p>
    <w:p w14:paraId="75837CC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关于变更保险合同时的通知义务的约定：</w:t>
      </w:r>
      <w:r>
        <w:rPr>
          <w:rFonts w:hint="eastAsia" w:ascii="宋体" w:hAnsi="宋体" w:eastAsia="宋体" w:cs="宋体"/>
          <w:color w:val="auto"/>
          <w:kern w:val="0"/>
          <w:sz w:val="21"/>
          <w:szCs w:val="21"/>
          <w:highlight w:val="none"/>
          <w:u w:val="single"/>
          <w:lang w:val="en-US" w:eastAsia="zh-CN" w:bidi="ar"/>
        </w:rPr>
        <w:t>发包人变更除工伤保险之外的保险合同时，应事先征得承包人同意，并通知监理人；承包人变更除工伤保险之外的保险合同时，应事先征得发包人同意，并通知监理人。</w:t>
      </w:r>
    </w:p>
    <w:p w14:paraId="0686253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保险事故发生时，投保人应按照保险合同规定的条件和期限及时向保险人报告。发包人和承包人应当在知道保险事故发生后及时通知对方。</w:t>
      </w:r>
    </w:p>
    <w:p w14:paraId="2B8D6D3D">
      <w:pPr>
        <w:pStyle w:val="9"/>
        <w:widowControl/>
        <w:snapToGrid w:val="0"/>
        <w:spacing w:before="0" w:beforeAutospacing="0" w:after="0" w:afterAutospacing="0" w:line="440" w:lineRule="exact"/>
        <w:ind w:left="0" w:firstLine="420" w:firstLineChars="200"/>
        <w:rPr>
          <w:rFonts w:hint="eastAsia" w:ascii="宋体" w:hAnsi="Arial" w:eastAsia="宋体" w:cs="宋体"/>
          <w:b w:val="0"/>
          <w:bCs/>
          <w:color w:val="auto"/>
          <w:kern w:val="2"/>
          <w:sz w:val="21"/>
          <w:szCs w:val="21"/>
          <w:highlight w:val="none"/>
        </w:rPr>
      </w:pPr>
      <w:r>
        <w:rPr>
          <w:rFonts w:hint="eastAsia" w:ascii="宋体" w:hAnsi="宋体" w:eastAsia="宋体" w:cs="宋体"/>
          <w:b w:val="0"/>
          <w:bCs/>
          <w:color w:val="auto"/>
          <w:kern w:val="2"/>
          <w:sz w:val="21"/>
          <w:szCs w:val="21"/>
          <w:highlight w:val="none"/>
        </w:rPr>
        <w:t>20. 争议解决</w:t>
      </w:r>
    </w:p>
    <w:p w14:paraId="7272DF07">
      <w:pPr>
        <w:keepNext w:val="0"/>
        <w:keepLines w:val="0"/>
        <w:widowControl w:val="0"/>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 争议评审</w:t>
      </w:r>
    </w:p>
    <w:p w14:paraId="36CA1C2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合同当事人是否同意将工程争议提交争议评审小组决定：</w:t>
      </w:r>
      <w:r>
        <w:rPr>
          <w:rFonts w:hint="eastAsia" w:ascii="宋体" w:hAnsi="宋体" w:eastAsia="宋体" w:cs="宋体"/>
          <w:color w:val="auto"/>
          <w:kern w:val="2"/>
          <w:sz w:val="21"/>
          <w:szCs w:val="21"/>
          <w:highlight w:val="none"/>
          <w:u w:val="single"/>
          <w:lang w:val="en-US" w:eastAsia="zh-CN" w:bidi="ar"/>
        </w:rPr>
        <w:t xml:space="preserve">  不同意   </w:t>
      </w:r>
      <w:r>
        <w:rPr>
          <w:rFonts w:hint="eastAsia" w:ascii="宋体" w:hAnsi="宋体" w:eastAsia="宋体" w:cs="宋体"/>
          <w:color w:val="auto"/>
          <w:kern w:val="2"/>
          <w:sz w:val="21"/>
          <w:szCs w:val="21"/>
          <w:highlight w:val="none"/>
          <w:lang w:val="en-US" w:eastAsia="zh-CN" w:bidi="ar"/>
        </w:rPr>
        <w:t xml:space="preserve">。  </w:t>
      </w:r>
    </w:p>
    <w:p w14:paraId="3462D76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20.3.1 争议评审小组的确定</w:t>
      </w:r>
    </w:p>
    <w:p w14:paraId="38C164E9">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lang w:val="en-US" w:eastAsia="zh-CN" w:bidi="ar"/>
        </w:rPr>
        <w:t>争议评审小组成员的确定：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488BBD02">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选定争议评审员的期限：</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21C6571E">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争议评审小组成员的报酬承担方式：</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1D463454">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其他事项的约定：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5BDE047C">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20.3.2 争议评审小组的决定</w:t>
      </w:r>
    </w:p>
    <w:p w14:paraId="3E9E4D45">
      <w:pPr>
        <w:keepNext w:val="0"/>
        <w:keepLines w:val="0"/>
        <w:widowControl w:val="0"/>
        <w:suppressLineNumbers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合同当事人关于本项的约定：</w:t>
      </w:r>
      <w:r>
        <w:rPr>
          <w:rFonts w:hint="eastAsia" w:ascii="宋体" w:hAnsi="宋体" w:eastAsia="宋体" w:cs="宋体"/>
          <w:color w:val="auto"/>
          <w:kern w:val="2"/>
          <w:sz w:val="21"/>
          <w:szCs w:val="21"/>
          <w:highlight w:val="none"/>
          <w:u w:val="single"/>
          <w:lang w:val="en-US" w:eastAsia="zh-CN" w:bidi="ar"/>
        </w:rPr>
        <w:t xml:space="preserve">  无   </w:t>
      </w:r>
      <w:r>
        <w:rPr>
          <w:rFonts w:hint="eastAsia" w:ascii="宋体" w:hAnsi="宋体" w:eastAsia="宋体" w:cs="宋体"/>
          <w:color w:val="auto"/>
          <w:kern w:val="2"/>
          <w:sz w:val="21"/>
          <w:szCs w:val="21"/>
          <w:highlight w:val="none"/>
          <w:lang w:val="en-US" w:eastAsia="zh-CN" w:bidi="ar"/>
        </w:rPr>
        <w:t>。</w:t>
      </w:r>
    </w:p>
    <w:p w14:paraId="023FC272">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20.4仲裁或诉讼</w:t>
      </w:r>
    </w:p>
    <w:p w14:paraId="5A8BCC9D">
      <w:pPr>
        <w:keepNext w:val="0"/>
        <w:keepLines w:val="0"/>
        <w:widowControl w:val="0"/>
        <w:suppressLineNumbers w:val="0"/>
        <w:autoSpaceDE w:val="0"/>
        <w:autoSpaceDN w:val="0"/>
        <w:adjustRightInd w:val="0"/>
        <w:snapToGrid w:val="0"/>
        <w:spacing w:before="0" w:beforeAutospacing="0" w:after="0" w:afterAutospacing="0" w:line="440" w:lineRule="exact"/>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eastAsia" w:ascii="宋体" w:hAnsi="宋体" w:eastAsia="宋体" w:cs="宋体"/>
          <w:color w:val="auto"/>
          <w:kern w:val="0"/>
          <w:sz w:val="21"/>
          <w:szCs w:val="21"/>
          <w:highlight w:val="none"/>
          <w:u w:val="single"/>
          <w:lang w:val="en-US" w:eastAsia="zh-CN" w:bidi="ar"/>
        </w:rPr>
        <w:t xml:space="preserve">  （2）   </w:t>
      </w:r>
      <w:r>
        <w:rPr>
          <w:rFonts w:hint="eastAsia" w:ascii="宋体" w:hAnsi="宋体" w:eastAsia="宋体" w:cs="宋体"/>
          <w:color w:val="auto"/>
          <w:kern w:val="0"/>
          <w:sz w:val="21"/>
          <w:szCs w:val="21"/>
          <w:highlight w:val="none"/>
          <w:lang w:val="en-US" w:eastAsia="zh-CN" w:bidi="ar"/>
        </w:rPr>
        <w:t>种方式解决：</w:t>
      </w:r>
    </w:p>
    <w:p w14:paraId="02F36E6E">
      <w:pPr>
        <w:keepNext w:val="0"/>
        <w:keepLines w:val="0"/>
        <w:widowControl w:val="0"/>
        <w:suppressLineNumbers w:val="0"/>
        <w:autoSpaceDE w:val="0"/>
        <w:autoSpaceDN w:val="0"/>
        <w:adjustRightInd w:val="0"/>
        <w:snapToGrid w:val="0"/>
        <w:spacing w:before="0" w:beforeAutospacing="0" w:after="0" w:afterAutospacing="0" w:line="440" w:lineRule="exact"/>
        <w:ind w:left="420" w:leftChars="20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（1）向</w:t>
      </w:r>
      <w:r>
        <w:rPr>
          <w:rFonts w:hint="eastAsia" w:ascii="宋体" w:hAnsi="宋体" w:eastAsia="宋体" w:cs="宋体"/>
          <w:color w:val="auto"/>
          <w:kern w:val="0"/>
          <w:sz w:val="21"/>
          <w:szCs w:val="21"/>
          <w:highlight w:val="none"/>
          <w:u w:val="single"/>
          <w:lang w:val="en-US" w:eastAsia="zh-CN" w:bidi="ar"/>
        </w:rPr>
        <w:t xml:space="preserve">  滁州  </w:t>
      </w:r>
      <w:r>
        <w:rPr>
          <w:rFonts w:hint="eastAsia" w:ascii="宋体" w:hAnsi="宋体" w:eastAsia="宋体" w:cs="宋体"/>
          <w:color w:val="auto"/>
          <w:kern w:val="0"/>
          <w:sz w:val="21"/>
          <w:szCs w:val="21"/>
          <w:highlight w:val="none"/>
          <w:lang w:val="en-US" w:eastAsia="zh-CN" w:bidi="ar"/>
        </w:rPr>
        <w:t>仲裁委员会申请仲裁；</w:t>
      </w:r>
    </w:p>
    <w:p w14:paraId="27258F72">
      <w:pPr>
        <w:pStyle w:val="42"/>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0"/>
          <w:sz w:val="21"/>
          <w:szCs w:val="21"/>
          <w:highlight w:val="none"/>
        </w:rPr>
        <w:t>（2）向</w:t>
      </w:r>
      <w:r>
        <w:rPr>
          <w:rFonts w:hint="eastAsia" w:ascii="宋体" w:hAnsi="宋体" w:eastAsia="宋体" w:cs="宋体"/>
          <w:color w:val="auto"/>
          <w:kern w:val="0"/>
          <w:sz w:val="21"/>
          <w:szCs w:val="21"/>
          <w:highlight w:val="none"/>
          <w:u w:val="single"/>
        </w:rPr>
        <w:t xml:space="preserve">  工程所在地  </w:t>
      </w:r>
      <w:r>
        <w:rPr>
          <w:rFonts w:hint="eastAsia" w:ascii="宋体" w:hAnsi="宋体" w:eastAsia="宋体" w:cs="宋体"/>
          <w:color w:val="auto"/>
          <w:kern w:val="0"/>
          <w:sz w:val="21"/>
          <w:szCs w:val="21"/>
          <w:highlight w:val="none"/>
        </w:rPr>
        <w:t>人民法院起诉。</w:t>
      </w:r>
    </w:p>
    <w:p w14:paraId="63C48556">
      <w:pPr>
        <w:pStyle w:val="42"/>
        <w:keepNext w:val="0"/>
        <w:keepLines w:val="0"/>
        <w:widowControl w:val="0"/>
        <w:suppressLineNumbers w:val="0"/>
        <w:spacing w:before="0" w:beforeAutospacing="1" w:after="0" w:afterLines="0" w:afterAutospacing="0" w:line="440" w:lineRule="exact"/>
        <w:ind w:left="0" w:leftChars="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bookmarkEnd w:id="899"/>
    <w:p w14:paraId="45E03395">
      <w:pPr>
        <w:keepNext/>
        <w:keepLines/>
        <w:spacing w:before="120" w:after="120" w:line="360" w:lineRule="auto"/>
        <w:jc w:val="left"/>
        <w:outlineLvl w:val="2"/>
        <w:rPr>
          <w:rFonts w:hint="eastAsia" w:ascii="宋体" w:hAnsi="宋体" w:cs="宋体"/>
          <w:bCs/>
          <w:color w:val="auto"/>
          <w:sz w:val="24"/>
          <w:highlight w:val="none"/>
        </w:rPr>
      </w:pPr>
      <w:bookmarkStart w:id="913" w:name="_Toc95223490"/>
      <w:r>
        <w:rPr>
          <w:rFonts w:hint="eastAsia" w:ascii="宋体" w:hAnsi="宋体" w:cs="宋体"/>
          <w:bCs/>
          <w:color w:val="auto"/>
          <w:sz w:val="24"/>
          <w:highlight w:val="none"/>
        </w:rPr>
        <w:t>工程质量保修书</w:t>
      </w:r>
    </w:p>
    <w:p w14:paraId="5BFAB746">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1BF6BEF7">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1C87623A">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2F1C5501">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发包人和承包人根据《中华人民共和国建筑法》和《建设工程质量管理条例》，经协商一致就______________________工程签订工程质量保修书。</w:t>
      </w:r>
    </w:p>
    <w:p w14:paraId="49E666DB">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65AC3761">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按照《建设工程质量管理条例》及有关法律、法规、规章的管理规定和双方约定由施工单位在质量保修期内，承担本工程质量保修责任。</w:t>
      </w:r>
    </w:p>
    <w:p w14:paraId="6E8F3FA2">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w:t>
      </w:r>
    </w:p>
    <w:p w14:paraId="1A1C4DF7">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合同文件中明确的全部内容（含设计变更及签证以及决算中所含的全部内容）</w:t>
      </w:r>
      <w:r>
        <w:rPr>
          <w:rFonts w:hint="eastAsia" w:ascii="宋体" w:hAnsi="宋体" w:cs="宋体"/>
          <w:bCs/>
          <w:color w:val="auto"/>
          <w:kern w:val="0"/>
          <w:position w:val="6"/>
          <w:szCs w:val="21"/>
          <w:highlight w:val="none"/>
        </w:rPr>
        <w:t>。</w:t>
      </w:r>
    </w:p>
    <w:p w14:paraId="5CD3105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3B51CAC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双方根据《建设工程质量管理条例》及有关规定，约定本工程的质量保修期如下：</w:t>
      </w:r>
    </w:p>
    <w:p w14:paraId="597EF551">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1、地基基础工程和主体结构工程为设计文件规定的该工程合理使用年限；</w:t>
      </w:r>
    </w:p>
    <w:p w14:paraId="592E0CCD">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2、屋面防水工程、有防水要求的卫生间、房间的外墙面的防渗漏为5年；</w:t>
      </w:r>
    </w:p>
    <w:p w14:paraId="47B48D1E">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3、装修工程为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E3E5DA3">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4、电气管线、给排水管道、设备安装工程为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272FA72F">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5、供热与供冷系统为</w:t>
      </w:r>
      <w:r>
        <w:rPr>
          <w:rFonts w:hint="eastAsia" w:ascii="宋体" w:hAnsi="宋体" w:cs="宋体"/>
          <w:color w:val="auto"/>
          <w:kern w:val="0"/>
          <w:position w:val="6"/>
          <w:szCs w:val="21"/>
          <w:highlight w:val="none"/>
          <w:u w:val="single"/>
        </w:rPr>
        <w:t> 2个采暖期、供冷期</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rPr>
        <w:t>；</w:t>
      </w:r>
    </w:p>
    <w:p w14:paraId="7ADA8537">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6、给排水设施、道路等配套工程为</w:t>
      </w:r>
      <w:r>
        <w:rPr>
          <w:rFonts w:hint="eastAsia" w:ascii="宋体" w:hAnsi="宋体" w:cs="宋体"/>
          <w:color w:val="auto"/>
          <w:kern w:val="0"/>
          <w:position w:val="6"/>
          <w:szCs w:val="21"/>
          <w:highlight w:val="none"/>
          <w:u w:val="single"/>
        </w:rPr>
        <w:t>  2 </w:t>
      </w:r>
      <w:r>
        <w:rPr>
          <w:rFonts w:hint="eastAsia" w:ascii="宋体" w:hAnsi="宋体" w:cs="宋体"/>
          <w:color w:val="auto"/>
          <w:kern w:val="0"/>
          <w:position w:val="6"/>
          <w:szCs w:val="21"/>
          <w:highlight w:val="none"/>
        </w:rPr>
        <w:t>年；</w:t>
      </w:r>
    </w:p>
    <w:p w14:paraId="3A32ED9A">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7、保温工程：5年；</w:t>
      </w:r>
    </w:p>
    <w:p w14:paraId="110F7A1B">
      <w:pPr>
        <w:adjustRightInd w:val="0"/>
        <w:snapToGrid w:val="0"/>
        <w:spacing w:line="360" w:lineRule="auto"/>
        <w:ind w:firstLine="420" w:firstLineChars="200"/>
        <w:jc w:val="left"/>
        <w:rPr>
          <w:rFonts w:hint="eastAsia" w:ascii="宋体" w:hAnsi="宋体" w:eastAsia="宋体" w:cs="宋体"/>
          <w:color w:val="auto"/>
          <w:kern w:val="0"/>
          <w:position w:val="6"/>
          <w:szCs w:val="21"/>
          <w:highlight w:val="none"/>
          <w:lang w:eastAsia="zh-CN"/>
        </w:rPr>
      </w:pPr>
      <w:r>
        <w:rPr>
          <w:rFonts w:hint="eastAsia" w:ascii="宋体" w:hAnsi="宋体" w:cs="宋体"/>
          <w:color w:val="auto"/>
          <w:kern w:val="0"/>
          <w:position w:val="6"/>
          <w:szCs w:val="21"/>
          <w:highlight w:val="none"/>
        </w:rPr>
        <w:t>8、建筑幕墙：5年</w:t>
      </w:r>
      <w:r>
        <w:rPr>
          <w:rFonts w:hint="eastAsia" w:ascii="宋体" w:hAnsi="宋体" w:cs="宋体"/>
          <w:color w:val="auto"/>
          <w:kern w:val="0"/>
          <w:position w:val="6"/>
          <w:szCs w:val="21"/>
          <w:highlight w:val="none"/>
          <w:lang w:eastAsia="zh-CN"/>
        </w:rPr>
        <w:t>；</w:t>
      </w:r>
    </w:p>
    <w:p w14:paraId="4F90EDE3">
      <w:pPr>
        <w:adjustRightInd w:val="0"/>
        <w:snapToGrid w:val="0"/>
        <w:spacing w:line="360" w:lineRule="auto"/>
        <w:ind w:firstLine="420" w:firstLineChars="200"/>
        <w:jc w:val="left"/>
        <w:rPr>
          <w:rFonts w:hint="eastAsia" w:ascii="宋体" w:hAnsi="宋体" w:cs="宋体"/>
          <w:color w:val="auto"/>
          <w:kern w:val="0"/>
          <w:position w:val="6"/>
          <w:szCs w:val="21"/>
          <w:highlight w:val="none"/>
          <w:lang w:val="en-US" w:eastAsia="zh-CN"/>
        </w:rPr>
      </w:pPr>
      <w:r>
        <w:rPr>
          <w:rFonts w:hint="eastAsia" w:ascii="宋体" w:hAnsi="宋体" w:cs="宋体"/>
          <w:color w:val="auto"/>
          <w:kern w:val="0"/>
          <w:position w:val="6"/>
          <w:szCs w:val="21"/>
          <w:highlight w:val="none"/>
        </w:rPr>
        <w:t>9、其他项目保修期限约定如下：</w:t>
      </w:r>
      <w:r>
        <w:rPr>
          <w:rFonts w:hint="eastAsia" w:ascii="宋体" w:hAnsi="宋体" w:cs="宋体"/>
          <w:color w:val="auto"/>
          <w:kern w:val="0"/>
          <w:position w:val="6"/>
          <w:szCs w:val="21"/>
          <w:highlight w:val="none"/>
          <w:u w:val="single"/>
          <w:lang w:val="en-US" w:eastAsia="zh-CN"/>
        </w:rPr>
        <w:t xml:space="preserve">             </w:t>
      </w:r>
      <w:r>
        <w:rPr>
          <w:rFonts w:hint="eastAsia" w:ascii="宋体" w:hAnsi="宋体" w:cs="宋体"/>
          <w:color w:val="auto"/>
          <w:kern w:val="0"/>
          <w:position w:val="6"/>
          <w:szCs w:val="21"/>
          <w:highlight w:val="none"/>
          <w:lang w:val="en-US" w:eastAsia="zh-CN"/>
        </w:rPr>
        <w:t>。</w:t>
      </w:r>
    </w:p>
    <w:p w14:paraId="64A812A6">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质量保修期自工程竣工验收合格之日起计算。</w:t>
      </w:r>
    </w:p>
    <w:p w14:paraId="65D51BE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0F4CA3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9651C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54F4E0FC">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50C9CE62">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属于保修范围、内容的项目，承包人应当在接到保修通知之日起48小时内派人保修。承包人不约定期限内派人保修的，发包人可以委托他人修理。</w:t>
      </w:r>
    </w:p>
    <w:p w14:paraId="599DACB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2、发生紧急抢修事故的，承包人在接到事故通知后，应当立即到达事故现场抢修。</w:t>
      </w:r>
    </w:p>
    <w:p w14:paraId="15EE5755">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B67C3F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4、质量保修完成后，由发包人组织验收。</w:t>
      </w:r>
    </w:p>
    <w:p w14:paraId="58E89490">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06AAA46C">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6DD5327C">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1BFFE4DE">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30001B9F">
      <w:pPr>
        <w:adjustRightInd w:val="0"/>
        <w:snapToGrid w:val="0"/>
        <w:spacing w:line="360" w:lineRule="auto"/>
        <w:ind w:firstLine="420"/>
        <w:rPr>
          <w:rFonts w:hint="eastAsia" w:ascii="宋体" w:hAnsi="宋体" w:cs="宋体"/>
          <w:color w:val="auto"/>
          <w:szCs w:val="21"/>
          <w:highlight w:val="none"/>
        </w:rPr>
      </w:pPr>
    </w:p>
    <w:p w14:paraId="793D9D1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4FF4357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649B036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18A92D5C">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7E541B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6FFE4E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15D220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79C983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CB88932">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A2885E9">
      <w:pPr>
        <w:rPr>
          <w:rFonts w:hint="eastAsia" w:ascii="宋体" w:hAnsi="宋体" w:cs="宋体"/>
          <w:bCs/>
          <w:color w:val="auto"/>
          <w:sz w:val="24"/>
          <w:highlight w:val="none"/>
        </w:rPr>
      </w:pPr>
      <w:r>
        <w:rPr>
          <w:rFonts w:hint="eastAsia" w:ascii="宋体" w:hAnsi="宋体" w:cs="宋体"/>
          <w:bCs/>
          <w:color w:val="auto"/>
          <w:sz w:val="24"/>
          <w:highlight w:val="none"/>
        </w:rPr>
        <w:br w:type="page"/>
      </w:r>
    </w:p>
    <w:bookmarkEnd w:id="913"/>
    <w:p w14:paraId="7475CAD0">
      <w:pPr>
        <w:keepNext/>
        <w:keepLines/>
        <w:spacing w:before="120" w:after="120" w:line="360" w:lineRule="auto"/>
        <w:jc w:val="left"/>
        <w:outlineLvl w:val="2"/>
        <w:rPr>
          <w:rFonts w:hint="eastAsia" w:ascii="宋体" w:hAnsi="宋体" w:cs="宋体"/>
          <w:bCs/>
          <w:color w:val="auto"/>
          <w:sz w:val="24"/>
          <w:highlight w:val="none"/>
        </w:rPr>
      </w:pPr>
      <w:bookmarkStart w:id="914" w:name="_Toc95223511"/>
      <w:r>
        <w:rPr>
          <w:rFonts w:hint="eastAsia" w:ascii="宋体" w:hAnsi="宋体" w:cs="宋体"/>
          <w:bCs/>
          <w:color w:val="auto"/>
          <w:sz w:val="24"/>
          <w:highlight w:val="none"/>
        </w:rPr>
        <w:t>安全生产合同</w:t>
      </w:r>
      <w:bookmarkEnd w:id="914"/>
    </w:p>
    <w:p w14:paraId="79D9962F">
      <w:pPr>
        <w:adjustRightInd w:val="0"/>
        <w:snapToGrid w:val="0"/>
        <w:spacing w:line="360" w:lineRule="auto"/>
        <w:jc w:val="center"/>
        <w:outlineLvl w:val="0"/>
        <w:rPr>
          <w:rFonts w:hint="eastAsia" w:ascii="宋体" w:hAnsi="宋体" w:cs="宋体"/>
          <w:b/>
          <w:color w:val="auto"/>
          <w:sz w:val="32"/>
          <w:szCs w:val="32"/>
          <w:highlight w:val="none"/>
        </w:rPr>
      </w:pPr>
      <w:bookmarkStart w:id="915" w:name="_Toc95223512"/>
      <w:bookmarkStart w:id="916" w:name="_Toc26993"/>
      <w:bookmarkStart w:id="917" w:name="_Toc17347"/>
      <w:bookmarkStart w:id="918" w:name="_Toc31602"/>
      <w:bookmarkStart w:id="919" w:name="_Toc16956"/>
      <w:bookmarkStart w:id="920" w:name="_Toc32439"/>
      <w:r>
        <w:rPr>
          <w:rFonts w:hint="eastAsia" w:ascii="宋体" w:hAnsi="宋体" w:cs="宋体"/>
          <w:b/>
          <w:color w:val="auto"/>
          <w:sz w:val="32"/>
          <w:szCs w:val="32"/>
          <w:highlight w:val="none"/>
        </w:rPr>
        <w:t>安全生产合同</w:t>
      </w:r>
      <w:bookmarkEnd w:id="915"/>
      <w:bookmarkEnd w:id="916"/>
      <w:bookmarkEnd w:id="917"/>
      <w:bookmarkEnd w:id="918"/>
      <w:bookmarkEnd w:id="919"/>
      <w:bookmarkEnd w:id="920"/>
    </w:p>
    <w:p w14:paraId="610914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1F2576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7EC18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5296C0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51CEC5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0DF06E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0072E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0B919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5E8C4F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14E31F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7C83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1F7493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315E80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A16D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21FFD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9D1FC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B2EF0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67D712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01C3C2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4216E41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58656C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387D469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289FE4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099B03A6">
      <w:pPr>
        <w:spacing w:line="360" w:lineRule="auto"/>
        <w:rPr>
          <w:rFonts w:hint="eastAsia" w:ascii="宋体" w:hAnsi="宋体" w:cs="宋体"/>
          <w:color w:val="auto"/>
          <w:szCs w:val="21"/>
          <w:highlight w:val="none"/>
        </w:rPr>
      </w:pPr>
    </w:p>
    <w:p w14:paraId="49689A0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415A5FE">
      <w:pPr>
        <w:spacing w:line="360" w:lineRule="auto"/>
        <w:rPr>
          <w:rFonts w:hint="eastAsia" w:ascii="宋体" w:hAnsi="宋体" w:cs="宋体"/>
          <w:color w:val="auto"/>
          <w:szCs w:val="21"/>
          <w:highlight w:val="none"/>
        </w:rPr>
      </w:pPr>
    </w:p>
    <w:p w14:paraId="239F73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A75BBA9">
      <w:pPr>
        <w:spacing w:line="360" w:lineRule="auto"/>
        <w:rPr>
          <w:rFonts w:hint="eastAsia" w:ascii="宋体" w:hAnsi="宋体" w:cs="宋体"/>
          <w:color w:val="auto"/>
          <w:szCs w:val="21"/>
          <w:highlight w:val="none"/>
        </w:rPr>
      </w:pPr>
    </w:p>
    <w:p w14:paraId="166E0162">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47994B1">
      <w:pPr>
        <w:rPr>
          <w:rFonts w:hint="eastAsia"/>
          <w:bCs/>
          <w:color w:val="auto"/>
          <w:szCs w:val="32"/>
          <w:highlight w:val="none"/>
        </w:rPr>
      </w:pPr>
    </w:p>
    <w:p w14:paraId="31A215D6">
      <w:pPr>
        <w:rPr>
          <w:rFonts w:hint="eastAsia" w:ascii="Arial" w:hAnsi="Arial" w:eastAsia="宋体" w:cs="Times New Roman"/>
          <w:b/>
          <w:bCs/>
          <w:color w:val="auto"/>
          <w:kern w:val="0"/>
          <w:sz w:val="32"/>
          <w:szCs w:val="32"/>
          <w:highlight w:val="none"/>
          <w:lang w:val="en-US" w:eastAsia="zh-CN" w:bidi="ar-SA"/>
        </w:rPr>
      </w:pPr>
      <w:bookmarkStart w:id="921" w:name="_Toc23990"/>
      <w:bookmarkStart w:id="922" w:name="_Toc95223515"/>
      <w:bookmarkStart w:id="923" w:name="_Toc4767"/>
      <w:r>
        <w:rPr>
          <w:rFonts w:hint="eastAsia" w:ascii="Arial" w:hAnsi="Arial" w:eastAsia="宋体" w:cs="Times New Roman"/>
          <w:b/>
          <w:bCs/>
          <w:color w:val="auto"/>
          <w:kern w:val="0"/>
          <w:sz w:val="32"/>
          <w:szCs w:val="32"/>
          <w:highlight w:val="none"/>
          <w:lang w:val="en-US" w:eastAsia="zh-CN" w:bidi="ar-SA"/>
        </w:rPr>
        <w:br w:type="page"/>
      </w:r>
    </w:p>
    <w:p w14:paraId="6FA116AB">
      <w:pPr>
        <w:pStyle w:val="43"/>
        <w:numPr>
          <w:ilvl w:val="0"/>
          <w:numId w:val="0"/>
        </w:numPr>
        <w:spacing w:beforeLines="50" w:afterLines="50" w:line="440" w:lineRule="exact"/>
        <w:rPr>
          <w:rFonts w:hint="eastAsia" w:eastAsia="宋体" w:cs="Times New Roman"/>
          <w:bCs/>
          <w:color w:val="auto"/>
          <w:szCs w:val="32"/>
          <w:highlight w:val="none"/>
        </w:rPr>
      </w:pPr>
      <w:r>
        <w:rPr>
          <w:rFonts w:hint="eastAsia" w:ascii="Arial" w:hAnsi="Arial" w:eastAsia="宋体" w:cs="Times New Roman"/>
          <w:b/>
          <w:bCs/>
          <w:color w:val="auto"/>
          <w:kern w:val="0"/>
          <w:sz w:val="32"/>
          <w:szCs w:val="32"/>
          <w:highlight w:val="none"/>
          <w:lang w:val="en-US" w:eastAsia="zh-CN" w:bidi="ar-SA"/>
        </w:rPr>
        <w:t>第五章</w:t>
      </w:r>
      <w:r>
        <w:rPr>
          <w:rFonts w:hint="eastAsia" w:eastAsia="宋体" w:cs="Times New Roman"/>
          <w:bCs/>
          <w:color w:val="auto"/>
          <w:szCs w:val="32"/>
          <w:highlight w:val="none"/>
        </w:rPr>
        <w:t xml:space="preserve"> </w:t>
      </w:r>
      <w:bookmarkStart w:id="924" w:name="_Toc10898"/>
      <w:bookmarkStart w:id="925" w:name="_Toc3388"/>
      <w:r>
        <w:rPr>
          <w:rFonts w:hint="eastAsia" w:eastAsia="宋体" w:cs="Times New Roman"/>
          <w:bCs/>
          <w:color w:val="auto"/>
          <w:szCs w:val="32"/>
          <w:highlight w:val="none"/>
        </w:rPr>
        <w:t>工程量清单</w:t>
      </w:r>
      <w:bookmarkEnd w:id="921"/>
      <w:bookmarkEnd w:id="922"/>
      <w:bookmarkEnd w:id="923"/>
      <w:bookmarkEnd w:id="924"/>
      <w:bookmarkEnd w:id="925"/>
    </w:p>
    <w:tbl>
      <w:tblPr>
        <w:tblStyle w:val="46"/>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350"/>
        <w:gridCol w:w="4421"/>
        <w:gridCol w:w="735"/>
        <w:gridCol w:w="930"/>
        <w:gridCol w:w="728"/>
      </w:tblGrid>
      <w:tr w14:paraId="1F4C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6F1CE15">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序号</w:t>
            </w:r>
          </w:p>
        </w:tc>
        <w:tc>
          <w:tcPr>
            <w:tcW w:w="1350" w:type="dxa"/>
            <w:tcBorders>
              <w:top w:val="single" w:color="auto" w:sz="4" w:space="0"/>
              <w:left w:val="nil"/>
              <w:bottom w:val="single" w:color="auto" w:sz="4" w:space="0"/>
              <w:right w:val="single" w:color="auto" w:sz="4" w:space="0"/>
            </w:tcBorders>
            <w:shd w:val="clear" w:color="auto" w:fill="auto"/>
            <w:vAlign w:val="center"/>
          </w:tcPr>
          <w:p w14:paraId="53B3DBE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分项名称</w:t>
            </w:r>
          </w:p>
        </w:tc>
        <w:tc>
          <w:tcPr>
            <w:tcW w:w="4421" w:type="dxa"/>
            <w:tcBorders>
              <w:top w:val="single" w:color="auto" w:sz="4" w:space="0"/>
              <w:left w:val="nil"/>
              <w:bottom w:val="single" w:color="auto" w:sz="4" w:space="0"/>
              <w:right w:val="single" w:color="auto" w:sz="4" w:space="0"/>
            </w:tcBorders>
            <w:shd w:val="clear" w:color="auto" w:fill="auto"/>
            <w:vAlign w:val="center"/>
          </w:tcPr>
          <w:p w14:paraId="06DAF9C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项目特征描述</w:t>
            </w:r>
          </w:p>
        </w:tc>
        <w:tc>
          <w:tcPr>
            <w:tcW w:w="735" w:type="dxa"/>
            <w:tcBorders>
              <w:top w:val="single" w:color="auto" w:sz="4" w:space="0"/>
              <w:left w:val="nil"/>
              <w:bottom w:val="single" w:color="auto" w:sz="4" w:space="0"/>
              <w:right w:val="single" w:color="auto" w:sz="4" w:space="0"/>
            </w:tcBorders>
            <w:shd w:val="clear" w:color="auto" w:fill="auto"/>
            <w:vAlign w:val="center"/>
          </w:tcPr>
          <w:p w14:paraId="1FCF55E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单位</w:t>
            </w:r>
          </w:p>
        </w:tc>
        <w:tc>
          <w:tcPr>
            <w:tcW w:w="930" w:type="dxa"/>
            <w:tcBorders>
              <w:top w:val="single" w:color="auto" w:sz="4" w:space="0"/>
              <w:left w:val="nil"/>
              <w:bottom w:val="single" w:color="auto" w:sz="4" w:space="0"/>
              <w:right w:val="single" w:color="auto" w:sz="4" w:space="0"/>
            </w:tcBorders>
            <w:shd w:val="clear" w:color="auto" w:fill="auto"/>
            <w:vAlign w:val="center"/>
          </w:tcPr>
          <w:p w14:paraId="288FBA4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数量</w:t>
            </w:r>
          </w:p>
        </w:tc>
        <w:tc>
          <w:tcPr>
            <w:tcW w:w="728" w:type="dxa"/>
            <w:tcBorders>
              <w:top w:val="single" w:color="auto" w:sz="4" w:space="0"/>
              <w:left w:val="nil"/>
              <w:bottom w:val="single" w:color="auto" w:sz="4" w:space="0"/>
              <w:right w:val="single" w:color="auto" w:sz="4" w:space="0"/>
            </w:tcBorders>
            <w:shd w:val="clear" w:color="auto" w:fill="auto"/>
            <w:vAlign w:val="center"/>
          </w:tcPr>
          <w:p w14:paraId="64DC707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备注</w:t>
            </w:r>
          </w:p>
        </w:tc>
      </w:tr>
      <w:tr w14:paraId="4A31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F9B429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1</w:t>
            </w:r>
          </w:p>
        </w:tc>
        <w:tc>
          <w:tcPr>
            <w:tcW w:w="1350" w:type="dxa"/>
            <w:tcBorders>
              <w:top w:val="single" w:color="auto" w:sz="4" w:space="0"/>
              <w:left w:val="nil"/>
              <w:bottom w:val="single" w:color="auto" w:sz="4" w:space="0"/>
              <w:right w:val="single" w:color="auto" w:sz="4" w:space="0"/>
            </w:tcBorders>
            <w:shd w:val="clear" w:color="auto" w:fill="auto"/>
            <w:vAlign w:val="center"/>
          </w:tcPr>
          <w:p w14:paraId="331938CF">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4"/>
                <w:szCs w:val="24"/>
                <w:highlight w:val="none"/>
              </w:rPr>
            </w:pPr>
            <w:r>
              <w:rPr>
                <w:rFonts w:hint="eastAsia" w:ascii="宋体" w:hAnsi="宋体" w:eastAsia="宋体" w:cs="宋体"/>
                <w:b w:val="0"/>
                <w:bCs w:val="0"/>
                <w:spacing w:val="-12"/>
                <w:kern w:val="2"/>
                <w:sz w:val="24"/>
                <w:szCs w:val="24"/>
                <w:highlight w:val="none"/>
                <w:lang w:val="en-US" w:eastAsia="zh-CN" w:bidi="ar"/>
              </w:rPr>
              <w:t>立柱加固</w:t>
            </w:r>
          </w:p>
        </w:tc>
        <w:tc>
          <w:tcPr>
            <w:tcW w:w="4421" w:type="dxa"/>
            <w:tcBorders>
              <w:top w:val="single" w:color="auto" w:sz="4" w:space="0"/>
              <w:left w:val="nil"/>
              <w:bottom w:val="single" w:color="auto" w:sz="4" w:space="0"/>
              <w:right w:val="single" w:color="auto" w:sz="4" w:space="0"/>
            </w:tcBorders>
            <w:shd w:val="clear" w:color="auto" w:fill="auto"/>
            <w:vAlign w:val="center"/>
          </w:tcPr>
          <w:p w14:paraId="573AB520">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rPr>
              <w:t>技术方案：对现有3处生锈严重的工字钢除锈后直接在立柱外侧支设模板。其余轻微锈蚀的工字钢人工除锈后涂刷防锈漆。</w:t>
            </w:r>
          </w:p>
          <w:p w14:paraId="5D9B7002">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rPr>
              <w:t>模板规格：60公分×40公分×5米。</w:t>
            </w:r>
          </w:p>
          <w:p w14:paraId="45E0CA62">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rPr>
              <w:t>加固方式：浇筑C25细石混凝土包裹原工字钢。增强立柱承载力，防止进一步锈蚀，延长使用寿命。</w:t>
            </w:r>
          </w:p>
        </w:tc>
        <w:tc>
          <w:tcPr>
            <w:tcW w:w="735" w:type="dxa"/>
            <w:tcBorders>
              <w:top w:val="single" w:color="auto" w:sz="4" w:space="0"/>
              <w:left w:val="nil"/>
              <w:bottom w:val="single" w:color="auto" w:sz="4" w:space="0"/>
              <w:right w:val="single" w:color="auto" w:sz="4" w:space="0"/>
            </w:tcBorders>
            <w:shd w:val="clear" w:color="auto" w:fill="auto"/>
            <w:vAlign w:val="center"/>
          </w:tcPr>
          <w:p w14:paraId="4229328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4"/>
                <w:szCs w:val="24"/>
                <w:highlight w:val="none"/>
                <w:lang w:val="en-US" w:eastAsia="zh-CN"/>
              </w:rPr>
            </w:pPr>
            <w:r>
              <w:rPr>
                <w:rFonts w:hint="eastAsia" w:ascii="新宋体" w:hAnsi="新宋体" w:eastAsia="新宋体" w:cs="新宋体"/>
                <w:b w:val="0"/>
                <w:bCs w:val="0"/>
                <w:kern w:val="2"/>
                <w:sz w:val="24"/>
                <w:szCs w:val="24"/>
                <w:highlight w:val="none"/>
                <w:lang w:val="en-US" w:eastAsia="zh-CN"/>
              </w:rPr>
              <w:t>m³</w:t>
            </w:r>
          </w:p>
        </w:tc>
        <w:tc>
          <w:tcPr>
            <w:tcW w:w="930" w:type="dxa"/>
            <w:tcBorders>
              <w:top w:val="single" w:color="auto" w:sz="4" w:space="0"/>
              <w:left w:val="nil"/>
              <w:bottom w:val="single" w:color="auto" w:sz="4" w:space="0"/>
              <w:right w:val="single" w:color="auto" w:sz="4" w:space="0"/>
            </w:tcBorders>
            <w:shd w:val="clear" w:color="auto" w:fill="auto"/>
            <w:vAlign w:val="center"/>
          </w:tcPr>
          <w:p w14:paraId="547D5A9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4"/>
                <w:szCs w:val="24"/>
                <w:highlight w:val="none"/>
                <w:lang w:val="en-US"/>
              </w:rPr>
            </w:pPr>
            <w:r>
              <w:rPr>
                <w:rFonts w:hint="eastAsia" w:ascii="新宋体" w:hAnsi="新宋体" w:eastAsia="新宋体" w:cs="新宋体"/>
                <w:b w:val="0"/>
                <w:bCs w:val="0"/>
                <w:kern w:val="2"/>
                <w:sz w:val="24"/>
                <w:szCs w:val="24"/>
                <w:highlight w:val="none"/>
                <w:lang w:val="en-US" w:eastAsia="zh-CN"/>
              </w:rPr>
              <w:t>3.6</w:t>
            </w:r>
          </w:p>
        </w:tc>
        <w:tc>
          <w:tcPr>
            <w:tcW w:w="728" w:type="dxa"/>
            <w:tcBorders>
              <w:top w:val="single" w:color="auto" w:sz="4" w:space="0"/>
              <w:left w:val="nil"/>
              <w:bottom w:val="single" w:color="auto" w:sz="4" w:space="0"/>
              <w:right w:val="single" w:color="auto" w:sz="4" w:space="0"/>
            </w:tcBorders>
            <w:shd w:val="clear" w:color="auto" w:fill="auto"/>
            <w:vAlign w:val="center"/>
          </w:tcPr>
          <w:p w14:paraId="3E9881C6">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0F4C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6993882">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2</w:t>
            </w:r>
          </w:p>
        </w:tc>
        <w:tc>
          <w:tcPr>
            <w:tcW w:w="1350" w:type="dxa"/>
            <w:tcBorders>
              <w:top w:val="single" w:color="auto" w:sz="4" w:space="0"/>
              <w:left w:val="nil"/>
              <w:bottom w:val="single" w:color="auto" w:sz="4" w:space="0"/>
              <w:right w:val="single" w:color="auto" w:sz="4" w:space="0"/>
            </w:tcBorders>
            <w:shd w:val="clear" w:color="auto" w:fill="auto"/>
            <w:vAlign w:val="center"/>
          </w:tcPr>
          <w:p w14:paraId="31C340B1">
            <w:pPr>
              <w:keepNext w:val="0"/>
              <w:keepLines w:val="0"/>
              <w:widowControl w:val="0"/>
              <w:suppressLineNumbers w:val="0"/>
              <w:autoSpaceDE w:val="0"/>
              <w:autoSpaceDN/>
              <w:spacing w:before="0" w:beforeAutospacing="0" w:after="0" w:afterAutospacing="0" w:line="400" w:lineRule="exact"/>
              <w:ind w:left="0" w:right="0" w:rightChars="0"/>
              <w:jc w:val="center"/>
              <w:rPr>
                <w:rFonts w:hint="eastAsia" w:ascii="宋体" w:hAnsi="宋体" w:eastAsia="宋体" w:cs="宋体"/>
                <w:b w:val="0"/>
                <w:bCs w:val="0"/>
                <w:spacing w:val="-12"/>
                <w:kern w:val="2"/>
                <w:sz w:val="24"/>
                <w:szCs w:val="24"/>
                <w:highlight w:val="none"/>
                <w:lang w:val="en-US" w:eastAsia="zh-CN" w:bidi="ar"/>
              </w:rPr>
            </w:pPr>
            <w:r>
              <w:rPr>
                <w:rFonts w:hint="eastAsia" w:ascii="宋体" w:hAnsi="宋体" w:eastAsia="宋体" w:cs="宋体"/>
                <w:b w:val="0"/>
                <w:bCs w:val="0"/>
                <w:spacing w:val="-12"/>
                <w:kern w:val="2"/>
                <w:sz w:val="24"/>
                <w:szCs w:val="24"/>
                <w:highlight w:val="none"/>
                <w:lang w:val="en-US" w:eastAsia="zh-CN" w:bidi="ar"/>
              </w:rPr>
              <w:t>屋顶更换</w:t>
            </w:r>
          </w:p>
        </w:tc>
        <w:tc>
          <w:tcPr>
            <w:tcW w:w="4421" w:type="dxa"/>
            <w:tcBorders>
              <w:top w:val="single" w:color="auto" w:sz="4" w:space="0"/>
              <w:left w:val="nil"/>
              <w:bottom w:val="single" w:color="auto" w:sz="4" w:space="0"/>
              <w:right w:val="single" w:color="auto" w:sz="4" w:space="0"/>
            </w:tcBorders>
            <w:shd w:val="clear" w:color="auto" w:fill="auto"/>
            <w:vAlign w:val="center"/>
          </w:tcPr>
          <w:p w14:paraId="79D7A963">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rPr>
              <w:t>拆除部分：现有破损的石棉瓦屋顶全部拆除,拆下材料</w:t>
            </w:r>
            <w:r>
              <w:rPr>
                <w:rFonts w:hint="eastAsia" w:ascii="新宋体" w:hAnsi="新宋体" w:eastAsia="新宋体" w:cs="新宋体"/>
                <w:b w:val="0"/>
                <w:bCs w:val="0"/>
                <w:kern w:val="2"/>
                <w:sz w:val="24"/>
                <w:szCs w:val="24"/>
                <w:highlight w:val="none"/>
                <w:lang w:val="en-US" w:eastAsia="zh-CN"/>
              </w:rPr>
              <w:t>由</w:t>
            </w:r>
            <w:r>
              <w:rPr>
                <w:rFonts w:hint="eastAsia" w:ascii="新宋体" w:hAnsi="新宋体" w:eastAsia="新宋体" w:cs="新宋体"/>
                <w:b w:val="0"/>
                <w:bCs w:val="0"/>
                <w:kern w:val="2"/>
                <w:sz w:val="24"/>
                <w:szCs w:val="24"/>
                <w:highlight w:val="none"/>
              </w:rPr>
              <w:t>施工单位处理运出。</w:t>
            </w:r>
          </w:p>
          <w:p w14:paraId="13FECAB8">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rPr>
              <w:t>新建屋顶：更换为0.6mm厚彩钢板，彩钢板面积约为620平米，东侧彩钢板需上翻至外墙外侧檐口以下15公分，并确保防水、防风性能符合规范。原28米水槽更换为宽度40厘米×高度35厘米厚度为2mm镀锌板水槽。</w:t>
            </w:r>
          </w:p>
        </w:tc>
        <w:tc>
          <w:tcPr>
            <w:tcW w:w="735" w:type="dxa"/>
            <w:tcBorders>
              <w:top w:val="single" w:color="auto" w:sz="4" w:space="0"/>
              <w:left w:val="nil"/>
              <w:bottom w:val="single" w:color="auto" w:sz="4" w:space="0"/>
              <w:right w:val="single" w:color="auto" w:sz="4" w:space="0"/>
            </w:tcBorders>
            <w:shd w:val="clear" w:color="auto" w:fill="auto"/>
            <w:vAlign w:val="center"/>
          </w:tcPr>
          <w:p w14:paraId="20CE4C6E">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w:t>
            </w:r>
          </w:p>
        </w:tc>
        <w:tc>
          <w:tcPr>
            <w:tcW w:w="930" w:type="dxa"/>
            <w:tcBorders>
              <w:top w:val="single" w:color="auto" w:sz="4" w:space="0"/>
              <w:left w:val="nil"/>
              <w:bottom w:val="single" w:color="auto" w:sz="4" w:space="0"/>
              <w:right w:val="single" w:color="auto" w:sz="4" w:space="0"/>
            </w:tcBorders>
            <w:shd w:val="clear" w:color="auto" w:fill="auto"/>
            <w:vAlign w:val="center"/>
          </w:tcPr>
          <w:p w14:paraId="16B4F5EE">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620</w:t>
            </w:r>
          </w:p>
        </w:tc>
        <w:tc>
          <w:tcPr>
            <w:tcW w:w="728" w:type="dxa"/>
            <w:tcBorders>
              <w:top w:val="single" w:color="auto" w:sz="4" w:space="0"/>
              <w:left w:val="nil"/>
              <w:bottom w:val="single" w:color="auto" w:sz="4" w:space="0"/>
              <w:right w:val="single" w:color="auto" w:sz="4" w:space="0"/>
            </w:tcBorders>
            <w:shd w:val="clear" w:color="auto" w:fill="auto"/>
            <w:vAlign w:val="center"/>
          </w:tcPr>
          <w:p w14:paraId="79A3C06C">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bl>
    <w:p w14:paraId="21F7AFA5">
      <w:pPr>
        <w:adjustRightInd w:val="0"/>
        <w:snapToGrid w:val="0"/>
        <w:spacing w:line="360" w:lineRule="auto"/>
        <w:ind w:firstLine="422" w:firstLineChars="200"/>
        <w:rPr>
          <w:rFonts w:hint="eastAsia" w:ascii="宋体" w:hAnsi="宋体" w:cs="宋体"/>
          <w:b/>
          <w:bCs/>
          <w:color w:val="auto"/>
          <w:szCs w:val="21"/>
          <w:highlight w:val="none"/>
        </w:rPr>
      </w:pPr>
    </w:p>
    <w:p w14:paraId="7CC142F3">
      <w:pPr>
        <w:adjustRightInd w:val="0"/>
        <w:snapToGrid w:val="0"/>
        <w:spacing w:line="360" w:lineRule="auto"/>
        <w:ind w:firstLine="422" w:firstLineChars="200"/>
        <w:rPr>
          <w:rFonts w:hint="eastAsia" w:ascii="宋体" w:hAnsi="宋体" w:eastAsia="宋体" w:cs="宋体"/>
          <w:b/>
          <w:bCs/>
          <w:color w:val="auto"/>
          <w:szCs w:val="21"/>
          <w:highlight w:val="none"/>
          <w:lang w:eastAsia="zh-CN"/>
        </w:rPr>
      </w:pPr>
      <w:bookmarkStart w:id="926" w:name="_Toc4881"/>
      <w:bookmarkStart w:id="927" w:name="_Toc95223521"/>
      <w:r>
        <w:rPr>
          <w:rFonts w:hint="eastAsia" w:ascii="宋体" w:hAnsi="宋体" w:cs="宋体"/>
          <w:b/>
          <w:bCs/>
          <w:color w:val="auto"/>
          <w:szCs w:val="21"/>
          <w:highlight w:val="none"/>
        </w:rPr>
        <w:t>注：</w:t>
      </w:r>
      <w:r>
        <w:rPr>
          <w:rFonts w:hint="eastAsia" w:ascii="宋体" w:hAnsi="宋体" w:cs="宋体"/>
          <w:b/>
          <w:bCs/>
          <w:color w:val="auto"/>
          <w:szCs w:val="21"/>
          <w:highlight w:val="none"/>
        </w:rPr>
        <w:t>投标报价采用</w:t>
      </w:r>
      <w:r>
        <w:rPr>
          <w:rFonts w:hint="eastAsia" w:ascii="宋体" w:hAnsi="宋体" w:cs="宋体"/>
          <w:b/>
          <w:bCs/>
          <w:color w:val="auto"/>
          <w:szCs w:val="21"/>
          <w:highlight w:val="none"/>
          <w:lang w:val="en-US" w:eastAsia="zh-CN"/>
        </w:rPr>
        <w:t>全费用</w:t>
      </w:r>
      <w:r>
        <w:rPr>
          <w:rFonts w:hint="eastAsia" w:ascii="宋体" w:hAnsi="宋体" w:cs="宋体"/>
          <w:b/>
          <w:bCs/>
          <w:color w:val="auto"/>
          <w:szCs w:val="21"/>
          <w:highlight w:val="none"/>
        </w:rPr>
        <w:t>综合单价法，综合单价和投标总报价包括：人工费、材料费（含主材及辅材）、施工机械费（含进退场费用）、安装费、运输费、管理费、利润、措施费、规费、保险费、施工环保费、安全生产费、竣工文件费、税金、风险费用、招标代理费、国家对中标单位征收的各种税费及完成本工程招标文件及合同条款内容等所有费用。结算时，综合单价不作任何调整</w:t>
      </w:r>
      <w:r>
        <w:rPr>
          <w:rFonts w:hint="eastAsia" w:ascii="宋体" w:hAnsi="宋体" w:cs="宋体"/>
          <w:b/>
          <w:bCs/>
          <w:color w:val="auto"/>
          <w:szCs w:val="21"/>
          <w:highlight w:val="none"/>
          <w:lang w:eastAsia="zh-CN"/>
        </w:rPr>
        <w:t>。</w:t>
      </w:r>
    </w:p>
    <w:bookmarkEnd w:id="926"/>
    <w:bookmarkEnd w:id="927"/>
    <w:p w14:paraId="16C65AB6">
      <w:pPr>
        <w:adjustRightInd w:val="0"/>
        <w:snapToGrid w:val="0"/>
        <w:spacing w:line="360" w:lineRule="auto"/>
        <w:ind w:firstLine="422" w:firstLineChars="200"/>
        <w:rPr>
          <w:rFonts w:hint="eastAsia" w:ascii="宋体" w:hAnsi="宋体" w:eastAsia="宋体" w:cs="宋体"/>
          <w:b/>
          <w:bCs/>
          <w:color w:val="auto"/>
          <w:szCs w:val="21"/>
          <w:highlight w:val="none"/>
          <w:lang w:val="en-US" w:eastAsia="zh-CN"/>
        </w:rPr>
      </w:pPr>
    </w:p>
    <w:p w14:paraId="168D8F4E">
      <w:pPr>
        <w:adjustRightInd w:val="0"/>
        <w:snapToGrid w:val="0"/>
        <w:spacing w:line="360" w:lineRule="auto"/>
        <w:ind w:firstLine="420" w:firstLineChars="200"/>
        <w:rPr>
          <w:rFonts w:hint="eastAsia" w:ascii="宋体" w:hAnsi="宋体" w:cs="宋体"/>
          <w:color w:val="auto"/>
          <w:szCs w:val="21"/>
          <w:highlight w:val="none"/>
        </w:rPr>
      </w:pPr>
    </w:p>
    <w:p w14:paraId="15321AFA">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4343AFE1">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928" w:name="_Toc25013"/>
      <w:bookmarkStart w:id="929" w:name="_Toc20597"/>
      <w:bookmarkStart w:id="930" w:name="_Toc10023"/>
      <w:r>
        <w:rPr>
          <w:rFonts w:hint="eastAsia" w:ascii="Arial" w:hAnsi="Arial" w:eastAsia="宋体" w:cs="Times New Roman"/>
          <w:b/>
          <w:bCs/>
          <w:color w:val="auto"/>
          <w:kern w:val="0"/>
          <w:sz w:val="32"/>
          <w:szCs w:val="32"/>
          <w:highlight w:val="none"/>
          <w:lang w:val="en-US" w:eastAsia="zh-CN" w:bidi="ar-SA"/>
        </w:rPr>
        <w:t>第六章</w:t>
      </w:r>
      <w:r>
        <w:rPr>
          <w:rFonts w:hint="eastAsia" w:cs="Times New Roman"/>
          <w:b/>
          <w:bCs/>
          <w:color w:val="auto"/>
          <w:kern w:val="0"/>
          <w:sz w:val="32"/>
          <w:szCs w:val="32"/>
          <w:highlight w:val="none"/>
          <w:lang w:val="en-US" w:eastAsia="zh-CN" w:bidi="ar-SA"/>
        </w:rPr>
        <w:t xml:space="preserve">  </w:t>
      </w:r>
      <w:r>
        <w:rPr>
          <w:rFonts w:hint="eastAsia" w:eastAsia="宋体" w:cs="Times New Roman"/>
          <w:bCs/>
          <w:color w:val="auto"/>
          <w:szCs w:val="32"/>
          <w:highlight w:val="none"/>
          <w:lang w:val="en-US" w:eastAsia="zh-CN"/>
        </w:rPr>
        <w:t>图纸</w:t>
      </w:r>
      <w:bookmarkEnd w:id="928"/>
      <w:bookmarkEnd w:id="929"/>
      <w:bookmarkEnd w:id="930"/>
    </w:p>
    <w:p w14:paraId="25D4E36D">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r>
        <w:rPr>
          <w:rFonts w:hint="eastAsia" w:cs="Times New Roman"/>
          <w:bCs/>
          <w:color w:val="auto"/>
          <w:szCs w:val="32"/>
          <w:highlight w:val="none"/>
          <w:lang w:val="en-US" w:eastAsia="zh-CN"/>
        </w:rPr>
        <w:t>无</w:t>
      </w:r>
    </w:p>
    <w:p w14:paraId="53422BA0">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14:paraId="1AFB026A">
      <w:pPr>
        <w:rPr>
          <w:rFonts w:hint="eastAsia" w:cs="Times New Roman"/>
          <w:bCs/>
          <w:color w:val="auto"/>
          <w:szCs w:val="32"/>
          <w:highlight w:val="none"/>
          <w:lang w:val="en-US" w:eastAsia="zh-CN"/>
        </w:rPr>
      </w:pPr>
      <w:bookmarkStart w:id="931" w:name="_Toc24902"/>
      <w:r>
        <w:rPr>
          <w:rFonts w:hint="eastAsia" w:cs="Times New Roman"/>
          <w:bCs/>
          <w:color w:val="auto"/>
          <w:szCs w:val="32"/>
          <w:highlight w:val="none"/>
          <w:lang w:val="en-US" w:eastAsia="zh-CN"/>
        </w:rPr>
        <w:br w:type="page"/>
      </w:r>
    </w:p>
    <w:p w14:paraId="6A28674B">
      <w:pPr>
        <w:pStyle w:val="43"/>
        <w:numPr>
          <w:ilvl w:val="0"/>
          <w:numId w:val="0"/>
        </w:numPr>
        <w:spacing w:beforeLines="50" w:afterLines="50" w:line="440" w:lineRule="exact"/>
        <w:jc w:val="center"/>
        <w:rPr>
          <w:rFonts w:hint="eastAsia" w:cs="Times New Roman"/>
          <w:bCs/>
          <w:color w:val="auto"/>
          <w:szCs w:val="32"/>
          <w:highlight w:val="none"/>
          <w:lang w:val="en-US" w:eastAsia="zh-CN"/>
        </w:rPr>
      </w:pPr>
      <w:r>
        <w:rPr>
          <w:rFonts w:hint="eastAsia" w:cs="Times New Roman"/>
          <w:bCs/>
          <w:color w:val="auto"/>
          <w:szCs w:val="32"/>
          <w:highlight w:val="none"/>
          <w:lang w:val="en-US" w:eastAsia="zh-CN"/>
        </w:rPr>
        <w:t>第七章  技术标准和要求</w:t>
      </w:r>
      <w:bookmarkEnd w:id="931"/>
    </w:p>
    <w:p w14:paraId="49AF09A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1. 一般要求  </w:t>
      </w:r>
    </w:p>
    <w:p w14:paraId="3879D0A5">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 特殊技术标准和要求  </w:t>
      </w:r>
    </w:p>
    <w:p w14:paraId="190A530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3. 适用的国家、行业以及地方标准、规范和规程  </w:t>
      </w:r>
    </w:p>
    <w:p w14:paraId="48B68228">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其他现行的有关规范、行业标准；</w:t>
      </w:r>
    </w:p>
    <w:p w14:paraId="7438573F">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w:t>
      </w:r>
      <w:r>
        <w:rPr>
          <w:rFonts w:hint="eastAsia" w:ascii="宋体" w:hAnsi="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按国家最新标准和规范为准</w:t>
      </w:r>
      <w:r>
        <w:rPr>
          <w:rFonts w:hint="eastAsia" w:ascii="宋体" w:hAnsi="宋体" w:cs="宋体"/>
          <w:color w:val="auto"/>
          <w:kern w:val="2"/>
          <w:sz w:val="21"/>
          <w:szCs w:val="21"/>
          <w:highlight w:val="none"/>
          <w:lang w:val="en-US" w:eastAsia="zh-CN" w:bidi="ar"/>
        </w:rPr>
        <w:t>。</w:t>
      </w:r>
    </w:p>
    <w:p w14:paraId="2A7A95E3">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olor w:val="auto"/>
          <w:kern w:val="0"/>
          <w:sz w:val="21"/>
          <w:szCs w:val="21"/>
          <w:highlight w:val="none"/>
        </w:rPr>
      </w:pPr>
    </w:p>
    <w:p w14:paraId="0CC820A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CB2AC58">
      <w:pPr>
        <w:rPr>
          <w:rFonts w:hint="eastAsia"/>
          <w:bCs/>
          <w:color w:val="auto"/>
          <w:szCs w:val="32"/>
          <w:highlight w:val="none"/>
        </w:rPr>
      </w:pPr>
      <w:r>
        <w:rPr>
          <w:rFonts w:hint="eastAsia"/>
          <w:bCs/>
          <w:color w:val="auto"/>
          <w:szCs w:val="32"/>
          <w:highlight w:val="none"/>
        </w:rPr>
        <w:br w:type="page"/>
      </w:r>
    </w:p>
    <w:p w14:paraId="32357EC1">
      <w:pPr>
        <w:pStyle w:val="43"/>
        <w:spacing w:beforeLines="50" w:afterLines="50" w:line="440" w:lineRule="exact"/>
        <w:rPr>
          <w:bCs/>
          <w:color w:val="auto"/>
          <w:szCs w:val="32"/>
          <w:highlight w:val="none"/>
        </w:rPr>
      </w:pPr>
      <w:bookmarkStart w:id="932" w:name="_Toc8272"/>
      <w:bookmarkStart w:id="933" w:name="_Toc10062"/>
      <w:bookmarkStart w:id="934" w:name="_Toc5279"/>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投标文件格式</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32"/>
      <w:bookmarkEnd w:id="933"/>
      <w:bookmarkEnd w:id="934"/>
    </w:p>
    <w:p w14:paraId="30E561DA">
      <w:pPr>
        <w:rPr>
          <w:color w:val="auto"/>
          <w:highlight w:val="none"/>
        </w:rPr>
      </w:pPr>
    </w:p>
    <w:p w14:paraId="3ADE262B">
      <w:pPr>
        <w:rPr>
          <w:color w:val="auto"/>
          <w:highlight w:val="none"/>
        </w:rPr>
      </w:pPr>
    </w:p>
    <w:p w14:paraId="2AA7DA25">
      <w:pPr>
        <w:rPr>
          <w:color w:val="auto"/>
          <w:highlight w:val="none"/>
        </w:rPr>
      </w:pPr>
    </w:p>
    <w:p w14:paraId="65BAC7DC">
      <w:pPr>
        <w:jc w:val="center"/>
        <w:rPr>
          <w:rFonts w:eastAsia="黑体"/>
          <w:color w:val="auto"/>
          <w:sz w:val="20"/>
          <w:szCs w:val="20"/>
          <w:highlight w:val="none"/>
        </w:rPr>
      </w:pPr>
      <w:r>
        <w:rPr>
          <w:rFonts w:eastAsia="黑体"/>
          <w:color w:val="auto"/>
          <w:sz w:val="28"/>
          <w:szCs w:val="28"/>
          <w:highlight w:val="none"/>
        </w:rPr>
        <w:t>（项目名称）</w:t>
      </w:r>
    </w:p>
    <w:p w14:paraId="41EA6429">
      <w:pPr>
        <w:jc w:val="center"/>
        <w:rPr>
          <w:rFonts w:eastAsia="黑体"/>
          <w:color w:val="auto"/>
          <w:sz w:val="20"/>
          <w:szCs w:val="20"/>
          <w:highlight w:val="none"/>
        </w:rPr>
      </w:pPr>
    </w:p>
    <w:p w14:paraId="184AA04A">
      <w:pPr>
        <w:jc w:val="center"/>
        <w:rPr>
          <w:rFonts w:eastAsia="黑体"/>
          <w:color w:val="auto"/>
          <w:sz w:val="20"/>
          <w:szCs w:val="20"/>
          <w:highlight w:val="none"/>
        </w:rPr>
      </w:pPr>
    </w:p>
    <w:p w14:paraId="313DF073">
      <w:pPr>
        <w:jc w:val="center"/>
        <w:rPr>
          <w:rFonts w:eastAsia="黑体"/>
          <w:color w:val="auto"/>
          <w:sz w:val="20"/>
          <w:szCs w:val="20"/>
          <w:highlight w:val="none"/>
        </w:rPr>
      </w:pPr>
    </w:p>
    <w:p w14:paraId="2070887A">
      <w:pPr>
        <w:rPr>
          <w:rFonts w:eastAsia="黑体"/>
          <w:color w:val="auto"/>
          <w:sz w:val="20"/>
          <w:szCs w:val="20"/>
          <w:highlight w:val="none"/>
        </w:rPr>
      </w:pPr>
    </w:p>
    <w:p w14:paraId="4F11BA88">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0C10C1D2">
      <w:pPr>
        <w:jc w:val="center"/>
        <w:rPr>
          <w:rFonts w:eastAsia="黑体"/>
          <w:color w:val="auto"/>
          <w:sz w:val="44"/>
          <w:szCs w:val="44"/>
          <w:highlight w:val="none"/>
        </w:rPr>
      </w:pPr>
      <w:r>
        <w:rPr>
          <w:rFonts w:hint="eastAsia" w:eastAsia="黑体"/>
          <w:color w:val="auto"/>
          <w:sz w:val="44"/>
          <w:szCs w:val="44"/>
          <w:highlight w:val="none"/>
        </w:rPr>
        <w:t>（资信证明文件）</w:t>
      </w:r>
    </w:p>
    <w:p w14:paraId="7BF1B98E">
      <w:pPr>
        <w:rPr>
          <w:rFonts w:eastAsia="黑体"/>
          <w:color w:val="auto"/>
          <w:sz w:val="28"/>
          <w:szCs w:val="28"/>
          <w:highlight w:val="none"/>
        </w:rPr>
      </w:pPr>
    </w:p>
    <w:p w14:paraId="68699899">
      <w:pPr>
        <w:rPr>
          <w:rFonts w:eastAsia="黑体"/>
          <w:color w:val="auto"/>
          <w:sz w:val="28"/>
          <w:szCs w:val="28"/>
          <w:highlight w:val="none"/>
        </w:rPr>
      </w:pPr>
    </w:p>
    <w:p w14:paraId="718FD052">
      <w:pPr>
        <w:rPr>
          <w:rFonts w:eastAsia="黑体"/>
          <w:color w:val="auto"/>
          <w:sz w:val="28"/>
          <w:szCs w:val="28"/>
          <w:highlight w:val="none"/>
        </w:rPr>
      </w:pPr>
    </w:p>
    <w:p w14:paraId="27E2CA0B">
      <w:pPr>
        <w:jc w:val="center"/>
        <w:rPr>
          <w:rFonts w:hint="default" w:eastAsia="黑体"/>
          <w:color w:val="auto"/>
          <w:sz w:val="28"/>
          <w:szCs w:val="28"/>
          <w:highlight w:val="non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328B984C">
      <w:pPr>
        <w:pStyle w:val="2"/>
        <w:ind w:firstLine="420"/>
        <w:rPr>
          <w:rFonts w:ascii="Times New Roman"/>
          <w:color w:val="auto"/>
          <w:szCs w:val="24"/>
          <w:highlight w:val="none"/>
        </w:rPr>
      </w:pPr>
    </w:p>
    <w:p w14:paraId="52140B17">
      <w:pPr>
        <w:rPr>
          <w:rFonts w:ascii="Times New Roman"/>
          <w:color w:val="auto"/>
          <w:szCs w:val="24"/>
          <w:highlight w:val="none"/>
        </w:rPr>
      </w:pPr>
    </w:p>
    <w:p w14:paraId="37D7086B">
      <w:pPr>
        <w:pStyle w:val="2"/>
        <w:rPr>
          <w:rFonts w:ascii="Times New Roman"/>
          <w:color w:val="auto"/>
          <w:szCs w:val="24"/>
          <w:highlight w:val="none"/>
        </w:rPr>
      </w:pPr>
    </w:p>
    <w:p w14:paraId="0FBBAF9B">
      <w:pPr>
        <w:rPr>
          <w:rFonts w:ascii="Times New Roman"/>
          <w:color w:val="auto"/>
          <w:szCs w:val="24"/>
          <w:highlight w:val="none"/>
        </w:rPr>
      </w:pPr>
    </w:p>
    <w:p w14:paraId="267B9988">
      <w:pPr>
        <w:pStyle w:val="2"/>
        <w:rPr>
          <w:color w:val="auto"/>
          <w:highlight w:val="none"/>
        </w:rPr>
      </w:pPr>
    </w:p>
    <w:p w14:paraId="04BFC8C9">
      <w:pPr>
        <w:pStyle w:val="2"/>
        <w:ind w:firstLine="420"/>
        <w:rPr>
          <w:color w:val="auto"/>
          <w:highlight w:val="none"/>
        </w:rPr>
      </w:pPr>
    </w:p>
    <w:p w14:paraId="48A1BC3A">
      <w:pPr>
        <w:rPr>
          <w:rFonts w:eastAsia="黑体"/>
          <w:color w:val="auto"/>
          <w:sz w:val="28"/>
          <w:szCs w:val="28"/>
          <w:highlight w:val="none"/>
        </w:rPr>
      </w:pPr>
    </w:p>
    <w:p w14:paraId="4964A82C">
      <w:pPr>
        <w:rPr>
          <w:rFonts w:eastAsia="黑体"/>
          <w:color w:val="auto"/>
          <w:sz w:val="28"/>
          <w:szCs w:val="28"/>
          <w:highlight w:val="none"/>
        </w:rPr>
      </w:pPr>
    </w:p>
    <w:p w14:paraId="44178503">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1562099F">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030E3540">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4D454CD6">
      <w:pPr>
        <w:rPr>
          <w:color w:val="auto"/>
          <w:highlight w:val="none"/>
        </w:rPr>
      </w:pPr>
      <w:bookmarkStart w:id="935" w:name="_Toc12683"/>
      <w:bookmarkStart w:id="936" w:name="_Toc35425137"/>
      <w:bookmarkStart w:id="937" w:name="_Toc35424971"/>
    </w:p>
    <w:p w14:paraId="2301A984">
      <w:pPr>
        <w:spacing w:beforeLines="50" w:afterLines="50" w:line="440" w:lineRule="exact"/>
        <w:ind w:firstLine="643" w:firstLineChars="200"/>
        <w:jc w:val="left"/>
        <w:rPr>
          <w:rFonts w:ascii="宋体" w:hAnsi="宋体" w:cs="宋体"/>
          <w:b/>
          <w:color w:val="auto"/>
          <w:sz w:val="28"/>
          <w:szCs w:val="28"/>
          <w:highlight w:val="none"/>
        </w:rPr>
      </w:pPr>
      <w:bookmarkStart w:id="938" w:name="_Toc78803399"/>
      <w:r>
        <w:rPr>
          <w:rStyle w:val="65"/>
          <w:rFonts w:hint="eastAsia" w:ascii="宋体" w:hAnsi="宋体" w:cs="宋体"/>
          <w:color w:val="auto"/>
          <w:sz w:val="32"/>
          <w:highlight w:val="none"/>
        </w:rPr>
        <w:br w:type="page"/>
      </w:r>
      <w:bookmarkStart w:id="939" w:name="_Toc30830"/>
      <w:bookmarkStart w:id="940" w:name="_Toc32179"/>
      <w:bookmarkStart w:id="941" w:name="_Toc25912"/>
      <w:r>
        <w:rPr>
          <w:rStyle w:val="65"/>
          <w:rFonts w:hint="eastAsia" w:ascii="宋体" w:hAnsi="宋体" w:cs="宋体"/>
          <w:color w:val="auto"/>
          <w:sz w:val="32"/>
          <w:highlight w:val="none"/>
        </w:rPr>
        <w:t>投标文件一</w:t>
      </w:r>
      <w:bookmarkEnd w:id="935"/>
      <w:bookmarkEnd w:id="936"/>
      <w:bookmarkEnd w:id="937"/>
      <w:bookmarkEnd w:id="938"/>
      <w:bookmarkEnd w:id="939"/>
      <w:bookmarkEnd w:id="940"/>
      <w:bookmarkEnd w:id="941"/>
      <w:r>
        <w:rPr>
          <w:rFonts w:hint="eastAsia" w:ascii="宋体" w:hAnsi="宋体" w:cs="宋体"/>
          <w:b/>
          <w:color w:val="auto"/>
          <w:sz w:val="28"/>
          <w:szCs w:val="28"/>
          <w:highlight w:val="none"/>
        </w:rPr>
        <w:t>：资信证明文件目录</w:t>
      </w:r>
    </w:p>
    <w:p w14:paraId="4308EA4D">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7302F7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22A0C39E">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348C95A">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14:paraId="5FDEDFC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14:paraId="4EE5C1F8">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的法定代表人(或委托代理人)须持有社保部门出具的本单位（或其不具备独立法人资格的分公司）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74D791C5">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投标保证金缴纳凭证（如有）；</w:t>
      </w:r>
    </w:p>
    <w:p w14:paraId="54F10C4D">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7364466">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29539D59">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942" w:name="_Toc503196197"/>
      <w:bookmarkStart w:id="943" w:name="_Toc26598"/>
      <w:bookmarkStart w:id="944" w:name="_Toc506107356"/>
      <w:r>
        <w:rPr>
          <w:rFonts w:hint="eastAsia" w:ascii="宋体"/>
          <w:color w:val="auto"/>
          <w:sz w:val="24"/>
          <w:szCs w:val="24"/>
          <w:highlight w:val="none"/>
        </w:rPr>
        <w:t>1、法定代表人身份证明</w:t>
      </w:r>
    </w:p>
    <w:p w14:paraId="5B4CB3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1F055C8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3C52F3D">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498E4EBE">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29022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071CAC8E">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B2ACAC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33827EAF">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签章</w:t>
      </w:r>
      <w:r>
        <w:rPr>
          <w:rFonts w:hint="eastAsia" w:ascii="宋体"/>
          <w:color w:val="auto"/>
          <w:sz w:val="24"/>
          <w:highlight w:val="none"/>
          <w:u w:val="single"/>
        </w:rPr>
        <w:t>）</w:t>
      </w:r>
    </w:p>
    <w:p w14:paraId="516F80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495C610B">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14:paraId="6E3AE3E5">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14:paraId="746C71D1">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u w:val="single"/>
          <w:lang w:eastAsia="zh-CN"/>
        </w:rPr>
        <w:t>、</w:t>
      </w:r>
      <w:r>
        <w:rPr>
          <w:rFonts w:hint="eastAsia" w:ascii="宋体"/>
          <w:color w:val="auto"/>
          <w:sz w:val="24"/>
          <w:highlight w:val="none"/>
          <w:u w:val="single"/>
          <w:lang w:val="en-US" w:eastAsia="zh-CN"/>
        </w:rPr>
        <w:t>编号</w:t>
      </w:r>
      <w:r>
        <w:rPr>
          <w:rFonts w:hint="eastAsia" w:ascii="宋体"/>
          <w:color w:val="auto"/>
          <w:sz w:val="24"/>
          <w:highlight w:val="none"/>
          <w:u w:val="single"/>
        </w:rPr>
        <w:t>）</w:t>
      </w:r>
      <w:r>
        <w:rPr>
          <w:rFonts w:hint="eastAsia" w:ascii="宋体"/>
          <w:color w:val="auto"/>
          <w:sz w:val="24"/>
          <w:highlight w:val="none"/>
        </w:rPr>
        <w:t>投标文件，全权处理与该项目投标、评审答疑、签订合同以及与合同执行有关的一切事务，其法律后果由我方承担。</w:t>
      </w:r>
    </w:p>
    <w:p w14:paraId="3D024535">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48F2B58D">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7B27CFD2">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63E97D39">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49F300FA">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0A0F0529">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投标人（签章）：</w:t>
      </w:r>
    </w:p>
    <w:p w14:paraId="529F7847">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（签章）</w:t>
      </w:r>
    </w:p>
    <w:p w14:paraId="746C8EAD">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14:paraId="2F3A48B6">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委托代理人（身份证号码）：    </w:t>
      </w:r>
    </w:p>
    <w:p w14:paraId="10F0CCF9">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14:paraId="03404D0F">
      <w:pPr>
        <w:keepNext w:val="0"/>
        <w:keepLines w:val="0"/>
        <w:pageBreakBefore w:val="0"/>
        <w:kinsoku/>
        <w:wordWrap/>
        <w:overflowPunct/>
        <w:topLinePunct w:val="0"/>
        <w:autoSpaceDE/>
        <w:autoSpaceDN/>
        <w:bidi w:val="0"/>
        <w:adjustRightInd/>
        <w:snapToGrid/>
        <w:spacing w:line="440" w:lineRule="exact"/>
        <w:ind w:firstLine="5700" w:firstLineChars="2375"/>
        <w:rPr>
          <w:rFonts w:hint="eastAsia"/>
          <w:b/>
          <w:color w:val="auto"/>
          <w:sz w:val="28"/>
          <w:szCs w:val="28"/>
          <w:highlight w:val="none"/>
        </w:rPr>
      </w:pPr>
      <w:r>
        <w:rPr>
          <w:rFonts w:hint="eastAsia" w:ascii="宋体"/>
          <w:color w:val="auto"/>
          <w:sz w:val="24"/>
          <w:highlight w:val="none"/>
        </w:rPr>
        <w:t>年    月    日</w:t>
      </w:r>
    </w:p>
    <w:p w14:paraId="73A9B913">
      <w:pPr>
        <w:rPr>
          <w:rFonts w:hint="eastAsia"/>
          <w:b/>
          <w:color w:val="auto"/>
          <w:sz w:val="28"/>
          <w:szCs w:val="28"/>
          <w:highlight w:val="none"/>
        </w:rPr>
      </w:pPr>
      <w:r>
        <w:rPr>
          <w:rFonts w:hint="eastAsia"/>
          <w:b/>
          <w:color w:val="auto"/>
          <w:sz w:val="28"/>
          <w:szCs w:val="28"/>
          <w:highlight w:val="none"/>
        </w:rPr>
        <w:br w:type="page"/>
      </w:r>
    </w:p>
    <w:p w14:paraId="0B4168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b/>
          <w:color w:val="auto"/>
          <w:sz w:val="28"/>
          <w:szCs w:val="28"/>
          <w:highlight w:val="none"/>
        </w:rPr>
      </w:pPr>
      <w:r>
        <w:rPr>
          <w:rFonts w:hint="eastAsia"/>
          <w:b/>
          <w:color w:val="auto"/>
          <w:sz w:val="28"/>
          <w:szCs w:val="28"/>
          <w:highlight w:val="none"/>
        </w:rPr>
        <w:t>（2）诚信投标承诺书</w:t>
      </w:r>
      <w:bookmarkEnd w:id="942"/>
      <w:bookmarkEnd w:id="943"/>
      <w:bookmarkEnd w:id="944"/>
    </w:p>
    <w:p w14:paraId="0FB6971A">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5097DA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6869B6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684EEE7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2FE943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45DD65B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19AA2FF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没有下列情形：1、被人民法院列入失信被执行人的；2、我公司及其法定代表人、拟任项目经理（</w:t>
      </w:r>
      <w:r>
        <w:rPr>
          <w:rFonts w:hint="eastAsia" w:ascii="宋体" w:hAnsi="宋体"/>
          <w:color w:val="auto"/>
          <w:szCs w:val="21"/>
          <w:highlight w:val="none"/>
          <w:lang w:val="en-US" w:eastAsia="zh-CN"/>
        </w:rPr>
        <w:t>建造师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人力资源社会保障主管部门列入拖欠农民工工资‘黑名单’或因拖欠农民工工资被县级及以上有关行政主管部门限制投标资格且在限制期限内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14:paraId="5FC565A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14:paraId="025E6503">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3D03160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C3998B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64A91CE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EC6BFE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CBE5789">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三</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141B599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33B4B94F">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以上内容我已仔细阅读，本公司若有违反承诺内容的行为，自愿接受取消投标或者中标资格、中标无效、记入不良行为记录等有关处理，愿意承担法律责任，给招标人造成损失的，依法承担赔偿责任。</w:t>
      </w:r>
    </w:p>
    <w:p w14:paraId="05100758">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color w:val="auto"/>
          <w:szCs w:val="21"/>
          <w:highlight w:val="none"/>
        </w:rPr>
      </w:pPr>
    </w:p>
    <w:p w14:paraId="36A89FC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766F85C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投标人（签章）：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法定代表人（签章）：</w:t>
      </w:r>
    </w:p>
    <w:p w14:paraId="3B433894">
      <w:pPr>
        <w:keepNext w:val="0"/>
        <w:keepLines w:val="0"/>
        <w:pageBreakBefore w:val="0"/>
        <w:widowControl w:val="0"/>
        <w:kinsoku/>
        <w:wordWrap/>
        <w:overflowPunct/>
        <w:topLinePunct w:val="0"/>
        <w:autoSpaceDE/>
        <w:autoSpaceDN/>
        <w:bidi w:val="0"/>
        <w:adjustRightInd/>
        <w:snapToGrid/>
        <w:spacing w:line="560" w:lineRule="exact"/>
        <w:ind w:firstLine="5250" w:firstLineChars="2500"/>
        <w:textAlignment w:val="auto"/>
        <w:rPr>
          <w:rFonts w:hint="eastAsia" w:ascii="宋体" w:hAnsi="宋体"/>
          <w:color w:val="auto"/>
          <w:szCs w:val="21"/>
          <w:highlight w:val="none"/>
        </w:rPr>
      </w:pPr>
      <w:r>
        <w:rPr>
          <w:rFonts w:hint="eastAsia" w:ascii="宋体" w:hAnsi="宋体"/>
          <w:color w:val="auto"/>
          <w:szCs w:val="21"/>
          <w:highlight w:val="none"/>
        </w:rPr>
        <w:t>日期：    年   月   日</w:t>
      </w:r>
    </w:p>
    <w:p w14:paraId="10F89D5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highlight w:val="none"/>
          <w:lang w:eastAsia="zh-CN"/>
        </w:rPr>
      </w:pPr>
    </w:p>
    <w:p w14:paraId="27F162D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宋体" w:hAnsi="宋体" w:eastAsia="宋体" w:cs="宋体"/>
          <w:color w:val="auto"/>
          <w:kern w:val="2"/>
          <w:sz w:val="21"/>
          <w:szCs w:val="21"/>
          <w:highlight w:val="none"/>
        </w:rPr>
      </w:pPr>
    </w:p>
    <w:p w14:paraId="795F94DB">
      <w:pPr>
        <w:rPr>
          <w:color w:val="auto"/>
          <w:highlight w:val="none"/>
        </w:rPr>
      </w:pPr>
      <w:r>
        <w:rPr>
          <w:color w:val="auto"/>
          <w:highlight w:val="none"/>
        </w:rPr>
        <w:br w:type="page"/>
      </w:r>
    </w:p>
    <w:p w14:paraId="2AB368F8">
      <w:pPr>
        <w:pStyle w:val="2"/>
        <w:rPr>
          <w:color w:val="auto"/>
          <w:highlight w:val="none"/>
        </w:rPr>
      </w:pPr>
    </w:p>
    <w:p w14:paraId="564C96EF">
      <w:pPr>
        <w:jc w:val="center"/>
        <w:rPr>
          <w:rFonts w:eastAsia="黑体"/>
          <w:color w:val="auto"/>
          <w:sz w:val="20"/>
          <w:szCs w:val="20"/>
          <w:highlight w:val="none"/>
        </w:rPr>
      </w:pPr>
      <w:r>
        <w:rPr>
          <w:rFonts w:eastAsia="黑体"/>
          <w:color w:val="auto"/>
          <w:sz w:val="28"/>
          <w:szCs w:val="28"/>
          <w:highlight w:val="none"/>
        </w:rPr>
        <w:t>（项目名称）</w:t>
      </w:r>
    </w:p>
    <w:p w14:paraId="22EC766D">
      <w:pPr>
        <w:jc w:val="center"/>
        <w:rPr>
          <w:rFonts w:eastAsia="黑体"/>
          <w:color w:val="auto"/>
          <w:sz w:val="20"/>
          <w:szCs w:val="20"/>
          <w:highlight w:val="none"/>
        </w:rPr>
      </w:pPr>
    </w:p>
    <w:p w14:paraId="57900F6E">
      <w:pPr>
        <w:rPr>
          <w:rFonts w:eastAsia="黑体"/>
          <w:color w:val="auto"/>
          <w:sz w:val="20"/>
          <w:szCs w:val="20"/>
          <w:highlight w:val="none"/>
        </w:rPr>
      </w:pPr>
    </w:p>
    <w:p w14:paraId="149665AF">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45D8028">
      <w:pPr>
        <w:jc w:val="center"/>
        <w:rPr>
          <w:rFonts w:eastAsia="黑体"/>
          <w:color w:val="auto"/>
          <w:sz w:val="44"/>
          <w:szCs w:val="44"/>
          <w:highlight w:val="none"/>
        </w:rPr>
      </w:pPr>
      <w:r>
        <w:rPr>
          <w:rFonts w:hint="eastAsia" w:eastAsia="黑体"/>
          <w:color w:val="auto"/>
          <w:sz w:val="44"/>
          <w:szCs w:val="44"/>
          <w:highlight w:val="none"/>
        </w:rPr>
        <w:t>（商务标文件）</w:t>
      </w:r>
    </w:p>
    <w:p w14:paraId="30CBC1F1">
      <w:pPr>
        <w:rPr>
          <w:rFonts w:eastAsia="黑体"/>
          <w:color w:val="auto"/>
          <w:sz w:val="28"/>
          <w:szCs w:val="28"/>
          <w:highlight w:val="none"/>
        </w:rPr>
      </w:pPr>
    </w:p>
    <w:p w14:paraId="35F52FCF">
      <w:pPr>
        <w:rPr>
          <w:rFonts w:eastAsia="黑体"/>
          <w:color w:val="auto"/>
          <w:sz w:val="28"/>
          <w:szCs w:val="28"/>
          <w:highlight w:val="none"/>
        </w:rPr>
      </w:pPr>
    </w:p>
    <w:p w14:paraId="47AF6FD3">
      <w:pPr>
        <w:rPr>
          <w:rFonts w:eastAsia="黑体"/>
          <w:color w:val="auto"/>
          <w:sz w:val="28"/>
          <w:szCs w:val="28"/>
          <w:highlight w:val="none"/>
        </w:rPr>
      </w:pPr>
    </w:p>
    <w:p w14:paraId="70523D80">
      <w:pPr>
        <w:rPr>
          <w:rFonts w:eastAsia="黑体"/>
          <w:color w:val="auto"/>
          <w:sz w:val="28"/>
          <w:szCs w:val="28"/>
          <w:highlight w:val="none"/>
        </w:rPr>
      </w:pPr>
    </w:p>
    <w:p w14:paraId="585952F6">
      <w:pPr>
        <w:jc w:val="center"/>
        <w:rPr>
          <w:rFonts w:hint="default" w:eastAsia="黑体"/>
          <w:color w:val="auto"/>
          <w:sz w:val="28"/>
          <w:szCs w:val="28"/>
          <w:highlight w:val="none"/>
          <w:u w:val="single"/>
          <w:lang w:val="en-US" w:eastAsia="zh-CN"/>
        </w:rPr>
      </w:pPr>
      <w:r>
        <w:rPr>
          <w:rFonts w:hint="eastAsia" w:eastAsia="黑体"/>
          <w:color w:val="auto"/>
          <w:sz w:val="28"/>
          <w:szCs w:val="28"/>
          <w:highlight w:val="none"/>
        </w:rPr>
        <w:t>项目编号：</w:t>
      </w:r>
      <w:r>
        <w:rPr>
          <w:rFonts w:hint="eastAsia" w:eastAsia="黑体"/>
          <w:color w:val="auto"/>
          <w:sz w:val="28"/>
          <w:szCs w:val="28"/>
          <w:highlight w:val="none"/>
          <w:u w:val="single"/>
          <w:lang w:val="en-US" w:eastAsia="zh-CN"/>
        </w:rPr>
        <w:t xml:space="preserve">    </w:t>
      </w:r>
    </w:p>
    <w:p w14:paraId="6A527257">
      <w:pPr>
        <w:rPr>
          <w:rFonts w:eastAsia="黑体"/>
          <w:color w:val="auto"/>
          <w:sz w:val="28"/>
          <w:szCs w:val="28"/>
          <w:highlight w:val="none"/>
        </w:rPr>
      </w:pPr>
    </w:p>
    <w:p w14:paraId="39902399">
      <w:pPr>
        <w:rPr>
          <w:rFonts w:eastAsia="黑体"/>
          <w:color w:val="auto"/>
          <w:sz w:val="28"/>
          <w:szCs w:val="28"/>
          <w:highlight w:val="none"/>
        </w:rPr>
      </w:pPr>
    </w:p>
    <w:p w14:paraId="69BE83A3">
      <w:pPr>
        <w:rPr>
          <w:rFonts w:eastAsia="黑体"/>
          <w:color w:val="auto"/>
          <w:sz w:val="28"/>
          <w:szCs w:val="28"/>
          <w:highlight w:val="none"/>
        </w:rPr>
      </w:pPr>
    </w:p>
    <w:p w14:paraId="5616E6F9">
      <w:pPr>
        <w:rPr>
          <w:rFonts w:eastAsia="黑体"/>
          <w:color w:val="auto"/>
          <w:sz w:val="28"/>
          <w:szCs w:val="28"/>
          <w:highlight w:val="none"/>
        </w:rPr>
      </w:pPr>
    </w:p>
    <w:p w14:paraId="343F2D06">
      <w:pPr>
        <w:rPr>
          <w:rFonts w:eastAsia="黑体"/>
          <w:color w:val="auto"/>
          <w:sz w:val="28"/>
          <w:szCs w:val="28"/>
          <w:highlight w:val="none"/>
        </w:rPr>
      </w:pPr>
    </w:p>
    <w:p w14:paraId="3E07C68D">
      <w:pPr>
        <w:rPr>
          <w:rFonts w:eastAsia="黑体"/>
          <w:color w:val="auto"/>
          <w:sz w:val="28"/>
          <w:szCs w:val="28"/>
          <w:highlight w:val="none"/>
        </w:rPr>
      </w:pPr>
    </w:p>
    <w:p w14:paraId="44D66E16">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663CD77">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63A08AA1">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3943EF2">
      <w:pPr>
        <w:rPr>
          <w:color w:val="auto"/>
          <w:highlight w:val="none"/>
        </w:rPr>
      </w:pPr>
    </w:p>
    <w:p w14:paraId="06E7811B">
      <w:pPr>
        <w:pStyle w:val="2"/>
        <w:ind w:firstLine="420"/>
        <w:rPr>
          <w:color w:val="auto"/>
          <w:highlight w:val="none"/>
        </w:rPr>
      </w:pPr>
    </w:p>
    <w:p w14:paraId="1E7679BC">
      <w:pPr>
        <w:rPr>
          <w:color w:val="auto"/>
          <w:highlight w:val="none"/>
        </w:rPr>
      </w:pPr>
    </w:p>
    <w:p w14:paraId="772CCC6C">
      <w:pPr>
        <w:spacing w:beforeLines="50" w:afterLines="50" w:line="440" w:lineRule="exact"/>
        <w:ind w:firstLine="643" w:firstLineChars="200"/>
        <w:jc w:val="left"/>
        <w:rPr>
          <w:rStyle w:val="65"/>
          <w:rFonts w:ascii="宋体" w:hAnsi="宋体" w:cs="宋体"/>
          <w:color w:val="auto"/>
          <w:sz w:val="32"/>
          <w:highlight w:val="none"/>
        </w:rPr>
      </w:pPr>
      <w:bookmarkStart w:id="945" w:name="_Toc19174"/>
      <w:bookmarkStart w:id="946" w:name="_Toc35425139"/>
      <w:bookmarkStart w:id="947" w:name="_Toc35424973"/>
      <w:bookmarkStart w:id="948" w:name="_Toc78803401"/>
      <w:r>
        <w:rPr>
          <w:rStyle w:val="65"/>
          <w:rFonts w:hint="eastAsia" w:ascii="宋体" w:hAnsi="宋体" w:cs="宋体"/>
          <w:color w:val="auto"/>
          <w:sz w:val="32"/>
          <w:highlight w:val="none"/>
        </w:rPr>
        <w:br w:type="page"/>
      </w:r>
      <w:bookmarkStart w:id="949" w:name="_Toc27877"/>
      <w:bookmarkStart w:id="950" w:name="_Toc19057"/>
      <w:bookmarkStart w:id="951" w:name="_Toc26670"/>
      <w:r>
        <w:rPr>
          <w:rStyle w:val="65"/>
          <w:rFonts w:hint="eastAsia" w:ascii="宋体" w:hAnsi="宋体" w:cs="宋体"/>
          <w:color w:val="auto"/>
          <w:sz w:val="32"/>
          <w:highlight w:val="none"/>
        </w:rPr>
        <w:t>投标文件</w:t>
      </w:r>
      <w:bookmarkEnd w:id="945"/>
      <w:bookmarkEnd w:id="946"/>
      <w:bookmarkEnd w:id="947"/>
      <w:r>
        <w:rPr>
          <w:rStyle w:val="65"/>
          <w:rFonts w:hint="eastAsia" w:ascii="宋体" w:hAnsi="宋体" w:cs="宋体"/>
          <w:color w:val="auto"/>
          <w:sz w:val="32"/>
          <w:highlight w:val="none"/>
          <w:lang w:val="en-US"/>
        </w:rPr>
        <w:t>二</w:t>
      </w:r>
      <w:bookmarkStart w:id="960" w:name="_GoBack"/>
      <w:bookmarkEnd w:id="960"/>
      <w:r>
        <w:rPr>
          <w:rStyle w:val="65"/>
          <w:rFonts w:hint="eastAsia" w:ascii="宋体" w:hAnsi="宋体" w:cs="宋体"/>
          <w:color w:val="auto"/>
          <w:sz w:val="32"/>
          <w:highlight w:val="none"/>
        </w:rPr>
        <w:t>：商务标目录</w:t>
      </w:r>
      <w:bookmarkEnd w:id="948"/>
    </w:p>
    <w:bookmarkEnd w:id="949"/>
    <w:bookmarkEnd w:id="950"/>
    <w:bookmarkEnd w:id="951"/>
    <w:p w14:paraId="2DA8B332">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14:paraId="3F193C4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14:paraId="0956BA6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14:paraId="57215258">
      <w:pPr>
        <w:spacing w:line="540" w:lineRule="exact"/>
        <w:rPr>
          <w:rFonts w:eastAsia="黑体"/>
          <w:color w:val="auto"/>
          <w:sz w:val="20"/>
          <w:szCs w:val="20"/>
          <w:highlight w:val="none"/>
        </w:rPr>
      </w:pPr>
    </w:p>
    <w:p w14:paraId="45D4DCEE">
      <w:pPr>
        <w:spacing w:line="540" w:lineRule="exact"/>
        <w:rPr>
          <w:rFonts w:eastAsia="黑体"/>
          <w:color w:val="auto"/>
          <w:sz w:val="20"/>
          <w:szCs w:val="20"/>
          <w:highlight w:val="none"/>
        </w:rPr>
      </w:pPr>
    </w:p>
    <w:p w14:paraId="6A7BFB0E">
      <w:pPr>
        <w:spacing w:line="540" w:lineRule="exact"/>
        <w:rPr>
          <w:rFonts w:eastAsia="黑体"/>
          <w:color w:val="auto"/>
          <w:sz w:val="20"/>
          <w:szCs w:val="20"/>
          <w:highlight w:val="none"/>
        </w:rPr>
      </w:pPr>
    </w:p>
    <w:p w14:paraId="244F7969">
      <w:pPr>
        <w:spacing w:line="360" w:lineRule="auto"/>
        <w:ind w:firstLine="420" w:firstLineChars="200"/>
        <w:jc w:val="right"/>
        <w:rPr>
          <w:color w:val="auto"/>
          <w:szCs w:val="21"/>
          <w:highlight w:val="none"/>
          <w:u w:val="single"/>
        </w:rPr>
      </w:pPr>
    </w:p>
    <w:p w14:paraId="66667EC5">
      <w:pPr>
        <w:spacing w:line="360" w:lineRule="auto"/>
        <w:ind w:firstLine="420" w:firstLineChars="200"/>
        <w:jc w:val="right"/>
        <w:rPr>
          <w:color w:val="auto"/>
          <w:szCs w:val="21"/>
          <w:highlight w:val="none"/>
          <w:u w:val="single"/>
        </w:rPr>
      </w:pPr>
    </w:p>
    <w:p w14:paraId="1761B5FB">
      <w:pPr>
        <w:spacing w:line="360" w:lineRule="auto"/>
        <w:ind w:firstLine="420" w:firstLineChars="200"/>
        <w:jc w:val="right"/>
        <w:rPr>
          <w:color w:val="auto"/>
          <w:szCs w:val="21"/>
          <w:highlight w:val="none"/>
          <w:u w:val="single"/>
        </w:rPr>
      </w:pPr>
    </w:p>
    <w:p w14:paraId="4BBA9CFF">
      <w:pPr>
        <w:spacing w:line="360" w:lineRule="auto"/>
        <w:ind w:firstLine="420" w:firstLineChars="200"/>
        <w:jc w:val="right"/>
        <w:rPr>
          <w:color w:val="auto"/>
          <w:szCs w:val="21"/>
          <w:highlight w:val="none"/>
          <w:u w:val="single"/>
        </w:rPr>
      </w:pPr>
    </w:p>
    <w:p w14:paraId="1B352D4C">
      <w:pPr>
        <w:spacing w:line="360" w:lineRule="auto"/>
        <w:ind w:firstLine="420" w:firstLineChars="200"/>
        <w:jc w:val="right"/>
        <w:rPr>
          <w:color w:val="auto"/>
          <w:szCs w:val="21"/>
          <w:highlight w:val="none"/>
          <w:u w:val="single"/>
        </w:rPr>
      </w:pPr>
    </w:p>
    <w:p w14:paraId="646241FB">
      <w:pPr>
        <w:spacing w:line="360" w:lineRule="auto"/>
        <w:ind w:firstLine="420" w:firstLineChars="200"/>
        <w:jc w:val="right"/>
        <w:rPr>
          <w:color w:val="auto"/>
          <w:szCs w:val="21"/>
          <w:highlight w:val="none"/>
          <w:u w:val="single"/>
        </w:rPr>
      </w:pPr>
    </w:p>
    <w:p w14:paraId="321B8345">
      <w:pPr>
        <w:spacing w:line="360" w:lineRule="auto"/>
        <w:ind w:firstLine="420" w:firstLineChars="200"/>
        <w:jc w:val="right"/>
        <w:rPr>
          <w:color w:val="auto"/>
          <w:szCs w:val="21"/>
          <w:highlight w:val="none"/>
          <w:u w:val="single"/>
        </w:rPr>
      </w:pPr>
    </w:p>
    <w:p w14:paraId="415E36EA">
      <w:pPr>
        <w:spacing w:line="360" w:lineRule="auto"/>
        <w:ind w:firstLine="420" w:firstLineChars="200"/>
        <w:jc w:val="right"/>
        <w:rPr>
          <w:color w:val="auto"/>
          <w:szCs w:val="21"/>
          <w:highlight w:val="none"/>
          <w:u w:val="single"/>
        </w:rPr>
      </w:pPr>
    </w:p>
    <w:p w14:paraId="7411DAC2">
      <w:pPr>
        <w:jc w:val="center"/>
        <w:rPr>
          <w:b/>
          <w:color w:val="auto"/>
          <w:sz w:val="32"/>
          <w:szCs w:val="32"/>
          <w:highlight w:val="none"/>
        </w:rPr>
      </w:pPr>
    </w:p>
    <w:p w14:paraId="3603BAAB">
      <w:pPr>
        <w:jc w:val="center"/>
        <w:rPr>
          <w:b/>
          <w:color w:val="auto"/>
          <w:sz w:val="32"/>
          <w:szCs w:val="32"/>
          <w:highlight w:val="none"/>
        </w:rPr>
      </w:pPr>
    </w:p>
    <w:p w14:paraId="2A178D71">
      <w:pPr>
        <w:jc w:val="center"/>
        <w:rPr>
          <w:b/>
          <w:color w:val="auto"/>
          <w:sz w:val="32"/>
          <w:szCs w:val="32"/>
          <w:highlight w:val="none"/>
        </w:rPr>
      </w:pPr>
    </w:p>
    <w:p w14:paraId="135B4C78">
      <w:pPr>
        <w:jc w:val="center"/>
        <w:rPr>
          <w:b/>
          <w:color w:val="auto"/>
          <w:sz w:val="32"/>
          <w:szCs w:val="32"/>
          <w:highlight w:val="none"/>
        </w:rPr>
      </w:pPr>
    </w:p>
    <w:p w14:paraId="03E14D7E">
      <w:pPr>
        <w:jc w:val="center"/>
        <w:rPr>
          <w:b/>
          <w:color w:val="auto"/>
          <w:sz w:val="32"/>
          <w:szCs w:val="32"/>
          <w:highlight w:val="none"/>
        </w:rPr>
      </w:pPr>
    </w:p>
    <w:p w14:paraId="60BCBB70">
      <w:pPr>
        <w:jc w:val="center"/>
        <w:rPr>
          <w:b/>
          <w:color w:val="auto"/>
          <w:sz w:val="32"/>
          <w:szCs w:val="32"/>
          <w:highlight w:val="none"/>
        </w:rPr>
      </w:pPr>
    </w:p>
    <w:p w14:paraId="0841936B">
      <w:pPr>
        <w:jc w:val="center"/>
        <w:rPr>
          <w:b/>
          <w:color w:val="auto"/>
          <w:sz w:val="32"/>
          <w:szCs w:val="32"/>
          <w:highlight w:val="none"/>
        </w:rPr>
      </w:pPr>
    </w:p>
    <w:p w14:paraId="1C19EE91">
      <w:pPr>
        <w:spacing w:line="360" w:lineRule="auto"/>
        <w:rPr>
          <w:b/>
          <w:bCs/>
          <w:color w:val="auto"/>
          <w:sz w:val="32"/>
          <w:szCs w:val="32"/>
          <w:highlight w:val="none"/>
        </w:rPr>
      </w:pPr>
    </w:p>
    <w:p w14:paraId="485C1F31">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77B9915E">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952" w:name="_Toc35425140"/>
      <w:bookmarkStart w:id="953" w:name="_Toc35424974"/>
      <w:bookmarkStart w:id="954" w:name="_Toc506107366"/>
      <w:bookmarkStart w:id="955" w:name="_Toc1505895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185304FD">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14:paraId="3C73638A">
      <w:pPr>
        <w:numPr>
          <w:ilvl w:val="0"/>
          <w:numId w:val="5"/>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14:paraId="437A755A">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14:paraId="73111601">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14:paraId="4FE3D8A8">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14:paraId="3ADCEB84">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14:paraId="515F61EA">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14:paraId="34DEE729">
      <w:pPr>
        <w:spacing w:line="600" w:lineRule="exact"/>
        <w:ind w:firstLine="420" w:firstLineChars="200"/>
        <w:jc w:val="left"/>
        <w:rPr>
          <w:rFonts w:hint="eastAsia" w:ascii="宋体" w:hAnsi="宋体"/>
          <w:color w:val="auto"/>
          <w:szCs w:val="21"/>
          <w:highlight w:val="none"/>
        </w:rPr>
      </w:pPr>
    </w:p>
    <w:p w14:paraId="6CDE313A">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2EB6904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签章</w:t>
      </w:r>
      <w:r>
        <w:rPr>
          <w:rFonts w:hint="eastAsia" w:ascii="宋体" w:hAnsi="宋体" w:eastAsia="宋体" w:cs="宋体"/>
          <w:color w:val="auto"/>
          <w:szCs w:val="21"/>
          <w:highlight w:val="none"/>
          <w:u w:val="single"/>
        </w:rPr>
        <w:t xml:space="preserve">）   </w:t>
      </w:r>
    </w:p>
    <w:p w14:paraId="2E7655CB">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（签章）</w:t>
      </w:r>
    </w:p>
    <w:p w14:paraId="1D3B533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BF3A471">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360B1957">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E9E3BB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89E987E">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5EA5C610">
      <w:pP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br w:type="page"/>
      </w:r>
    </w:p>
    <w:p w14:paraId="63B95021">
      <w:pPr>
        <w:pStyle w:val="8"/>
        <w:widowControl/>
        <w:adjustRightInd w:val="0"/>
        <w:snapToGrid w:val="0"/>
        <w:spacing w:before="0" w:beforeAutospacing="0" w:after="0" w:afterAutospacing="0" w:line="560" w:lineRule="exact"/>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2</w:t>
      </w:r>
      <w:r>
        <w:rPr>
          <w:rFonts w:hint="eastAsia" w:ascii="宋体" w:hAnsi="宋体" w:eastAsia="宋体" w:cs="宋体"/>
          <w:b/>
          <w:bCs/>
          <w:color w:val="auto"/>
          <w:kern w:val="0"/>
          <w:sz w:val="32"/>
          <w:szCs w:val="32"/>
          <w:highlight w:val="none"/>
        </w:rPr>
        <w:t>）工程量清单报价书</w:t>
      </w:r>
    </w:p>
    <w:tbl>
      <w:tblPr>
        <w:tblStyle w:val="46"/>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9"/>
        <w:gridCol w:w="1170"/>
        <w:gridCol w:w="3685"/>
        <w:gridCol w:w="675"/>
        <w:gridCol w:w="740"/>
        <w:gridCol w:w="1103"/>
        <w:gridCol w:w="1191"/>
        <w:gridCol w:w="1146"/>
      </w:tblGrid>
      <w:tr w14:paraId="54AD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C62F83E">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序号</w:t>
            </w:r>
          </w:p>
        </w:tc>
        <w:tc>
          <w:tcPr>
            <w:tcW w:w="1170" w:type="dxa"/>
            <w:tcBorders>
              <w:top w:val="single" w:color="auto" w:sz="4" w:space="0"/>
              <w:left w:val="nil"/>
              <w:bottom w:val="single" w:color="auto" w:sz="4" w:space="0"/>
              <w:right w:val="single" w:color="auto" w:sz="4" w:space="0"/>
            </w:tcBorders>
            <w:shd w:val="clear" w:color="auto" w:fill="auto"/>
            <w:vAlign w:val="center"/>
          </w:tcPr>
          <w:p w14:paraId="7455E70F">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分项名称</w:t>
            </w:r>
          </w:p>
        </w:tc>
        <w:tc>
          <w:tcPr>
            <w:tcW w:w="3685" w:type="dxa"/>
            <w:tcBorders>
              <w:top w:val="single" w:color="auto" w:sz="4" w:space="0"/>
              <w:left w:val="nil"/>
              <w:bottom w:val="single" w:color="auto" w:sz="4" w:space="0"/>
              <w:right w:val="single" w:color="auto" w:sz="4" w:space="0"/>
            </w:tcBorders>
            <w:shd w:val="clear" w:color="auto" w:fill="auto"/>
            <w:vAlign w:val="center"/>
          </w:tcPr>
          <w:p w14:paraId="54C8A0A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项目特征描述</w:t>
            </w:r>
          </w:p>
        </w:tc>
        <w:tc>
          <w:tcPr>
            <w:tcW w:w="675" w:type="dxa"/>
            <w:tcBorders>
              <w:top w:val="single" w:color="auto" w:sz="4" w:space="0"/>
              <w:left w:val="nil"/>
              <w:bottom w:val="single" w:color="auto" w:sz="4" w:space="0"/>
              <w:right w:val="single" w:color="auto" w:sz="4" w:space="0"/>
            </w:tcBorders>
            <w:shd w:val="clear" w:color="auto" w:fill="auto"/>
            <w:vAlign w:val="center"/>
          </w:tcPr>
          <w:p w14:paraId="0750FC92">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单位</w:t>
            </w:r>
          </w:p>
        </w:tc>
        <w:tc>
          <w:tcPr>
            <w:tcW w:w="740" w:type="dxa"/>
            <w:tcBorders>
              <w:top w:val="single" w:color="auto" w:sz="4" w:space="0"/>
              <w:left w:val="nil"/>
              <w:bottom w:val="single" w:color="auto" w:sz="4" w:space="0"/>
              <w:right w:val="single" w:color="auto" w:sz="4" w:space="0"/>
            </w:tcBorders>
            <w:shd w:val="clear" w:color="auto" w:fill="auto"/>
            <w:vAlign w:val="center"/>
          </w:tcPr>
          <w:p w14:paraId="28D7DAA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数量</w:t>
            </w:r>
          </w:p>
        </w:tc>
        <w:tc>
          <w:tcPr>
            <w:tcW w:w="1103" w:type="dxa"/>
            <w:tcBorders>
              <w:top w:val="single" w:color="auto" w:sz="4" w:space="0"/>
              <w:left w:val="nil"/>
              <w:bottom w:val="single" w:color="auto" w:sz="4" w:space="0"/>
              <w:right w:val="single" w:color="auto" w:sz="4" w:space="0"/>
            </w:tcBorders>
            <w:shd w:val="clear" w:color="auto" w:fill="auto"/>
            <w:vAlign w:val="center"/>
          </w:tcPr>
          <w:p w14:paraId="01C3C238">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投标综</w:t>
            </w:r>
          </w:p>
          <w:p w14:paraId="0C5F38AD">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合单价</w:t>
            </w:r>
          </w:p>
        </w:tc>
        <w:tc>
          <w:tcPr>
            <w:tcW w:w="1191" w:type="dxa"/>
            <w:tcBorders>
              <w:top w:val="single" w:color="auto" w:sz="4" w:space="0"/>
              <w:left w:val="nil"/>
              <w:bottom w:val="single" w:color="auto" w:sz="4" w:space="0"/>
              <w:right w:val="single" w:color="auto" w:sz="4" w:space="0"/>
            </w:tcBorders>
            <w:shd w:val="clear" w:color="auto" w:fill="auto"/>
            <w:vAlign w:val="center"/>
          </w:tcPr>
          <w:p w14:paraId="6AC46E0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合计（元）</w:t>
            </w:r>
          </w:p>
        </w:tc>
        <w:tc>
          <w:tcPr>
            <w:tcW w:w="1146" w:type="dxa"/>
            <w:tcBorders>
              <w:top w:val="single" w:color="auto" w:sz="4" w:space="0"/>
              <w:left w:val="nil"/>
              <w:bottom w:val="single" w:color="auto" w:sz="4" w:space="0"/>
              <w:right w:val="single" w:color="auto" w:sz="4" w:space="0"/>
            </w:tcBorders>
            <w:shd w:val="clear" w:color="auto" w:fill="auto"/>
            <w:vAlign w:val="center"/>
          </w:tcPr>
          <w:p w14:paraId="7832C48B">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lang w:val="en-US" w:eastAsia="zh-CN"/>
              </w:rPr>
            </w:pPr>
            <w:r>
              <w:rPr>
                <w:rFonts w:hint="eastAsia" w:ascii="新宋体" w:hAnsi="新宋体" w:eastAsia="新宋体" w:cs="新宋体"/>
                <w:b w:val="0"/>
                <w:bCs w:val="0"/>
                <w:spacing w:val="-12"/>
                <w:kern w:val="2"/>
                <w:sz w:val="24"/>
                <w:szCs w:val="24"/>
                <w:highlight w:val="none"/>
                <w:lang w:val="en-US" w:eastAsia="zh-CN"/>
              </w:rPr>
              <w:t>备注</w:t>
            </w:r>
          </w:p>
        </w:tc>
      </w:tr>
      <w:tr w14:paraId="6F72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A53AFD1">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1</w:t>
            </w:r>
          </w:p>
        </w:tc>
        <w:tc>
          <w:tcPr>
            <w:tcW w:w="1170" w:type="dxa"/>
            <w:tcBorders>
              <w:top w:val="single" w:color="auto" w:sz="4" w:space="0"/>
              <w:left w:val="nil"/>
              <w:bottom w:val="single" w:color="auto" w:sz="4" w:space="0"/>
              <w:right w:val="single" w:color="auto" w:sz="4" w:space="0"/>
            </w:tcBorders>
            <w:shd w:val="clear" w:color="auto" w:fill="auto"/>
            <w:vAlign w:val="center"/>
          </w:tcPr>
          <w:p w14:paraId="7CB20C95">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立柱加固</w:t>
            </w:r>
          </w:p>
        </w:tc>
        <w:tc>
          <w:tcPr>
            <w:tcW w:w="3685" w:type="dxa"/>
            <w:tcBorders>
              <w:top w:val="single" w:color="auto" w:sz="4" w:space="0"/>
              <w:left w:val="nil"/>
              <w:bottom w:val="single" w:color="auto" w:sz="4" w:space="0"/>
              <w:right w:val="single" w:color="auto" w:sz="4" w:space="0"/>
            </w:tcBorders>
            <w:shd w:val="clear" w:color="auto" w:fill="auto"/>
            <w:vAlign w:val="center"/>
          </w:tcPr>
          <w:p w14:paraId="0ECA9455">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lang w:val="en-US" w:eastAsia="zh-CN" w:bidi="ar"/>
              </w:rPr>
              <w:t>技术方案：对现有3处生锈严重的工字钢除锈后直接在立柱外侧支设模板。其余轻微锈蚀的工字钢人工除锈后涂刷防锈漆。</w:t>
            </w:r>
          </w:p>
          <w:p w14:paraId="600FBCCE">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lang w:val="en-US" w:eastAsia="zh-CN" w:bidi="ar"/>
              </w:rPr>
              <w:t>模板规格：60公分×40公分×5米。</w:t>
            </w:r>
          </w:p>
          <w:p w14:paraId="62A97994">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加固方式：浇筑C25细石混凝土包裹原工字钢。增强立柱承载力，防止进一步锈蚀，延长使用寿命。</w:t>
            </w:r>
          </w:p>
        </w:tc>
        <w:tc>
          <w:tcPr>
            <w:tcW w:w="675" w:type="dxa"/>
            <w:tcBorders>
              <w:top w:val="single" w:color="auto" w:sz="4" w:space="0"/>
              <w:left w:val="nil"/>
              <w:bottom w:val="single" w:color="auto" w:sz="4" w:space="0"/>
              <w:right w:val="single" w:color="auto" w:sz="4" w:space="0"/>
            </w:tcBorders>
            <w:shd w:val="clear" w:color="auto" w:fill="auto"/>
            <w:vAlign w:val="center"/>
          </w:tcPr>
          <w:p w14:paraId="3B561905">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m³</w:t>
            </w:r>
          </w:p>
        </w:tc>
        <w:tc>
          <w:tcPr>
            <w:tcW w:w="740" w:type="dxa"/>
            <w:tcBorders>
              <w:top w:val="single" w:color="auto" w:sz="4" w:space="0"/>
              <w:left w:val="nil"/>
              <w:bottom w:val="single" w:color="auto" w:sz="4" w:space="0"/>
              <w:right w:val="single" w:color="auto" w:sz="4" w:space="0"/>
            </w:tcBorders>
            <w:shd w:val="clear" w:color="auto" w:fill="auto"/>
            <w:vAlign w:val="center"/>
          </w:tcPr>
          <w:p w14:paraId="168C150E">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default" w:ascii="新宋体" w:hAnsi="新宋体" w:eastAsia="新宋体" w:cs="新宋体"/>
                <w:b w:val="0"/>
                <w:bCs w:val="0"/>
                <w:kern w:val="2"/>
                <w:sz w:val="24"/>
                <w:szCs w:val="24"/>
                <w:highlight w:val="none"/>
                <w:lang w:val="en-US" w:eastAsia="zh-CN" w:bidi="ar"/>
              </w:rPr>
            </w:pPr>
            <w:r>
              <w:rPr>
                <w:rFonts w:hint="eastAsia" w:ascii="新宋体" w:hAnsi="新宋体" w:eastAsia="新宋体" w:cs="新宋体"/>
                <w:b w:val="0"/>
                <w:bCs w:val="0"/>
                <w:kern w:val="2"/>
                <w:sz w:val="24"/>
                <w:szCs w:val="24"/>
                <w:highlight w:val="none"/>
                <w:lang w:val="en-US" w:eastAsia="zh-CN" w:bidi="ar"/>
              </w:rPr>
              <w:t>3.6</w:t>
            </w:r>
          </w:p>
        </w:tc>
        <w:tc>
          <w:tcPr>
            <w:tcW w:w="1103" w:type="dxa"/>
            <w:tcBorders>
              <w:top w:val="single" w:color="auto" w:sz="4" w:space="0"/>
              <w:left w:val="nil"/>
              <w:bottom w:val="single" w:color="auto" w:sz="4" w:space="0"/>
              <w:right w:val="single" w:color="auto" w:sz="4" w:space="0"/>
            </w:tcBorders>
            <w:shd w:val="clear" w:color="auto" w:fill="auto"/>
            <w:vAlign w:val="center"/>
          </w:tcPr>
          <w:p w14:paraId="139E80E1">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07F4F77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6E9685D9">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5185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09148873">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default" w:ascii="新宋体" w:hAnsi="新宋体" w:eastAsia="新宋体" w:cs="新宋体"/>
                <w:b w:val="0"/>
                <w:bCs w:val="0"/>
                <w:spacing w:val="-12"/>
                <w:kern w:val="2"/>
                <w:sz w:val="24"/>
                <w:szCs w:val="24"/>
                <w:highlight w:val="none"/>
                <w:lang w:val="en-US" w:eastAsia="zh-CN" w:bidi="ar"/>
              </w:rPr>
            </w:pPr>
            <w:r>
              <w:rPr>
                <w:rFonts w:hint="eastAsia" w:ascii="新宋体" w:hAnsi="新宋体" w:eastAsia="新宋体" w:cs="新宋体"/>
                <w:b w:val="0"/>
                <w:bCs w:val="0"/>
                <w:spacing w:val="-12"/>
                <w:kern w:val="2"/>
                <w:sz w:val="24"/>
                <w:szCs w:val="24"/>
                <w:highlight w:val="none"/>
                <w:lang w:val="en-US" w:eastAsia="zh-CN" w:bidi="ar"/>
              </w:rPr>
              <w:t>2</w:t>
            </w:r>
          </w:p>
        </w:tc>
        <w:tc>
          <w:tcPr>
            <w:tcW w:w="1170" w:type="dxa"/>
            <w:tcBorders>
              <w:top w:val="single" w:color="auto" w:sz="4" w:space="0"/>
              <w:left w:val="nil"/>
              <w:bottom w:val="single" w:color="auto" w:sz="4" w:space="0"/>
              <w:right w:val="single" w:color="auto" w:sz="4" w:space="0"/>
            </w:tcBorders>
            <w:shd w:val="clear" w:color="auto" w:fill="auto"/>
            <w:vAlign w:val="center"/>
          </w:tcPr>
          <w:p w14:paraId="3AAB9797">
            <w:pPr>
              <w:keepNext w:val="0"/>
              <w:keepLines w:val="0"/>
              <w:widowControl w:val="0"/>
              <w:suppressLineNumbers w:val="0"/>
              <w:autoSpaceDE w:val="0"/>
              <w:autoSpaceDN/>
              <w:spacing w:before="0" w:beforeAutospacing="0" w:after="0" w:afterAutospacing="0" w:line="400" w:lineRule="exact"/>
              <w:ind w:left="0" w:leftChars="0" w:right="0" w:rightChars="0"/>
              <w:jc w:val="center"/>
              <w:rPr>
                <w:rFonts w:hint="eastAsia" w:ascii="宋体" w:hAnsi="宋体" w:eastAsia="宋体" w:cs="宋体"/>
                <w:b w:val="0"/>
                <w:bCs w:val="0"/>
                <w:spacing w:val="-12"/>
                <w:kern w:val="2"/>
                <w:sz w:val="24"/>
                <w:szCs w:val="24"/>
                <w:highlight w:val="none"/>
                <w:lang w:val="en-US" w:eastAsia="zh-CN" w:bidi="ar-SA"/>
              </w:rPr>
            </w:pPr>
            <w:r>
              <w:rPr>
                <w:rFonts w:hint="eastAsia" w:ascii="宋体" w:hAnsi="宋体" w:eastAsia="宋体" w:cs="宋体"/>
                <w:b w:val="0"/>
                <w:bCs w:val="0"/>
                <w:spacing w:val="-12"/>
                <w:kern w:val="2"/>
                <w:sz w:val="24"/>
                <w:szCs w:val="24"/>
                <w:highlight w:val="none"/>
                <w:lang w:val="en-US" w:eastAsia="zh-CN" w:bidi="ar"/>
              </w:rPr>
              <w:t>屋顶更换</w:t>
            </w:r>
          </w:p>
        </w:tc>
        <w:tc>
          <w:tcPr>
            <w:tcW w:w="3685" w:type="dxa"/>
            <w:tcBorders>
              <w:top w:val="single" w:color="auto" w:sz="4" w:space="0"/>
              <w:left w:val="nil"/>
              <w:bottom w:val="single" w:color="auto" w:sz="4" w:space="0"/>
              <w:right w:val="single" w:color="auto" w:sz="4" w:space="0"/>
            </w:tcBorders>
            <w:shd w:val="clear" w:color="auto" w:fill="auto"/>
            <w:vAlign w:val="center"/>
          </w:tcPr>
          <w:p w14:paraId="33195E4E">
            <w:pPr>
              <w:keepNext w:val="0"/>
              <w:keepLines w:val="0"/>
              <w:widowControl w:val="0"/>
              <w:suppressLineNumbers w:val="0"/>
              <w:autoSpaceDE w:val="0"/>
              <w:autoSpaceDN/>
              <w:spacing w:before="0" w:beforeLines="0" w:beforeAutospacing="0" w:after="0" w:afterLines="0" w:afterAutospacing="0" w:line="440" w:lineRule="exact"/>
              <w:ind w:left="0" w:right="0" w:rightChars="0"/>
              <w:jc w:val="left"/>
              <w:rPr>
                <w:rFonts w:hint="eastAsia" w:ascii="新宋体" w:hAnsi="新宋体" w:eastAsia="新宋体" w:cs="新宋体"/>
                <w:b w:val="0"/>
                <w:bCs w:val="0"/>
                <w:kern w:val="2"/>
                <w:sz w:val="24"/>
                <w:szCs w:val="24"/>
                <w:highlight w:val="none"/>
              </w:rPr>
            </w:pPr>
            <w:r>
              <w:rPr>
                <w:rFonts w:hint="eastAsia" w:ascii="新宋体" w:hAnsi="新宋体" w:eastAsia="新宋体" w:cs="新宋体"/>
                <w:b w:val="0"/>
                <w:bCs w:val="0"/>
                <w:kern w:val="2"/>
                <w:sz w:val="24"/>
                <w:szCs w:val="24"/>
                <w:highlight w:val="none"/>
                <w:lang w:val="en-US" w:eastAsia="zh-CN" w:bidi="ar"/>
              </w:rPr>
              <w:t>拆除部分：现有破损的石棉瓦屋顶全部拆除,拆下材料由施工单位处理运出。</w:t>
            </w:r>
          </w:p>
          <w:p w14:paraId="14C27B16">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left"/>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新建屋顶：更换为0.6mm厚彩钢板，彩钢板面积约为620平米，东侧彩钢板需上翻至外墙外侧檐口以下15公分，并确保防水、防风性能符合规范。原28米水槽更换为宽度40厘米×高度35厘米厚度为2mm镀锌板水槽。</w:t>
            </w:r>
          </w:p>
        </w:tc>
        <w:tc>
          <w:tcPr>
            <w:tcW w:w="675" w:type="dxa"/>
            <w:tcBorders>
              <w:top w:val="single" w:color="auto" w:sz="4" w:space="0"/>
              <w:left w:val="nil"/>
              <w:bottom w:val="single" w:color="auto" w:sz="4" w:space="0"/>
              <w:right w:val="single" w:color="auto" w:sz="4" w:space="0"/>
            </w:tcBorders>
            <w:shd w:val="clear" w:color="auto" w:fill="auto"/>
            <w:vAlign w:val="center"/>
          </w:tcPr>
          <w:p w14:paraId="446C0E54">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w:t>
            </w:r>
          </w:p>
        </w:tc>
        <w:tc>
          <w:tcPr>
            <w:tcW w:w="740" w:type="dxa"/>
            <w:tcBorders>
              <w:top w:val="single" w:color="auto" w:sz="4" w:space="0"/>
              <w:left w:val="nil"/>
              <w:bottom w:val="single" w:color="auto" w:sz="4" w:space="0"/>
              <w:right w:val="single" w:color="auto" w:sz="4" w:space="0"/>
            </w:tcBorders>
            <w:shd w:val="clear" w:color="auto" w:fill="auto"/>
            <w:vAlign w:val="center"/>
          </w:tcPr>
          <w:p w14:paraId="1D9C9C1E">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lang w:val="en-US" w:eastAsia="zh-CN" w:bidi="ar-SA"/>
              </w:rPr>
            </w:pPr>
            <w:r>
              <w:rPr>
                <w:rFonts w:hint="eastAsia" w:ascii="新宋体" w:hAnsi="新宋体" w:eastAsia="新宋体" w:cs="新宋体"/>
                <w:b w:val="0"/>
                <w:bCs w:val="0"/>
                <w:kern w:val="2"/>
                <w:sz w:val="24"/>
                <w:szCs w:val="24"/>
                <w:highlight w:val="none"/>
                <w:lang w:val="en-US" w:eastAsia="zh-CN" w:bidi="ar"/>
              </w:rPr>
              <w:t>620</w:t>
            </w:r>
          </w:p>
        </w:tc>
        <w:tc>
          <w:tcPr>
            <w:tcW w:w="1103" w:type="dxa"/>
            <w:tcBorders>
              <w:top w:val="single" w:color="auto" w:sz="4" w:space="0"/>
              <w:left w:val="nil"/>
              <w:bottom w:val="single" w:color="auto" w:sz="4" w:space="0"/>
              <w:right w:val="single" w:color="auto" w:sz="4" w:space="0"/>
            </w:tcBorders>
            <w:shd w:val="clear" w:color="auto" w:fill="auto"/>
            <w:vAlign w:val="center"/>
          </w:tcPr>
          <w:p w14:paraId="55BDD183">
            <w:pPr>
              <w:keepNext w:val="0"/>
              <w:keepLines w:val="0"/>
              <w:widowControl w:val="0"/>
              <w:suppressLineNumbers w:val="0"/>
              <w:autoSpaceDE w:val="0"/>
              <w:autoSpaceDN/>
              <w:spacing w:before="0" w:beforeLines="0" w:beforeAutospacing="0" w:after="0" w:afterLines="0" w:afterAutospacing="0" w:line="440" w:lineRule="exact"/>
              <w:ind w:left="0" w:leftChars="0" w:right="0" w:rightChars="0"/>
              <w:jc w:val="center"/>
              <w:rPr>
                <w:rFonts w:hint="eastAsia" w:ascii="新宋体" w:hAnsi="新宋体" w:eastAsia="新宋体" w:cs="新宋体"/>
                <w:b w:val="0"/>
                <w:bCs w:val="0"/>
                <w:kern w:val="2"/>
                <w:sz w:val="24"/>
                <w:szCs w:val="24"/>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14:paraId="67C42BC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c>
          <w:tcPr>
            <w:tcW w:w="1146" w:type="dxa"/>
            <w:tcBorders>
              <w:top w:val="single" w:color="auto" w:sz="4" w:space="0"/>
              <w:left w:val="nil"/>
              <w:bottom w:val="single" w:color="auto" w:sz="4" w:space="0"/>
              <w:right w:val="single" w:color="auto" w:sz="4" w:space="0"/>
            </w:tcBorders>
            <w:shd w:val="clear" w:color="auto" w:fill="auto"/>
            <w:vAlign w:val="center"/>
          </w:tcPr>
          <w:p w14:paraId="43C70834">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kern w:val="2"/>
                <w:sz w:val="24"/>
                <w:szCs w:val="24"/>
                <w:highlight w:val="none"/>
              </w:rPr>
            </w:pPr>
          </w:p>
        </w:tc>
      </w:tr>
      <w:tr w14:paraId="04D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5EA2ABA">
            <w:pPr>
              <w:keepNext w:val="0"/>
              <w:keepLines w:val="0"/>
              <w:widowControl w:val="0"/>
              <w:suppressLineNumbers w:val="0"/>
              <w:autoSpaceDE w:val="0"/>
              <w:autoSpaceDN/>
              <w:spacing w:before="0" w:beforeLines="0" w:beforeAutospacing="0" w:after="0" w:afterLines="0" w:afterAutospacing="0" w:line="440" w:lineRule="exact"/>
              <w:ind w:left="0" w:right="0" w:rightChars="0"/>
              <w:jc w:val="center"/>
              <w:rPr>
                <w:rFonts w:hint="eastAsia" w:ascii="新宋体" w:hAnsi="新宋体" w:eastAsia="新宋体" w:cs="新宋体"/>
                <w:b w:val="0"/>
                <w:bCs w:val="0"/>
                <w:spacing w:val="-12"/>
                <w:kern w:val="2"/>
                <w:sz w:val="24"/>
                <w:szCs w:val="24"/>
                <w:highlight w:val="none"/>
              </w:rPr>
            </w:pPr>
            <w:r>
              <w:rPr>
                <w:rFonts w:hint="eastAsia" w:ascii="新宋体" w:hAnsi="新宋体" w:eastAsia="新宋体" w:cs="新宋体"/>
                <w:b w:val="0"/>
                <w:bCs w:val="0"/>
                <w:spacing w:val="-12"/>
                <w:kern w:val="2"/>
                <w:sz w:val="24"/>
                <w:szCs w:val="24"/>
                <w:highlight w:val="none"/>
                <w:lang w:val="en-US" w:eastAsia="zh-CN" w:bidi="ar"/>
              </w:rPr>
              <w:t>3</w:t>
            </w:r>
          </w:p>
        </w:tc>
        <w:tc>
          <w:tcPr>
            <w:tcW w:w="9710" w:type="dxa"/>
            <w:gridSpan w:val="7"/>
            <w:tcBorders>
              <w:top w:val="single" w:color="auto" w:sz="4" w:space="0"/>
              <w:left w:val="nil"/>
              <w:bottom w:val="single" w:color="auto" w:sz="4" w:space="0"/>
              <w:right w:val="single" w:color="auto" w:sz="4" w:space="0"/>
            </w:tcBorders>
            <w:shd w:val="clear" w:color="auto" w:fill="auto"/>
            <w:vAlign w:val="center"/>
          </w:tcPr>
          <w:p w14:paraId="6E089002">
            <w:pPr>
              <w:keepNext w:val="0"/>
              <w:keepLines w:val="0"/>
              <w:widowControl w:val="0"/>
              <w:suppressLineNumbers w:val="0"/>
              <w:autoSpaceDE w:val="0"/>
              <w:autoSpaceDN/>
              <w:spacing w:before="0" w:beforeAutospacing="0" w:after="0" w:afterAutospacing="0" w:line="48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投标总报价（大写）：</w:t>
            </w:r>
            <w:r>
              <w:rPr>
                <w:rFonts w:hint="eastAsia" w:ascii="宋体" w:hAnsi="宋体" w:eastAsia="宋体" w:cs="宋体"/>
                <w:b/>
                <w:bCs w:val="0"/>
                <w:kern w:val="2"/>
                <w:sz w:val="24"/>
                <w:szCs w:val="24"/>
                <w:highlight w:val="none"/>
                <w:u w:val="single"/>
                <w:lang w:val="en-US" w:eastAsia="zh-CN" w:bidi="ar"/>
              </w:rPr>
              <w:t xml:space="preserve">                                 </w:t>
            </w:r>
            <w:r>
              <w:rPr>
                <w:rFonts w:hint="eastAsia" w:ascii="宋体" w:hAnsi="宋体" w:eastAsia="宋体" w:cs="宋体"/>
                <w:b/>
                <w:bCs w:val="0"/>
                <w:kern w:val="2"/>
                <w:sz w:val="24"/>
                <w:szCs w:val="24"/>
                <w:highlight w:val="none"/>
                <w:lang w:val="en-US" w:eastAsia="zh-CN" w:bidi="ar"/>
              </w:rPr>
              <w:t>元；</w:t>
            </w:r>
          </w:p>
          <w:p w14:paraId="7D0A32AE">
            <w:pPr>
              <w:keepNext w:val="0"/>
              <w:keepLines w:val="0"/>
              <w:widowControl w:val="0"/>
              <w:suppressLineNumbers w:val="0"/>
              <w:autoSpaceDE w:val="0"/>
              <w:autoSpaceDN/>
              <w:spacing w:before="0" w:beforeAutospacing="0" w:after="0" w:afterAutospacing="0" w:line="480" w:lineRule="exact"/>
              <w:ind w:left="0" w:right="0"/>
              <w:jc w:val="both"/>
              <w:rPr>
                <w:rFonts w:hint="eastAsia" w:ascii="新宋体" w:hAnsi="新宋体" w:eastAsia="新宋体" w:cs="新宋体"/>
                <w:b w:val="0"/>
                <w:bCs w:val="0"/>
                <w:kern w:val="2"/>
                <w:sz w:val="24"/>
                <w:szCs w:val="24"/>
                <w:highlight w:val="none"/>
              </w:rPr>
            </w:pPr>
            <w:r>
              <w:rPr>
                <w:rFonts w:hint="eastAsia" w:ascii="宋体" w:hAnsi="宋体" w:eastAsia="宋体" w:cs="宋体"/>
                <w:b/>
                <w:bCs w:val="0"/>
                <w:kern w:val="2"/>
                <w:sz w:val="24"/>
                <w:szCs w:val="24"/>
                <w:highlight w:val="none"/>
                <w:lang w:val="en-US" w:eastAsia="zh-CN" w:bidi="ar"/>
              </w:rPr>
              <w:t>（小写）：</w:t>
            </w:r>
            <w:r>
              <w:rPr>
                <w:rFonts w:hint="eastAsia" w:ascii="宋体" w:hAnsi="宋体" w:eastAsia="宋体" w:cs="宋体"/>
                <w:b/>
                <w:bCs w:val="0"/>
                <w:kern w:val="2"/>
                <w:sz w:val="24"/>
                <w:szCs w:val="24"/>
                <w:highlight w:val="none"/>
                <w:u w:val="single"/>
                <w:lang w:val="en-US" w:eastAsia="zh-CN" w:bidi="ar"/>
              </w:rPr>
              <w:t xml:space="preserve">               </w:t>
            </w:r>
            <w:r>
              <w:rPr>
                <w:rFonts w:hint="eastAsia" w:ascii="宋体" w:hAnsi="宋体" w:eastAsia="宋体" w:cs="宋体"/>
                <w:b/>
                <w:bCs w:val="0"/>
                <w:kern w:val="2"/>
                <w:sz w:val="24"/>
                <w:szCs w:val="24"/>
                <w:highlight w:val="none"/>
                <w:lang w:val="en-US" w:eastAsia="zh-CN" w:bidi="ar"/>
              </w:rPr>
              <w:t xml:space="preserve"> 元。</w:t>
            </w:r>
          </w:p>
        </w:tc>
      </w:tr>
    </w:tbl>
    <w:p w14:paraId="179283D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注：所有投标只能选择一种方案，单价和合价的报价只能是唯一，否则为无效标。</w:t>
      </w:r>
    </w:p>
    <w:p w14:paraId="62AF898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 xml:space="preserve"> </w:t>
      </w:r>
    </w:p>
    <w:p w14:paraId="51BD0D59">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投标人名称（签章）：</w:t>
      </w:r>
      <w:r>
        <w:rPr>
          <w:rFonts w:hint="eastAsia" w:ascii="宋体" w:hAnsi="宋体" w:eastAsia="宋体" w:cs="宋体"/>
          <w:kern w:val="2"/>
          <w:sz w:val="24"/>
          <w:szCs w:val="24"/>
          <w:highlight w:val="none"/>
          <w:u w:val="single"/>
          <w:lang w:val="en-US" w:eastAsia="zh-CN" w:bidi="ar"/>
        </w:rPr>
        <w:t xml:space="preserve">                                </w:t>
      </w:r>
    </w:p>
    <w:p w14:paraId="6C832A97">
      <w:pPr>
        <w:keepNext w:val="0"/>
        <w:keepLines w:val="0"/>
        <w:widowControl w:val="0"/>
        <w:suppressLineNumbers w:val="0"/>
        <w:spacing w:before="0" w:beforeAutospacing="0" w:after="0" w:afterAutospacing="0" w:line="360" w:lineRule="auto"/>
        <w:ind w:left="0" w:right="0" w:firstLine="2160" w:firstLineChars="9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法定代表人或授权代理人(签章)：</w:t>
      </w:r>
      <w:r>
        <w:rPr>
          <w:rFonts w:hint="eastAsia" w:ascii="宋体" w:hAnsi="宋体" w:eastAsia="宋体" w:cs="宋体"/>
          <w:kern w:val="2"/>
          <w:sz w:val="24"/>
          <w:szCs w:val="24"/>
          <w:highlight w:val="none"/>
          <w:u w:val="single"/>
          <w:lang w:val="en-US" w:eastAsia="zh-CN" w:bidi="ar"/>
        </w:rPr>
        <w:t xml:space="preserve">                </w:t>
      </w:r>
    </w:p>
    <w:p w14:paraId="5CB05257">
      <w:pPr>
        <w:keepNext w:val="0"/>
        <w:keepLines w:val="0"/>
        <w:widowControl w:val="0"/>
        <w:suppressLineNumbers w:val="0"/>
        <w:spacing w:before="0" w:beforeAutospacing="0" w:after="0" w:afterAutospacing="0" w:line="360" w:lineRule="auto"/>
        <w:ind w:left="0" w:right="0" w:firstLine="2160" w:firstLineChars="900"/>
        <w:jc w:val="both"/>
        <w:rPr>
          <w:rFonts w:hint="default" w:ascii="Times New Roman" w:hAnsi="Times New Roman" w:eastAsia="宋体" w:cs="Times New Roman"/>
          <w:kern w:val="2"/>
          <w:sz w:val="21"/>
          <w:szCs w:val="21"/>
          <w:highlight w:val="none"/>
        </w:rPr>
      </w:pPr>
      <w:r>
        <w:rPr>
          <w:rFonts w:hint="eastAsia" w:ascii="宋体" w:hAnsi="宋体" w:eastAsia="宋体" w:cs="宋体"/>
          <w:kern w:val="2"/>
          <w:sz w:val="24"/>
          <w:szCs w:val="24"/>
          <w:highlight w:val="none"/>
          <w:lang w:val="en-US" w:eastAsia="zh-CN" w:bidi="ar"/>
        </w:rPr>
        <w:t>日    期：</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年</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月</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日</w:t>
      </w:r>
    </w:p>
    <w:p w14:paraId="20DE59E9">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 xml:space="preserve"> </w:t>
      </w:r>
      <w:r>
        <w:rPr>
          <w:rFonts w:hint="eastAsia" w:ascii="Times New Roman" w:hAnsi="Times New Roman" w:eastAsia="宋体" w:cs="Times New Roman"/>
          <w:kern w:val="2"/>
          <w:sz w:val="21"/>
          <w:szCs w:val="21"/>
          <w:highlight w:val="none"/>
          <w:lang w:val="en-US" w:eastAsia="zh-CN" w:bidi="ar"/>
        </w:rPr>
        <w:t xml:space="preserve">  </w:t>
      </w:r>
    </w:p>
    <w:p w14:paraId="545CC467">
      <w:pPr>
        <w:pStyle w:val="8"/>
        <w:widowControl/>
        <w:adjustRightInd w:val="0"/>
        <w:snapToGrid w:val="0"/>
        <w:spacing w:before="0" w:beforeAutospacing="0" w:after="0" w:afterAutospacing="0" w:line="560" w:lineRule="exact"/>
        <w:jc w:val="center"/>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3</w:t>
      </w:r>
      <w:r>
        <w:rPr>
          <w:rFonts w:hint="eastAsia" w:ascii="宋体" w:hAnsi="宋体" w:eastAsia="宋体" w:cs="宋体"/>
          <w:b/>
          <w:bCs/>
          <w:color w:val="auto"/>
          <w:kern w:val="0"/>
          <w:sz w:val="32"/>
          <w:szCs w:val="32"/>
          <w:highlight w:val="none"/>
        </w:rPr>
        <w:t>）详细评审所需其他材料（如有）</w:t>
      </w:r>
    </w:p>
    <w:p w14:paraId="5A98529D">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952"/>
      <w:bookmarkEnd w:id="953"/>
      <w:bookmarkEnd w:id="954"/>
      <w:bookmarkEnd w:id="955"/>
      <w:bookmarkStart w:id="956" w:name="_Toc78803402"/>
    </w:p>
    <w:p w14:paraId="489D056E">
      <w:pPr>
        <w:pStyle w:val="43"/>
        <w:spacing w:beforeLines="50" w:afterLines="50" w:line="440" w:lineRule="exact"/>
        <w:rPr>
          <w:bCs/>
          <w:color w:val="auto"/>
          <w:szCs w:val="32"/>
          <w:highlight w:val="none"/>
        </w:rPr>
      </w:pPr>
      <w:bookmarkStart w:id="957" w:name="_Toc29114"/>
      <w:bookmarkStart w:id="958" w:name="_Toc15593"/>
      <w:bookmarkStart w:id="959" w:name="_Toc8955"/>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招标单位、招标代理机构对本招标文件的确认</w:t>
      </w:r>
      <w:bookmarkEnd w:id="956"/>
      <w:bookmarkEnd w:id="957"/>
      <w:bookmarkEnd w:id="958"/>
      <w:bookmarkEnd w:id="959"/>
    </w:p>
    <w:p w14:paraId="62B128CB">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94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61AAF3FD">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14:paraId="53CE57BC">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扬子集团849号园区西北侧厂房维修项目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3E40857E">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中国扬子集团有限公司</w:t>
            </w:r>
            <w:r>
              <w:rPr>
                <w:rFonts w:hint="eastAsia" w:ascii="宋体" w:hAnsi="宋体"/>
                <w:color w:val="auto"/>
                <w:sz w:val="28"/>
                <w:szCs w:val="28"/>
                <w:highlight w:val="none"/>
              </w:rPr>
              <w:t xml:space="preserve">  </w:t>
            </w:r>
          </w:p>
          <w:p w14:paraId="49373CFB">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叶来明</w:t>
            </w:r>
            <w:r>
              <w:rPr>
                <w:rFonts w:hint="eastAsia" w:ascii="宋体" w:hAnsi="宋体" w:eastAsia="宋体" w:cs="Times New Roman"/>
                <w:color w:val="auto"/>
                <w:sz w:val="28"/>
                <w:szCs w:val="28"/>
                <w:highlight w:val="none"/>
              </w:rPr>
              <w:t xml:space="preserve"> </w:t>
            </w:r>
          </w:p>
          <w:p w14:paraId="79F3CBE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13956316320</w:t>
            </w:r>
          </w:p>
          <w:p w14:paraId="18674481">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6BED97E9">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6C7F6D4">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14:paraId="4481DE6B">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14:paraId="4467D6B4">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p>
          <w:p w14:paraId="6A97483B">
            <w:pPr>
              <w:pStyle w:val="2"/>
              <w:keepNext w:val="0"/>
              <w:keepLines w:val="0"/>
              <w:suppressLineNumbers w:val="0"/>
              <w:spacing w:before="0" w:beforeAutospacing="0" w:after="0" w:afterAutospacing="0"/>
              <w:ind w:right="0" w:firstLine="420"/>
              <w:rPr>
                <w:rFonts w:hint="default"/>
                <w:color w:val="auto"/>
                <w:highlight w:val="none"/>
              </w:rPr>
            </w:pPr>
          </w:p>
        </w:tc>
      </w:tr>
      <w:tr w14:paraId="2AD7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4A64061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14:paraId="2F5FFA30">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7A0413BB">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14:paraId="2E0C6C55">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14:paraId="6B2CA8E7">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14:paraId="3C3B215A">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14:paraId="7F66BEEC">
            <w:pPr>
              <w:keepNext w:val="0"/>
              <w:keepLines w:val="0"/>
              <w:suppressLineNumbers w:val="0"/>
              <w:spacing w:before="0" w:beforeAutospacing="0" w:after="0" w:afterAutospacing="0" w:line="560" w:lineRule="exact"/>
              <w:ind w:left="0" w:right="0" w:firstLine="5880" w:firstLineChars="2100"/>
              <w:rPr>
                <w:rFonts w:hint="eastAsia" w:ascii="宋体" w:hAnsi="宋体" w:cs="宋体"/>
                <w:color w:val="auto"/>
                <w:sz w:val="28"/>
                <w:szCs w:val="28"/>
                <w:highlight w:val="none"/>
              </w:rPr>
            </w:pPr>
          </w:p>
          <w:p w14:paraId="21405049">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14:paraId="6ADFB5E1">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3</w:t>
            </w:r>
            <w:r>
              <w:rPr>
                <w:rFonts w:hint="eastAsia" w:ascii="宋体" w:hAnsi="宋体"/>
                <w:color w:val="auto"/>
                <w:sz w:val="28"/>
                <w:szCs w:val="28"/>
                <w:highlight w:val="none"/>
              </w:rPr>
              <w:t>月</w:t>
            </w:r>
          </w:p>
          <w:p w14:paraId="0B913135">
            <w:pPr>
              <w:pStyle w:val="2"/>
              <w:keepNext w:val="0"/>
              <w:keepLines w:val="0"/>
              <w:suppressLineNumbers w:val="0"/>
              <w:spacing w:before="0" w:beforeAutospacing="0" w:after="0" w:afterAutospacing="0"/>
              <w:ind w:right="0" w:firstLine="420"/>
              <w:rPr>
                <w:rFonts w:hint="default"/>
                <w:color w:val="auto"/>
                <w:highlight w:val="none"/>
              </w:rPr>
            </w:pPr>
          </w:p>
        </w:tc>
      </w:tr>
    </w:tbl>
    <w:p w14:paraId="330A1917">
      <w:pPr>
        <w:rPr>
          <w:color w:val="auto"/>
          <w:highlight w:val="none"/>
        </w:rPr>
      </w:pPr>
    </w:p>
    <w:sectPr>
      <w:headerReference r:id="rId5" w:type="default"/>
      <w:footerReference r:id="rId6"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BA16">
    <w:pPr>
      <w:pStyle w:val="30"/>
      <w:rPr>
        <w:rStyle w:val="50"/>
      </w:rPr>
    </w:pPr>
  </w:p>
  <w:p w14:paraId="1189A1CD">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53A14">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342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F1C3423">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2A8F1A2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3C81">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5526">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D6C92AE3"/>
    <w:multiLevelType w:val="multilevel"/>
    <w:tmpl w:val="D6C92AE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E3E014FC"/>
    <w:multiLevelType w:val="multilevel"/>
    <w:tmpl w:val="E3E014FC"/>
    <w:lvl w:ilvl="0" w:tentative="0">
      <w:start w:val="10"/>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80E6C8"/>
    <w:multiLevelType w:val="singleLevel"/>
    <w:tmpl w:val="1E80E6C8"/>
    <w:lvl w:ilvl="0" w:tentative="0">
      <w:start w:val="3"/>
      <w:numFmt w:val="chineseCounting"/>
      <w:suff w:val="space"/>
      <w:lvlText w:val="第%1章"/>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3700"/>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86DFB"/>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57B"/>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66A48"/>
    <w:rsid w:val="01086012"/>
    <w:rsid w:val="012F23D2"/>
    <w:rsid w:val="01353E46"/>
    <w:rsid w:val="013D20EF"/>
    <w:rsid w:val="013D4C8F"/>
    <w:rsid w:val="0141555F"/>
    <w:rsid w:val="01542AFA"/>
    <w:rsid w:val="015460A2"/>
    <w:rsid w:val="015E6630"/>
    <w:rsid w:val="016453D0"/>
    <w:rsid w:val="016C75C7"/>
    <w:rsid w:val="018D524F"/>
    <w:rsid w:val="019036D8"/>
    <w:rsid w:val="01A01767"/>
    <w:rsid w:val="01A66FAC"/>
    <w:rsid w:val="01BD22C8"/>
    <w:rsid w:val="01BD4FDC"/>
    <w:rsid w:val="01C42B8B"/>
    <w:rsid w:val="01CE3A0A"/>
    <w:rsid w:val="01CF7782"/>
    <w:rsid w:val="01E941AE"/>
    <w:rsid w:val="01ED256A"/>
    <w:rsid w:val="01FE504C"/>
    <w:rsid w:val="02025461"/>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06659A"/>
    <w:rsid w:val="032764F6"/>
    <w:rsid w:val="032C124E"/>
    <w:rsid w:val="03355FAD"/>
    <w:rsid w:val="03357A15"/>
    <w:rsid w:val="033F6615"/>
    <w:rsid w:val="034A4B76"/>
    <w:rsid w:val="03604B36"/>
    <w:rsid w:val="03646BB0"/>
    <w:rsid w:val="036A455B"/>
    <w:rsid w:val="03700AD7"/>
    <w:rsid w:val="03881BEB"/>
    <w:rsid w:val="038B058F"/>
    <w:rsid w:val="03936A9A"/>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5E0D7F"/>
    <w:rsid w:val="046E6DDE"/>
    <w:rsid w:val="047015B8"/>
    <w:rsid w:val="048D54DF"/>
    <w:rsid w:val="04B51F1A"/>
    <w:rsid w:val="04BD0338"/>
    <w:rsid w:val="04C56D31"/>
    <w:rsid w:val="04CD0D24"/>
    <w:rsid w:val="04CF0F22"/>
    <w:rsid w:val="04D07A99"/>
    <w:rsid w:val="04D71637"/>
    <w:rsid w:val="04D7542D"/>
    <w:rsid w:val="04DD163F"/>
    <w:rsid w:val="04E452F2"/>
    <w:rsid w:val="04E82F5F"/>
    <w:rsid w:val="05084E1A"/>
    <w:rsid w:val="0536624A"/>
    <w:rsid w:val="05476ED2"/>
    <w:rsid w:val="05507187"/>
    <w:rsid w:val="05547F50"/>
    <w:rsid w:val="05586D81"/>
    <w:rsid w:val="055909BC"/>
    <w:rsid w:val="055E6C99"/>
    <w:rsid w:val="056326BB"/>
    <w:rsid w:val="056775E0"/>
    <w:rsid w:val="05812096"/>
    <w:rsid w:val="05852631"/>
    <w:rsid w:val="05863A76"/>
    <w:rsid w:val="05962A91"/>
    <w:rsid w:val="05A12347"/>
    <w:rsid w:val="05A174D0"/>
    <w:rsid w:val="05A31C11"/>
    <w:rsid w:val="05A54A82"/>
    <w:rsid w:val="05B15E1B"/>
    <w:rsid w:val="05B6570E"/>
    <w:rsid w:val="05B719DB"/>
    <w:rsid w:val="05C018BB"/>
    <w:rsid w:val="05C8568A"/>
    <w:rsid w:val="05D35133"/>
    <w:rsid w:val="05D411B5"/>
    <w:rsid w:val="05DC03BC"/>
    <w:rsid w:val="05E03755"/>
    <w:rsid w:val="05E05D39"/>
    <w:rsid w:val="05EE025B"/>
    <w:rsid w:val="05F81055"/>
    <w:rsid w:val="05FB2E46"/>
    <w:rsid w:val="06274DE9"/>
    <w:rsid w:val="0643158D"/>
    <w:rsid w:val="0652465D"/>
    <w:rsid w:val="06606ACF"/>
    <w:rsid w:val="06632C8A"/>
    <w:rsid w:val="066C44D0"/>
    <w:rsid w:val="066F0F20"/>
    <w:rsid w:val="06780BE4"/>
    <w:rsid w:val="067D77AC"/>
    <w:rsid w:val="0688298E"/>
    <w:rsid w:val="06A978A6"/>
    <w:rsid w:val="06B55198"/>
    <w:rsid w:val="06BA577F"/>
    <w:rsid w:val="06C373A0"/>
    <w:rsid w:val="06CA61EA"/>
    <w:rsid w:val="06CE3AAD"/>
    <w:rsid w:val="06D3256B"/>
    <w:rsid w:val="06E93094"/>
    <w:rsid w:val="07142FC9"/>
    <w:rsid w:val="0716354A"/>
    <w:rsid w:val="071A113A"/>
    <w:rsid w:val="071A5532"/>
    <w:rsid w:val="07391925"/>
    <w:rsid w:val="073F7F68"/>
    <w:rsid w:val="07433326"/>
    <w:rsid w:val="074D1200"/>
    <w:rsid w:val="075410AD"/>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5D5AE7"/>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DA5625"/>
    <w:rsid w:val="09E33DCA"/>
    <w:rsid w:val="09EA33AB"/>
    <w:rsid w:val="09EA6668"/>
    <w:rsid w:val="0A0501E5"/>
    <w:rsid w:val="0A075D0B"/>
    <w:rsid w:val="0A0A57FB"/>
    <w:rsid w:val="0A193C90"/>
    <w:rsid w:val="0A1A77A1"/>
    <w:rsid w:val="0A3E3D26"/>
    <w:rsid w:val="0A4834F8"/>
    <w:rsid w:val="0A6173D2"/>
    <w:rsid w:val="0A682231"/>
    <w:rsid w:val="0A6825A9"/>
    <w:rsid w:val="0A781198"/>
    <w:rsid w:val="0A854E82"/>
    <w:rsid w:val="0A99092D"/>
    <w:rsid w:val="0AAC10E4"/>
    <w:rsid w:val="0AB07E4A"/>
    <w:rsid w:val="0AC93B72"/>
    <w:rsid w:val="0ACA6D38"/>
    <w:rsid w:val="0AD53C26"/>
    <w:rsid w:val="0ADD3B4A"/>
    <w:rsid w:val="0AE7534D"/>
    <w:rsid w:val="0AEE775A"/>
    <w:rsid w:val="0AFF5154"/>
    <w:rsid w:val="0B0260FA"/>
    <w:rsid w:val="0B127FA5"/>
    <w:rsid w:val="0B187C06"/>
    <w:rsid w:val="0B462863"/>
    <w:rsid w:val="0B4B3360"/>
    <w:rsid w:val="0B6153F6"/>
    <w:rsid w:val="0B6C4BE2"/>
    <w:rsid w:val="0B745622"/>
    <w:rsid w:val="0B832C7E"/>
    <w:rsid w:val="0B895D1E"/>
    <w:rsid w:val="0B903157"/>
    <w:rsid w:val="0B9335CE"/>
    <w:rsid w:val="0BA653BF"/>
    <w:rsid w:val="0BAC6F99"/>
    <w:rsid w:val="0BC35C62"/>
    <w:rsid w:val="0BCD1EAC"/>
    <w:rsid w:val="0BCF142C"/>
    <w:rsid w:val="0BDC319A"/>
    <w:rsid w:val="0BE669AA"/>
    <w:rsid w:val="0BFB783E"/>
    <w:rsid w:val="0BFD5373"/>
    <w:rsid w:val="0BFD6481"/>
    <w:rsid w:val="0BFE68ED"/>
    <w:rsid w:val="0C0F0CD9"/>
    <w:rsid w:val="0C230DF6"/>
    <w:rsid w:val="0C423C85"/>
    <w:rsid w:val="0C631998"/>
    <w:rsid w:val="0C6821F6"/>
    <w:rsid w:val="0C757885"/>
    <w:rsid w:val="0C836789"/>
    <w:rsid w:val="0C990787"/>
    <w:rsid w:val="0C992D4F"/>
    <w:rsid w:val="0C9A6555"/>
    <w:rsid w:val="0CAE3A50"/>
    <w:rsid w:val="0CBF15FF"/>
    <w:rsid w:val="0CC20F4F"/>
    <w:rsid w:val="0CC73EE7"/>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145D3"/>
    <w:rsid w:val="0D8324ED"/>
    <w:rsid w:val="0D8F059D"/>
    <w:rsid w:val="0D8F5855"/>
    <w:rsid w:val="0D936D15"/>
    <w:rsid w:val="0D9827E5"/>
    <w:rsid w:val="0DAF3D29"/>
    <w:rsid w:val="0DBC0BBA"/>
    <w:rsid w:val="0DC466B9"/>
    <w:rsid w:val="0DC54945"/>
    <w:rsid w:val="0DF25BA4"/>
    <w:rsid w:val="0DFD573A"/>
    <w:rsid w:val="0DFE1012"/>
    <w:rsid w:val="0E0B029F"/>
    <w:rsid w:val="0E1A7B1C"/>
    <w:rsid w:val="0E230373"/>
    <w:rsid w:val="0E236E8B"/>
    <w:rsid w:val="0E252C04"/>
    <w:rsid w:val="0E2A41ED"/>
    <w:rsid w:val="0E30302E"/>
    <w:rsid w:val="0E351EED"/>
    <w:rsid w:val="0E397874"/>
    <w:rsid w:val="0E43752E"/>
    <w:rsid w:val="0E461B92"/>
    <w:rsid w:val="0E6059EA"/>
    <w:rsid w:val="0E632208"/>
    <w:rsid w:val="0E6574A4"/>
    <w:rsid w:val="0E844468"/>
    <w:rsid w:val="0E910299"/>
    <w:rsid w:val="0E9E135B"/>
    <w:rsid w:val="0EA44F43"/>
    <w:rsid w:val="0EA62844"/>
    <w:rsid w:val="0EC2669E"/>
    <w:rsid w:val="0ED75315"/>
    <w:rsid w:val="0ED756CF"/>
    <w:rsid w:val="0EDA51FE"/>
    <w:rsid w:val="0EE34A0A"/>
    <w:rsid w:val="0EEF23A4"/>
    <w:rsid w:val="0F0A1DF9"/>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356D2"/>
    <w:rsid w:val="10374301"/>
    <w:rsid w:val="10394E9C"/>
    <w:rsid w:val="103A764D"/>
    <w:rsid w:val="103B6EC4"/>
    <w:rsid w:val="10457DEF"/>
    <w:rsid w:val="10482BD9"/>
    <w:rsid w:val="104A6951"/>
    <w:rsid w:val="105628E7"/>
    <w:rsid w:val="105A27E6"/>
    <w:rsid w:val="105C0FEB"/>
    <w:rsid w:val="108120DC"/>
    <w:rsid w:val="1089408D"/>
    <w:rsid w:val="108950E7"/>
    <w:rsid w:val="109135C4"/>
    <w:rsid w:val="10A4426E"/>
    <w:rsid w:val="10B656D8"/>
    <w:rsid w:val="10B95885"/>
    <w:rsid w:val="10BB6F68"/>
    <w:rsid w:val="10C37A22"/>
    <w:rsid w:val="10C556C7"/>
    <w:rsid w:val="10C55FD8"/>
    <w:rsid w:val="10CF4C25"/>
    <w:rsid w:val="10F772EF"/>
    <w:rsid w:val="11017A58"/>
    <w:rsid w:val="11023D17"/>
    <w:rsid w:val="110F34C8"/>
    <w:rsid w:val="111016B8"/>
    <w:rsid w:val="114415F3"/>
    <w:rsid w:val="11491151"/>
    <w:rsid w:val="1159543F"/>
    <w:rsid w:val="116230D1"/>
    <w:rsid w:val="116A7E05"/>
    <w:rsid w:val="11722460"/>
    <w:rsid w:val="117A4F14"/>
    <w:rsid w:val="119D6F55"/>
    <w:rsid w:val="11B9758D"/>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4C39CE"/>
    <w:rsid w:val="127A5380"/>
    <w:rsid w:val="12957C2C"/>
    <w:rsid w:val="1298079E"/>
    <w:rsid w:val="1299424E"/>
    <w:rsid w:val="12AD5EBA"/>
    <w:rsid w:val="12AE0032"/>
    <w:rsid w:val="12B10442"/>
    <w:rsid w:val="12B91B6C"/>
    <w:rsid w:val="12C319F0"/>
    <w:rsid w:val="12CB7F7B"/>
    <w:rsid w:val="12D57B5A"/>
    <w:rsid w:val="12D60970"/>
    <w:rsid w:val="12DA74FD"/>
    <w:rsid w:val="12EE12AA"/>
    <w:rsid w:val="12FA6CF3"/>
    <w:rsid w:val="130354DD"/>
    <w:rsid w:val="13160E95"/>
    <w:rsid w:val="131D4A08"/>
    <w:rsid w:val="132A077A"/>
    <w:rsid w:val="132B4874"/>
    <w:rsid w:val="13365D96"/>
    <w:rsid w:val="133833D9"/>
    <w:rsid w:val="13401CF4"/>
    <w:rsid w:val="13474541"/>
    <w:rsid w:val="13477178"/>
    <w:rsid w:val="13597FDE"/>
    <w:rsid w:val="135C5234"/>
    <w:rsid w:val="13610A7C"/>
    <w:rsid w:val="1370511E"/>
    <w:rsid w:val="138A2CF3"/>
    <w:rsid w:val="139600FA"/>
    <w:rsid w:val="139831BB"/>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30E2B"/>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B55AAF"/>
    <w:rsid w:val="15EC3B3E"/>
    <w:rsid w:val="15F1786F"/>
    <w:rsid w:val="15F24B15"/>
    <w:rsid w:val="15F46C2A"/>
    <w:rsid w:val="15FA6724"/>
    <w:rsid w:val="160202FE"/>
    <w:rsid w:val="16121567"/>
    <w:rsid w:val="16175528"/>
    <w:rsid w:val="161C0D90"/>
    <w:rsid w:val="16236B8C"/>
    <w:rsid w:val="16257519"/>
    <w:rsid w:val="162D4D4B"/>
    <w:rsid w:val="16343F81"/>
    <w:rsid w:val="163634D4"/>
    <w:rsid w:val="163948ED"/>
    <w:rsid w:val="164275F4"/>
    <w:rsid w:val="164717FA"/>
    <w:rsid w:val="1654148B"/>
    <w:rsid w:val="165710DF"/>
    <w:rsid w:val="16573B76"/>
    <w:rsid w:val="165B71D5"/>
    <w:rsid w:val="166869FF"/>
    <w:rsid w:val="166D535E"/>
    <w:rsid w:val="16700A7A"/>
    <w:rsid w:val="16734728"/>
    <w:rsid w:val="167D1103"/>
    <w:rsid w:val="1683572D"/>
    <w:rsid w:val="169E0BEA"/>
    <w:rsid w:val="16A3744A"/>
    <w:rsid w:val="16AF7EFC"/>
    <w:rsid w:val="16D00899"/>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0779F"/>
    <w:rsid w:val="17A214E2"/>
    <w:rsid w:val="17A739C7"/>
    <w:rsid w:val="17C212EB"/>
    <w:rsid w:val="17C42121"/>
    <w:rsid w:val="17D66D1D"/>
    <w:rsid w:val="17D82A95"/>
    <w:rsid w:val="17D86805"/>
    <w:rsid w:val="17DD00AB"/>
    <w:rsid w:val="17FB6C91"/>
    <w:rsid w:val="18053F1E"/>
    <w:rsid w:val="18085749"/>
    <w:rsid w:val="180B6D06"/>
    <w:rsid w:val="181A3262"/>
    <w:rsid w:val="181C3FF8"/>
    <w:rsid w:val="18365CFA"/>
    <w:rsid w:val="184114A1"/>
    <w:rsid w:val="18425C49"/>
    <w:rsid w:val="18550EF6"/>
    <w:rsid w:val="186969E3"/>
    <w:rsid w:val="18883A30"/>
    <w:rsid w:val="188C7694"/>
    <w:rsid w:val="18AE37F5"/>
    <w:rsid w:val="18BE3F0D"/>
    <w:rsid w:val="18C140E3"/>
    <w:rsid w:val="18CB43A7"/>
    <w:rsid w:val="18CD6371"/>
    <w:rsid w:val="18DA0A8E"/>
    <w:rsid w:val="18DA68F2"/>
    <w:rsid w:val="18DC03A2"/>
    <w:rsid w:val="18E11EA5"/>
    <w:rsid w:val="18FA4C8D"/>
    <w:rsid w:val="19054750"/>
    <w:rsid w:val="19083037"/>
    <w:rsid w:val="19092828"/>
    <w:rsid w:val="19103908"/>
    <w:rsid w:val="1933462F"/>
    <w:rsid w:val="19390D64"/>
    <w:rsid w:val="19554C37"/>
    <w:rsid w:val="19566DB3"/>
    <w:rsid w:val="196279A1"/>
    <w:rsid w:val="198040A4"/>
    <w:rsid w:val="198C37FE"/>
    <w:rsid w:val="199649B5"/>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16732"/>
    <w:rsid w:val="1A142D27"/>
    <w:rsid w:val="1A1816AF"/>
    <w:rsid w:val="1A302494"/>
    <w:rsid w:val="1A330E88"/>
    <w:rsid w:val="1A407304"/>
    <w:rsid w:val="1A60672B"/>
    <w:rsid w:val="1A630F50"/>
    <w:rsid w:val="1A6732FB"/>
    <w:rsid w:val="1A7871D0"/>
    <w:rsid w:val="1A7929A3"/>
    <w:rsid w:val="1A7B4669"/>
    <w:rsid w:val="1A870B38"/>
    <w:rsid w:val="1A8C5DB8"/>
    <w:rsid w:val="1A8C6CF6"/>
    <w:rsid w:val="1A9417D9"/>
    <w:rsid w:val="1AA572B8"/>
    <w:rsid w:val="1AA70EB7"/>
    <w:rsid w:val="1AAA4949"/>
    <w:rsid w:val="1AB31D2F"/>
    <w:rsid w:val="1AC00AAF"/>
    <w:rsid w:val="1AC83294"/>
    <w:rsid w:val="1ACE55DA"/>
    <w:rsid w:val="1ACE6054"/>
    <w:rsid w:val="1ACE6D27"/>
    <w:rsid w:val="1AD734D7"/>
    <w:rsid w:val="1AE0038B"/>
    <w:rsid w:val="1AE34AB0"/>
    <w:rsid w:val="1AEF625F"/>
    <w:rsid w:val="1B403FA5"/>
    <w:rsid w:val="1B450A9E"/>
    <w:rsid w:val="1B481CDF"/>
    <w:rsid w:val="1B4B17D0"/>
    <w:rsid w:val="1B524326"/>
    <w:rsid w:val="1B55168B"/>
    <w:rsid w:val="1B561283"/>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0F63E0"/>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A354C4"/>
    <w:rsid w:val="1DB571C9"/>
    <w:rsid w:val="1DB624A5"/>
    <w:rsid w:val="1DBF6F58"/>
    <w:rsid w:val="1DFB74DD"/>
    <w:rsid w:val="1DFC5003"/>
    <w:rsid w:val="1E2527AC"/>
    <w:rsid w:val="1E2A3F9F"/>
    <w:rsid w:val="1E5E781A"/>
    <w:rsid w:val="1E65546D"/>
    <w:rsid w:val="1E731769"/>
    <w:rsid w:val="1E7B6900"/>
    <w:rsid w:val="1E933E22"/>
    <w:rsid w:val="1EB44C7D"/>
    <w:rsid w:val="1EB60A31"/>
    <w:rsid w:val="1EC6457D"/>
    <w:rsid w:val="1EC7170B"/>
    <w:rsid w:val="1EC7534C"/>
    <w:rsid w:val="1ECD7160"/>
    <w:rsid w:val="1ED11BB0"/>
    <w:rsid w:val="1ED34F83"/>
    <w:rsid w:val="1ED641E3"/>
    <w:rsid w:val="1EED4935"/>
    <w:rsid w:val="1EF15FC6"/>
    <w:rsid w:val="1F196F16"/>
    <w:rsid w:val="1F1F544D"/>
    <w:rsid w:val="1F294330"/>
    <w:rsid w:val="1F2A3EE6"/>
    <w:rsid w:val="1F5164BE"/>
    <w:rsid w:val="1F530AFF"/>
    <w:rsid w:val="1F550636"/>
    <w:rsid w:val="1F5642FC"/>
    <w:rsid w:val="1F6725BD"/>
    <w:rsid w:val="1F6F0182"/>
    <w:rsid w:val="1F751014"/>
    <w:rsid w:val="1F7A16FF"/>
    <w:rsid w:val="1F841E94"/>
    <w:rsid w:val="1F86410F"/>
    <w:rsid w:val="1F88077C"/>
    <w:rsid w:val="1F987D78"/>
    <w:rsid w:val="1F9A5C92"/>
    <w:rsid w:val="1FAD0B55"/>
    <w:rsid w:val="1FB57B5F"/>
    <w:rsid w:val="1FBA786C"/>
    <w:rsid w:val="1FBF1E16"/>
    <w:rsid w:val="1FC55FF4"/>
    <w:rsid w:val="1FDF7221"/>
    <w:rsid w:val="1FE07DD2"/>
    <w:rsid w:val="1FF72B1D"/>
    <w:rsid w:val="2000702C"/>
    <w:rsid w:val="201952D2"/>
    <w:rsid w:val="2020109E"/>
    <w:rsid w:val="20220096"/>
    <w:rsid w:val="202816B6"/>
    <w:rsid w:val="202C5156"/>
    <w:rsid w:val="20352DB6"/>
    <w:rsid w:val="2044774B"/>
    <w:rsid w:val="204E725A"/>
    <w:rsid w:val="205050F3"/>
    <w:rsid w:val="206003D6"/>
    <w:rsid w:val="20665891"/>
    <w:rsid w:val="20823312"/>
    <w:rsid w:val="208241B4"/>
    <w:rsid w:val="208F5999"/>
    <w:rsid w:val="20AA6F98"/>
    <w:rsid w:val="20AF45AF"/>
    <w:rsid w:val="20B05494"/>
    <w:rsid w:val="20BD4F1E"/>
    <w:rsid w:val="20D109C9"/>
    <w:rsid w:val="20EE5770"/>
    <w:rsid w:val="20FD17BE"/>
    <w:rsid w:val="2107261C"/>
    <w:rsid w:val="210B52D2"/>
    <w:rsid w:val="21147FEE"/>
    <w:rsid w:val="2132760F"/>
    <w:rsid w:val="213F7E47"/>
    <w:rsid w:val="21592FEC"/>
    <w:rsid w:val="215B2DFE"/>
    <w:rsid w:val="215C5CD9"/>
    <w:rsid w:val="215F2E6D"/>
    <w:rsid w:val="21787096"/>
    <w:rsid w:val="218B2E3C"/>
    <w:rsid w:val="21955962"/>
    <w:rsid w:val="219E13DD"/>
    <w:rsid w:val="21B5456C"/>
    <w:rsid w:val="21C0289A"/>
    <w:rsid w:val="21C314C7"/>
    <w:rsid w:val="21CB366A"/>
    <w:rsid w:val="21E53DD4"/>
    <w:rsid w:val="21F91F85"/>
    <w:rsid w:val="21FE67C3"/>
    <w:rsid w:val="21FF567A"/>
    <w:rsid w:val="220019CB"/>
    <w:rsid w:val="22080E1D"/>
    <w:rsid w:val="222E4A4B"/>
    <w:rsid w:val="224564ED"/>
    <w:rsid w:val="225B1C1A"/>
    <w:rsid w:val="22655D1C"/>
    <w:rsid w:val="227A5579"/>
    <w:rsid w:val="227B3EC3"/>
    <w:rsid w:val="22941CAE"/>
    <w:rsid w:val="22AC6E9D"/>
    <w:rsid w:val="22AF6B28"/>
    <w:rsid w:val="22BF1959"/>
    <w:rsid w:val="22FE3A70"/>
    <w:rsid w:val="23007343"/>
    <w:rsid w:val="230A1D1E"/>
    <w:rsid w:val="230F3D0A"/>
    <w:rsid w:val="232D6E37"/>
    <w:rsid w:val="232E3EB1"/>
    <w:rsid w:val="23341448"/>
    <w:rsid w:val="23385650"/>
    <w:rsid w:val="23425BAE"/>
    <w:rsid w:val="23517B9F"/>
    <w:rsid w:val="23531B69"/>
    <w:rsid w:val="235C6C70"/>
    <w:rsid w:val="237F04EF"/>
    <w:rsid w:val="23841437"/>
    <w:rsid w:val="238A3CA3"/>
    <w:rsid w:val="23971C0F"/>
    <w:rsid w:val="23AA4BFB"/>
    <w:rsid w:val="23AF4708"/>
    <w:rsid w:val="23B853F0"/>
    <w:rsid w:val="23C16A9A"/>
    <w:rsid w:val="23C465C3"/>
    <w:rsid w:val="23E66003"/>
    <w:rsid w:val="23F80076"/>
    <w:rsid w:val="23FC534D"/>
    <w:rsid w:val="23FE2FB7"/>
    <w:rsid w:val="23FE3AF7"/>
    <w:rsid w:val="240D56FD"/>
    <w:rsid w:val="24150BCD"/>
    <w:rsid w:val="241B7142"/>
    <w:rsid w:val="24452007"/>
    <w:rsid w:val="244802C7"/>
    <w:rsid w:val="244C0B39"/>
    <w:rsid w:val="245A32E7"/>
    <w:rsid w:val="246102B6"/>
    <w:rsid w:val="24635935"/>
    <w:rsid w:val="24660E6A"/>
    <w:rsid w:val="24665559"/>
    <w:rsid w:val="24691825"/>
    <w:rsid w:val="248C1A8E"/>
    <w:rsid w:val="248E0BEE"/>
    <w:rsid w:val="249222CA"/>
    <w:rsid w:val="249B49DE"/>
    <w:rsid w:val="249D1168"/>
    <w:rsid w:val="24B056E4"/>
    <w:rsid w:val="24BE3012"/>
    <w:rsid w:val="24CC572F"/>
    <w:rsid w:val="24CF65FC"/>
    <w:rsid w:val="24D258A5"/>
    <w:rsid w:val="24DA6A74"/>
    <w:rsid w:val="24DB4BCD"/>
    <w:rsid w:val="24F602A0"/>
    <w:rsid w:val="24FD7FDE"/>
    <w:rsid w:val="250025A0"/>
    <w:rsid w:val="252966D9"/>
    <w:rsid w:val="25296C9F"/>
    <w:rsid w:val="25401D76"/>
    <w:rsid w:val="2544236B"/>
    <w:rsid w:val="25453733"/>
    <w:rsid w:val="255249D2"/>
    <w:rsid w:val="256C3562"/>
    <w:rsid w:val="257F6C45"/>
    <w:rsid w:val="25882662"/>
    <w:rsid w:val="258C736F"/>
    <w:rsid w:val="25977271"/>
    <w:rsid w:val="259B2D68"/>
    <w:rsid w:val="259E7D45"/>
    <w:rsid w:val="25A6077B"/>
    <w:rsid w:val="25A941CC"/>
    <w:rsid w:val="25A97E1E"/>
    <w:rsid w:val="25B40CD0"/>
    <w:rsid w:val="25BC160E"/>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55BF8"/>
    <w:rsid w:val="26597FFC"/>
    <w:rsid w:val="26697AAB"/>
    <w:rsid w:val="266D2F42"/>
    <w:rsid w:val="2673065B"/>
    <w:rsid w:val="26746071"/>
    <w:rsid w:val="267839D3"/>
    <w:rsid w:val="26802C75"/>
    <w:rsid w:val="268423E1"/>
    <w:rsid w:val="26890627"/>
    <w:rsid w:val="26937CAB"/>
    <w:rsid w:val="26A43060"/>
    <w:rsid w:val="26BB1EFF"/>
    <w:rsid w:val="26BB2001"/>
    <w:rsid w:val="26C467F8"/>
    <w:rsid w:val="26DD103B"/>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80018A"/>
    <w:rsid w:val="278C389C"/>
    <w:rsid w:val="279D2924"/>
    <w:rsid w:val="27A52E1A"/>
    <w:rsid w:val="27AC7A9A"/>
    <w:rsid w:val="27BF60E1"/>
    <w:rsid w:val="27C53958"/>
    <w:rsid w:val="27D36D37"/>
    <w:rsid w:val="27DA4B73"/>
    <w:rsid w:val="27E61F25"/>
    <w:rsid w:val="27EC31BB"/>
    <w:rsid w:val="27ED2CBD"/>
    <w:rsid w:val="27F63DA6"/>
    <w:rsid w:val="27FA5CB6"/>
    <w:rsid w:val="27FF406E"/>
    <w:rsid w:val="280D34EA"/>
    <w:rsid w:val="281466B1"/>
    <w:rsid w:val="281713B7"/>
    <w:rsid w:val="281824A7"/>
    <w:rsid w:val="28312BBF"/>
    <w:rsid w:val="28333D17"/>
    <w:rsid w:val="283B7736"/>
    <w:rsid w:val="284C64E6"/>
    <w:rsid w:val="2852403A"/>
    <w:rsid w:val="285F673E"/>
    <w:rsid w:val="28644CCA"/>
    <w:rsid w:val="28687E65"/>
    <w:rsid w:val="28732D83"/>
    <w:rsid w:val="287C6351"/>
    <w:rsid w:val="288051AE"/>
    <w:rsid w:val="288F6949"/>
    <w:rsid w:val="28911AF2"/>
    <w:rsid w:val="289151CA"/>
    <w:rsid w:val="28A10C81"/>
    <w:rsid w:val="28A2680F"/>
    <w:rsid w:val="28AB1AFF"/>
    <w:rsid w:val="28B63487"/>
    <w:rsid w:val="28DD431A"/>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A273A6"/>
    <w:rsid w:val="29C55899"/>
    <w:rsid w:val="29D3130E"/>
    <w:rsid w:val="29F2147C"/>
    <w:rsid w:val="2A0C4A40"/>
    <w:rsid w:val="2A0D3DED"/>
    <w:rsid w:val="2A104310"/>
    <w:rsid w:val="2A133E00"/>
    <w:rsid w:val="2A134AF4"/>
    <w:rsid w:val="2A255C2B"/>
    <w:rsid w:val="2A2B7BC9"/>
    <w:rsid w:val="2A3A5DF9"/>
    <w:rsid w:val="2A3C3357"/>
    <w:rsid w:val="2A4926C2"/>
    <w:rsid w:val="2A4B107A"/>
    <w:rsid w:val="2A4D10C0"/>
    <w:rsid w:val="2A4D2BFD"/>
    <w:rsid w:val="2A530EDF"/>
    <w:rsid w:val="2A574428"/>
    <w:rsid w:val="2A5F6992"/>
    <w:rsid w:val="2A7949E3"/>
    <w:rsid w:val="2A7C0539"/>
    <w:rsid w:val="2A80647C"/>
    <w:rsid w:val="2A8E62B6"/>
    <w:rsid w:val="2A9572CC"/>
    <w:rsid w:val="2A9E13F0"/>
    <w:rsid w:val="2AA9206F"/>
    <w:rsid w:val="2AB209DF"/>
    <w:rsid w:val="2AD81233"/>
    <w:rsid w:val="2AE63EFE"/>
    <w:rsid w:val="2AFE060C"/>
    <w:rsid w:val="2B053749"/>
    <w:rsid w:val="2B195446"/>
    <w:rsid w:val="2B2E227F"/>
    <w:rsid w:val="2B2F07C6"/>
    <w:rsid w:val="2B3404E2"/>
    <w:rsid w:val="2B363CF4"/>
    <w:rsid w:val="2B3A7305"/>
    <w:rsid w:val="2B425FD0"/>
    <w:rsid w:val="2B4268A6"/>
    <w:rsid w:val="2B536BAA"/>
    <w:rsid w:val="2B6F0C66"/>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1D0F66"/>
    <w:rsid w:val="2C293467"/>
    <w:rsid w:val="2C3447BE"/>
    <w:rsid w:val="2C3B1B1B"/>
    <w:rsid w:val="2C3C07B5"/>
    <w:rsid w:val="2C3C1CCE"/>
    <w:rsid w:val="2C3D3C75"/>
    <w:rsid w:val="2C471B3F"/>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984D48"/>
    <w:rsid w:val="2DAF3E40"/>
    <w:rsid w:val="2DBE7F60"/>
    <w:rsid w:val="2DDF3360"/>
    <w:rsid w:val="2DE81100"/>
    <w:rsid w:val="2DF6381D"/>
    <w:rsid w:val="2DF6788C"/>
    <w:rsid w:val="2DFB0019"/>
    <w:rsid w:val="2E0D1588"/>
    <w:rsid w:val="2E1E4B22"/>
    <w:rsid w:val="2E3944B7"/>
    <w:rsid w:val="2E4749F8"/>
    <w:rsid w:val="2E4C1B78"/>
    <w:rsid w:val="2E73313B"/>
    <w:rsid w:val="2E81720F"/>
    <w:rsid w:val="2E840E29"/>
    <w:rsid w:val="2E866E5E"/>
    <w:rsid w:val="2E9077CD"/>
    <w:rsid w:val="2E9640D5"/>
    <w:rsid w:val="2EA916B2"/>
    <w:rsid w:val="2EB46A04"/>
    <w:rsid w:val="2EB84F76"/>
    <w:rsid w:val="2EBB35CF"/>
    <w:rsid w:val="2EC62DA5"/>
    <w:rsid w:val="2ECB7077"/>
    <w:rsid w:val="2EED318E"/>
    <w:rsid w:val="2EFE3F3B"/>
    <w:rsid w:val="2F0C331C"/>
    <w:rsid w:val="2F0F1794"/>
    <w:rsid w:val="2F176141"/>
    <w:rsid w:val="2F1A0856"/>
    <w:rsid w:val="2F2443BA"/>
    <w:rsid w:val="2F2B5B05"/>
    <w:rsid w:val="2F475C7E"/>
    <w:rsid w:val="2F486024"/>
    <w:rsid w:val="2F522CD5"/>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0FF594C"/>
    <w:rsid w:val="310A2A14"/>
    <w:rsid w:val="310F59F0"/>
    <w:rsid w:val="311D200F"/>
    <w:rsid w:val="31395BA8"/>
    <w:rsid w:val="3141666D"/>
    <w:rsid w:val="31422C6A"/>
    <w:rsid w:val="3143321D"/>
    <w:rsid w:val="31480833"/>
    <w:rsid w:val="314B14BF"/>
    <w:rsid w:val="3158219E"/>
    <w:rsid w:val="315C5564"/>
    <w:rsid w:val="316D537E"/>
    <w:rsid w:val="31716348"/>
    <w:rsid w:val="317355F2"/>
    <w:rsid w:val="3185517F"/>
    <w:rsid w:val="3185793C"/>
    <w:rsid w:val="31927602"/>
    <w:rsid w:val="319475D5"/>
    <w:rsid w:val="31975317"/>
    <w:rsid w:val="31A041CB"/>
    <w:rsid w:val="31A87524"/>
    <w:rsid w:val="31B06C89"/>
    <w:rsid w:val="31B91778"/>
    <w:rsid w:val="31C2569E"/>
    <w:rsid w:val="31C96BD0"/>
    <w:rsid w:val="31D04385"/>
    <w:rsid w:val="31D9377A"/>
    <w:rsid w:val="31E15891"/>
    <w:rsid w:val="31F043F4"/>
    <w:rsid w:val="3203475A"/>
    <w:rsid w:val="32170EE1"/>
    <w:rsid w:val="32463124"/>
    <w:rsid w:val="325066A8"/>
    <w:rsid w:val="32563FE3"/>
    <w:rsid w:val="325C6E21"/>
    <w:rsid w:val="325D3410"/>
    <w:rsid w:val="325F0A17"/>
    <w:rsid w:val="3260226B"/>
    <w:rsid w:val="327652E9"/>
    <w:rsid w:val="327A5FF1"/>
    <w:rsid w:val="32810B80"/>
    <w:rsid w:val="32A55CC0"/>
    <w:rsid w:val="32A80A7D"/>
    <w:rsid w:val="32A937D2"/>
    <w:rsid w:val="32BF4263"/>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6F654B"/>
    <w:rsid w:val="33735D99"/>
    <w:rsid w:val="33736E76"/>
    <w:rsid w:val="337570A4"/>
    <w:rsid w:val="33833CFC"/>
    <w:rsid w:val="33A269EC"/>
    <w:rsid w:val="33A856B1"/>
    <w:rsid w:val="33A930DF"/>
    <w:rsid w:val="33AB2922"/>
    <w:rsid w:val="33AE6B10"/>
    <w:rsid w:val="33B73314"/>
    <w:rsid w:val="33C50B9E"/>
    <w:rsid w:val="33CB2F89"/>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9D6F1D"/>
    <w:rsid w:val="349E076A"/>
    <w:rsid w:val="34A71D15"/>
    <w:rsid w:val="34AF7CC9"/>
    <w:rsid w:val="34B14942"/>
    <w:rsid w:val="34C87463"/>
    <w:rsid w:val="34DB376C"/>
    <w:rsid w:val="34E526B4"/>
    <w:rsid w:val="34F03DC0"/>
    <w:rsid w:val="34FE7262"/>
    <w:rsid w:val="350D0FEC"/>
    <w:rsid w:val="351D1FD7"/>
    <w:rsid w:val="352407FC"/>
    <w:rsid w:val="352612DF"/>
    <w:rsid w:val="35284201"/>
    <w:rsid w:val="35322B1F"/>
    <w:rsid w:val="3535498A"/>
    <w:rsid w:val="35471E10"/>
    <w:rsid w:val="354F3660"/>
    <w:rsid w:val="355004C3"/>
    <w:rsid w:val="35531BEF"/>
    <w:rsid w:val="3556146D"/>
    <w:rsid w:val="355724F0"/>
    <w:rsid w:val="35584DBD"/>
    <w:rsid w:val="356B5D07"/>
    <w:rsid w:val="357240D1"/>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2F026F"/>
    <w:rsid w:val="36371201"/>
    <w:rsid w:val="363720E3"/>
    <w:rsid w:val="3639711B"/>
    <w:rsid w:val="363E765D"/>
    <w:rsid w:val="364611F8"/>
    <w:rsid w:val="36581710"/>
    <w:rsid w:val="36592830"/>
    <w:rsid w:val="36632356"/>
    <w:rsid w:val="367409D2"/>
    <w:rsid w:val="36794FEB"/>
    <w:rsid w:val="367B56C5"/>
    <w:rsid w:val="367C5173"/>
    <w:rsid w:val="36915D46"/>
    <w:rsid w:val="36B81FB7"/>
    <w:rsid w:val="36CA31B0"/>
    <w:rsid w:val="36D20797"/>
    <w:rsid w:val="36DA5E17"/>
    <w:rsid w:val="36E65B3A"/>
    <w:rsid w:val="36F01751"/>
    <w:rsid w:val="36FF3742"/>
    <w:rsid w:val="370346A6"/>
    <w:rsid w:val="37113475"/>
    <w:rsid w:val="37252E94"/>
    <w:rsid w:val="372907BF"/>
    <w:rsid w:val="37296474"/>
    <w:rsid w:val="373227C5"/>
    <w:rsid w:val="37405833"/>
    <w:rsid w:val="374101FF"/>
    <w:rsid w:val="375869AC"/>
    <w:rsid w:val="375B253A"/>
    <w:rsid w:val="37666B6B"/>
    <w:rsid w:val="37675674"/>
    <w:rsid w:val="376B1978"/>
    <w:rsid w:val="378123A9"/>
    <w:rsid w:val="37940CA8"/>
    <w:rsid w:val="37B75A65"/>
    <w:rsid w:val="37C0746E"/>
    <w:rsid w:val="37D848CF"/>
    <w:rsid w:val="37DA41AF"/>
    <w:rsid w:val="37DB157C"/>
    <w:rsid w:val="37DB3C7D"/>
    <w:rsid w:val="37EB761E"/>
    <w:rsid w:val="37EE7D30"/>
    <w:rsid w:val="37F62976"/>
    <w:rsid w:val="37F77F19"/>
    <w:rsid w:val="38034F62"/>
    <w:rsid w:val="38042FDA"/>
    <w:rsid w:val="381C3F20"/>
    <w:rsid w:val="381F0AD4"/>
    <w:rsid w:val="3822692C"/>
    <w:rsid w:val="38343F2A"/>
    <w:rsid w:val="38490F9C"/>
    <w:rsid w:val="384C1631"/>
    <w:rsid w:val="385201EA"/>
    <w:rsid w:val="38542754"/>
    <w:rsid w:val="386C03A0"/>
    <w:rsid w:val="386D6DD1"/>
    <w:rsid w:val="38850AD8"/>
    <w:rsid w:val="38B10FD7"/>
    <w:rsid w:val="38B2326B"/>
    <w:rsid w:val="38B62526"/>
    <w:rsid w:val="38BD498D"/>
    <w:rsid w:val="38D81B11"/>
    <w:rsid w:val="38ED2653"/>
    <w:rsid w:val="38FC71A8"/>
    <w:rsid w:val="38FD1F03"/>
    <w:rsid w:val="39020983"/>
    <w:rsid w:val="39037F6C"/>
    <w:rsid w:val="39214610"/>
    <w:rsid w:val="39317DFF"/>
    <w:rsid w:val="39335925"/>
    <w:rsid w:val="39464964"/>
    <w:rsid w:val="395224D9"/>
    <w:rsid w:val="39535FC7"/>
    <w:rsid w:val="395601FC"/>
    <w:rsid w:val="397B4E62"/>
    <w:rsid w:val="39972B1A"/>
    <w:rsid w:val="399A1410"/>
    <w:rsid w:val="39C47D94"/>
    <w:rsid w:val="39CD1539"/>
    <w:rsid w:val="39CD5D32"/>
    <w:rsid w:val="39DA1DFA"/>
    <w:rsid w:val="39DC71EB"/>
    <w:rsid w:val="39DD5D2E"/>
    <w:rsid w:val="39E01A69"/>
    <w:rsid w:val="39FD79FE"/>
    <w:rsid w:val="3A045F91"/>
    <w:rsid w:val="3A076679"/>
    <w:rsid w:val="3A0A0953"/>
    <w:rsid w:val="3A211C22"/>
    <w:rsid w:val="3A2C4127"/>
    <w:rsid w:val="3A3758E9"/>
    <w:rsid w:val="3A3C7179"/>
    <w:rsid w:val="3A485400"/>
    <w:rsid w:val="3A4F0AA8"/>
    <w:rsid w:val="3A543DA5"/>
    <w:rsid w:val="3A5576B6"/>
    <w:rsid w:val="3A682780"/>
    <w:rsid w:val="3A687850"/>
    <w:rsid w:val="3A697EB7"/>
    <w:rsid w:val="3A701E17"/>
    <w:rsid w:val="3A764E67"/>
    <w:rsid w:val="3A7B71BD"/>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E664A"/>
    <w:rsid w:val="3B0F5ABD"/>
    <w:rsid w:val="3B1E79B5"/>
    <w:rsid w:val="3B293484"/>
    <w:rsid w:val="3B2F4F75"/>
    <w:rsid w:val="3B31477D"/>
    <w:rsid w:val="3B315914"/>
    <w:rsid w:val="3B422101"/>
    <w:rsid w:val="3B455DE4"/>
    <w:rsid w:val="3B467602"/>
    <w:rsid w:val="3B4715CB"/>
    <w:rsid w:val="3B5008D7"/>
    <w:rsid w:val="3B7346FF"/>
    <w:rsid w:val="3B7D5180"/>
    <w:rsid w:val="3B7F15E2"/>
    <w:rsid w:val="3B8536A6"/>
    <w:rsid w:val="3B9F0C51"/>
    <w:rsid w:val="3BA00572"/>
    <w:rsid w:val="3BB1021B"/>
    <w:rsid w:val="3BE15B0C"/>
    <w:rsid w:val="3BF72A83"/>
    <w:rsid w:val="3C096E11"/>
    <w:rsid w:val="3C135790"/>
    <w:rsid w:val="3C1752F7"/>
    <w:rsid w:val="3C193171"/>
    <w:rsid w:val="3C1E3214"/>
    <w:rsid w:val="3C2528C6"/>
    <w:rsid w:val="3C371BD0"/>
    <w:rsid w:val="3C4F1FEA"/>
    <w:rsid w:val="3C5A58BF"/>
    <w:rsid w:val="3C5B6745"/>
    <w:rsid w:val="3C5E3DBD"/>
    <w:rsid w:val="3C683B38"/>
    <w:rsid w:val="3C686571"/>
    <w:rsid w:val="3C6F5E3B"/>
    <w:rsid w:val="3C83525B"/>
    <w:rsid w:val="3C87375A"/>
    <w:rsid w:val="3C88531F"/>
    <w:rsid w:val="3C8D7A42"/>
    <w:rsid w:val="3C8E189D"/>
    <w:rsid w:val="3CA22EFE"/>
    <w:rsid w:val="3CA72347"/>
    <w:rsid w:val="3CB8043D"/>
    <w:rsid w:val="3CB94BCA"/>
    <w:rsid w:val="3CC35212"/>
    <w:rsid w:val="3CC50225"/>
    <w:rsid w:val="3CD967E3"/>
    <w:rsid w:val="3CDE231E"/>
    <w:rsid w:val="3D092B74"/>
    <w:rsid w:val="3D245A63"/>
    <w:rsid w:val="3D254E4B"/>
    <w:rsid w:val="3D36346C"/>
    <w:rsid w:val="3D4269DA"/>
    <w:rsid w:val="3D430EA3"/>
    <w:rsid w:val="3D47560D"/>
    <w:rsid w:val="3D523BCD"/>
    <w:rsid w:val="3D645169"/>
    <w:rsid w:val="3D6933DE"/>
    <w:rsid w:val="3D7C3859"/>
    <w:rsid w:val="3D80607F"/>
    <w:rsid w:val="3D8F2120"/>
    <w:rsid w:val="3D8F30A0"/>
    <w:rsid w:val="3D982525"/>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0D0E3B"/>
    <w:rsid w:val="3E2D1C0D"/>
    <w:rsid w:val="3E352B5B"/>
    <w:rsid w:val="3E3A2755"/>
    <w:rsid w:val="3E463101"/>
    <w:rsid w:val="3E5315CE"/>
    <w:rsid w:val="3E5717D0"/>
    <w:rsid w:val="3E5E04B0"/>
    <w:rsid w:val="3E5F4189"/>
    <w:rsid w:val="3E6C1A3F"/>
    <w:rsid w:val="3E734A16"/>
    <w:rsid w:val="3E752133"/>
    <w:rsid w:val="3E7A5DA4"/>
    <w:rsid w:val="3E8F1850"/>
    <w:rsid w:val="3E953235"/>
    <w:rsid w:val="3EAA3B18"/>
    <w:rsid w:val="3EAA555F"/>
    <w:rsid w:val="3EBD0BAE"/>
    <w:rsid w:val="3EC3774B"/>
    <w:rsid w:val="3ECC3927"/>
    <w:rsid w:val="3ECD2095"/>
    <w:rsid w:val="3EE4497A"/>
    <w:rsid w:val="3EEF22EE"/>
    <w:rsid w:val="3EF02AD3"/>
    <w:rsid w:val="3F024C1A"/>
    <w:rsid w:val="3F0D0FA0"/>
    <w:rsid w:val="3F21052E"/>
    <w:rsid w:val="3F330C34"/>
    <w:rsid w:val="3F333F65"/>
    <w:rsid w:val="3F3917F4"/>
    <w:rsid w:val="3F397A0D"/>
    <w:rsid w:val="3F4A39C9"/>
    <w:rsid w:val="3F625E8E"/>
    <w:rsid w:val="3F6A673B"/>
    <w:rsid w:val="3F716AD8"/>
    <w:rsid w:val="3F757858"/>
    <w:rsid w:val="3F8C2A74"/>
    <w:rsid w:val="3FA70307"/>
    <w:rsid w:val="3FA70E1B"/>
    <w:rsid w:val="3FA7458E"/>
    <w:rsid w:val="3FB22390"/>
    <w:rsid w:val="3FBA180C"/>
    <w:rsid w:val="3FCF1529"/>
    <w:rsid w:val="3FDD2A57"/>
    <w:rsid w:val="3FE37E33"/>
    <w:rsid w:val="3FF027C2"/>
    <w:rsid w:val="3FF55C7D"/>
    <w:rsid w:val="3FF676AC"/>
    <w:rsid w:val="400E03CE"/>
    <w:rsid w:val="401171AD"/>
    <w:rsid w:val="401C4A76"/>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1D00F5"/>
    <w:rsid w:val="41264F52"/>
    <w:rsid w:val="41292B74"/>
    <w:rsid w:val="41406E31"/>
    <w:rsid w:val="414E3836"/>
    <w:rsid w:val="41592854"/>
    <w:rsid w:val="41610FD0"/>
    <w:rsid w:val="416E516B"/>
    <w:rsid w:val="418812BB"/>
    <w:rsid w:val="418D4040"/>
    <w:rsid w:val="419E7FFC"/>
    <w:rsid w:val="419F3079"/>
    <w:rsid w:val="41AE3A67"/>
    <w:rsid w:val="41C95125"/>
    <w:rsid w:val="41D91034"/>
    <w:rsid w:val="41E27AF9"/>
    <w:rsid w:val="41EA02ED"/>
    <w:rsid w:val="42075BA1"/>
    <w:rsid w:val="420C1409"/>
    <w:rsid w:val="4215282E"/>
    <w:rsid w:val="42166627"/>
    <w:rsid w:val="42225E0B"/>
    <w:rsid w:val="42383FB6"/>
    <w:rsid w:val="423D7815"/>
    <w:rsid w:val="4246491B"/>
    <w:rsid w:val="424F30C2"/>
    <w:rsid w:val="42591487"/>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3A3C4A"/>
    <w:rsid w:val="434D2655"/>
    <w:rsid w:val="435720D9"/>
    <w:rsid w:val="435D7A57"/>
    <w:rsid w:val="43615785"/>
    <w:rsid w:val="43732880"/>
    <w:rsid w:val="43865952"/>
    <w:rsid w:val="438F0BB0"/>
    <w:rsid w:val="43993170"/>
    <w:rsid w:val="43A055EF"/>
    <w:rsid w:val="43AF7095"/>
    <w:rsid w:val="43BF04EA"/>
    <w:rsid w:val="43C05A1E"/>
    <w:rsid w:val="43C755E8"/>
    <w:rsid w:val="43CF4932"/>
    <w:rsid w:val="43D22CDA"/>
    <w:rsid w:val="43D354DC"/>
    <w:rsid w:val="43E3106F"/>
    <w:rsid w:val="4405353A"/>
    <w:rsid w:val="44063CF3"/>
    <w:rsid w:val="44072973"/>
    <w:rsid w:val="44095C00"/>
    <w:rsid w:val="44117E2D"/>
    <w:rsid w:val="441822E7"/>
    <w:rsid w:val="442F13DF"/>
    <w:rsid w:val="44426345"/>
    <w:rsid w:val="444B2816"/>
    <w:rsid w:val="445279AA"/>
    <w:rsid w:val="4453331F"/>
    <w:rsid w:val="445F3A72"/>
    <w:rsid w:val="445F3A86"/>
    <w:rsid w:val="4478636B"/>
    <w:rsid w:val="447A0DB3"/>
    <w:rsid w:val="447B4624"/>
    <w:rsid w:val="447D2B53"/>
    <w:rsid w:val="4481712B"/>
    <w:rsid w:val="44901E7E"/>
    <w:rsid w:val="449F54A7"/>
    <w:rsid w:val="44A1052F"/>
    <w:rsid w:val="44C93406"/>
    <w:rsid w:val="44D74994"/>
    <w:rsid w:val="44DD0E3B"/>
    <w:rsid w:val="44E67CEF"/>
    <w:rsid w:val="44F62875"/>
    <w:rsid w:val="44F75334"/>
    <w:rsid w:val="44FB02DC"/>
    <w:rsid w:val="45111EFE"/>
    <w:rsid w:val="451730A2"/>
    <w:rsid w:val="451955A3"/>
    <w:rsid w:val="45205199"/>
    <w:rsid w:val="45260B70"/>
    <w:rsid w:val="45357C2D"/>
    <w:rsid w:val="453A003B"/>
    <w:rsid w:val="45467C1A"/>
    <w:rsid w:val="45523E0A"/>
    <w:rsid w:val="45603F46"/>
    <w:rsid w:val="45784EE5"/>
    <w:rsid w:val="45790587"/>
    <w:rsid w:val="457C33A8"/>
    <w:rsid w:val="45800144"/>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692DA8"/>
    <w:rsid w:val="4670640B"/>
    <w:rsid w:val="46753897"/>
    <w:rsid w:val="467A71EB"/>
    <w:rsid w:val="46867477"/>
    <w:rsid w:val="46893028"/>
    <w:rsid w:val="468A02AD"/>
    <w:rsid w:val="468B3DD1"/>
    <w:rsid w:val="469043B7"/>
    <w:rsid w:val="46BF4C9C"/>
    <w:rsid w:val="46C936C8"/>
    <w:rsid w:val="46CB1893"/>
    <w:rsid w:val="46CC37DC"/>
    <w:rsid w:val="46D87DE5"/>
    <w:rsid w:val="46E556A4"/>
    <w:rsid w:val="46E97F6B"/>
    <w:rsid w:val="46EA25E1"/>
    <w:rsid w:val="46EB1077"/>
    <w:rsid w:val="46F34946"/>
    <w:rsid w:val="470C2558"/>
    <w:rsid w:val="471A0124"/>
    <w:rsid w:val="472127B7"/>
    <w:rsid w:val="472165B7"/>
    <w:rsid w:val="47277064"/>
    <w:rsid w:val="47323C17"/>
    <w:rsid w:val="4743767B"/>
    <w:rsid w:val="474C305D"/>
    <w:rsid w:val="474E29C1"/>
    <w:rsid w:val="475569C5"/>
    <w:rsid w:val="475A49C5"/>
    <w:rsid w:val="475E44B5"/>
    <w:rsid w:val="476121D8"/>
    <w:rsid w:val="476A063C"/>
    <w:rsid w:val="476C2E00"/>
    <w:rsid w:val="477C748E"/>
    <w:rsid w:val="478A7058"/>
    <w:rsid w:val="47941208"/>
    <w:rsid w:val="47A101B2"/>
    <w:rsid w:val="47AB5220"/>
    <w:rsid w:val="47BF2852"/>
    <w:rsid w:val="47BF386C"/>
    <w:rsid w:val="47C02A7A"/>
    <w:rsid w:val="47C3256A"/>
    <w:rsid w:val="47C95C6C"/>
    <w:rsid w:val="47EC7022"/>
    <w:rsid w:val="47FC7940"/>
    <w:rsid w:val="48030B33"/>
    <w:rsid w:val="48046015"/>
    <w:rsid w:val="480E7E06"/>
    <w:rsid w:val="4819316F"/>
    <w:rsid w:val="482F5E51"/>
    <w:rsid w:val="483F125D"/>
    <w:rsid w:val="48580B32"/>
    <w:rsid w:val="485A1120"/>
    <w:rsid w:val="485B43A9"/>
    <w:rsid w:val="48635024"/>
    <w:rsid w:val="486C0E54"/>
    <w:rsid w:val="487B675C"/>
    <w:rsid w:val="48954DA6"/>
    <w:rsid w:val="48A95C04"/>
    <w:rsid w:val="48B22238"/>
    <w:rsid w:val="48B33076"/>
    <w:rsid w:val="48C4330A"/>
    <w:rsid w:val="48D55EB3"/>
    <w:rsid w:val="48DA0701"/>
    <w:rsid w:val="48DF324A"/>
    <w:rsid w:val="48E052EC"/>
    <w:rsid w:val="48E65AEE"/>
    <w:rsid w:val="48F50E49"/>
    <w:rsid w:val="48F80CE7"/>
    <w:rsid w:val="49096FCD"/>
    <w:rsid w:val="491B0811"/>
    <w:rsid w:val="491D7C08"/>
    <w:rsid w:val="494625B6"/>
    <w:rsid w:val="49507E2D"/>
    <w:rsid w:val="49512BB1"/>
    <w:rsid w:val="495E0009"/>
    <w:rsid w:val="49641F5D"/>
    <w:rsid w:val="49666B6B"/>
    <w:rsid w:val="496F2CCC"/>
    <w:rsid w:val="49795D3F"/>
    <w:rsid w:val="498F64FC"/>
    <w:rsid w:val="49AD1724"/>
    <w:rsid w:val="49B21663"/>
    <w:rsid w:val="49BE7E39"/>
    <w:rsid w:val="49C40005"/>
    <w:rsid w:val="49C65419"/>
    <w:rsid w:val="49D04BAB"/>
    <w:rsid w:val="49E07403"/>
    <w:rsid w:val="49EA0282"/>
    <w:rsid w:val="49EA17C4"/>
    <w:rsid w:val="49EF440A"/>
    <w:rsid w:val="4A1A2F12"/>
    <w:rsid w:val="4A2B55B2"/>
    <w:rsid w:val="4A2C7C77"/>
    <w:rsid w:val="4A321C6F"/>
    <w:rsid w:val="4A366D8C"/>
    <w:rsid w:val="4A375709"/>
    <w:rsid w:val="4A454E53"/>
    <w:rsid w:val="4A475BFC"/>
    <w:rsid w:val="4A484FA8"/>
    <w:rsid w:val="4A4E1094"/>
    <w:rsid w:val="4A561717"/>
    <w:rsid w:val="4A5971B6"/>
    <w:rsid w:val="4A5D3269"/>
    <w:rsid w:val="4A606796"/>
    <w:rsid w:val="4A717D8F"/>
    <w:rsid w:val="4A7D0F83"/>
    <w:rsid w:val="4A834A22"/>
    <w:rsid w:val="4A8815D3"/>
    <w:rsid w:val="4A9454F9"/>
    <w:rsid w:val="4A972DF7"/>
    <w:rsid w:val="4A992274"/>
    <w:rsid w:val="4AA77F21"/>
    <w:rsid w:val="4AAA2276"/>
    <w:rsid w:val="4AB12CDE"/>
    <w:rsid w:val="4AB26AE1"/>
    <w:rsid w:val="4AB64534"/>
    <w:rsid w:val="4ABD14F2"/>
    <w:rsid w:val="4AC66642"/>
    <w:rsid w:val="4AC87549"/>
    <w:rsid w:val="4AD37353"/>
    <w:rsid w:val="4ADC6651"/>
    <w:rsid w:val="4AE2340C"/>
    <w:rsid w:val="4AE72A13"/>
    <w:rsid w:val="4AEB6C72"/>
    <w:rsid w:val="4AFF6999"/>
    <w:rsid w:val="4B0E61F2"/>
    <w:rsid w:val="4B21257E"/>
    <w:rsid w:val="4B290FE3"/>
    <w:rsid w:val="4B295DF2"/>
    <w:rsid w:val="4B322207"/>
    <w:rsid w:val="4B3B5793"/>
    <w:rsid w:val="4B3D0BF4"/>
    <w:rsid w:val="4B58050B"/>
    <w:rsid w:val="4B5A25F7"/>
    <w:rsid w:val="4B6A0768"/>
    <w:rsid w:val="4B6B0CBD"/>
    <w:rsid w:val="4B705719"/>
    <w:rsid w:val="4B7B47F9"/>
    <w:rsid w:val="4B8D7117"/>
    <w:rsid w:val="4BA563FE"/>
    <w:rsid w:val="4BB77663"/>
    <w:rsid w:val="4BBF1EF3"/>
    <w:rsid w:val="4BC54DE5"/>
    <w:rsid w:val="4BCB7306"/>
    <w:rsid w:val="4BD52968"/>
    <w:rsid w:val="4BD91D02"/>
    <w:rsid w:val="4BE2600E"/>
    <w:rsid w:val="4BE34975"/>
    <w:rsid w:val="4BE57820"/>
    <w:rsid w:val="4BF657A1"/>
    <w:rsid w:val="4BFB7B74"/>
    <w:rsid w:val="4C0457A1"/>
    <w:rsid w:val="4C2070A8"/>
    <w:rsid w:val="4C276BC0"/>
    <w:rsid w:val="4C3A6D52"/>
    <w:rsid w:val="4C3F2C78"/>
    <w:rsid w:val="4C42244E"/>
    <w:rsid w:val="4C437DCE"/>
    <w:rsid w:val="4C6D3DA8"/>
    <w:rsid w:val="4C727CFA"/>
    <w:rsid w:val="4C800A2A"/>
    <w:rsid w:val="4C88081B"/>
    <w:rsid w:val="4C8872A2"/>
    <w:rsid w:val="4C9C19F3"/>
    <w:rsid w:val="4CA47183"/>
    <w:rsid w:val="4CB7606E"/>
    <w:rsid w:val="4CDA2830"/>
    <w:rsid w:val="4CDE1861"/>
    <w:rsid w:val="4CE52F83"/>
    <w:rsid w:val="4CF745DE"/>
    <w:rsid w:val="4CFC57E0"/>
    <w:rsid w:val="4D087B01"/>
    <w:rsid w:val="4D0B58BC"/>
    <w:rsid w:val="4D0C050F"/>
    <w:rsid w:val="4D0C2AD5"/>
    <w:rsid w:val="4D1F1116"/>
    <w:rsid w:val="4D1F46E6"/>
    <w:rsid w:val="4D2059FA"/>
    <w:rsid w:val="4D2E3574"/>
    <w:rsid w:val="4D432919"/>
    <w:rsid w:val="4D451B18"/>
    <w:rsid w:val="4D4D5AFE"/>
    <w:rsid w:val="4D502AF2"/>
    <w:rsid w:val="4D5C07F9"/>
    <w:rsid w:val="4D755736"/>
    <w:rsid w:val="4D786533"/>
    <w:rsid w:val="4DAC0A3B"/>
    <w:rsid w:val="4DB92102"/>
    <w:rsid w:val="4DBA3E20"/>
    <w:rsid w:val="4DBC5B64"/>
    <w:rsid w:val="4DC679DB"/>
    <w:rsid w:val="4DE61D12"/>
    <w:rsid w:val="4DF1146E"/>
    <w:rsid w:val="4DF53699"/>
    <w:rsid w:val="4DF82017"/>
    <w:rsid w:val="4DFF4A01"/>
    <w:rsid w:val="4E0E661C"/>
    <w:rsid w:val="4E1E3790"/>
    <w:rsid w:val="4E2E44B5"/>
    <w:rsid w:val="4E4C57ED"/>
    <w:rsid w:val="4E5505A6"/>
    <w:rsid w:val="4E5E2FEC"/>
    <w:rsid w:val="4E820BD8"/>
    <w:rsid w:val="4E874C8C"/>
    <w:rsid w:val="4E8D729C"/>
    <w:rsid w:val="4E8E1C0C"/>
    <w:rsid w:val="4E9609D8"/>
    <w:rsid w:val="4E9764FE"/>
    <w:rsid w:val="4E98004C"/>
    <w:rsid w:val="4E9C58C3"/>
    <w:rsid w:val="4EA5208F"/>
    <w:rsid w:val="4EAC01FC"/>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585C8E"/>
    <w:rsid w:val="4F7914EF"/>
    <w:rsid w:val="4F7E60F0"/>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16DC4"/>
    <w:rsid w:val="506472D4"/>
    <w:rsid w:val="50664FFD"/>
    <w:rsid w:val="50666C7A"/>
    <w:rsid w:val="507460A4"/>
    <w:rsid w:val="5094445D"/>
    <w:rsid w:val="509C0D4E"/>
    <w:rsid w:val="50A23A1E"/>
    <w:rsid w:val="50AC44E3"/>
    <w:rsid w:val="50B57EA9"/>
    <w:rsid w:val="50B651BB"/>
    <w:rsid w:val="50BC2B26"/>
    <w:rsid w:val="50BE1984"/>
    <w:rsid w:val="50D141C6"/>
    <w:rsid w:val="50D94FDD"/>
    <w:rsid w:val="50F115EA"/>
    <w:rsid w:val="50F72C9C"/>
    <w:rsid w:val="50FC089B"/>
    <w:rsid w:val="50FC0DB6"/>
    <w:rsid w:val="511107EA"/>
    <w:rsid w:val="511300BE"/>
    <w:rsid w:val="511F2007"/>
    <w:rsid w:val="51271E2F"/>
    <w:rsid w:val="51324BC3"/>
    <w:rsid w:val="51342CAA"/>
    <w:rsid w:val="51366F32"/>
    <w:rsid w:val="51406A38"/>
    <w:rsid w:val="514B4E4E"/>
    <w:rsid w:val="516578E1"/>
    <w:rsid w:val="517174DB"/>
    <w:rsid w:val="518049FF"/>
    <w:rsid w:val="51932FAD"/>
    <w:rsid w:val="51A06E66"/>
    <w:rsid w:val="51A81966"/>
    <w:rsid w:val="51AF590D"/>
    <w:rsid w:val="51B475E9"/>
    <w:rsid w:val="51BA020E"/>
    <w:rsid w:val="51C05FF6"/>
    <w:rsid w:val="51C32097"/>
    <w:rsid w:val="51D135DE"/>
    <w:rsid w:val="51DF4444"/>
    <w:rsid w:val="51ED6B61"/>
    <w:rsid w:val="51F65295"/>
    <w:rsid w:val="51F872B4"/>
    <w:rsid w:val="51FD3DB6"/>
    <w:rsid w:val="52097713"/>
    <w:rsid w:val="520C3BB6"/>
    <w:rsid w:val="52252174"/>
    <w:rsid w:val="52295AE6"/>
    <w:rsid w:val="522D0E7F"/>
    <w:rsid w:val="523636A7"/>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12A7E"/>
    <w:rsid w:val="533354CF"/>
    <w:rsid w:val="533407C0"/>
    <w:rsid w:val="53346A12"/>
    <w:rsid w:val="53346B96"/>
    <w:rsid w:val="53456529"/>
    <w:rsid w:val="535D5DC8"/>
    <w:rsid w:val="537961D3"/>
    <w:rsid w:val="537A3167"/>
    <w:rsid w:val="537D2360"/>
    <w:rsid w:val="53811E50"/>
    <w:rsid w:val="5393482C"/>
    <w:rsid w:val="53B22465"/>
    <w:rsid w:val="53B45F49"/>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592AA9"/>
    <w:rsid w:val="546146EB"/>
    <w:rsid w:val="54680D66"/>
    <w:rsid w:val="54685AA1"/>
    <w:rsid w:val="54776BB6"/>
    <w:rsid w:val="547D06FB"/>
    <w:rsid w:val="547D14B1"/>
    <w:rsid w:val="54857DDB"/>
    <w:rsid w:val="548C678B"/>
    <w:rsid w:val="54905199"/>
    <w:rsid w:val="54914216"/>
    <w:rsid w:val="549273A9"/>
    <w:rsid w:val="549405C7"/>
    <w:rsid w:val="54972DB4"/>
    <w:rsid w:val="549D6C55"/>
    <w:rsid w:val="54CA07F6"/>
    <w:rsid w:val="54E979F3"/>
    <w:rsid w:val="54EF0774"/>
    <w:rsid w:val="54F2448F"/>
    <w:rsid w:val="54FE2E33"/>
    <w:rsid w:val="54FF3EA3"/>
    <w:rsid w:val="550B2DC8"/>
    <w:rsid w:val="551E1403"/>
    <w:rsid w:val="552038EC"/>
    <w:rsid w:val="5520724E"/>
    <w:rsid w:val="552A00CC"/>
    <w:rsid w:val="5540169E"/>
    <w:rsid w:val="55466588"/>
    <w:rsid w:val="5547793A"/>
    <w:rsid w:val="554C32B2"/>
    <w:rsid w:val="55501E76"/>
    <w:rsid w:val="55701D69"/>
    <w:rsid w:val="55731E3E"/>
    <w:rsid w:val="557A0272"/>
    <w:rsid w:val="557E29D7"/>
    <w:rsid w:val="558F2195"/>
    <w:rsid w:val="55900035"/>
    <w:rsid w:val="559455FC"/>
    <w:rsid w:val="55AF798B"/>
    <w:rsid w:val="55CA70E8"/>
    <w:rsid w:val="55ED4967"/>
    <w:rsid w:val="55F350C4"/>
    <w:rsid w:val="55FD2F0B"/>
    <w:rsid w:val="561B14C6"/>
    <w:rsid w:val="561B7A15"/>
    <w:rsid w:val="56247722"/>
    <w:rsid w:val="56342FDD"/>
    <w:rsid w:val="56467B64"/>
    <w:rsid w:val="565626F9"/>
    <w:rsid w:val="565671A2"/>
    <w:rsid w:val="56685CA8"/>
    <w:rsid w:val="56694C24"/>
    <w:rsid w:val="56740DC7"/>
    <w:rsid w:val="56753961"/>
    <w:rsid w:val="5677558B"/>
    <w:rsid w:val="569C2904"/>
    <w:rsid w:val="56AA3219"/>
    <w:rsid w:val="56AE47F6"/>
    <w:rsid w:val="56B7174F"/>
    <w:rsid w:val="56CF2574"/>
    <w:rsid w:val="56CF424D"/>
    <w:rsid w:val="56DE4C00"/>
    <w:rsid w:val="57081D47"/>
    <w:rsid w:val="570847EE"/>
    <w:rsid w:val="57212E09"/>
    <w:rsid w:val="572763D8"/>
    <w:rsid w:val="57297951"/>
    <w:rsid w:val="573270B5"/>
    <w:rsid w:val="57331689"/>
    <w:rsid w:val="57443B56"/>
    <w:rsid w:val="57614844"/>
    <w:rsid w:val="57664CC0"/>
    <w:rsid w:val="576A00D2"/>
    <w:rsid w:val="576A530D"/>
    <w:rsid w:val="57971A40"/>
    <w:rsid w:val="579E4D2D"/>
    <w:rsid w:val="57A24175"/>
    <w:rsid w:val="57B75717"/>
    <w:rsid w:val="57B91378"/>
    <w:rsid w:val="57C470D2"/>
    <w:rsid w:val="57C77E19"/>
    <w:rsid w:val="57CA488B"/>
    <w:rsid w:val="57DA0118"/>
    <w:rsid w:val="57DB3900"/>
    <w:rsid w:val="57DB47FB"/>
    <w:rsid w:val="57F131F8"/>
    <w:rsid w:val="57FB18AC"/>
    <w:rsid w:val="580846BB"/>
    <w:rsid w:val="5816050F"/>
    <w:rsid w:val="581D5CC6"/>
    <w:rsid w:val="58205F1A"/>
    <w:rsid w:val="582468CD"/>
    <w:rsid w:val="582840C5"/>
    <w:rsid w:val="583074F9"/>
    <w:rsid w:val="583515AC"/>
    <w:rsid w:val="584B45E2"/>
    <w:rsid w:val="584C2587"/>
    <w:rsid w:val="585127AA"/>
    <w:rsid w:val="585D5314"/>
    <w:rsid w:val="58603D47"/>
    <w:rsid w:val="58660CE3"/>
    <w:rsid w:val="58743A0C"/>
    <w:rsid w:val="58795D80"/>
    <w:rsid w:val="58BB3CCE"/>
    <w:rsid w:val="58C97BB5"/>
    <w:rsid w:val="58CD3249"/>
    <w:rsid w:val="58DE0E81"/>
    <w:rsid w:val="58E14F7F"/>
    <w:rsid w:val="59125866"/>
    <w:rsid w:val="5915352F"/>
    <w:rsid w:val="59183E6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AD6BD6"/>
    <w:rsid w:val="59BA6CB3"/>
    <w:rsid w:val="59BA6CC4"/>
    <w:rsid w:val="59BF6EE5"/>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1253D"/>
    <w:rsid w:val="5A873ECB"/>
    <w:rsid w:val="5A934A0F"/>
    <w:rsid w:val="5A957C98"/>
    <w:rsid w:val="5A9E6D6F"/>
    <w:rsid w:val="5AAC50E0"/>
    <w:rsid w:val="5AAD60EA"/>
    <w:rsid w:val="5AB61DE0"/>
    <w:rsid w:val="5ACB527F"/>
    <w:rsid w:val="5AD7761B"/>
    <w:rsid w:val="5AE1122D"/>
    <w:rsid w:val="5AE8436A"/>
    <w:rsid w:val="5AF80AC2"/>
    <w:rsid w:val="5AFE3E43"/>
    <w:rsid w:val="5B072DB6"/>
    <w:rsid w:val="5B101B12"/>
    <w:rsid w:val="5B19492B"/>
    <w:rsid w:val="5B233465"/>
    <w:rsid w:val="5B2630E4"/>
    <w:rsid w:val="5B506B61"/>
    <w:rsid w:val="5B5F0F2E"/>
    <w:rsid w:val="5B667984"/>
    <w:rsid w:val="5B6B796C"/>
    <w:rsid w:val="5B7C0F56"/>
    <w:rsid w:val="5B8F78B9"/>
    <w:rsid w:val="5B9808C1"/>
    <w:rsid w:val="5BA32ED4"/>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46513"/>
    <w:rsid w:val="5CA51446"/>
    <w:rsid w:val="5CA57080"/>
    <w:rsid w:val="5CA77E21"/>
    <w:rsid w:val="5CA97B29"/>
    <w:rsid w:val="5CAF0BE0"/>
    <w:rsid w:val="5CB458BA"/>
    <w:rsid w:val="5CDC782C"/>
    <w:rsid w:val="5CDF3569"/>
    <w:rsid w:val="5CE23DAC"/>
    <w:rsid w:val="5CE73917"/>
    <w:rsid w:val="5D0A73AF"/>
    <w:rsid w:val="5D120F26"/>
    <w:rsid w:val="5D1F603D"/>
    <w:rsid w:val="5D376039"/>
    <w:rsid w:val="5D3E31E9"/>
    <w:rsid w:val="5D436E42"/>
    <w:rsid w:val="5D63667B"/>
    <w:rsid w:val="5D6F2EDA"/>
    <w:rsid w:val="5D753EAF"/>
    <w:rsid w:val="5D783847"/>
    <w:rsid w:val="5D83037A"/>
    <w:rsid w:val="5D9941C1"/>
    <w:rsid w:val="5DA570B1"/>
    <w:rsid w:val="5DA92832"/>
    <w:rsid w:val="5DAE502B"/>
    <w:rsid w:val="5DB466F3"/>
    <w:rsid w:val="5DB915F2"/>
    <w:rsid w:val="5DBC60F3"/>
    <w:rsid w:val="5DCB1D21"/>
    <w:rsid w:val="5DCD5A99"/>
    <w:rsid w:val="5DDA5440"/>
    <w:rsid w:val="5DDD5947"/>
    <w:rsid w:val="5DDF393D"/>
    <w:rsid w:val="5DDF6E4E"/>
    <w:rsid w:val="5DF9688E"/>
    <w:rsid w:val="5DFA49E0"/>
    <w:rsid w:val="5E1D0F80"/>
    <w:rsid w:val="5E1F3B6D"/>
    <w:rsid w:val="5E224037"/>
    <w:rsid w:val="5E352C38"/>
    <w:rsid w:val="5E3E40FF"/>
    <w:rsid w:val="5E40706E"/>
    <w:rsid w:val="5E4C1080"/>
    <w:rsid w:val="5E4E1C8A"/>
    <w:rsid w:val="5E4F4071"/>
    <w:rsid w:val="5E5D7A78"/>
    <w:rsid w:val="5E6006BB"/>
    <w:rsid w:val="5E7833A1"/>
    <w:rsid w:val="5E8274BA"/>
    <w:rsid w:val="5E84136F"/>
    <w:rsid w:val="5E8530EF"/>
    <w:rsid w:val="5EA06D09"/>
    <w:rsid w:val="5EA53C9A"/>
    <w:rsid w:val="5EB822A5"/>
    <w:rsid w:val="5EBC7F37"/>
    <w:rsid w:val="5ECE7D1A"/>
    <w:rsid w:val="5ED36C86"/>
    <w:rsid w:val="5EDA60B0"/>
    <w:rsid w:val="5EE35A57"/>
    <w:rsid w:val="5F1645A7"/>
    <w:rsid w:val="5F49114F"/>
    <w:rsid w:val="5F6A54DD"/>
    <w:rsid w:val="5F716F1F"/>
    <w:rsid w:val="5F815969"/>
    <w:rsid w:val="5F8B4FA7"/>
    <w:rsid w:val="5F9B72D1"/>
    <w:rsid w:val="5FAB0A44"/>
    <w:rsid w:val="5FB17C29"/>
    <w:rsid w:val="5FB34738"/>
    <w:rsid w:val="5FB95E1C"/>
    <w:rsid w:val="5FC353A5"/>
    <w:rsid w:val="5FC85F82"/>
    <w:rsid w:val="5FCB3FE5"/>
    <w:rsid w:val="5FDC5EDE"/>
    <w:rsid w:val="5FEB2206"/>
    <w:rsid w:val="5FED772C"/>
    <w:rsid w:val="5FF97EAE"/>
    <w:rsid w:val="5FFA117E"/>
    <w:rsid w:val="60155C27"/>
    <w:rsid w:val="60162D11"/>
    <w:rsid w:val="601A6070"/>
    <w:rsid w:val="60226F8B"/>
    <w:rsid w:val="603B4F3C"/>
    <w:rsid w:val="60477ABF"/>
    <w:rsid w:val="604B06AE"/>
    <w:rsid w:val="60526566"/>
    <w:rsid w:val="605B738C"/>
    <w:rsid w:val="607F756F"/>
    <w:rsid w:val="60917251"/>
    <w:rsid w:val="60982996"/>
    <w:rsid w:val="60A96E90"/>
    <w:rsid w:val="60C53D01"/>
    <w:rsid w:val="60C9018D"/>
    <w:rsid w:val="60DA12FD"/>
    <w:rsid w:val="61012C93"/>
    <w:rsid w:val="61053FC5"/>
    <w:rsid w:val="610C088E"/>
    <w:rsid w:val="610C1F3F"/>
    <w:rsid w:val="61151C31"/>
    <w:rsid w:val="61465D10"/>
    <w:rsid w:val="614A03E6"/>
    <w:rsid w:val="61531A50"/>
    <w:rsid w:val="61532201"/>
    <w:rsid w:val="615838CB"/>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065A1D"/>
    <w:rsid w:val="620D0B5A"/>
    <w:rsid w:val="621F13DC"/>
    <w:rsid w:val="62256C85"/>
    <w:rsid w:val="623600B0"/>
    <w:rsid w:val="62562501"/>
    <w:rsid w:val="6256299E"/>
    <w:rsid w:val="62574D95"/>
    <w:rsid w:val="62583769"/>
    <w:rsid w:val="62586747"/>
    <w:rsid w:val="626C60B7"/>
    <w:rsid w:val="62746498"/>
    <w:rsid w:val="627A6223"/>
    <w:rsid w:val="62922E0D"/>
    <w:rsid w:val="62982A5C"/>
    <w:rsid w:val="62CB6D60"/>
    <w:rsid w:val="62E358B2"/>
    <w:rsid w:val="62EA49F7"/>
    <w:rsid w:val="62F154C5"/>
    <w:rsid w:val="62FD0A5D"/>
    <w:rsid w:val="63162338"/>
    <w:rsid w:val="632036E4"/>
    <w:rsid w:val="63232EB3"/>
    <w:rsid w:val="63267478"/>
    <w:rsid w:val="633D315E"/>
    <w:rsid w:val="63504ABF"/>
    <w:rsid w:val="63517786"/>
    <w:rsid w:val="636447A9"/>
    <w:rsid w:val="637052D7"/>
    <w:rsid w:val="638438AF"/>
    <w:rsid w:val="6388739F"/>
    <w:rsid w:val="6389099E"/>
    <w:rsid w:val="63894210"/>
    <w:rsid w:val="63954DAA"/>
    <w:rsid w:val="639E415F"/>
    <w:rsid w:val="63C74AA3"/>
    <w:rsid w:val="63D87748"/>
    <w:rsid w:val="63DE2EEF"/>
    <w:rsid w:val="63E8362C"/>
    <w:rsid w:val="63F16145"/>
    <w:rsid w:val="64024CFF"/>
    <w:rsid w:val="64090D72"/>
    <w:rsid w:val="641D22DD"/>
    <w:rsid w:val="64426DE8"/>
    <w:rsid w:val="645B3151"/>
    <w:rsid w:val="646A170C"/>
    <w:rsid w:val="64701038"/>
    <w:rsid w:val="64722EF6"/>
    <w:rsid w:val="64797A3F"/>
    <w:rsid w:val="647B4B09"/>
    <w:rsid w:val="647B6F79"/>
    <w:rsid w:val="64815AEE"/>
    <w:rsid w:val="648937A8"/>
    <w:rsid w:val="648B1BA9"/>
    <w:rsid w:val="648D0F64"/>
    <w:rsid w:val="64907D0F"/>
    <w:rsid w:val="649449E8"/>
    <w:rsid w:val="649D5D6D"/>
    <w:rsid w:val="64A9391A"/>
    <w:rsid w:val="64AF7CA6"/>
    <w:rsid w:val="64C455F4"/>
    <w:rsid w:val="64D77B16"/>
    <w:rsid w:val="64F55A2C"/>
    <w:rsid w:val="64F953C5"/>
    <w:rsid w:val="651B533C"/>
    <w:rsid w:val="651E27DC"/>
    <w:rsid w:val="65206DF6"/>
    <w:rsid w:val="65291D8F"/>
    <w:rsid w:val="65570D94"/>
    <w:rsid w:val="655774EE"/>
    <w:rsid w:val="65736F26"/>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BA3EC8"/>
    <w:rsid w:val="66D1442C"/>
    <w:rsid w:val="66D47E7F"/>
    <w:rsid w:val="66D64E5B"/>
    <w:rsid w:val="66DD089D"/>
    <w:rsid w:val="66DD4F9F"/>
    <w:rsid w:val="66DE592A"/>
    <w:rsid w:val="66E63727"/>
    <w:rsid w:val="66F0016C"/>
    <w:rsid w:val="66FA0812"/>
    <w:rsid w:val="66FB2BD0"/>
    <w:rsid w:val="66FC2971"/>
    <w:rsid w:val="670008EB"/>
    <w:rsid w:val="67103ED9"/>
    <w:rsid w:val="67262B05"/>
    <w:rsid w:val="672C7CD4"/>
    <w:rsid w:val="6748602A"/>
    <w:rsid w:val="674E513F"/>
    <w:rsid w:val="674E6BDA"/>
    <w:rsid w:val="67610E75"/>
    <w:rsid w:val="676F0F89"/>
    <w:rsid w:val="677178CC"/>
    <w:rsid w:val="677977BA"/>
    <w:rsid w:val="67797A29"/>
    <w:rsid w:val="678952B2"/>
    <w:rsid w:val="678F07BF"/>
    <w:rsid w:val="679D31F9"/>
    <w:rsid w:val="679D3BF4"/>
    <w:rsid w:val="679D472E"/>
    <w:rsid w:val="67A41618"/>
    <w:rsid w:val="67AE4749"/>
    <w:rsid w:val="67C56A11"/>
    <w:rsid w:val="67DC3A63"/>
    <w:rsid w:val="67E071EA"/>
    <w:rsid w:val="67E33E17"/>
    <w:rsid w:val="67FC4971"/>
    <w:rsid w:val="680C2DD0"/>
    <w:rsid w:val="68152516"/>
    <w:rsid w:val="68221BAF"/>
    <w:rsid w:val="682D62D9"/>
    <w:rsid w:val="684C3086"/>
    <w:rsid w:val="685143BC"/>
    <w:rsid w:val="68542A0A"/>
    <w:rsid w:val="68555296"/>
    <w:rsid w:val="685A68BE"/>
    <w:rsid w:val="686C1E80"/>
    <w:rsid w:val="687E455F"/>
    <w:rsid w:val="68816836"/>
    <w:rsid w:val="689079C3"/>
    <w:rsid w:val="689A2A1B"/>
    <w:rsid w:val="68B95597"/>
    <w:rsid w:val="68BC6E36"/>
    <w:rsid w:val="68D46A71"/>
    <w:rsid w:val="68D56910"/>
    <w:rsid w:val="68EF70C5"/>
    <w:rsid w:val="68F22D9F"/>
    <w:rsid w:val="690F397F"/>
    <w:rsid w:val="69162C86"/>
    <w:rsid w:val="69180AD7"/>
    <w:rsid w:val="69214083"/>
    <w:rsid w:val="69456B9A"/>
    <w:rsid w:val="69481344"/>
    <w:rsid w:val="695700E3"/>
    <w:rsid w:val="6980516E"/>
    <w:rsid w:val="698B51FD"/>
    <w:rsid w:val="699024A8"/>
    <w:rsid w:val="69960468"/>
    <w:rsid w:val="69A109AD"/>
    <w:rsid w:val="69B875FD"/>
    <w:rsid w:val="69D501AF"/>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4F12CD"/>
    <w:rsid w:val="6A503532"/>
    <w:rsid w:val="6A5D65D9"/>
    <w:rsid w:val="6A65313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EC2279"/>
    <w:rsid w:val="6AF07997"/>
    <w:rsid w:val="6AF5032D"/>
    <w:rsid w:val="6AFB2812"/>
    <w:rsid w:val="6AFF182D"/>
    <w:rsid w:val="6B032C8C"/>
    <w:rsid w:val="6B0F64B4"/>
    <w:rsid w:val="6B243303"/>
    <w:rsid w:val="6B351D0A"/>
    <w:rsid w:val="6B3569BE"/>
    <w:rsid w:val="6B3A1CE8"/>
    <w:rsid w:val="6B3E4E41"/>
    <w:rsid w:val="6B462B1F"/>
    <w:rsid w:val="6B4D49EF"/>
    <w:rsid w:val="6B556078"/>
    <w:rsid w:val="6B565CD0"/>
    <w:rsid w:val="6B68013D"/>
    <w:rsid w:val="6B7022D0"/>
    <w:rsid w:val="6B7B5422"/>
    <w:rsid w:val="6B852192"/>
    <w:rsid w:val="6B925A32"/>
    <w:rsid w:val="6B9C4F5E"/>
    <w:rsid w:val="6BA92B5A"/>
    <w:rsid w:val="6BB42760"/>
    <w:rsid w:val="6BD37065"/>
    <w:rsid w:val="6BDB3A77"/>
    <w:rsid w:val="6BE13B5E"/>
    <w:rsid w:val="6BE31674"/>
    <w:rsid w:val="6BE95EA9"/>
    <w:rsid w:val="6BEA6094"/>
    <w:rsid w:val="6C114575"/>
    <w:rsid w:val="6C2A7712"/>
    <w:rsid w:val="6C3E2214"/>
    <w:rsid w:val="6C427652"/>
    <w:rsid w:val="6C4D48CD"/>
    <w:rsid w:val="6C5F6456"/>
    <w:rsid w:val="6C643A6C"/>
    <w:rsid w:val="6C661592"/>
    <w:rsid w:val="6C8202CD"/>
    <w:rsid w:val="6C8639E2"/>
    <w:rsid w:val="6C961621"/>
    <w:rsid w:val="6C9D5038"/>
    <w:rsid w:val="6CBB7DE1"/>
    <w:rsid w:val="6CC445CB"/>
    <w:rsid w:val="6CD042ED"/>
    <w:rsid w:val="6CDA2357"/>
    <w:rsid w:val="6CDE1982"/>
    <w:rsid w:val="6CE8212C"/>
    <w:rsid w:val="6CED6224"/>
    <w:rsid w:val="6CF01775"/>
    <w:rsid w:val="6CFB62C0"/>
    <w:rsid w:val="6CFD7CAA"/>
    <w:rsid w:val="6D026DE8"/>
    <w:rsid w:val="6D0316B2"/>
    <w:rsid w:val="6D087337"/>
    <w:rsid w:val="6D0E1321"/>
    <w:rsid w:val="6D104BE0"/>
    <w:rsid w:val="6D132371"/>
    <w:rsid w:val="6D1338DD"/>
    <w:rsid w:val="6D153789"/>
    <w:rsid w:val="6D206DC5"/>
    <w:rsid w:val="6D326DE0"/>
    <w:rsid w:val="6D3B4D97"/>
    <w:rsid w:val="6D487B73"/>
    <w:rsid w:val="6D4A2408"/>
    <w:rsid w:val="6D4B1E5A"/>
    <w:rsid w:val="6D54588F"/>
    <w:rsid w:val="6D5E70E9"/>
    <w:rsid w:val="6D6729D8"/>
    <w:rsid w:val="6D6E09F2"/>
    <w:rsid w:val="6D6F26C8"/>
    <w:rsid w:val="6D852386"/>
    <w:rsid w:val="6DBD67AE"/>
    <w:rsid w:val="6DCF3167"/>
    <w:rsid w:val="6DD54C21"/>
    <w:rsid w:val="6DD8026E"/>
    <w:rsid w:val="6DF453C2"/>
    <w:rsid w:val="6DFC1EB9"/>
    <w:rsid w:val="6E0C170B"/>
    <w:rsid w:val="6E25722B"/>
    <w:rsid w:val="6E315BD0"/>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9E656A"/>
    <w:rsid w:val="6FAA5FFD"/>
    <w:rsid w:val="6FB37BE5"/>
    <w:rsid w:val="6FBB1BF5"/>
    <w:rsid w:val="6FC2450B"/>
    <w:rsid w:val="6FC7059A"/>
    <w:rsid w:val="6FCA64CD"/>
    <w:rsid w:val="6FE112C4"/>
    <w:rsid w:val="6FF069FB"/>
    <w:rsid w:val="6FF36A80"/>
    <w:rsid w:val="6FFB0619"/>
    <w:rsid w:val="6FFD7D02"/>
    <w:rsid w:val="6FFE5F86"/>
    <w:rsid w:val="70020E6A"/>
    <w:rsid w:val="700D7F77"/>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0A0DE2"/>
    <w:rsid w:val="71290DE0"/>
    <w:rsid w:val="712A4901"/>
    <w:rsid w:val="7134264D"/>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2697"/>
    <w:rsid w:val="71E258E0"/>
    <w:rsid w:val="71E371E1"/>
    <w:rsid w:val="71E450CA"/>
    <w:rsid w:val="71EA7F5E"/>
    <w:rsid w:val="71EE0EE5"/>
    <w:rsid w:val="71F773F9"/>
    <w:rsid w:val="71FB452B"/>
    <w:rsid w:val="72025ED5"/>
    <w:rsid w:val="720A7322"/>
    <w:rsid w:val="72137E38"/>
    <w:rsid w:val="721C41A5"/>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40A39"/>
    <w:rsid w:val="7375174D"/>
    <w:rsid w:val="73795D83"/>
    <w:rsid w:val="737B6EF7"/>
    <w:rsid w:val="73850D73"/>
    <w:rsid w:val="738B56FD"/>
    <w:rsid w:val="738B5D82"/>
    <w:rsid w:val="73911760"/>
    <w:rsid w:val="73993FFB"/>
    <w:rsid w:val="739F2E93"/>
    <w:rsid w:val="73A60FE9"/>
    <w:rsid w:val="73B21B10"/>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8922C2"/>
    <w:rsid w:val="74957A1D"/>
    <w:rsid w:val="74976F8C"/>
    <w:rsid w:val="749A7D0E"/>
    <w:rsid w:val="749C28D6"/>
    <w:rsid w:val="74AC2DBE"/>
    <w:rsid w:val="74B03CF2"/>
    <w:rsid w:val="74B4279D"/>
    <w:rsid w:val="74C959EF"/>
    <w:rsid w:val="74D13C69"/>
    <w:rsid w:val="74D226D8"/>
    <w:rsid w:val="74D42A0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30F1E"/>
    <w:rsid w:val="759D26FD"/>
    <w:rsid w:val="75A847A4"/>
    <w:rsid w:val="75BA7DC9"/>
    <w:rsid w:val="75C158E1"/>
    <w:rsid w:val="75D75BBF"/>
    <w:rsid w:val="75F25C45"/>
    <w:rsid w:val="75F8173D"/>
    <w:rsid w:val="75FE15A4"/>
    <w:rsid w:val="76027B21"/>
    <w:rsid w:val="76087EFE"/>
    <w:rsid w:val="76157B85"/>
    <w:rsid w:val="762164BD"/>
    <w:rsid w:val="762F3987"/>
    <w:rsid w:val="763146BA"/>
    <w:rsid w:val="76373F9F"/>
    <w:rsid w:val="763C17CD"/>
    <w:rsid w:val="7651209F"/>
    <w:rsid w:val="765A396A"/>
    <w:rsid w:val="765B5EE0"/>
    <w:rsid w:val="76625186"/>
    <w:rsid w:val="76694515"/>
    <w:rsid w:val="7671183A"/>
    <w:rsid w:val="7671205E"/>
    <w:rsid w:val="76795A9A"/>
    <w:rsid w:val="76850BE3"/>
    <w:rsid w:val="7687606F"/>
    <w:rsid w:val="768E7AAD"/>
    <w:rsid w:val="769D37DC"/>
    <w:rsid w:val="76AD1FDF"/>
    <w:rsid w:val="76AF483A"/>
    <w:rsid w:val="76C37C6F"/>
    <w:rsid w:val="76C61386"/>
    <w:rsid w:val="76CF1D13"/>
    <w:rsid w:val="76D56664"/>
    <w:rsid w:val="76E41A31"/>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64F39"/>
    <w:rsid w:val="77A92E90"/>
    <w:rsid w:val="77B650A0"/>
    <w:rsid w:val="77CE0481"/>
    <w:rsid w:val="77E43CB3"/>
    <w:rsid w:val="77EC7456"/>
    <w:rsid w:val="77EE7D89"/>
    <w:rsid w:val="77EF0483"/>
    <w:rsid w:val="77F13E57"/>
    <w:rsid w:val="77F54C8C"/>
    <w:rsid w:val="7803238B"/>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AA2807"/>
    <w:rsid w:val="78B20233"/>
    <w:rsid w:val="78D12FAA"/>
    <w:rsid w:val="78D855C6"/>
    <w:rsid w:val="78E73A5B"/>
    <w:rsid w:val="78FC0536"/>
    <w:rsid w:val="78FE7954"/>
    <w:rsid w:val="792C4CC9"/>
    <w:rsid w:val="79315979"/>
    <w:rsid w:val="79424F4F"/>
    <w:rsid w:val="795831E5"/>
    <w:rsid w:val="795A5FDB"/>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EE3815"/>
    <w:rsid w:val="7AEF423F"/>
    <w:rsid w:val="7AF32BF3"/>
    <w:rsid w:val="7AF771AA"/>
    <w:rsid w:val="7B063D79"/>
    <w:rsid w:val="7B095F0A"/>
    <w:rsid w:val="7B116B6D"/>
    <w:rsid w:val="7B190BA4"/>
    <w:rsid w:val="7B2A3D4A"/>
    <w:rsid w:val="7B332F87"/>
    <w:rsid w:val="7B334D35"/>
    <w:rsid w:val="7B36137C"/>
    <w:rsid w:val="7B3A2568"/>
    <w:rsid w:val="7B486307"/>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81FC4"/>
    <w:rsid w:val="7BE91898"/>
    <w:rsid w:val="7BF72207"/>
    <w:rsid w:val="7C161B08"/>
    <w:rsid w:val="7C3A2FA7"/>
    <w:rsid w:val="7C541407"/>
    <w:rsid w:val="7C5840BF"/>
    <w:rsid w:val="7C6D071B"/>
    <w:rsid w:val="7C7750F6"/>
    <w:rsid w:val="7C84107F"/>
    <w:rsid w:val="7C8B294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4F0DA7"/>
    <w:rsid w:val="7D4F1BCF"/>
    <w:rsid w:val="7D533A52"/>
    <w:rsid w:val="7D5B43D0"/>
    <w:rsid w:val="7D6243C6"/>
    <w:rsid w:val="7D76523E"/>
    <w:rsid w:val="7D78086B"/>
    <w:rsid w:val="7D781E69"/>
    <w:rsid w:val="7D7B5075"/>
    <w:rsid w:val="7D832173"/>
    <w:rsid w:val="7D8A3C14"/>
    <w:rsid w:val="7D8C5B06"/>
    <w:rsid w:val="7D934401"/>
    <w:rsid w:val="7D953960"/>
    <w:rsid w:val="7D961406"/>
    <w:rsid w:val="7DA05D3C"/>
    <w:rsid w:val="7DA56991"/>
    <w:rsid w:val="7DA623C2"/>
    <w:rsid w:val="7DA737B9"/>
    <w:rsid w:val="7DB639FC"/>
    <w:rsid w:val="7DC425BD"/>
    <w:rsid w:val="7DFF0E02"/>
    <w:rsid w:val="7E037786"/>
    <w:rsid w:val="7E070C8C"/>
    <w:rsid w:val="7E0800A0"/>
    <w:rsid w:val="7E0C521E"/>
    <w:rsid w:val="7E0E7E19"/>
    <w:rsid w:val="7E1840CC"/>
    <w:rsid w:val="7E1964D0"/>
    <w:rsid w:val="7E2A3B50"/>
    <w:rsid w:val="7E303249"/>
    <w:rsid w:val="7E525E1A"/>
    <w:rsid w:val="7E555123"/>
    <w:rsid w:val="7E557656"/>
    <w:rsid w:val="7E670D79"/>
    <w:rsid w:val="7E7538B7"/>
    <w:rsid w:val="7E841CD2"/>
    <w:rsid w:val="7E844BCE"/>
    <w:rsid w:val="7E8B4E88"/>
    <w:rsid w:val="7E8D660B"/>
    <w:rsid w:val="7E920963"/>
    <w:rsid w:val="7E9433D2"/>
    <w:rsid w:val="7E992085"/>
    <w:rsid w:val="7EB47F46"/>
    <w:rsid w:val="7EB94600"/>
    <w:rsid w:val="7ECA3C03"/>
    <w:rsid w:val="7ECE52DF"/>
    <w:rsid w:val="7ECF7C45"/>
    <w:rsid w:val="7ED82860"/>
    <w:rsid w:val="7EED4BDD"/>
    <w:rsid w:val="7EF45DB1"/>
    <w:rsid w:val="7EFD2358"/>
    <w:rsid w:val="7EFF5324"/>
    <w:rsid w:val="7F03165A"/>
    <w:rsid w:val="7F077A20"/>
    <w:rsid w:val="7F077BC2"/>
    <w:rsid w:val="7F09267A"/>
    <w:rsid w:val="7F1A681E"/>
    <w:rsid w:val="7F1C3D32"/>
    <w:rsid w:val="7F2B23E6"/>
    <w:rsid w:val="7F2B4123"/>
    <w:rsid w:val="7F2C666B"/>
    <w:rsid w:val="7F3426C9"/>
    <w:rsid w:val="7F3E0944"/>
    <w:rsid w:val="7F3E5DC7"/>
    <w:rsid w:val="7F437894"/>
    <w:rsid w:val="7F5C2ED4"/>
    <w:rsid w:val="7F5E061E"/>
    <w:rsid w:val="7F643B5C"/>
    <w:rsid w:val="7F7F2B17"/>
    <w:rsid w:val="7F8A3D01"/>
    <w:rsid w:val="7F8B6823"/>
    <w:rsid w:val="7F9B25D3"/>
    <w:rsid w:val="7F9C4EBD"/>
    <w:rsid w:val="7FAD310E"/>
    <w:rsid w:val="7FCD6742"/>
    <w:rsid w:val="7FD83999"/>
    <w:rsid w:val="7FE44850"/>
    <w:rsid w:val="7FE546A7"/>
    <w:rsid w:val="7FE5681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7">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8">
    <w:name w:val="heading 3"/>
    <w:basedOn w:val="1"/>
    <w:next w:val="1"/>
    <w:link w:val="154"/>
    <w:autoRedefine/>
    <w:qFormat/>
    <w:uiPriority w:val="0"/>
    <w:pPr>
      <w:keepNext/>
      <w:keepLines/>
      <w:spacing w:line="415" w:lineRule="auto"/>
      <w:outlineLvl w:val="2"/>
    </w:pPr>
    <w:rPr>
      <w:b/>
      <w:bCs/>
      <w:kern w:val="0"/>
      <w:sz w:val="32"/>
      <w:szCs w:val="32"/>
    </w:rPr>
  </w:style>
  <w:style w:type="paragraph" w:styleId="9">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10">
    <w:name w:val="heading 5"/>
    <w:basedOn w:val="1"/>
    <w:next w:val="1"/>
    <w:link w:val="131"/>
    <w:autoRedefine/>
    <w:qFormat/>
    <w:uiPriority w:val="0"/>
    <w:pPr>
      <w:keepNext/>
      <w:keepLines/>
      <w:spacing w:line="376" w:lineRule="auto"/>
      <w:outlineLvl w:val="4"/>
    </w:pPr>
    <w:rPr>
      <w:b/>
      <w:bCs/>
      <w:sz w:val="28"/>
      <w:szCs w:val="28"/>
    </w:rPr>
  </w:style>
  <w:style w:type="paragraph" w:styleId="11">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12">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13">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4">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qFormat/>
    <w:uiPriority w:val="0"/>
    <w:pPr>
      <w:spacing w:line="360" w:lineRule="auto"/>
      <w:ind w:firstLine="200" w:firstLineChars="200"/>
    </w:pPr>
    <w:rPr>
      <w:rFonts w:ascii="宋体"/>
      <w:szCs w:val="20"/>
    </w:rPr>
  </w:style>
  <w:style w:type="paragraph" w:styleId="3">
    <w:name w:val="Body Text Indent"/>
    <w:basedOn w:val="1"/>
    <w:next w:val="4"/>
    <w:autoRedefine/>
    <w:qFormat/>
    <w:uiPriority w:val="0"/>
    <w:pPr>
      <w:ind w:left="420" w:leftChars="200"/>
    </w:pPr>
  </w:style>
  <w:style w:type="paragraph" w:styleId="4">
    <w:name w:val="envelope return"/>
    <w:basedOn w:val="1"/>
    <w:next w:val="5"/>
    <w:autoRedefine/>
    <w:qFormat/>
    <w:uiPriority w:val="0"/>
    <w:pPr>
      <w:snapToGrid w:val="0"/>
    </w:pPr>
    <w:rPr>
      <w:rFonts w:ascii="Arial" w:hAnsi="Arial"/>
    </w:rPr>
  </w:style>
  <w:style w:type="paragraph" w:styleId="5">
    <w:name w:val="toc 7"/>
    <w:basedOn w:val="1"/>
    <w:next w:val="1"/>
    <w:autoRedefine/>
    <w:qFormat/>
    <w:uiPriority w:val="39"/>
    <w:pPr>
      <w:ind w:left="1260"/>
      <w:jc w:val="left"/>
    </w:pPr>
    <w:rPr>
      <w:sz w:val="18"/>
      <w:szCs w:val="18"/>
    </w:rPr>
  </w:style>
  <w:style w:type="paragraph" w:styleId="15">
    <w:name w:val="table of authorities"/>
    <w:basedOn w:val="1"/>
    <w:next w:val="1"/>
    <w:autoRedefine/>
    <w:unhideWhenUsed/>
    <w:qFormat/>
    <w:uiPriority w:val="0"/>
    <w:pPr>
      <w:ind w:left="420" w:leftChars="200"/>
    </w:pPr>
  </w:style>
  <w:style w:type="paragraph" w:styleId="16">
    <w:name w:val="Normal Indent"/>
    <w:basedOn w:val="1"/>
    <w:next w:val="2"/>
    <w:autoRedefine/>
    <w:qFormat/>
    <w:uiPriority w:val="0"/>
    <w:pPr>
      <w:ind w:firstLine="420" w:firstLineChars="200"/>
    </w:p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6"/>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8"/>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6"/>
    <w:autoRedefine/>
    <w:qFormat/>
    <w:uiPriority w:val="0"/>
    <w:pPr>
      <w:jc w:val="left"/>
    </w:pPr>
    <w:rPr>
      <w:rFonts w:ascii="黑体" w:hAnsi="黑体" w:eastAsia="黑体"/>
      <w:sz w:val="21"/>
    </w:rPr>
  </w:style>
  <w:style w:type="paragraph" w:customStyle="1" w:styleId="80">
    <w:name w:val="样式4"/>
    <w:basedOn w:val="8"/>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6"/>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6"/>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8"/>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7"/>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8"/>
    <w:autoRedefine/>
    <w:qFormat/>
    <w:uiPriority w:val="0"/>
    <w:rPr>
      <w:rFonts w:eastAsia="Arial"/>
    </w:rPr>
  </w:style>
  <w:style w:type="paragraph" w:customStyle="1" w:styleId="98">
    <w:name w:val="样式 标题 3 + (中文) 黑体 小四 非加粗 段前: 7.8 磅 段后: 0 磅 行距: 固定值 20 磅"/>
    <w:basedOn w:val="8"/>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10"/>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8"/>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7"/>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 w:type="character" w:customStyle="1" w:styleId="215">
    <w:name w:val="15"/>
    <w:basedOn w:val="48"/>
    <w:qFormat/>
    <w:uiPriority w:val="0"/>
    <w:rPr>
      <w:rFonts w:hint="default" w:ascii="Times New Roman" w:hAnsi="Times New Roman" w:cs="Times New Roman"/>
    </w:rPr>
  </w:style>
  <w:style w:type="character" w:customStyle="1" w:styleId="216">
    <w:name w:val="10"/>
    <w:basedOn w:val="48"/>
    <w:qFormat/>
    <w:uiPriority w:val="0"/>
    <w:rPr>
      <w:rFonts w:hint="default" w:ascii="Times New Roman" w:hAnsi="Times New Roman" w:cs="Times New Roman"/>
    </w:rPr>
  </w:style>
  <w:style w:type="paragraph" w:customStyle="1" w:styleId="217">
    <w:name w:val="l正文"/>
    <w:basedOn w:val="1"/>
    <w:qFormat/>
    <w:uiPriority w:val="0"/>
    <w:pPr>
      <w:keepNext w:val="0"/>
      <w:keepLines w:val="0"/>
      <w:widowControl w:val="0"/>
      <w:suppressLineNumbers w:val="0"/>
      <w:spacing w:before="0" w:beforeAutospacing="0" w:after="0" w:afterAutospacing="0" w:line="300" w:lineRule="auto"/>
      <w:ind w:left="0" w:right="0" w:firstLine="200" w:firstLineChars="200"/>
      <w:jc w:val="both"/>
    </w:pPr>
    <w:rPr>
      <w:rFonts w:hint="eastAsia" w:ascii="楷体_GB2312" w:hAnsi="Times" w:eastAsia="楷体_GB2312"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12023</Words>
  <Characters>13217</Characters>
  <Lines>1</Lines>
  <Paragraphs>1</Paragraphs>
  <TotalTime>11</TotalTime>
  <ScaleCrop>false</ScaleCrop>
  <LinksUpToDate>false</LinksUpToDate>
  <CharactersWithSpaces>13410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2026-03-05T02:42:19Z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3B9C75BDA2FF420B91E1C1DD7F991C2E_13</vt:lpwstr>
  </property>
  <property fmtid="{D5CDD505-2E9C-101B-9397-08002B2CF9AE}" pid="4" name="KSOTemplateDocerSaveRecord">
    <vt:lpwstr>eyJoZGlkIjoiZmI5ZDY5ZDNjMmE2ZDcxYTFkMDY0Zjg5Mjg3YTE0YTgiLCJ1c2VySWQiOiI1MDM3MjkwOTMifQ==</vt:lpwstr>
  </property>
</Properties>
</file>