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960C9">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52"/>
          <w:szCs w:val="52"/>
          <w:highlight w:val="none"/>
        </w:rPr>
      </w:pPr>
    </w:p>
    <w:p w14:paraId="1021C0ED">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52"/>
          <w:szCs w:val="52"/>
          <w:highlight w:val="none"/>
        </w:rPr>
      </w:pPr>
    </w:p>
    <w:p w14:paraId="0B787960">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lang w:eastAsia="zh-CN"/>
        </w:rPr>
      </w:pPr>
      <w:bookmarkStart w:id="0" w:name="_Hlk9544796"/>
      <w:r>
        <w:rPr>
          <w:rFonts w:hint="eastAsia" w:asciiTheme="minorEastAsia" w:hAnsiTheme="minorEastAsia" w:eastAsiaTheme="minorEastAsia"/>
          <w:b/>
          <w:bCs/>
          <w:color w:val="auto"/>
          <w:sz w:val="52"/>
          <w:szCs w:val="52"/>
          <w:highlight w:val="none"/>
          <w:lang w:val="en-US" w:eastAsia="zh-CN"/>
        </w:rPr>
        <w:t>安徽省</w:t>
      </w:r>
      <w:r>
        <w:rPr>
          <w:rFonts w:hint="eastAsia" w:asciiTheme="minorEastAsia" w:hAnsiTheme="minorEastAsia" w:eastAsiaTheme="minorEastAsia"/>
          <w:b/>
          <w:bCs/>
          <w:color w:val="auto"/>
          <w:sz w:val="52"/>
          <w:szCs w:val="52"/>
          <w:highlight w:val="none"/>
        </w:rPr>
        <w:t>政府采购</w:t>
      </w:r>
      <w:r>
        <w:rPr>
          <w:rFonts w:hint="eastAsia" w:asciiTheme="minorEastAsia" w:hAnsiTheme="minorEastAsia" w:eastAsiaTheme="minorEastAsia"/>
          <w:b/>
          <w:bCs/>
          <w:color w:val="auto"/>
          <w:sz w:val="52"/>
          <w:szCs w:val="52"/>
          <w:highlight w:val="none"/>
          <w:lang w:eastAsia="zh-CN"/>
        </w:rPr>
        <w:t>项目</w:t>
      </w:r>
    </w:p>
    <w:p w14:paraId="40F65DF4">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52"/>
          <w:szCs w:val="52"/>
          <w:highlight w:val="none"/>
        </w:rPr>
      </w:pPr>
      <w:r>
        <w:rPr>
          <w:rFonts w:hint="eastAsia" w:asciiTheme="minorEastAsia" w:hAnsiTheme="minorEastAsia" w:eastAsiaTheme="minorEastAsia"/>
          <w:b/>
          <w:bCs/>
          <w:color w:val="auto"/>
          <w:sz w:val="52"/>
          <w:szCs w:val="52"/>
          <w:highlight w:val="none"/>
        </w:rPr>
        <w:t>询价通知书示范文本（货物类）</w:t>
      </w:r>
    </w:p>
    <w:bookmarkEnd w:id="0"/>
    <w:p w14:paraId="75DF87D9">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lang w:eastAsia="zh-CN"/>
        </w:rPr>
      </w:pPr>
      <w:r>
        <w:rPr>
          <w:rFonts w:hint="eastAsia" w:asciiTheme="minorEastAsia" w:hAnsiTheme="minorEastAsia" w:eastAsiaTheme="minorEastAsia"/>
          <w:b/>
          <w:bCs/>
          <w:color w:val="auto"/>
          <w:sz w:val="52"/>
          <w:szCs w:val="52"/>
          <w:highlight w:val="none"/>
          <w:lang w:eastAsia="zh-CN"/>
        </w:rPr>
        <w:t>（</w:t>
      </w:r>
      <w:r>
        <w:rPr>
          <w:rFonts w:hint="eastAsia" w:asciiTheme="minorEastAsia" w:hAnsiTheme="minorEastAsia" w:eastAsiaTheme="minorEastAsia"/>
          <w:b/>
          <w:bCs/>
          <w:color w:val="auto"/>
          <w:sz w:val="52"/>
          <w:szCs w:val="52"/>
          <w:highlight w:val="none"/>
          <w:lang w:val="en-US" w:eastAsia="zh-CN"/>
        </w:rPr>
        <w:t>2024年版</w:t>
      </w:r>
      <w:r>
        <w:rPr>
          <w:rFonts w:hint="eastAsia" w:asciiTheme="minorEastAsia" w:hAnsiTheme="minorEastAsia" w:eastAsiaTheme="minorEastAsia"/>
          <w:b/>
          <w:bCs/>
          <w:color w:val="auto"/>
          <w:sz w:val="52"/>
          <w:szCs w:val="52"/>
          <w:highlight w:val="none"/>
          <w:lang w:eastAsia="zh-CN"/>
        </w:rPr>
        <w:t>）</w:t>
      </w:r>
    </w:p>
    <w:p w14:paraId="7A41032D">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4505BF14">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04D4B415">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4634898C">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50F2BF08">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4677FE66">
      <w:pPr>
        <w:tabs>
          <w:tab w:val="left" w:pos="2410"/>
        </w:tabs>
        <w:autoSpaceDE w:val="0"/>
        <w:autoSpaceDN w:val="0"/>
        <w:adjustRightInd w:val="0"/>
        <w:snapToGrid w:val="0"/>
        <w:spacing w:line="360" w:lineRule="auto"/>
        <w:ind w:left="2444" w:leftChars="304" w:hanging="1806" w:hangingChars="5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项目名称：</w:t>
      </w:r>
      <w:r>
        <w:rPr>
          <w:rFonts w:hint="eastAsia" w:asciiTheme="minorEastAsia" w:hAnsiTheme="minorEastAsia" w:eastAsiaTheme="minorEastAsia"/>
          <w:b/>
          <w:color w:val="auto"/>
          <w:sz w:val="32"/>
          <w:szCs w:val="32"/>
          <w:highlight w:val="none"/>
          <w:u w:val="single"/>
          <w:lang w:eastAsia="zh-CN"/>
        </w:rPr>
        <w:t>滁州市军供保障中心军供保障送餐车辆采购项目（三次）</w:t>
      </w:r>
    </w:p>
    <w:p w14:paraId="6D5E663D">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项目编号：</w:t>
      </w:r>
      <w:bookmarkStart w:id="114" w:name="_GoBack"/>
      <w:bookmarkEnd w:id="114"/>
      <w:r>
        <w:rPr>
          <w:rFonts w:hint="eastAsia" w:asciiTheme="minorEastAsia" w:hAnsiTheme="minorEastAsia" w:eastAsiaTheme="minorEastAsia"/>
          <w:b/>
          <w:color w:val="auto"/>
          <w:sz w:val="32"/>
          <w:szCs w:val="32"/>
          <w:highlight w:val="none"/>
          <w:u w:val="single"/>
          <w:lang w:val="en-US" w:eastAsia="zh-CN"/>
        </w:rPr>
        <w:t>czsjcg202510-032</w:t>
      </w:r>
    </w:p>
    <w:p w14:paraId="01265C13">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采 购 人：</w:t>
      </w:r>
      <w:r>
        <w:rPr>
          <w:rFonts w:hint="eastAsia" w:asciiTheme="minorEastAsia" w:hAnsiTheme="minorEastAsia" w:eastAsiaTheme="minorEastAsia"/>
          <w:b/>
          <w:color w:val="auto"/>
          <w:sz w:val="32"/>
          <w:szCs w:val="32"/>
          <w:highlight w:val="none"/>
          <w:u w:val="single"/>
          <w:lang w:eastAsia="zh-CN"/>
        </w:rPr>
        <w:t>滁州市军供保障中心</w:t>
      </w:r>
      <w:r>
        <w:rPr>
          <w:rFonts w:hint="eastAsia" w:asciiTheme="minorEastAsia" w:hAnsiTheme="minorEastAsia" w:eastAsiaTheme="minorEastAsia"/>
          <w:b/>
          <w:color w:val="auto"/>
          <w:sz w:val="32"/>
          <w:szCs w:val="32"/>
          <w:highlight w:val="none"/>
          <w:u w:val="single"/>
        </w:rPr>
        <w:t xml:space="preserve"> </w:t>
      </w:r>
    </w:p>
    <w:p w14:paraId="29A1D54A">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采购代理机构：</w:t>
      </w:r>
      <w:r>
        <w:rPr>
          <w:rFonts w:hint="eastAsia" w:asciiTheme="minorEastAsia" w:hAnsiTheme="minorEastAsia" w:eastAsiaTheme="minorEastAsia"/>
          <w:b/>
          <w:color w:val="auto"/>
          <w:sz w:val="32"/>
          <w:szCs w:val="32"/>
          <w:highlight w:val="none"/>
          <w:u w:val="single"/>
        </w:rPr>
        <w:t xml:space="preserve">滁州市政府采购中心 </w:t>
      </w:r>
    </w:p>
    <w:p w14:paraId="60D7A12D">
      <w:pPr>
        <w:tabs>
          <w:tab w:val="left" w:pos="2410"/>
        </w:tabs>
        <w:autoSpaceDE w:val="0"/>
        <w:autoSpaceDN w:val="0"/>
        <w:adjustRightInd w:val="0"/>
        <w:snapToGrid w:val="0"/>
        <w:spacing w:line="360" w:lineRule="auto"/>
        <w:ind w:firstLine="723" w:firstLineChars="200"/>
        <w:rPr>
          <w:rFonts w:hint="eastAsia" w:asciiTheme="minorEastAsia" w:hAnsiTheme="minorEastAsia" w:eastAsiaTheme="minorEastAsia"/>
          <w:b/>
          <w:color w:val="auto"/>
          <w:spacing w:val="20"/>
          <w:kern w:val="0"/>
          <w:sz w:val="32"/>
          <w:szCs w:val="32"/>
          <w:highlight w:val="none"/>
        </w:rPr>
      </w:pPr>
    </w:p>
    <w:p w14:paraId="64808744">
      <w:pPr>
        <w:tabs>
          <w:tab w:val="left" w:pos="2410"/>
        </w:tabs>
        <w:autoSpaceDE w:val="0"/>
        <w:autoSpaceDN w:val="0"/>
        <w:adjustRightInd w:val="0"/>
        <w:snapToGrid w:val="0"/>
        <w:spacing w:line="360" w:lineRule="auto"/>
        <w:ind w:firstLine="722"/>
        <w:jc w:val="center"/>
        <w:rPr>
          <w:rFonts w:asciiTheme="minorEastAsia" w:hAnsiTheme="minorEastAsia" w:eastAsiaTheme="minorEastAsia"/>
          <w:b/>
          <w:color w:val="auto"/>
          <w:sz w:val="36"/>
          <w:highlight w:val="none"/>
        </w:rPr>
      </w:pPr>
      <w:r>
        <w:rPr>
          <w:rFonts w:hint="eastAsia" w:asciiTheme="minorEastAsia" w:hAnsiTheme="minorEastAsia" w:eastAsiaTheme="minorEastAsia"/>
          <w:b/>
          <w:color w:val="auto"/>
          <w:sz w:val="36"/>
          <w:highlight w:val="none"/>
          <w:u w:val="single"/>
          <w:lang w:val="en-US" w:eastAsia="zh-CN"/>
        </w:rPr>
        <w:t xml:space="preserve">2025 </w:t>
      </w:r>
      <w:r>
        <w:rPr>
          <w:rFonts w:hint="eastAsia" w:asciiTheme="minorEastAsia" w:hAnsiTheme="minorEastAsia" w:eastAsiaTheme="minorEastAsia"/>
          <w:b/>
          <w:color w:val="auto"/>
          <w:sz w:val="36"/>
          <w:highlight w:val="none"/>
        </w:rPr>
        <w:t>年</w:t>
      </w: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u w:val="single"/>
          <w:lang w:val="en-US" w:eastAsia="zh-CN"/>
        </w:rPr>
        <w:t>10</w:t>
      </w: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rPr>
        <w:t>月</w:t>
      </w:r>
      <w:r>
        <w:rPr>
          <w:rFonts w:asciiTheme="minorEastAsia" w:hAnsiTheme="minorEastAsia" w:eastAsiaTheme="minorEastAsia"/>
          <w:b/>
          <w:color w:val="auto"/>
          <w:sz w:val="36"/>
          <w:highlight w:val="none"/>
        </w:rPr>
        <w:br w:type="page"/>
      </w:r>
    </w:p>
    <w:p w14:paraId="67FBAEFD">
      <w:pPr>
        <w:tabs>
          <w:tab w:val="left" w:pos="2410"/>
        </w:tabs>
        <w:autoSpaceDE w:val="0"/>
        <w:autoSpaceDN w:val="0"/>
        <w:adjustRightInd w:val="0"/>
        <w:snapToGrid w:val="0"/>
        <w:spacing w:line="360" w:lineRule="auto"/>
        <w:jc w:val="center"/>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目  录</w:t>
      </w:r>
    </w:p>
    <w:p w14:paraId="37938B6C">
      <w:pPr>
        <w:pStyle w:val="20"/>
        <w:tabs>
          <w:tab w:val="right" w:leader="dot" w:pos="8279"/>
        </w:tabs>
        <w:rPr>
          <w:rFonts w:hint="eastAsia" w:ascii="宋体" w:hAnsi="宋体" w:eastAsia="宋体" w:cs="宋体"/>
          <w:color w:val="auto"/>
          <w:sz w:val="28"/>
          <w:szCs w:val="28"/>
          <w:highlight w:val="none"/>
        </w:rPr>
      </w:pPr>
      <w:r>
        <w:rPr>
          <w:rFonts w:asciiTheme="minorEastAsia" w:hAnsiTheme="minorEastAsia"/>
          <w:b/>
          <w:bCs/>
          <w:color w:val="auto"/>
          <w:sz w:val="24"/>
          <w:szCs w:val="24"/>
          <w:highlight w:val="none"/>
        </w:rPr>
        <w:fldChar w:fldCharType="begin"/>
      </w:r>
      <w:r>
        <w:rPr>
          <w:rFonts w:asciiTheme="minorEastAsia" w:hAnsiTheme="minorEastAsia"/>
          <w:b/>
          <w:bCs/>
          <w:color w:val="auto"/>
          <w:sz w:val="24"/>
          <w:szCs w:val="24"/>
          <w:highlight w:val="none"/>
        </w:rPr>
        <w:instrText xml:space="preserve"> </w:instrText>
      </w:r>
      <w:r>
        <w:rPr>
          <w:rFonts w:hint="eastAsia" w:asciiTheme="minorEastAsia" w:hAnsiTheme="minorEastAsia"/>
          <w:b/>
          <w:bCs/>
          <w:color w:val="auto"/>
          <w:sz w:val="24"/>
          <w:szCs w:val="24"/>
          <w:highlight w:val="none"/>
        </w:rPr>
        <w:instrText xml:space="preserve">TOC \o "1-2" \h \z \u</w:instrText>
      </w:r>
      <w:r>
        <w:rPr>
          <w:rFonts w:asciiTheme="minorEastAsia" w:hAnsiTheme="minorEastAsia"/>
          <w:b/>
          <w:bCs/>
          <w:color w:val="auto"/>
          <w:sz w:val="24"/>
          <w:szCs w:val="24"/>
          <w:highlight w:val="none"/>
        </w:rPr>
        <w:instrText xml:space="preserve"> </w:instrText>
      </w:r>
      <w:r>
        <w:rPr>
          <w:rFonts w:asciiTheme="minorEastAsia" w:hAnsiTheme="minorEastAsia"/>
          <w:b/>
          <w:bCs/>
          <w:color w:val="auto"/>
          <w:sz w:val="24"/>
          <w:szCs w:val="24"/>
          <w:highlight w:val="none"/>
        </w:rPr>
        <w:fldChar w:fldCharType="separate"/>
      </w: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_Toc17729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color w:val="auto"/>
          <w:sz w:val="28"/>
          <w:szCs w:val="28"/>
          <w:highlight w:val="none"/>
        </w:rPr>
        <w:t>第一章  询价邀请</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1</w:t>
      </w:r>
      <w:r>
        <w:rPr>
          <w:rFonts w:hint="eastAsia" w:ascii="宋体" w:hAnsi="宋体" w:eastAsia="宋体" w:cs="宋体"/>
          <w:bCs/>
          <w:color w:val="auto"/>
          <w:sz w:val="28"/>
          <w:szCs w:val="28"/>
          <w:highlight w:val="none"/>
        </w:rPr>
        <w:fldChar w:fldCharType="end"/>
      </w:r>
    </w:p>
    <w:p w14:paraId="6AC74D9C">
      <w:pPr>
        <w:pStyle w:val="20"/>
        <w:tabs>
          <w:tab w:val="right" w:leader="dot" w:pos="8279"/>
        </w:tabs>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_Toc3199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color w:val="auto"/>
          <w:sz w:val="28"/>
          <w:szCs w:val="28"/>
          <w:highlight w:val="none"/>
        </w:rPr>
        <w:t>第二章  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5</w:t>
      </w:r>
      <w:r>
        <w:rPr>
          <w:rFonts w:hint="eastAsia" w:ascii="宋体" w:hAnsi="宋体" w:eastAsia="宋体" w:cs="宋体"/>
          <w:bCs/>
          <w:color w:val="auto"/>
          <w:sz w:val="28"/>
          <w:szCs w:val="28"/>
          <w:highlight w:val="none"/>
        </w:rPr>
        <w:fldChar w:fldCharType="end"/>
      </w:r>
    </w:p>
    <w:p w14:paraId="5DFD00C7">
      <w:pPr>
        <w:pStyle w:val="20"/>
        <w:tabs>
          <w:tab w:val="right" w:leader="dot" w:pos="8279"/>
        </w:tabs>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_Toc1471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color w:val="auto"/>
          <w:sz w:val="28"/>
          <w:szCs w:val="28"/>
          <w:highlight w:val="none"/>
        </w:rPr>
        <w:t>第三章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2</w:t>
      </w:r>
      <w:r>
        <w:rPr>
          <w:rFonts w:hint="eastAsia" w:ascii="宋体" w:hAnsi="宋体" w:eastAsia="宋体" w:cs="宋体"/>
          <w:bCs/>
          <w:color w:val="auto"/>
          <w:sz w:val="28"/>
          <w:szCs w:val="28"/>
          <w:highlight w:val="none"/>
        </w:rPr>
        <w:fldChar w:fldCharType="end"/>
      </w:r>
      <w:r>
        <w:rPr>
          <w:rFonts w:hint="eastAsia" w:ascii="宋体" w:hAnsi="宋体" w:eastAsia="宋体" w:cs="宋体"/>
          <w:color w:val="auto"/>
          <w:sz w:val="28"/>
          <w:szCs w:val="28"/>
          <w:highlight w:val="none"/>
          <w:lang w:val="en-US" w:eastAsia="zh-CN"/>
        </w:rPr>
        <w:t>1</w:t>
      </w:r>
    </w:p>
    <w:p w14:paraId="7FF8830D">
      <w:pPr>
        <w:pStyle w:val="20"/>
        <w:tabs>
          <w:tab w:val="right" w:leader="dot" w:pos="8279"/>
        </w:tabs>
        <w:rPr>
          <w:rFonts w:hint="eastAsia" w:ascii="宋体" w:hAnsi="宋体" w:eastAsia="宋体" w:cs="宋体"/>
          <w:color w:val="auto"/>
          <w:sz w:val="28"/>
          <w:szCs w:val="28"/>
          <w:highlight w:val="none"/>
          <w:lang w:val="en-US" w:eastAsia="zh-CN"/>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_Toc15765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color w:val="auto"/>
          <w:sz w:val="28"/>
          <w:szCs w:val="28"/>
          <w:highlight w:val="none"/>
        </w:rPr>
        <w:t>第四章  评审方法和标准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2</w:t>
      </w:r>
      <w:r>
        <w:rPr>
          <w:rFonts w:hint="eastAsia" w:ascii="宋体" w:hAnsi="宋体" w:eastAsia="宋体" w:cs="宋体"/>
          <w:bCs/>
          <w:color w:val="auto"/>
          <w:sz w:val="28"/>
          <w:szCs w:val="28"/>
          <w:highlight w:val="none"/>
        </w:rPr>
        <w:fldChar w:fldCharType="end"/>
      </w:r>
      <w:r>
        <w:rPr>
          <w:rFonts w:hint="eastAsia" w:ascii="宋体" w:hAnsi="宋体" w:eastAsia="宋体" w:cs="宋体"/>
          <w:color w:val="auto"/>
          <w:sz w:val="28"/>
          <w:szCs w:val="28"/>
          <w:highlight w:val="none"/>
          <w:lang w:val="en-US" w:eastAsia="zh-CN"/>
        </w:rPr>
        <w:t>7</w:t>
      </w:r>
    </w:p>
    <w:p w14:paraId="5E3C6B95">
      <w:pPr>
        <w:pStyle w:val="20"/>
        <w:tabs>
          <w:tab w:val="right" w:leader="dot" w:pos="8279"/>
        </w:tabs>
        <w:rPr>
          <w:rFonts w:hint="eastAsia" w:ascii="宋体" w:hAnsi="宋体" w:eastAsia="宋体" w:cs="宋体"/>
          <w:color w:val="auto"/>
          <w:sz w:val="28"/>
          <w:szCs w:val="28"/>
          <w:highlight w:val="none"/>
          <w:lang w:val="en-US" w:eastAsia="zh-CN"/>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_Toc5156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color w:val="auto"/>
          <w:sz w:val="28"/>
          <w:szCs w:val="28"/>
          <w:highlight w:val="none"/>
        </w:rPr>
        <w:t>第五章  政府采购合同</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3</w:t>
      </w:r>
      <w:r>
        <w:rPr>
          <w:rFonts w:hint="eastAsia" w:ascii="宋体" w:hAnsi="宋体" w:eastAsia="宋体" w:cs="宋体"/>
          <w:bCs/>
          <w:color w:val="auto"/>
          <w:sz w:val="28"/>
          <w:szCs w:val="28"/>
          <w:highlight w:val="none"/>
        </w:rPr>
        <w:fldChar w:fldCharType="end"/>
      </w:r>
      <w:r>
        <w:rPr>
          <w:rFonts w:hint="eastAsia" w:ascii="宋体" w:hAnsi="宋体" w:eastAsia="宋体" w:cs="宋体"/>
          <w:color w:val="auto"/>
          <w:sz w:val="28"/>
          <w:szCs w:val="28"/>
          <w:highlight w:val="none"/>
          <w:lang w:val="en-US" w:eastAsia="zh-CN"/>
        </w:rPr>
        <w:t>1</w:t>
      </w:r>
    </w:p>
    <w:p w14:paraId="720C6D3E">
      <w:pPr>
        <w:pStyle w:val="20"/>
        <w:tabs>
          <w:tab w:val="right" w:leader="dot" w:pos="8279"/>
        </w:tabs>
        <w:rPr>
          <w:rFonts w:hint="eastAsia" w:ascii="宋体" w:hAnsi="宋体" w:eastAsia="宋体" w:cs="宋体"/>
          <w:color w:val="auto"/>
          <w:sz w:val="28"/>
          <w:szCs w:val="28"/>
          <w:highlight w:val="none"/>
          <w:lang w:val="en-US" w:eastAsia="zh-CN"/>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_Toc29013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color w:val="auto"/>
          <w:sz w:val="28"/>
          <w:szCs w:val="28"/>
          <w:highlight w:val="none"/>
        </w:rPr>
        <w:t>第六章  响应文件格式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4</w:t>
      </w:r>
      <w:r>
        <w:rPr>
          <w:rFonts w:hint="eastAsia" w:ascii="宋体" w:hAnsi="宋体" w:eastAsia="宋体" w:cs="宋体"/>
          <w:bCs/>
          <w:color w:val="auto"/>
          <w:sz w:val="28"/>
          <w:szCs w:val="28"/>
          <w:highlight w:val="none"/>
        </w:rPr>
        <w:fldChar w:fldCharType="end"/>
      </w:r>
      <w:r>
        <w:rPr>
          <w:rFonts w:hint="eastAsia" w:ascii="宋体" w:hAnsi="宋体" w:eastAsia="宋体" w:cs="宋体"/>
          <w:bCs/>
          <w:color w:val="auto"/>
          <w:sz w:val="28"/>
          <w:szCs w:val="28"/>
          <w:highlight w:val="none"/>
          <w:lang w:val="en-US" w:eastAsia="zh-CN"/>
        </w:rPr>
        <w:t>0</w:t>
      </w:r>
    </w:p>
    <w:p w14:paraId="5D9DE87B">
      <w:pPr>
        <w:pStyle w:val="20"/>
        <w:tabs>
          <w:tab w:val="right" w:leader="dot" w:pos="8279"/>
        </w:tabs>
        <w:rPr>
          <w:color w:val="auto"/>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_Toc1141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eastAsia="zh-CN"/>
        </w:rPr>
        <w:t>七</w:t>
      </w:r>
      <w:r>
        <w:rPr>
          <w:rFonts w:hint="eastAsia" w:ascii="宋体" w:hAnsi="宋体" w:eastAsia="宋体" w:cs="宋体"/>
          <w:color w:val="auto"/>
          <w:sz w:val="28"/>
          <w:szCs w:val="28"/>
          <w:highlight w:val="none"/>
        </w:rPr>
        <w:t>章</w:t>
      </w:r>
      <w:r>
        <w:rPr>
          <w:rFonts w:hint="eastAsia" w:ascii="宋体" w:hAnsi="宋体" w:eastAsia="宋体" w:cs="宋体"/>
          <w:bCs/>
          <w:color w:val="auto"/>
          <w:sz w:val="28"/>
          <w:szCs w:val="28"/>
          <w:highlight w:val="none"/>
        </w:rPr>
        <w:t xml:space="preserve">  政府采购</w:t>
      </w:r>
      <w:r>
        <w:rPr>
          <w:rFonts w:hint="eastAsia" w:ascii="宋体" w:hAnsi="宋体" w:eastAsia="宋体" w:cs="宋体"/>
          <w:color w:val="auto"/>
          <w:sz w:val="28"/>
          <w:szCs w:val="28"/>
          <w:highlight w:val="none"/>
        </w:rPr>
        <w:t>供应</w:t>
      </w:r>
      <w:r>
        <w:rPr>
          <w:rFonts w:hint="eastAsia" w:ascii="宋体" w:hAnsi="宋体" w:eastAsia="宋体" w:cs="宋体"/>
          <w:bCs/>
          <w:color w:val="auto"/>
          <w:sz w:val="28"/>
          <w:szCs w:val="28"/>
          <w:highlight w:val="none"/>
        </w:rPr>
        <w:t>商询问函和质疑函范本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_Toc1141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52</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044FD986">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bCs/>
          <w:color w:val="auto"/>
          <w:szCs w:val="24"/>
          <w:highlight w:val="none"/>
        </w:rPr>
        <w:fldChar w:fldCharType="end"/>
      </w:r>
    </w:p>
    <w:p w14:paraId="32BBADFA">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7" w:h="16840"/>
          <w:pgMar w:top="1474" w:right="1814" w:bottom="1474" w:left="1814" w:header="851" w:footer="851" w:gutter="0"/>
          <w:cols w:space="720" w:num="1"/>
          <w:docGrid w:linePitch="462" w:charSpace="0"/>
        </w:sectPr>
      </w:pPr>
    </w:p>
    <w:p w14:paraId="23B0CA11">
      <w:pPr>
        <w:spacing w:line="360" w:lineRule="auto"/>
        <w:jc w:val="center"/>
        <w:outlineLvl w:val="0"/>
        <w:rPr>
          <w:rFonts w:asciiTheme="minorEastAsia" w:hAnsiTheme="minorEastAsia" w:eastAsiaTheme="minorEastAsia"/>
          <w:b/>
          <w:color w:val="auto"/>
          <w:sz w:val="28"/>
          <w:highlight w:val="none"/>
        </w:rPr>
      </w:pPr>
      <w:bookmarkStart w:id="1" w:name="_Toc17729"/>
      <w:r>
        <w:rPr>
          <w:rFonts w:hint="eastAsia" w:asciiTheme="minorEastAsia" w:hAnsiTheme="minorEastAsia" w:eastAsiaTheme="minorEastAsia"/>
          <w:b/>
          <w:color w:val="auto"/>
          <w:sz w:val="28"/>
          <w:highlight w:val="none"/>
        </w:rPr>
        <w:t xml:space="preserve">第一章 </w:t>
      </w:r>
      <w:r>
        <w:rPr>
          <w:rFonts w:hint="eastAsia" w:asciiTheme="minorEastAsia" w:hAnsiTheme="minorEastAsia" w:eastAsiaTheme="minorEastAsia"/>
          <w:b/>
          <w:color w:val="auto"/>
          <w:sz w:val="28"/>
          <w:highlight w:val="none"/>
          <w:lang w:eastAsia="zh-CN"/>
        </w:rPr>
        <w:t>滁州市军供保障中心军供保障送餐车辆采购项目（三次）</w:t>
      </w:r>
      <w:r>
        <w:rPr>
          <w:rFonts w:hint="eastAsia" w:asciiTheme="minorEastAsia" w:hAnsiTheme="minorEastAsia" w:eastAsiaTheme="minorEastAsia"/>
          <w:b/>
          <w:color w:val="auto"/>
          <w:sz w:val="28"/>
          <w:highlight w:val="none"/>
        </w:rPr>
        <w:t>询价邀请</w:t>
      </w:r>
      <w:bookmarkEnd w:id="1"/>
    </w:p>
    <w:p w14:paraId="60D5DAF6">
      <w:pPr>
        <w:keepNext/>
        <w:keepLines/>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2247595D">
      <w:pPr>
        <w:keepNext/>
        <w:keepLines/>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u w:val="single"/>
          <w:lang w:eastAsia="zh-CN"/>
        </w:rPr>
        <w:t>滁州市军供保障中心军供保障送餐车辆采购项目（三次）</w:t>
      </w:r>
      <w:r>
        <w:rPr>
          <w:rFonts w:hint="eastAsia" w:ascii="宋体" w:hAnsi="宋体" w:eastAsia="宋体" w:cs="宋体"/>
          <w:color w:val="auto"/>
          <w:sz w:val="24"/>
          <w:szCs w:val="24"/>
          <w:highlight w:val="none"/>
        </w:rPr>
        <w:t>的潜在供应商应在</w:t>
      </w:r>
      <w:r>
        <w:rPr>
          <w:rFonts w:hint="eastAsia" w:ascii="宋体" w:hAnsi="宋体" w:eastAsia="宋体" w:cs="宋体"/>
          <w:color w:val="auto"/>
          <w:sz w:val="24"/>
          <w:szCs w:val="24"/>
          <w:highlight w:val="none"/>
          <w:u w:val="single"/>
        </w:rPr>
        <w:t>滁州市公共资源交易中心网（http：//ggzy.chuzhou.gov.cn/）</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询价通知书</w:t>
      </w:r>
      <w:r>
        <w:rPr>
          <w:rFonts w:hint="eastAsia" w:ascii="宋体" w:hAnsi="宋体" w:eastAsia="宋体" w:cs="宋体"/>
          <w:color w:val="auto"/>
          <w:sz w:val="24"/>
          <w:szCs w:val="24"/>
          <w:highlight w:val="none"/>
        </w:rPr>
        <w:t>，并于</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29</w:t>
      </w:r>
      <w:r>
        <w:rPr>
          <w:rFonts w:hint="eastAsia" w:ascii="宋体" w:hAnsi="宋体" w:eastAsia="宋体" w:cs="宋体"/>
          <w:color w:val="auto"/>
          <w:sz w:val="24"/>
          <w:szCs w:val="24"/>
          <w:highlight w:val="none"/>
          <w:u w:val="single"/>
        </w:rPr>
        <w:t>日8点00分</w:t>
      </w:r>
      <w:r>
        <w:rPr>
          <w:rFonts w:hint="eastAsia" w:ascii="宋体" w:hAnsi="宋体" w:eastAsia="宋体" w:cs="宋体"/>
          <w:color w:val="auto"/>
          <w:sz w:val="24"/>
          <w:szCs w:val="24"/>
          <w:highlight w:val="none"/>
        </w:rPr>
        <w:t>（北京时间）前递交响应文件。</w:t>
      </w:r>
    </w:p>
    <w:p w14:paraId="283665CC">
      <w:pPr>
        <w:keepNext/>
        <w:keepLines/>
        <w:pageBreakBefore w:val="0"/>
        <w:widowControl w:val="0"/>
        <w:kinsoku/>
        <w:overflowPunct/>
        <w:topLinePunct w:val="0"/>
        <w:autoSpaceDN/>
        <w:bidi w:val="0"/>
        <w:adjustRightInd/>
        <w:snapToGrid/>
        <w:spacing w:before="260" w:after="260" w:line="440" w:lineRule="exact"/>
        <w:textAlignment w:val="auto"/>
        <w:rPr>
          <w:rFonts w:hint="eastAsia" w:ascii="宋体" w:hAnsi="宋体" w:eastAsia="宋体" w:cs="宋体"/>
          <w:color w:val="auto"/>
          <w:sz w:val="24"/>
          <w:szCs w:val="24"/>
          <w:highlight w:val="none"/>
        </w:rPr>
      </w:pPr>
      <w:bookmarkStart w:id="2" w:name="_Toc28359090"/>
      <w:bookmarkStart w:id="3" w:name="_Toc28359013"/>
      <w:bookmarkStart w:id="4" w:name="_Toc35393799"/>
      <w:bookmarkStart w:id="5" w:name="_Toc35393630"/>
      <w:r>
        <w:rPr>
          <w:rFonts w:hint="eastAsia" w:ascii="宋体" w:hAnsi="宋体" w:eastAsia="宋体" w:cs="宋体"/>
          <w:color w:val="auto"/>
          <w:sz w:val="24"/>
          <w:szCs w:val="24"/>
          <w:highlight w:val="none"/>
        </w:rPr>
        <w:t>一、项目基本情况</w:t>
      </w:r>
    </w:p>
    <w:p w14:paraId="052190FE">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czsjcg202510-032</w:t>
      </w:r>
    </w:p>
    <w:p w14:paraId="6AD0676E">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滁州市军供保障中心军供保障送餐车辆采购项目（三次）</w:t>
      </w:r>
    </w:p>
    <w:p w14:paraId="23691ED2">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采购方式：询价</w:t>
      </w:r>
    </w:p>
    <w:p w14:paraId="212A91BD">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150000.00元</w:t>
      </w:r>
    </w:p>
    <w:p w14:paraId="1A47C876">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en-US" w:eastAsia="zh-CN"/>
        </w:rPr>
        <w:t>150000.00元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响应报价不得高于各最高限价，</w:t>
      </w:r>
      <w:r>
        <w:rPr>
          <w:rFonts w:hint="eastAsia" w:ascii="宋体" w:hAnsi="宋体" w:eastAsia="宋体" w:cs="宋体"/>
          <w:color w:val="auto"/>
          <w:sz w:val="24"/>
          <w:szCs w:val="24"/>
          <w:highlight w:val="none"/>
        </w:rPr>
        <w:t>否则按无效响应处理。</w:t>
      </w:r>
    </w:p>
    <w:p w14:paraId="2A1E7FB0">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r>
        <w:rPr>
          <w:rFonts w:hint="eastAsia" w:ascii="宋体" w:hAnsi="宋体" w:eastAsia="宋体" w:cs="宋体"/>
          <w:color w:val="auto"/>
          <w:sz w:val="24"/>
          <w:szCs w:val="24"/>
          <w:highlight w:val="none"/>
          <w:lang w:val="en-US" w:eastAsia="zh-CN"/>
        </w:rPr>
        <w:t>采购1辆新能源箱式货车</w:t>
      </w:r>
      <w:r>
        <w:rPr>
          <w:rFonts w:hint="eastAsia" w:ascii="宋体" w:hAnsi="宋体" w:eastAsia="宋体" w:cs="宋体"/>
          <w:color w:val="auto"/>
          <w:sz w:val="24"/>
          <w:szCs w:val="24"/>
          <w:highlight w:val="none"/>
        </w:rPr>
        <w:t>。</w:t>
      </w:r>
    </w:p>
    <w:p w14:paraId="77124646">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合同履行期限：自合同签订后</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个日历天内完成供货并将货物运送至采购人指定地点。</w:t>
      </w:r>
    </w:p>
    <w:p w14:paraId="310D499B">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w:t>
      </w:r>
    </w:p>
    <w:bookmarkEnd w:id="2"/>
    <w:bookmarkEnd w:id="3"/>
    <w:bookmarkEnd w:id="4"/>
    <w:bookmarkEnd w:id="5"/>
    <w:p w14:paraId="5C52273E">
      <w:pPr>
        <w:keepNext/>
        <w:keepLines/>
        <w:pageBreakBefore w:val="0"/>
        <w:widowControl w:val="0"/>
        <w:kinsoku/>
        <w:overflowPunct/>
        <w:topLinePunct w:val="0"/>
        <w:autoSpaceDN/>
        <w:bidi w:val="0"/>
        <w:adjustRightInd/>
        <w:snapToGrid/>
        <w:spacing w:before="260" w:after="260" w:line="440" w:lineRule="exact"/>
        <w:textAlignment w:val="auto"/>
        <w:rPr>
          <w:rFonts w:hint="eastAsia" w:ascii="宋体" w:hAnsi="宋体" w:eastAsia="宋体" w:cs="宋体"/>
          <w:color w:val="auto"/>
          <w:sz w:val="24"/>
          <w:szCs w:val="24"/>
          <w:highlight w:val="none"/>
        </w:rPr>
      </w:pPr>
      <w:bookmarkStart w:id="6" w:name="_Toc35393800"/>
      <w:bookmarkStart w:id="7" w:name="_Toc28359091"/>
      <w:bookmarkStart w:id="8" w:name="_Toc35393631"/>
      <w:bookmarkStart w:id="9" w:name="_Toc28359014"/>
      <w:r>
        <w:rPr>
          <w:rFonts w:hint="eastAsia" w:ascii="宋体" w:hAnsi="宋体" w:eastAsia="宋体" w:cs="宋体"/>
          <w:color w:val="auto"/>
          <w:sz w:val="24"/>
          <w:szCs w:val="24"/>
          <w:highlight w:val="none"/>
        </w:rPr>
        <w:t>二、申请人的资格要求</w:t>
      </w:r>
    </w:p>
    <w:p w14:paraId="0C611C26">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3AC3E5B1">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2.落实政府采购政策需满足的资格要求：</w:t>
      </w:r>
      <w:r>
        <w:rPr>
          <w:rFonts w:hint="eastAsia" w:ascii="宋体" w:hAnsi="宋体" w:eastAsia="宋体" w:cs="宋体"/>
          <w:color w:val="auto"/>
          <w:sz w:val="24"/>
          <w:szCs w:val="24"/>
          <w:highlight w:val="none"/>
          <w:lang w:eastAsia="zh-CN"/>
        </w:rPr>
        <w:t>按照财政部、工业和信息化部制定的《政府采购促进中小企业发展管理办法》第六条第三款（按照本办法规定预留采购份额无法确保充分供应、充分竞争，或者存在可能影响政府采购目标实现的情形）之规定，本项目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p>
    <w:p w14:paraId="2E00CAFD">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3.本项目的特定资格要求：无；</w:t>
      </w:r>
    </w:p>
    <w:p w14:paraId="6B8E3DD4">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信誉要求：供应商不得存在以下情形：</w:t>
      </w:r>
    </w:p>
    <w:p w14:paraId="02CDAEC1">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①被列入“信用中国”网站“失信被执行人”的；</w:t>
      </w:r>
    </w:p>
    <w:p w14:paraId="25B48C3C">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②被列入“信用中国”网站“重大税收违法失信主体”的；</w:t>
      </w:r>
    </w:p>
    <w:p w14:paraId="1A46CB26">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③被列入“信用中国”网站 “严重失信主体名单”的；</w:t>
      </w:r>
    </w:p>
    <w:p w14:paraId="4C6EE893">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④在“信用中国”网站上披露的仍在公示期的严重失信行为(具体行为类别及判定依据见“信用中国”查询的严重失信行为类别及判定依据)的。</w:t>
      </w:r>
    </w:p>
    <w:p w14:paraId="0359A1DA">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⑤被列入国家企业信用信息公示系统网站“经营异常名录”或者“严重违法失信名单”的。</w:t>
      </w:r>
    </w:p>
    <w:p w14:paraId="5F30459D">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⑥被列入中国政府采购网站“政府采购严重违法失信行为信息记录”的。</w:t>
      </w:r>
    </w:p>
    <w:p w14:paraId="3A078896">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⑦前三年有行贿犯罪行为的单位和个人。</w:t>
      </w:r>
    </w:p>
    <w:p w14:paraId="4154F2B8">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5.供应商所属分公司、办事处等分支机构存在第4款信誉要求①-⑦项情形之一的，接受供应商参加本项目。</w:t>
      </w:r>
    </w:p>
    <w:p w14:paraId="4AC87C0C">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shd w:val="clear" w:color="auto" w:fill="FFFFFF"/>
        </w:rPr>
        <w:t>备注：第4、5条按照“关于联合惩戒失信行为加强信用查询管理的通知”查询或承诺</w:t>
      </w:r>
      <w:r>
        <w:rPr>
          <w:rFonts w:hint="eastAsia" w:ascii="宋体" w:hAnsi="宋体" w:eastAsia="宋体" w:cs="宋体"/>
          <w:color w:val="auto"/>
          <w:kern w:val="2"/>
          <w:sz w:val="24"/>
          <w:szCs w:val="24"/>
          <w:highlight w:val="none"/>
        </w:rPr>
        <w:t>。</w:t>
      </w:r>
    </w:p>
    <w:bookmarkEnd w:id="6"/>
    <w:bookmarkEnd w:id="7"/>
    <w:bookmarkEnd w:id="8"/>
    <w:bookmarkEnd w:id="9"/>
    <w:p w14:paraId="684DA460">
      <w:pPr>
        <w:keepNext/>
        <w:keepLines/>
        <w:pageBreakBefore w:val="0"/>
        <w:widowControl w:val="0"/>
        <w:kinsoku/>
        <w:overflowPunct/>
        <w:topLinePunct w:val="0"/>
        <w:autoSpaceDN/>
        <w:bidi w:val="0"/>
        <w:adjustRightInd/>
        <w:snapToGrid/>
        <w:spacing w:before="260" w:after="260" w:line="440" w:lineRule="exact"/>
        <w:textAlignment w:val="auto"/>
        <w:rPr>
          <w:rFonts w:hint="eastAsia" w:ascii="宋体" w:hAnsi="宋体" w:eastAsia="宋体" w:cs="宋体"/>
          <w:color w:val="auto"/>
          <w:sz w:val="24"/>
          <w:szCs w:val="24"/>
          <w:highlight w:val="none"/>
          <w:lang w:val="en-US" w:eastAsia="zh-CN"/>
        </w:rPr>
      </w:pPr>
      <w:bookmarkStart w:id="10" w:name="_Toc28359015"/>
      <w:bookmarkStart w:id="11" w:name="_Toc28359092"/>
      <w:bookmarkStart w:id="12" w:name="_Toc35393632"/>
      <w:bookmarkStart w:id="13" w:name="_Toc35393801"/>
      <w:r>
        <w:rPr>
          <w:rFonts w:hint="eastAsia" w:ascii="宋体" w:hAnsi="宋体" w:eastAsia="宋体" w:cs="宋体"/>
          <w:color w:val="auto"/>
          <w:sz w:val="24"/>
          <w:szCs w:val="24"/>
          <w:highlight w:val="none"/>
        </w:rPr>
        <w:t>三、获取</w:t>
      </w:r>
      <w:r>
        <w:rPr>
          <w:rFonts w:hint="eastAsia" w:ascii="宋体" w:hAnsi="宋体" w:eastAsia="宋体" w:cs="宋体"/>
          <w:color w:val="auto"/>
          <w:sz w:val="24"/>
          <w:szCs w:val="24"/>
          <w:highlight w:val="none"/>
          <w:lang w:val="en-US" w:eastAsia="zh-CN"/>
        </w:rPr>
        <w:t>询价通知书</w:t>
      </w:r>
    </w:p>
    <w:p w14:paraId="10F3C77D">
      <w:pPr>
        <w:pageBreakBefore w:val="0"/>
        <w:widowControl w:val="0"/>
        <w:kinsoku/>
        <w:overflowPunct/>
        <w:topLinePunct w:val="0"/>
        <w:autoSpaceDN/>
        <w:bidi w:val="0"/>
        <w:adjustRightInd/>
        <w:snapToGrid/>
        <w:spacing w:line="440" w:lineRule="exact"/>
        <w:ind w:firstLine="54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23</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29</w:t>
      </w:r>
      <w:r>
        <w:rPr>
          <w:rFonts w:hint="eastAsia" w:ascii="宋体" w:hAnsi="宋体" w:eastAsia="宋体" w:cs="宋体"/>
          <w:color w:val="auto"/>
          <w:sz w:val="24"/>
          <w:szCs w:val="24"/>
          <w:highlight w:val="none"/>
          <w:u w:val="single"/>
        </w:rPr>
        <w:t>日</w:t>
      </w:r>
    </w:p>
    <w:p w14:paraId="5153F829">
      <w:pPr>
        <w:pageBreakBefore w:val="0"/>
        <w:widowControl w:val="0"/>
        <w:kinsoku/>
        <w:overflowPunct/>
        <w:topLinePunct w:val="0"/>
        <w:autoSpaceDN/>
        <w:bidi w:val="0"/>
        <w:adjustRightInd/>
        <w:snapToGrid/>
        <w:spacing w:line="440" w:lineRule="exact"/>
        <w:ind w:firstLine="54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地点：滁州市公共资源交易中心网</w:t>
      </w:r>
    </w:p>
    <w:p w14:paraId="7C1C30A5">
      <w:pPr>
        <w:pageBreakBefore w:val="0"/>
        <w:widowControl w:val="0"/>
        <w:kinsoku/>
        <w:overflowPunct/>
        <w:topLinePunct w:val="0"/>
        <w:autoSpaceDN/>
        <w:bidi w:val="0"/>
        <w:adjustRightInd/>
        <w:snapToGrid/>
        <w:spacing w:line="440" w:lineRule="exact"/>
        <w:ind w:firstLine="54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方式：网上下载</w:t>
      </w:r>
    </w:p>
    <w:p w14:paraId="1188C372">
      <w:pPr>
        <w:pageBreakBefore w:val="0"/>
        <w:widowControl w:val="0"/>
        <w:kinsoku/>
        <w:overflowPunct/>
        <w:topLinePunct w:val="0"/>
        <w:autoSpaceDN/>
        <w:bidi w:val="0"/>
        <w:adjustRightInd/>
        <w:snapToGrid/>
        <w:spacing w:line="440" w:lineRule="exact"/>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售价：0元</w:t>
      </w:r>
    </w:p>
    <w:bookmarkEnd w:id="10"/>
    <w:bookmarkEnd w:id="11"/>
    <w:bookmarkEnd w:id="12"/>
    <w:bookmarkEnd w:id="13"/>
    <w:p w14:paraId="6F2361F8">
      <w:pPr>
        <w:keepNext/>
        <w:keepLines/>
        <w:pageBreakBefore w:val="0"/>
        <w:widowControl w:val="0"/>
        <w:kinsoku/>
        <w:overflowPunct/>
        <w:topLinePunct w:val="0"/>
        <w:autoSpaceDN/>
        <w:bidi w:val="0"/>
        <w:adjustRightInd/>
        <w:snapToGrid/>
        <w:spacing w:before="260" w:after="260" w:line="440" w:lineRule="exact"/>
        <w:textAlignment w:val="auto"/>
        <w:rPr>
          <w:rFonts w:hint="eastAsia" w:ascii="宋体" w:hAnsi="宋体" w:eastAsia="宋体" w:cs="宋体"/>
          <w:color w:val="auto"/>
          <w:sz w:val="24"/>
          <w:szCs w:val="24"/>
          <w:highlight w:val="none"/>
        </w:rPr>
      </w:pPr>
      <w:bookmarkStart w:id="14" w:name="_Toc28359016"/>
      <w:bookmarkStart w:id="15" w:name="_Toc35393802"/>
      <w:bookmarkStart w:id="16" w:name="_Toc35393633"/>
      <w:bookmarkStart w:id="17" w:name="_Toc28359093"/>
      <w:r>
        <w:rPr>
          <w:rFonts w:hint="eastAsia" w:ascii="宋体" w:hAnsi="宋体" w:eastAsia="宋体" w:cs="宋体"/>
          <w:color w:val="auto"/>
          <w:sz w:val="24"/>
          <w:szCs w:val="24"/>
          <w:highlight w:val="none"/>
        </w:rPr>
        <w:t>四、响应文件提交</w:t>
      </w:r>
    </w:p>
    <w:p w14:paraId="2650E80C">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10</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29</w:t>
      </w:r>
      <w:r>
        <w:rPr>
          <w:rFonts w:hint="eastAsia" w:ascii="宋体" w:hAnsi="宋体" w:eastAsia="宋体" w:cs="宋体"/>
          <w:bCs/>
          <w:color w:val="auto"/>
          <w:sz w:val="24"/>
          <w:szCs w:val="24"/>
          <w:highlight w:val="none"/>
          <w:u w:val="single"/>
        </w:rPr>
        <w:t>日8点00分</w:t>
      </w:r>
      <w:r>
        <w:rPr>
          <w:rFonts w:hint="eastAsia" w:ascii="宋体" w:hAnsi="宋体" w:eastAsia="宋体" w:cs="宋体"/>
          <w:bCs/>
          <w:color w:val="auto"/>
          <w:sz w:val="24"/>
          <w:szCs w:val="24"/>
          <w:highlight w:val="none"/>
        </w:rPr>
        <w:t>（北京时间）</w:t>
      </w:r>
      <w:r>
        <w:rPr>
          <w:rFonts w:hint="eastAsia" w:ascii="宋体" w:hAnsi="宋体" w:eastAsia="宋体" w:cs="宋体"/>
          <w:bCs/>
          <w:color w:val="auto"/>
          <w:sz w:val="24"/>
          <w:szCs w:val="24"/>
          <w:highlight w:val="none"/>
          <w:u w:val="single"/>
        </w:rPr>
        <w:t>（从询价</w:t>
      </w:r>
      <w:r>
        <w:rPr>
          <w:rFonts w:hint="eastAsia" w:ascii="宋体" w:hAnsi="宋体" w:eastAsia="宋体" w:cs="宋体"/>
          <w:bCs/>
          <w:color w:val="auto"/>
          <w:sz w:val="24"/>
          <w:szCs w:val="24"/>
          <w:highlight w:val="none"/>
          <w:u w:val="single"/>
          <w:lang w:val="en-US" w:eastAsia="zh-CN"/>
        </w:rPr>
        <w:t>通知书</w:t>
      </w:r>
      <w:r>
        <w:rPr>
          <w:rFonts w:hint="eastAsia" w:ascii="宋体" w:hAnsi="宋体" w:eastAsia="宋体" w:cs="宋体"/>
          <w:bCs/>
          <w:color w:val="auto"/>
          <w:sz w:val="24"/>
          <w:szCs w:val="24"/>
          <w:highlight w:val="none"/>
          <w:u w:val="single"/>
        </w:rPr>
        <w:t>开始发出之日起至供应商提交响应文件截止之日止不得少于3个工作日）</w:t>
      </w:r>
    </w:p>
    <w:p w14:paraId="22E57D51">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地点：滁州市公共资源交易平台电子交易系统</w:t>
      </w:r>
    </w:p>
    <w:bookmarkEnd w:id="14"/>
    <w:bookmarkEnd w:id="15"/>
    <w:bookmarkEnd w:id="16"/>
    <w:bookmarkEnd w:id="17"/>
    <w:p w14:paraId="4FD1B343">
      <w:pPr>
        <w:keepNext/>
        <w:keepLines/>
        <w:pageBreakBefore w:val="0"/>
        <w:widowControl w:val="0"/>
        <w:kinsoku/>
        <w:overflowPunct/>
        <w:topLinePunct w:val="0"/>
        <w:autoSpaceDN/>
        <w:bidi w:val="0"/>
        <w:adjustRightInd/>
        <w:snapToGrid/>
        <w:spacing w:before="260" w:after="260" w:line="440" w:lineRule="exact"/>
        <w:textAlignment w:val="auto"/>
        <w:rPr>
          <w:rFonts w:hint="eastAsia" w:ascii="宋体" w:hAnsi="宋体" w:eastAsia="宋体" w:cs="宋体"/>
          <w:color w:val="auto"/>
          <w:sz w:val="24"/>
          <w:szCs w:val="24"/>
          <w:highlight w:val="none"/>
        </w:rPr>
      </w:pPr>
      <w:bookmarkStart w:id="18" w:name="_Toc2396"/>
      <w:bookmarkStart w:id="19" w:name="_Toc14529"/>
      <w:r>
        <w:rPr>
          <w:rFonts w:hint="eastAsia" w:ascii="宋体" w:hAnsi="宋体" w:eastAsia="宋体" w:cs="宋体"/>
          <w:color w:val="auto"/>
          <w:sz w:val="24"/>
          <w:szCs w:val="24"/>
          <w:highlight w:val="none"/>
        </w:rPr>
        <w:t>五、开启</w:t>
      </w:r>
    </w:p>
    <w:p w14:paraId="6C1E73D2">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29</w:t>
      </w:r>
      <w:r>
        <w:rPr>
          <w:rFonts w:hint="eastAsia" w:ascii="宋体" w:hAnsi="宋体" w:eastAsia="宋体" w:cs="宋体"/>
          <w:color w:val="auto"/>
          <w:sz w:val="24"/>
          <w:szCs w:val="24"/>
          <w:highlight w:val="none"/>
          <w:u w:val="single"/>
        </w:rPr>
        <w:t>日8点00分</w:t>
      </w:r>
      <w:r>
        <w:rPr>
          <w:rFonts w:hint="eastAsia" w:ascii="宋体" w:hAnsi="宋体" w:eastAsia="宋体" w:cs="宋体"/>
          <w:color w:val="auto"/>
          <w:sz w:val="24"/>
          <w:szCs w:val="24"/>
          <w:highlight w:val="none"/>
        </w:rPr>
        <w:t>（北京时间）</w:t>
      </w:r>
    </w:p>
    <w:p w14:paraId="4223FA14">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滁州市公共资源交易平台电子交易系统</w:t>
      </w:r>
    </w:p>
    <w:p w14:paraId="5A1A04D9">
      <w:pPr>
        <w:keepNext/>
        <w:keepLines/>
        <w:pageBreakBefore w:val="0"/>
        <w:widowControl w:val="0"/>
        <w:kinsoku/>
        <w:overflowPunct/>
        <w:topLinePunct w:val="0"/>
        <w:autoSpaceDN/>
        <w:bidi w:val="0"/>
        <w:adjustRightInd/>
        <w:snapToGrid/>
        <w:spacing w:before="260" w:after="26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六、公告期限</w:t>
      </w:r>
    </w:p>
    <w:p w14:paraId="5AC917C0">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自本公告发布之日起3个工作日。</w:t>
      </w:r>
    </w:p>
    <w:p w14:paraId="1E71D13C">
      <w:pPr>
        <w:keepNext/>
        <w:keepLines/>
        <w:pageBreakBefore w:val="0"/>
        <w:widowControl w:val="0"/>
        <w:kinsoku/>
        <w:overflowPunct/>
        <w:topLinePunct w:val="0"/>
        <w:autoSpaceDN/>
        <w:bidi w:val="0"/>
        <w:adjustRightInd/>
        <w:snapToGrid/>
        <w:spacing w:before="260" w:after="26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w:t>
      </w:r>
      <w:bookmarkEnd w:id="18"/>
      <w:bookmarkEnd w:id="19"/>
      <w:r>
        <w:rPr>
          <w:rFonts w:hint="eastAsia" w:ascii="宋体" w:hAnsi="宋体" w:eastAsia="宋体" w:cs="宋体"/>
          <w:color w:val="auto"/>
          <w:sz w:val="24"/>
          <w:szCs w:val="24"/>
          <w:highlight w:val="none"/>
        </w:rPr>
        <w:t>其他补充事宜</w:t>
      </w:r>
    </w:p>
    <w:p w14:paraId="4207CC4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本项目只接受在安徽省公共资源交易市场主体库（http://ggzy.ah.gov.cn/ahggfwpt-zhutiku/dengludenglu）登记并进行信息确认提交的供应商参与，未登记的供应商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；2.CA数字证书有关问题：安徽CA客服400-880-4959、0550-3019013（工作日），CFCA客服025-66085508 、0550-3801669（工作日）；3.市场主体招标环节和投标环节系统使用问题：0512-58188516（8:00-21:00）、0550-3801701（工作日）。因未及时通过CA数字证书登录省主体库对相关信息进行补充完善并确认提交，导致无法参与本项目的，责任自负。为保证系统使用过程中产生的问题能够及时得到解决，请各主体在工作时间进行主体信息登记、更新、响应文件制作等相关操作。</w:t>
      </w:r>
    </w:p>
    <w:p w14:paraId="791A10B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2.请供应商登录滁州市公共资源交易中心网站查看参加本项目的程序。（具体操作步骤和程序请参见服务指南&gt;交易须知&gt;投标人填写投标信息、下载文件及网上提问操作手册）。</w:t>
      </w:r>
    </w:p>
    <w:p w14:paraId="1B55455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本项目采用不见面（远程解密)方式，开启时供应商无须至现场进行解密，采取远程解密方式解密响应文件，解密方式为：供应商在开启时间前使用CA数字证书登录滁州市“不见面开标系统”，网址为https：//ggzy.chuzhou.gov.cn/BidOpening,等待开启并按系统提示进行相应的供应商解密等事项，无需到现场。采用本方式可以观看开启现场音视频直播并进行互动交流。具体操作方法见中心网站&gt;服务指南&gt;交易须知中的《滁州市不见面开标系统操作手册》。</w:t>
      </w:r>
    </w:p>
    <w:p w14:paraId="521BE5A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供应商接到远程解密指令后，须在规定时间内解密。因供应商自身原因导致响应文件在规定时间内未能解密、解密失败或解密超时，响应文件无效；因采购代理机构原因或网上平台发生故障，导致无法按时完成响应文件解密的，经采购代理机构申请后可延迟解密时间。</w:t>
      </w:r>
    </w:p>
    <w:p w14:paraId="698AA198">
      <w:pPr>
        <w:pStyle w:val="4"/>
        <w:pageBreakBefore w:val="0"/>
        <w:widowControl w:val="0"/>
        <w:numPr>
          <w:ilvl w:val="0"/>
          <w:numId w:val="0"/>
        </w:numPr>
        <w:kinsoku/>
        <w:overflowPunct/>
        <w:topLinePunct w:val="0"/>
        <w:autoSpaceDN/>
        <w:bidi w:val="0"/>
        <w:adjustRightInd/>
        <w:snapToGrid/>
        <w:spacing w:before="260" w:after="260" w:line="440" w:lineRule="exact"/>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八、凡对本次采购提出询问，请按以下方式联系。</w:t>
      </w:r>
    </w:p>
    <w:p w14:paraId="53D84026">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440" w:lineRule="exact"/>
        <w:ind w:left="0" w:leftChars="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1.采购人信息</w:t>
      </w:r>
    </w:p>
    <w:p w14:paraId="44F355FC">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名  称：</w:t>
      </w:r>
      <w:r>
        <w:rPr>
          <w:rFonts w:hint="eastAsia" w:ascii="宋体" w:hAnsi="宋体" w:eastAsia="宋体" w:cs="宋体"/>
          <w:color w:val="auto"/>
          <w:kern w:val="2"/>
          <w:sz w:val="24"/>
          <w:szCs w:val="24"/>
          <w:highlight w:val="none"/>
          <w:u w:val="single"/>
          <w:lang w:val="en-US" w:eastAsia="zh-CN" w:bidi="ar"/>
        </w:rPr>
        <w:t>滁州市军供保障中心</w:t>
      </w:r>
    </w:p>
    <w:p w14:paraId="7E11F5A2">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地  址：</w:t>
      </w:r>
      <w:r>
        <w:rPr>
          <w:rFonts w:hint="eastAsia" w:ascii="宋体" w:hAnsi="宋体" w:eastAsia="宋体" w:cs="宋体"/>
          <w:color w:val="auto"/>
          <w:kern w:val="2"/>
          <w:sz w:val="24"/>
          <w:szCs w:val="24"/>
          <w:highlight w:val="none"/>
          <w:u w:val="single"/>
          <w:lang w:val="en-US" w:eastAsia="zh-CN" w:bidi="ar"/>
        </w:rPr>
        <w:t>滁州市琅琊区黄山路10号</w:t>
      </w:r>
    </w:p>
    <w:p w14:paraId="17913838">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联系人：</w:t>
      </w:r>
      <w:r>
        <w:rPr>
          <w:rFonts w:hint="eastAsia" w:ascii="宋体" w:hAnsi="宋体" w:eastAsia="宋体" w:cs="宋体"/>
          <w:color w:val="auto"/>
          <w:kern w:val="2"/>
          <w:sz w:val="24"/>
          <w:szCs w:val="24"/>
          <w:highlight w:val="none"/>
          <w:u w:val="single"/>
          <w:lang w:val="en-US" w:eastAsia="zh-CN" w:bidi="ar"/>
        </w:rPr>
        <w:t>耿天宇</w:t>
      </w:r>
    </w:p>
    <w:p w14:paraId="1F1E700E">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联系方式：</w:t>
      </w:r>
      <w:r>
        <w:rPr>
          <w:rFonts w:hint="eastAsia" w:ascii="宋体" w:hAnsi="宋体" w:eastAsia="宋体" w:cs="宋体"/>
          <w:color w:val="auto"/>
          <w:kern w:val="2"/>
          <w:sz w:val="24"/>
          <w:szCs w:val="24"/>
          <w:highlight w:val="none"/>
          <w:u w:val="single"/>
          <w:lang w:val="en-US" w:eastAsia="zh-CN" w:bidi="ar"/>
        </w:rPr>
        <w:t>15605514681</w:t>
      </w:r>
    </w:p>
    <w:p w14:paraId="452545A1">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440" w:lineRule="exact"/>
        <w:ind w:left="0" w:leftChars="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2.采购代理机构信息</w:t>
      </w:r>
    </w:p>
    <w:p w14:paraId="5DF0045F">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440" w:lineRule="exact"/>
        <w:ind w:left="0" w:leftChars="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名  称：</w:t>
      </w:r>
      <w:r>
        <w:rPr>
          <w:rFonts w:hint="eastAsia" w:ascii="宋体" w:hAnsi="宋体" w:eastAsia="宋体" w:cs="宋体"/>
          <w:color w:val="auto"/>
          <w:kern w:val="2"/>
          <w:sz w:val="24"/>
          <w:szCs w:val="24"/>
          <w:highlight w:val="none"/>
          <w:u w:val="single"/>
          <w:lang w:val="en-US" w:eastAsia="zh-CN" w:bidi="ar"/>
        </w:rPr>
        <w:t>滁州市政府采购中心</w:t>
      </w:r>
    </w:p>
    <w:p w14:paraId="5DE12547">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440" w:lineRule="exact"/>
        <w:ind w:left="0" w:leftChars="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地  址：</w:t>
      </w:r>
      <w:r>
        <w:rPr>
          <w:rFonts w:hint="eastAsia" w:ascii="宋体" w:hAnsi="宋体" w:eastAsia="宋体" w:cs="宋体"/>
          <w:color w:val="auto"/>
          <w:kern w:val="2"/>
          <w:sz w:val="24"/>
          <w:szCs w:val="24"/>
          <w:highlight w:val="none"/>
          <w:u w:val="single"/>
          <w:lang w:val="en-US" w:eastAsia="zh-CN" w:bidi="ar"/>
        </w:rPr>
        <w:t>滁州市龙蟠大道109号房产商务大厦二楼</w:t>
      </w:r>
    </w:p>
    <w:p w14:paraId="329B817B">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440" w:lineRule="exact"/>
        <w:ind w:left="0" w:leftChars="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联系人：</w:t>
      </w:r>
      <w:r>
        <w:rPr>
          <w:rFonts w:hint="eastAsia" w:ascii="宋体" w:hAnsi="宋体" w:eastAsia="宋体" w:cs="宋体"/>
          <w:color w:val="auto"/>
          <w:kern w:val="2"/>
          <w:sz w:val="24"/>
          <w:szCs w:val="24"/>
          <w:highlight w:val="none"/>
          <w:u w:val="single"/>
          <w:lang w:val="en-US" w:eastAsia="zh-CN" w:bidi="ar"/>
        </w:rPr>
        <w:t>胡国庆</w:t>
      </w:r>
    </w:p>
    <w:p w14:paraId="2296F5B6">
      <w:pPr>
        <w:keepNext w:val="0"/>
        <w:keepLines w:val="0"/>
        <w:pageBreakBefore w:val="0"/>
        <w:widowControl w:val="0"/>
        <w:suppressLineNumbers w:val="0"/>
        <w:tabs>
          <w:tab w:val="left" w:pos="210"/>
        </w:tabs>
        <w:kinsoku/>
        <w:overflowPunct/>
        <w:topLinePunct w:val="0"/>
        <w:autoSpaceDE w:val="0"/>
        <w:autoSpaceDN/>
        <w:bidi w:val="0"/>
        <w:adjustRightInd/>
        <w:snapToGrid/>
        <w:spacing w:before="0" w:beforeAutospacing="0" w:after="0" w:afterAutospacing="0" w:line="440" w:lineRule="exact"/>
        <w:ind w:left="0" w:leftChars="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联系方式：</w:t>
      </w:r>
      <w:r>
        <w:rPr>
          <w:rFonts w:hint="eastAsia" w:ascii="宋体" w:hAnsi="宋体" w:eastAsia="宋体" w:cs="宋体"/>
          <w:color w:val="auto"/>
          <w:kern w:val="2"/>
          <w:sz w:val="24"/>
          <w:szCs w:val="24"/>
          <w:highlight w:val="none"/>
          <w:u w:val="single"/>
          <w:lang w:val="en-US" w:eastAsia="zh-CN" w:bidi="ar"/>
        </w:rPr>
        <w:t>0550-3519517、18005500950</w:t>
      </w:r>
    </w:p>
    <w:p w14:paraId="407611B0">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440" w:lineRule="exact"/>
        <w:ind w:left="0" w:leftChars="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3.政府采购监督管理部门信息</w:t>
      </w:r>
    </w:p>
    <w:p w14:paraId="47678BDE">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440" w:lineRule="exact"/>
        <w:ind w:left="0" w:leftChars="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名  称：</w:t>
      </w:r>
      <w:r>
        <w:rPr>
          <w:rFonts w:hint="eastAsia" w:ascii="宋体" w:hAnsi="宋体" w:eastAsia="宋体" w:cs="宋体"/>
          <w:color w:val="auto"/>
          <w:kern w:val="2"/>
          <w:sz w:val="24"/>
          <w:szCs w:val="24"/>
          <w:highlight w:val="none"/>
          <w:u w:val="single"/>
          <w:lang w:val="en-US" w:eastAsia="zh-CN" w:bidi="ar"/>
        </w:rPr>
        <w:t>滁州市公共资源交易监督管理局</w:t>
      </w:r>
    </w:p>
    <w:p w14:paraId="16BA8A0C">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440" w:lineRule="exact"/>
        <w:ind w:left="0" w:leftChars="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地  址：</w:t>
      </w:r>
      <w:r>
        <w:rPr>
          <w:rFonts w:hint="eastAsia" w:ascii="宋体" w:hAnsi="宋体" w:eastAsia="宋体" w:cs="宋体"/>
          <w:color w:val="auto"/>
          <w:kern w:val="2"/>
          <w:sz w:val="24"/>
          <w:szCs w:val="24"/>
          <w:highlight w:val="none"/>
          <w:u w:val="single"/>
          <w:lang w:val="en-US" w:eastAsia="zh-CN" w:bidi="ar"/>
        </w:rPr>
        <w:t>滁州市龙蟠大道109号房产商务大厦三楼</w:t>
      </w:r>
    </w:p>
    <w:p w14:paraId="5E9D11FE">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440" w:lineRule="exact"/>
        <w:ind w:left="0" w:leftChars="0" w:right="0" w:firstLine="480" w:firstLineChars="200"/>
        <w:jc w:val="both"/>
        <w:textAlignment w:val="auto"/>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联系方式：</w:t>
      </w:r>
      <w:r>
        <w:rPr>
          <w:rFonts w:hint="eastAsia" w:ascii="宋体" w:hAnsi="宋体" w:eastAsia="宋体" w:cs="宋体"/>
          <w:color w:val="auto"/>
          <w:kern w:val="2"/>
          <w:sz w:val="24"/>
          <w:szCs w:val="24"/>
          <w:highlight w:val="none"/>
          <w:u w:val="single"/>
          <w:lang w:val="en-US" w:eastAsia="zh-CN" w:bidi="ar"/>
        </w:rPr>
        <w:t>0550-3801601</w:t>
      </w:r>
    </w:p>
    <w:p w14:paraId="66AE3BF9">
      <w:pPr>
        <w:spacing w:line="360" w:lineRule="auto"/>
        <w:ind w:firstLine="435"/>
        <w:rPr>
          <w:rFonts w:asciiTheme="minorEastAsia" w:hAnsiTheme="minorEastAsia" w:eastAsiaTheme="minorEastAsia"/>
          <w:color w:val="auto"/>
          <w:sz w:val="24"/>
          <w:szCs w:val="18"/>
          <w:highlight w:val="none"/>
        </w:rPr>
      </w:pPr>
      <w:r>
        <w:rPr>
          <w:rFonts w:asciiTheme="minorEastAsia" w:hAnsiTheme="minorEastAsia" w:eastAsiaTheme="minorEastAsia"/>
          <w:color w:val="auto"/>
          <w:sz w:val="24"/>
          <w:szCs w:val="18"/>
          <w:highlight w:val="none"/>
        </w:rPr>
        <w:br w:type="page"/>
      </w:r>
    </w:p>
    <w:p w14:paraId="1589B1B1">
      <w:pPr>
        <w:spacing w:line="360" w:lineRule="auto"/>
        <w:jc w:val="center"/>
        <w:outlineLvl w:val="0"/>
        <w:rPr>
          <w:rFonts w:asciiTheme="minorEastAsia" w:hAnsiTheme="minorEastAsia" w:eastAsiaTheme="minorEastAsia"/>
          <w:b/>
          <w:color w:val="auto"/>
          <w:sz w:val="28"/>
          <w:highlight w:val="none"/>
        </w:rPr>
      </w:pPr>
      <w:bookmarkStart w:id="20" w:name="_Toc3199"/>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0"/>
    </w:p>
    <w:p w14:paraId="3EA88554">
      <w:pPr>
        <w:spacing w:line="360" w:lineRule="auto"/>
        <w:jc w:val="center"/>
        <w:outlineLvl w:val="1"/>
        <w:rPr>
          <w:rFonts w:asciiTheme="minorEastAsia" w:hAnsiTheme="minorEastAsia" w:eastAsiaTheme="minorEastAsia"/>
          <w:b/>
          <w:color w:val="auto"/>
          <w:sz w:val="24"/>
          <w:highlight w:val="none"/>
        </w:rPr>
      </w:pPr>
      <w:bookmarkStart w:id="21" w:name="_Toc12172"/>
      <w:bookmarkStart w:id="22" w:name="_Toc5571"/>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1"/>
      <w:bookmarkEnd w:id="22"/>
    </w:p>
    <w:p w14:paraId="57A76CE3">
      <w:pPr>
        <w:spacing w:line="360" w:lineRule="auto"/>
        <w:ind w:firstLine="435"/>
        <w:rPr>
          <w:rFonts w:asciiTheme="minorEastAsia" w:hAnsiTheme="minorEastAsia" w:eastAsiaTheme="minorEastAsia"/>
          <w:color w:val="auto"/>
          <w:sz w:val="24"/>
          <w:szCs w:val="18"/>
          <w:highlight w:val="none"/>
        </w:rPr>
      </w:pPr>
      <w:r>
        <w:rPr>
          <w:rFonts w:hint="eastAsia" w:asciiTheme="minorEastAsia" w:hAnsiTheme="minorEastAsia" w:eastAsiaTheme="minorEastAsia"/>
          <w:b/>
          <w:bCs/>
          <w:color w:val="auto"/>
          <w:sz w:val="24"/>
          <w:szCs w:val="18"/>
          <w:highlight w:val="none"/>
        </w:rPr>
        <w:t>注：</w:t>
      </w:r>
      <w:r>
        <w:rPr>
          <w:rFonts w:hint="eastAsia" w:asciiTheme="minorEastAsia" w:hAnsiTheme="minorEastAsia" w:eastAsiaTheme="minorEastAsia"/>
          <w:color w:val="auto"/>
          <w:sz w:val="24"/>
          <w:szCs w:val="18"/>
          <w:highlight w:val="none"/>
        </w:rPr>
        <w:t>本表是本项目的具体要求，是对供应商须知的具体补充和修改，如有不一致，以本表为准。</w:t>
      </w:r>
    </w:p>
    <w:tbl>
      <w:tblPr>
        <w:tblStyle w:val="28"/>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2032"/>
        <w:gridCol w:w="5809"/>
      </w:tblGrid>
      <w:tr w14:paraId="5D8B8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569" w:type="pct"/>
            <w:vAlign w:val="center"/>
          </w:tcPr>
          <w:p w14:paraId="15D80D4E">
            <w:pPr>
              <w:pStyle w:val="45"/>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条款号</w:t>
            </w:r>
          </w:p>
        </w:tc>
        <w:tc>
          <w:tcPr>
            <w:tcW w:w="1148" w:type="pct"/>
            <w:vAlign w:val="center"/>
          </w:tcPr>
          <w:p w14:paraId="24F9399A">
            <w:pPr>
              <w:pStyle w:val="45"/>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条款名称</w:t>
            </w:r>
          </w:p>
        </w:tc>
        <w:tc>
          <w:tcPr>
            <w:tcW w:w="3282" w:type="pct"/>
            <w:vAlign w:val="center"/>
          </w:tcPr>
          <w:p w14:paraId="61F7FED8">
            <w:pPr>
              <w:pStyle w:val="45"/>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内容、说明与要求</w:t>
            </w:r>
          </w:p>
        </w:tc>
      </w:tr>
      <w:tr w14:paraId="3FD1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104" w:type="dxa"/>
            <w:vAlign w:val="center"/>
          </w:tcPr>
          <w:p w14:paraId="3DC8922F">
            <w:pPr>
              <w:pStyle w:val="46"/>
              <w:pBdr>
                <w:bottom w:val="none" w:color="auto" w:sz="0" w:space="0"/>
              </w:pBdr>
              <w:tabs>
                <w:tab w:val="clear" w:pos="4153"/>
                <w:tab w:val="clear" w:pos="8306"/>
              </w:tabs>
              <w:adjustRightInd/>
              <w:spacing w:line="360" w:lineRule="auto"/>
              <w:textAlignment w:val="auto"/>
              <w:rPr>
                <w:rFonts w:asciiTheme="minorEastAsia" w:hAnsiTheme="minorEastAsia" w:eastAsiaTheme="minorEastAsia"/>
                <w:bCs/>
                <w:color w:val="auto"/>
                <w:kern w:val="2"/>
                <w:highlight w:val="none"/>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2228" w:type="dxa"/>
            <w:vAlign w:val="center"/>
          </w:tcPr>
          <w:p w14:paraId="1061EAC5">
            <w:pPr>
              <w:pStyle w:val="45"/>
              <w:widowControl w:val="0"/>
              <w:spacing w:before="0" w:beforeAutospacing="0" w:after="0" w:afterAutospacing="0" w:line="360" w:lineRule="auto"/>
              <w:jc w:val="left"/>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6370" w:type="dxa"/>
            <w:vAlign w:val="center"/>
          </w:tcPr>
          <w:p w14:paraId="2A5931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highlight w:val="none"/>
              </w:rPr>
              <w:t>不组织</w:t>
            </w:r>
            <w:r>
              <w:rPr>
                <w:rFonts w:hint="eastAsia" w:ascii="宋体" w:hAnsi="宋体" w:eastAsia="宋体" w:cs="宋体"/>
                <w:color w:val="auto"/>
                <w:sz w:val="24"/>
                <w:highlight w:val="none"/>
                <w:lang w:val="en-US" w:eastAsia="zh-CN"/>
              </w:rPr>
              <w:t>或不召开</w:t>
            </w:r>
          </w:p>
          <w:p w14:paraId="0AEADA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lang w:eastAsia="zh-CN"/>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统一组织</w:t>
            </w:r>
            <w:r>
              <w:rPr>
                <w:rFonts w:hint="eastAsia" w:ascii="宋体" w:hAnsi="宋体" w:eastAsia="宋体" w:cs="宋体"/>
                <w:bCs/>
                <w:color w:val="auto"/>
                <w:sz w:val="24"/>
                <w:highlight w:val="none"/>
                <w:lang w:val="en-US" w:eastAsia="zh-CN"/>
              </w:rPr>
              <w:t>或统一召开</w:t>
            </w:r>
          </w:p>
          <w:p w14:paraId="267955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时间：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 </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u w:val="single"/>
              </w:rPr>
              <w:t xml:space="preserve"> / </w:t>
            </w:r>
            <w:r>
              <w:rPr>
                <w:rFonts w:hint="eastAsia" w:ascii="宋体" w:hAnsi="宋体" w:eastAsia="宋体" w:cs="宋体"/>
                <w:bCs/>
                <w:color w:val="auto"/>
                <w:sz w:val="24"/>
                <w:highlight w:val="none"/>
              </w:rPr>
              <w:t>时</w:t>
            </w:r>
            <w:r>
              <w:rPr>
                <w:rFonts w:hint="eastAsia" w:ascii="宋体" w:hAnsi="宋体" w:eastAsia="宋体" w:cs="宋体"/>
                <w:bCs/>
                <w:color w:val="auto"/>
                <w:sz w:val="24"/>
                <w:highlight w:val="none"/>
                <w:u w:val="single"/>
              </w:rPr>
              <w:t xml:space="preserve"> / </w:t>
            </w:r>
            <w:r>
              <w:rPr>
                <w:rFonts w:hint="eastAsia" w:ascii="宋体" w:hAnsi="宋体" w:eastAsia="宋体" w:cs="宋体"/>
                <w:bCs/>
                <w:color w:val="auto"/>
                <w:sz w:val="24"/>
                <w:highlight w:val="none"/>
              </w:rPr>
              <w:t>分</w:t>
            </w:r>
          </w:p>
          <w:p w14:paraId="5AD396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地点：</w:t>
            </w:r>
            <w:r>
              <w:rPr>
                <w:rFonts w:hint="eastAsia" w:ascii="宋体" w:hAnsi="宋体" w:eastAsia="宋体" w:cs="宋体"/>
                <w:bCs/>
                <w:color w:val="auto"/>
                <w:sz w:val="24"/>
                <w:highlight w:val="none"/>
                <w:u w:val="single"/>
              </w:rPr>
              <w:t xml:space="preserve">     /                  </w:t>
            </w:r>
          </w:p>
          <w:p w14:paraId="080131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联系人及联系电话：</w:t>
            </w:r>
            <w:r>
              <w:rPr>
                <w:rFonts w:hint="eastAsia" w:ascii="宋体" w:hAnsi="宋体" w:eastAsia="宋体" w:cs="宋体"/>
                <w:bCs/>
                <w:color w:val="auto"/>
                <w:sz w:val="24"/>
                <w:highlight w:val="none"/>
                <w:u w:val="single"/>
              </w:rPr>
              <w:t xml:space="preserve">     /      </w:t>
            </w:r>
          </w:p>
          <w:p w14:paraId="7072675F">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自行承担。</w:t>
            </w:r>
          </w:p>
        </w:tc>
      </w:tr>
      <w:tr w14:paraId="4C206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592B0517">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lang w:val="en-US" w:eastAsia="zh-CN"/>
              </w:rPr>
              <w:t>6</w:t>
            </w:r>
            <w:r>
              <w:rPr>
                <w:rFonts w:asciiTheme="minorEastAsia" w:hAnsiTheme="minorEastAsia" w:eastAsiaTheme="minorEastAsia"/>
                <w:bCs/>
                <w:color w:val="auto"/>
                <w:kern w:val="2"/>
                <w:highlight w:val="none"/>
              </w:rPr>
              <w:t>.1</w:t>
            </w:r>
          </w:p>
        </w:tc>
        <w:tc>
          <w:tcPr>
            <w:tcW w:w="1148" w:type="pct"/>
            <w:vAlign w:val="center"/>
          </w:tcPr>
          <w:p w14:paraId="39449268">
            <w:pPr>
              <w:pStyle w:val="45"/>
              <w:widowControl w:val="0"/>
              <w:spacing w:before="0" w:beforeAutospacing="0" w:after="0" w:afterAutospacing="0"/>
              <w:jc w:val="left"/>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网上询问截止时间</w:t>
            </w:r>
          </w:p>
        </w:tc>
        <w:tc>
          <w:tcPr>
            <w:tcW w:w="3282" w:type="pct"/>
            <w:vAlign w:val="center"/>
          </w:tcPr>
          <w:p w14:paraId="64A376F9">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2025</w:t>
            </w:r>
            <w:r>
              <w:rPr>
                <w:rFonts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年</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10</w:t>
            </w:r>
            <w:r>
              <w:rPr>
                <w:rFonts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月</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 xml:space="preserve">28 </w:t>
            </w:r>
            <w:r>
              <w:rPr>
                <w:rFonts w:asciiTheme="minorEastAsia" w:hAnsiTheme="minorEastAsia" w:eastAsiaTheme="minorEastAsia"/>
                <w:b w:val="0"/>
                <w:color w:val="auto"/>
                <w:sz w:val="24"/>
                <w:highlight w:val="none"/>
              </w:rPr>
              <w:t>日</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17</w:t>
            </w:r>
            <w:r>
              <w:rPr>
                <w:rFonts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时</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30</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rPr>
              <w:t>分</w:t>
            </w:r>
          </w:p>
        </w:tc>
      </w:tr>
      <w:tr w14:paraId="5155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Merge w:val="restart"/>
            <w:vAlign w:val="center"/>
          </w:tcPr>
          <w:p w14:paraId="72C64A33">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lang w:val="en-US" w:eastAsia="zh-CN"/>
              </w:rPr>
              <w:t>7</w:t>
            </w:r>
            <w:r>
              <w:rPr>
                <w:rFonts w:asciiTheme="minorEastAsia" w:hAnsiTheme="minorEastAsia" w:eastAsiaTheme="minorEastAsia"/>
                <w:bCs/>
                <w:color w:val="auto"/>
                <w:kern w:val="2"/>
                <w:highlight w:val="none"/>
              </w:rPr>
              <w:t>.1</w:t>
            </w:r>
          </w:p>
        </w:tc>
        <w:tc>
          <w:tcPr>
            <w:tcW w:w="1148" w:type="pct"/>
            <w:vMerge w:val="restart"/>
            <w:vAlign w:val="center"/>
          </w:tcPr>
          <w:p w14:paraId="7C8B7B5A">
            <w:pPr>
              <w:pStyle w:val="45"/>
              <w:widowControl w:val="0"/>
              <w:spacing w:before="0" w:beforeAutospacing="0" w:after="0" w:afterAutospacing="0" w:line="360" w:lineRule="auto"/>
              <w:jc w:val="left"/>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包别划分</w:t>
            </w:r>
          </w:p>
        </w:tc>
        <w:tc>
          <w:tcPr>
            <w:tcW w:w="3282" w:type="pct"/>
            <w:vAlign w:val="center"/>
          </w:tcPr>
          <w:p w14:paraId="363C19EE">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Theme="minorEastAsia" w:hAnsiTheme="minorEastAsia" w:eastAsiaTheme="minorEastAsia"/>
                <w:b w:val="0"/>
                <w:bCs w:val="0"/>
                <w:color w:val="auto"/>
                <w:sz w:val="24"/>
                <w:szCs w:val="24"/>
                <w:highlight w:val="none"/>
                <w:lang w:eastAsia="zh-CN"/>
              </w:rPr>
              <w:t>☑</w:t>
            </w:r>
            <w:r>
              <w:rPr>
                <w:rFonts w:asciiTheme="minorEastAsia" w:hAnsiTheme="minorEastAsia" w:eastAsiaTheme="minorEastAsia"/>
                <w:b w:val="0"/>
                <w:color w:val="auto"/>
                <w:sz w:val="24"/>
                <w:highlight w:val="none"/>
              </w:rPr>
              <w:t>不分包     □分为</w:t>
            </w:r>
            <w:r>
              <w:rPr>
                <w:rFonts w:hint="eastAsia" w:asciiTheme="minorEastAsia" w:hAnsiTheme="minorEastAsia" w:eastAsiaTheme="minorEastAsia"/>
                <w:b w:val="0"/>
                <w:color w:val="auto"/>
                <w:sz w:val="24"/>
                <w:highlight w:val="none"/>
                <w:lang w:val="en-US" w:eastAsia="zh-CN"/>
              </w:rPr>
              <w:t>/</w:t>
            </w:r>
            <w:r>
              <w:rPr>
                <w:rFonts w:asciiTheme="minorEastAsia" w:hAnsiTheme="minorEastAsia" w:eastAsiaTheme="minorEastAsia"/>
                <w:b w:val="0"/>
                <w:color w:val="auto"/>
                <w:sz w:val="24"/>
                <w:highlight w:val="none"/>
              </w:rPr>
              <w:t>个包</w:t>
            </w:r>
          </w:p>
        </w:tc>
      </w:tr>
      <w:tr w14:paraId="443C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Merge w:val="continue"/>
            <w:vAlign w:val="center"/>
          </w:tcPr>
          <w:p w14:paraId="2B981593">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p>
        </w:tc>
        <w:tc>
          <w:tcPr>
            <w:tcW w:w="1148" w:type="pct"/>
            <w:vMerge w:val="continue"/>
            <w:vAlign w:val="center"/>
          </w:tcPr>
          <w:p w14:paraId="0750D0CE">
            <w:pPr>
              <w:pStyle w:val="45"/>
              <w:widowControl w:val="0"/>
              <w:spacing w:before="0" w:beforeAutospacing="0" w:after="0" w:afterAutospacing="0" w:line="360" w:lineRule="auto"/>
              <w:rPr>
                <w:rFonts w:asciiTheme="minorEastAsia" w:hAnsiTheme="minorEastAsia" w:eastAsiaTheme="minorEastAsia"/>
                <w:b w:val="0"/>
                <w:color w:val="auto"/>
                <w:sz w:val="24"/>
                <w:highlight w:val="none"/>
              </w:rPr>
            </w:pPr>
          </w:p>
        </w:tc>
        <w:tc>
          <w:tcPr>
            <w:tcW w:w="3282" w:type="pct"/>
            <w:vAlign w:val="center"/>
          </w:tcPr>
          <w:p w14:paraId="6300CB5A">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color w:val="auto"/>
                <w:sz w:val="24"/>
                <w:highlight w:val="none"/>
              </w:rPr>
              <w:t>供应商对多个包进行报价的成交</w:t>
            </w:r>
            <w:r>
              <w:rPr>
                <w:rFonts w:asciiTheme="minorEastAsia" w:hAnsiTheme="minorEastAsia" w:eastAsiaTheme="minorEastAsia"/>
                <w:b w:val="0"/>
                <w:color w:val="auto"/>
                <w:sz w:val="24"/>
                <w:highlight w:val="none"/>
              </w:rPr>
              <w:t>包</w:t>
            </w:r>
            <w:r>
              <w:rPr>
                <w:rFonts w:hint="eastAsia" w:asciiTheme="minorEastAsia" w:hAnsiTheme="minorEastAsia" w:eastAsiaTheme="minorEastAsia"/>
                <w:b w:val="0"/>
                <w:color w:val="auto"/>
                <w:sz w:val="24"/>
                <w:highlight w:val="none"/>
              </w:rPr>
              <w:t>数规定：</w:t>
            </w:r>
            <w:r>
              <w:rPr>
                <w:rFonts w:hint="eastAsia" w:asciiTheme="minorEastAsia" w:hAnsiTheme="minorEastAsia" w:eastAsiaTheme="minorEastAsia"/>
                <w:b w:val="0"/>
                <w:bCs w:val="0"/>
                <w:color w:val="auto"/>
                <w:sz w:val="24"/>
                <w:szCs w:val="18"/>
                <w:highlight w:val="none"/>
                <w:u w:val="single"/>
              </w:rPr>
              <w:t xml:space="preserve"> </w:t>
            </w:r>
            <w:r>
              <w:rPr>
                <w:rFonts w:asciiTheme="minorEastAsia" w:hAnsiTheme="minorEastAsia" w:eastAsiaTheme="minorEastAsia"/>
                <w:b w:val="0"/>
                <w:bCs w:val="0"/>
                <w:color w:val="auto"/>
                <w:sz w:val="24"/>
                <w:szCs w:val="18"/>
                <w:highlight w:val="none"/>
                <w:u w:val="single"/>
              </w:rPr>
              <w:t xml:space="preserve"> </w:t>
            </w:r>
            <w:r>
              <w:rPr>
                <w:rFonts w:hint="eastAsia" w:asciiTheme="minorEastAsia" w:hAnsiTheme="minorEastAsia" w:eastAsiaTheme="minorEastAsia"/>
                <w:b w:val="0"/>
                <w:bCs w:val="0"/>
                <w:color w:val="auto"/>
                <w:sz w:val="24"/>
                <w:szCs w:val="18"/>
                <w:highlight w:val="none"/>
                <w:u w:val="single"/>
                <w:lang w:val="en-US" w:eastAsia="zh-CN"/>
              </w:rPr>
              <w:t>/</w:t>
            </w:r>
            <w:r>
              <w:rPr>
                <w:rFonts w:asciiTheme="minorEastAsia" w:hAnsiTheme="minorEastAsia" w:eastAsiaTheme="minorEastAsia"/>
                <w:b w:val="0"/>
                <w:bCs w:val="0"/>
                <w:color w:val="auto"/>
                <w:sz w:val="24"/>
                <w:szCs w:val="18"/>
                <w:highlight w:val="none"/>
                <w:u w:val="single"/>
              </w:rPr>
              <w:t xml:space="preserve">        </w:t>
            </w:r>
          </w:p>
        </w:tc>
      </w:tr>
      <w:tr w14:paraId="275B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576DFD78">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w:t>
            </w:r>
            <w:r>
              <w:rPr>
                <w:rFonts w:hint="eastAsia" w:asciiTheme="minorEastAsia" w:hAnsiTheme="minorEastAsia" w:eastAsiaTheme="minorEastAsia"/>
                <w:bCs/>
                <w:color w:val="auto"/>
                <w:kern w:val="2"/>
                <w:highlight w:val="none"/>
                <w:lang w:val="en-US" w:eastAsia="zh-CN"/>
              </w:rPr>
              <w:t>0</w:t>
            </w:r>
            <w:r>
              <w:rPr>
                <w:rFonts w:asciiTheme="minorEastAsia" w:hAnsiTheme="minorEastAsia" w:eastAsiaTheme="minorEastAsia"/>
                <w:bCs/>
                <w:color w:val="auto"/>
                <w:kern w:val="2"/>
                <w:highlight w:val="none"/>
              </w:rPr>
              <w:t>.1</w:t>
            </w:r>
          </w:p>
        </w:tc>
        <w:tc>
          <w:tcPr>
            <w:tcW w:w="1148" w:type="pct"/>
            <w:vAlign w:val="center"/>
          </w:tcPr>
          <w:p w14:paraId="07B734DE">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询价有效期</w:t>
            </w:r>
          </w:p>
        </w:tc>
        <w:tc>
          <w:tcPr>
            <w:tcW w:w="3282" w:type="pct"/>
            <w:vAlign w:val="center"/>
          </w:tcPr>
          <w:p w14:paraId="2ECAD798">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90</w:t>
            </w:r>
            <w:r>
              <w:rPr>
                <w:rFonts w:hint="eastAsia" w:asciiTheme="minorEastAsia" w:hAnsiTheme="minorEastAsia" w:eastAsiaTheme="minorEastAsia"/>
                <w:b w:val="0"/>
                <w:color w:val="auto"/>
                <w:sz w:val="24"/>
                <w:highlight w:val="none"/>
              </w:rPr>
              <w:t>日历日</w:t>
            </w:r>
          </w:p>
        </w:tc>
      </w:tr>
      <w:tr w14:paraId="618BA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024BA3C8">
            <w:pPr>
              <w:pStyle w:val="46"/>
              <w:pBdr>
                <w:bottom w:val="none" w:color="auto" w:sz="0" w:space="0"/>
              </w:pBdr>
              <w:tabs>
                <w:tab w:val="clear" w:pos="4153"/>
                <w:tab w:val="clear" w:pos="8306"/>
              </w:tabs>
              <w:adjustRightInd/>
              <w:spacing w:line="240" w:lineRule="auto"/>
              <w:textAlignment w:val="auto"/>
              <w:rPr>
                <w:rFonts w:hint="default" w:asciiTheme="minorEastAsia" w:hAnsiTheme="minorEastAsia" w:eastAsiaTheme="minorEastAsia"/>
                <w:bCs/>
                <w:color w:val="auto"/>
                <w:kern w:val="2"/>
                <w:highlight w:val="none"/>
                <w:lang w:val="en-US" w:eastAsia="zh-CN"/>
              </w:rPr>
            </w:pPr>
            <w:r>
              <w:rPr>
                <w:rFonts w:hint="eastAsia" w:asciiTheme="minorEastAsia" w:hAnsiTheme="minorEastAsia" w:eastAsiaTheme="minorEastAsia"/>
                <w:bCs/>
                <w:color w:val="auto"/>
                <w:kern w:val="2"/>
                <w:highlight w:val="none"/>
                <w:lang w:val="en-US" w:eastAsia="zh-CN"/>
              </w:rPr>
              <w:t>11.2</w:t>
            </w:r>
          </w:p>
        </w:tc>
        <w:tc>
          <w:tcPr>
            <w:tcW w:w="1148" w:type="pct"/>
            <w:vAlign w:val="center"/>
          </w:tcPr>
          <w:p w14:paraId="43B8A47A">
            <w:pPr>
              <w:pStyle w:val="45"/>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响应文件解密时间</w:t>
            </w:r>
          </w:p>
        </w:tc>
        <w:tc>
          <w:tcPr>
            <w:tcW w:w="3282" w:type="pct"/>
            <w:vAlign w:val="center"/>
          </w:tcPr>
          <w:p w14:paraId="6C816A6B">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Theme="minorEastAsia" w:hAnsiTheme="minorEastAsia" w:eastAsiaTheme="minorEastAsia"/>
                <w:b w:val="0"/>
                <w:color w:val="auto"/>
                <w:sz w:val="24"/>
                <w:highlight w:val="none"/>
                <w:u w:val="single"/>
              </w:rPr>
            </w:pPr>
            <w:r>
              <w:rPr>
                <w:rFonts w:hint="eastAsia" w:asciiTheme="minorEastAsia" w:hAnsiTheme="minorEastAsia" w:eastAsiaTheme="minorEastAsia"/>
                <w:b w:val="0"/>
                <w:color w:val="auto"/>
                <w:sz w:val="24"/>
                <w:highlight w:val="none"/>
              </w:rPr>
              <w:t>响应文件提交截止时间后</w:t>
            </w:r>
            <w:r>
              <w:rPr>
                <w:rFonts w:hint="eastAsia"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60</w:t>
            </w:r>
            <w:r>
              <w:rPr>
                <w:rFonts w:hint="eastAsia" w:asciiTheme="minorEastAsia" w:hAnsiTheme="minorEastAsia" w:eastAsiaTheme="minorEastAsia"/>
                <w:b w:val="0"/>
                <w:color w:val="auto"/>
                <w:sz w:val="24"/>
                <w:highlight w:val="none"/>
              </w:rPr>
              <w:t>分钟内</w:t>
            </w:r>
            <w:r>
              <w:rPr>
                <w:rFonts w:hint="eastAsia" w:ascii="宋体" w:hAnsi="宋体" w:eastAsia="宋体" w:cs="宋体"/>
                <w:b w:val="0"/>
                <w:color w:val="auto"/>
                <w:sz w:val="24"/>
                <w:szCs w:val="24"/>
                <w:highlight w:val="none"/>
              </w:rPr>
              <w:t>（以本项目网上招投标系统解密倒计时为准）</w:t>
            </w:r>
          </w:p>
        </w:tc>
      </w:tr>
      <w:tr w14:paraId="40F52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01D9B0C1">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lang w:val="en-US" w:eastAsia="zh-CN"/>
              </w:rPr>
              <w:t>16</w:t>
            </w:r>
            <w:r>
              <w:rPr>
                <w:rFonts w:asciiTheme="minorEastAsia" w:hAnsiTheme="minorEastAsia" w:eastAsiaTheme="minorEastAsia"/>
                <w:bCs/>
                <w:color w:val="auto"/>
                <w:kern w:val="2"/>
                <w:highlight w:val="none"/>
              </w:rPr>
              <w:t>.1</w:t>
            </w:r>
          </w:p>
        </w:tc>
        <w:tc>
          <w:tcPr>
            <w:tcW w:w="1148" w:type="pct"/>
            <w:vAlign w:val="center"/>
          </w:tcPr>
          <w:p w14:paraId="301842F6">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6BAC00CE">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p>
        </w:tc>
        <w:tc>
          <w:tcPr>
            <w:tcW w:w="3282" w:type="pct"/>
            <w:vAlign w:val="center"/>
          </w:tcPr>
          <w:p w14:paraId="368A259E">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cs="宋体"/>
                <w:b w:val="0"/>
                <w:color w:val="auto"/>
                <w:sz w:val="24"/>
                <w:highlight w:val="none"/>
                <w:u w:val="single"/>
                <w:lang w:val="en-US" w:eastAsia="zh-CN"/>
              </w:rPr>
              <w:t>对小型和微型企业产品的价格给予10%的扣除后参与评审</w:t>
            </w:r>
            <w:r>
              <w:rPr>
                <w:rFonts w:hint="eastAsia" w:ascii="宋体" w:hAnsi="宋体" w:eastAsia="宋体"/>
                <w:b w:val="0"/>
                <w:color w:val="auto"/>
                <w:sz w:val="24"/>
                <w:highlight w:val="none"/>
              </w:rPr>
              <w:t>。</w:t>
            </w:r>
          </w:p>
          <w:p w14:paraId="27E9F20F">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38226D0D">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09E4E0E2">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ascii="宋体" w:hAnsi="宋体" w:eastAsia="宋体"/>
                <w:b w:val="0"/>
                <w:color w:val="auto"/>
                <w:sz w:val="24"/>
                <w:highlight w:val="none"/>
              </w:rPr>
              <w:t>%</w:t>
            </w:r>
            <w:r>
              <w:rPr>
                <w:rFonts w:hint="eastAsia" w:ascii="宋体" w:hAnsi="宋体" w:eastAsia="宋体"/>
                <w:b w:val="0"/>
                <w:color w:val="auto"/>
                <w:sz w:val="24"/>
                <w:highlight w:val="none"/>
              </w:rPr>
              <w:t>。</w:t>
            </w:r>
          </w:p>
          <w:p w14:paraId="2E5E3E49">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ascii="宋体" w:hAnsi="宋体" w:eastAsia="宋体"/>
                <w:b w:val="0"/>
                <w:color w:val="auto"/>
                <w:sz w:val="24"/>
                <w:highlight w:val="none"/>
              </w:rPr>
              <w:t>%</w:t>
            </w:r>
            <w:r>
              <w:rPr>
                <w:rFonts w:hint="eastAsia" w:ascii="宋体" w:hAnsi="宋体" w:eastAsia="宋体"/>
                <w:b w:val="0"/>
                <w:color w:val="auto"/>
                <w:sz w:val="24"/>
                <w:highlight w:val="none"/>
              </w:rPr>
              <w:t>。</w:t>
            </w:r>
          </w:p>
        </w:tc>
      </w:tr>
      <w:tr w14:paraId="7F34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356A3563">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lang w:val="en-US" w:eastAsia="zh-CN"/>
              </w:rPr>
              <w:t>17</w:t>
            </w:r>
            <w:r>
              <w:rPr>
                <w:rFonts w:asciiTheme="minorEastAsia" w:hAnsiTheme="minorEastAsia" w:eastAsiaTheme="minorEastAsia"/>
                <w:bCs/>
                <w:color w:val="auto"/>
                <w:kern w:val="2"/>
                <w:highlight w:val="none"/>
              </w:rPr>
              <w:t>.</w:t>
            </w:r>
            <w:r>
              <w:rPr>
                <w:rFonts w:hint="eastAsia" w:asciiTheme="minorEastAsia" w:hAnsiTheme="minorEastAsia" w:eastAsiaTheme="minorEastAsia"/>
                <w:bCs/>
                <w:color w:val="auto"/>
                <w:kern w:val="2"/>
                <w:highlight w:val="none"/>
              </w:rPr>
              <w:t>2</w:t>
            </w:r>
          </w:p>
        </w:tc>
        <w:tc>
          <w:tcPr>
            <w:tcW w:w="1148" w:type="pct"/>
            <w:vAlign w:val="center"/>
          </w:tcPr>
          <w:p w14:paraId="5C64B559">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确定成交供应商</w:t>
            </w:r>
          </w:p>
        </w:tc>
        <w:tc>
          <w:tcPr>
            <w:tcW w:w="3282" w:type="pct"/>
            <w:vAlign w:val="center"/>
          </w:tcPr>
          <w:p w14:paraId="490FB144">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Theme="minorEastAsia" w:hAnsiTheme="minorEastAsia" w:eastAsiaTheme="minorEastAsia"/>
                <w:b w:val="0"/>
                <w:color w:val="auto"/>
                <w:sz w:val="24"/>
                <w:highlight w:val="none"/>
              </w:rPr>
            </w:pPr>
            <w:r>
              <w:rPr>
                <w:rFonts w:hint="eastAsia" w:asciiTheme="minorEastAsia" w:hAnsiTheme="minorEastAsia" w:eastAsiaTheme="minorEastAsia"/>
                <w:b w:val="0"/>
                <w:bCs w:val="0"/>
                <w:color w:val="auto"/>
                <w:sz w:val="24"/>
                <w:szCs w:val="24"/>
                <w:highlight w:val="none"/>
              </w:rPr>
              <w:sym w:font="Wingdings" w:char="00A8"/>
            </w:r>
            <w:r>
              <w:rPr>
                <w:rFonts w:hint="eastAsia" w:asciiTheme="minorEastAsia" w:hAnsiTheme="minorEastAsia" w:eastAsiaTheme="minorEastAsia"/>
                <w:b w:val="0"/>
                <w:color w:val="auto"/>
                <w:sz w:val="24"/>
                <w:highlight w:val="none"/>
              </w:rPr>
              <w:t xml:space="preserve">采购人委托询价小组确定 </w:t>
            </w:r>
          </w:p>
          <w:p w14:paraId="4515C4C7">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lang w:eastAsia="zh-CN"/>
              </w:rPr>
              <w:t>☑</w:t>
            </w:r>
            <w:r>
              <w:rPr>
                <w:rFonts w:hint="eastAsia" w:asciiTheme="minorEastAsia" w:hAnsiTheme="minorEastAsia" w:eastAsiaTheme="minorEastAsia"/>
                <w:b w:val="0"/>
                <w:color w:val="auto"/>
                <w:sz w:val="24"/>
                <w:highlight w:val="none"/>
              </w:rPr>
              <w:t>采购人确定</w:t>
            </w:r>
          </w:p>
        </w:tc>
      </w:tr>
      <w:tr w14:paraId="0037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14507BD1">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inorEastAsia" w:hAnsiTheme="minorEastAsia" w:eastAsiaTheme="minorEastAsia"/>
                <w:bCs/>
                <w:color w:val="auto"/>
                <w:kern w:val="2"/>
                <w:highlight w:val="none"/>
              </w:rPr>
              <w:t>2</w:t>
            </w:r>
            <w:r>
              <w:rPr>
                <w:rFonts w:hint="eastAsia" w:asciiTheme="minorEastAsia" w:hAnsiTheme="minorEastAsia" w:eastAsiaTheme="minorEastAsia"/>
                <w:bCs/>
                <w:color w:val="auto"/>
                <w:kern w:val="2"/>
                <w:highlight w:val="none"/>
                <w:lang w:val="en-US" w:eastAsia="zh-CN"/>
              </w:rPr>
              <w:t>0</w:t>
            </w:r>
            <w:r>
              <w:rPr>
                <w:rFonts w:asciiTheme="minorEastAsia" w:hAnsiTheme="minorEastAsia" w:eastAsiaTheme="minorEastAsia"/>
                <w:bCs/>
                <w:color w:val="auto"/>
                <w:kern w:val="2"/>
                <w:highlight w:val="none"/>
              </w:rPr>
              <w:t>.3</w:t>
            </w:r>
          </w:p>
        </w:tc>
        <w:tc>
          <w:tcPr>
            <w:tcW w:w="1148" w:type="pct"/>
            <w:vAlign w:val="center"/>
          </w:tcPr>
          <w:p w14:paraId="3AF3E15C">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随成交</w:t>
            </w:r>
            <w:r>
              <w:rPr>
                <w:rFonts w:hint="eastAsia" w:asciiTheme="minorEastAsia" w:hAnsiTheme="minorEastAsia" w:eastAsiaTheme="minorEastAsia"/>
                <w:b w:val="0"/>
                <w:color w:val="auto"/>
                <w:sz w:val="24"/>
                <w:highlight w:val="none"/>
                <w:lang w:eastAsia="zh-CN"/>
              </w:rPr>
              <w:t>结果</w:t>
            </w:r>
            <w:r>
              <w:rPr>
                <w:rFonts w:hint="eastAsia" w:asciiTheme="minorEastAsia" w:hAnsiTheme="minorEastAsia" w:eastAsiaTheme="minorEastAsia"/>
                <w:b w:val="0"/>
                <w:color w:val="auto"/>
                <w:sz w:val="24"/>
                <w:highlight w:val="none"/>
              </w:rPr>
              <w:t>公告同时公告</w:t>
            </w:r>
            <w:r>
              <w:rPr>
                <w:rFonts w:hint="eastAsia" w:asciiTheme="minorEastAsia" w:hAnsiTheme="minorEastAsia" w:eastAsiaTheme="minorEastAsia"/>
                <w:b w:val="0"/>
                <w:color w:val="auto"/>
                <w:sz w:val="24"/>
                <w:highlight w:val="none"/>
                <w:lang w:eastAsia="zh-CN"/>
              </w:rPr>
              <w:t>的</w:t>
            </w:r>
            <w:r>
              <w:rPr>
                <w:rFonts w:hint="eastAsia" w:asciiTheme="minorEastAsia" w:hAnsiTheme="minorEastAsia" w:eastAsiaTheme="minorEastAsia"/>
                <w:b w:val="0"/>
                <w:color w:val="auto"/>
                <w:sz w:val="24"/>
                <w:highlight w:val="none"/>
              </w:rPr>
              <w:t>内容</w:t>
            </w:r>
          </w:p>
        </w:tc>
        <w:tc>
          <w:tcPr>
            <w:tcW w:w="3282" w:type="pct"/>
            <w:vAlign w:val="center"/>
          </w:tcPr>
          <w:p w14:paraId="056A7A62">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w:t>
            </w:r>
            <w:r>
              <w:rPr>
                <w:rFonts w:hint="eastAsia" w:asciiTheme="minorEastAsia" w:hAnsiTheme="minorEastAsia" w:eastAsiaTheme="minorEastAsia"/>
                <w:b w:val="0"/>
                <w:color w:val="auto"/>
                <w:sz w:val="24"/>
                <w:highlight w:val="none"/>
                <w:lang w:val="en-US" w:eastAsia="zh-CN"/>
              </w:rPr>
              <w:t>1</w:t>
            </w:r>
            <w:r>
              <w:rPr>
                <w:rFonts w:hint="eastAsia" w:asciiTheme="minorEastAsia" w:hAnsiTheme="minorEastAsia" w:eastAsiaTheme="minorEastAsia"/>
                <w:b w:val="0"/>
                <w:color w:val="auto"/>
                <w:sz w:val="24"/>
                <w:highlight w:val="none"/>
              </w:rPr>
              <w:t>）</w:t>
            </w:r>
            <w:r>
              <w:rPr>
                <w:rFonts w:hint="eastAsia" w:asciiTheme="minorEastAsia" w:hAnsiTheme="minorEastAsia" w:eastAsiaTheme="minorEastAsia"/>
                <w:b w:val="0"/>
                <w:color w:val="auto"/>
                <w:sz w:val="24"/>
                <w:highlight w:val="none"/>
                <w:u w:val="single"/>
              </w:rPr>
              <w:t>中小企业声明函</w:t>
            </w:r>
            <w:r>
              <w:rPr>
                <w:rFonts w:hint="eastAsia" w:asciiTheme="minorEastAsia" w:hAnsiTheme="minorEastAsia" w:eastAsiaTheme="minorEastAsia"/>
                <w:b w:val="0"/>
                <w:color w:val="auto"/>
                <w:sz w:val="24"/>
                <w:highlight w:val="none"/>
              </w:rPr>
              <w:t>；</w:t>
            </w:r>
            <w:r>
              <w:rPr>
                <w:rFonts w:hint="eastAsia" w:asciiTheme="minorEastAsia" w:hAnsiTheme="minorEastAsia" w:eastAsiaTheme="minorEastAsia"/>
                <w:b w:val="0"/>
                <w:i/>
                <w:iCs/>
                <w:color w:val="auto"/>
                <w:sz w:val="24"/>
                <w:highlight w:val="none"/>
              </w:rPr>
              <w:t>（如有）</w:t>
            </w:r>
          </w:p>
          <w:p w14:paraId="140F3360">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Theme="minorEastAsia" w:hAnsiTheme="minorEastAsia" w:eastAsiaTheme="minorEastAsia"/>
                <w:b w:val="0"/>
                <w:i/>
                <w:iCs/>
                <w:color w:val="auto"/>
                <w:sz w:val="24"/>
                <w:highlight w:val="none"/>
              </w:rPr>
            </w:pPr>
            <w:r>
              <w:rPr>
                <w:rFonts w:hint="eastAsia" w:asciiTheme="minorEastAsia" w:hAnsiTheme="minorEastAsia" w:eastAsiaTheme="minorEastAsia"/>
                <w:b w:val="0"/>
                <w:color w:val="auto"/>
                <w:sz w:val="24"/>
                <w:highlight w:val="none"/>
              </w:rPr>
              <w:t>（</w:t>
            </w:r>
            <w:r>
              <w:rPr>
                <w:rFonts w:hint="eastAsia" w:asciiTheme="minorEastAsia" w:hAnsiTheme="minorEastAsia" w:eastAsiaTheme="minorEastAsia"/>
                <w:b w:val="0"/>
                <w:color w:val="auto"/>
                <w:sz w:val="24"/>
                <w:highlight w:val="none"/>
                <w:lang w:val="en-US" w:eastAsia="zh-CN"/>
              </w:rPr>
              <w:t>2</w:t>
            </w:r>
            <w:r>
              <w:rPr>
                <w:rFonts w:hint="eastAsia" w:asciiTheme="minorEastAsia" w:hAnsiTheme="minorEastAsia" w:eastAsiaTheme="minorEastAsia"/>
                <w:b w:val="0"/>
                <w:color w:val="auto"/>
                <w:sz w:val="24"/>
                <w:highlight w:val="none"/>
              </w:rPr>
              <w:t>）</w:t>
            </w:r>
            <w:r>
              <w:rPr>
                <w:rFonts w:hint="eastAsia" w:asciiTheme="minorEastAsia" w:hAnsiTheme="minorEastAsia" w:eastAsiaTheme="minorEastAsia"/>
                <w:b w:val="0"/>
                <w:color w:val="auto"/>
                <w:sz w:val="24"/>
                <w:highlight w:val="none"/>
                <w:u w:val="single"/>
              </w:rPr>
              <w:t>残疾人福利性单位声明函</w:t>
            </w:r>
            <w:r>
              <w:rPr>
                <w:rFonts w:hint="eastAsia" w:asciiTheme="minorEastAsia" w:hAnsiTheme="minorEastAsia" w:eastAsiaTheme="minorEastAsia"/>
                <w:b w:val="0"/>
                <w:color w:val="auto"/>
                <w:sz w:val="24"/>
                <w:highlight w:val="none"/>
              </w:rPr>
              <w:t>；</w:t>
            </w:r>
            <w:r>
              <w:rPr>
                <w:rFonts w:hint="eastAsia" w:asciiTheme="minorEastAsia" w:hAnsiTheme="minorEastAsia" w:eastAsiaTheme="minorEastAsia"/>
                <w:b w:val="0"/>
                <w:i/>
                <w:iCs/>
                <w:color w:val="auto"/>
                <w:sz w:val="24"/>
                <w:highlight w:val="none"/>
              </w:rPr>
              <w:t>（如有）</w:t>
            </w:r>
          </w:p>
          <w:p w14:paraId="2FC52EE7">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eastAsia="宋体" w:asciiTheme="minorEastAsia" w:hAnsiTheme="minorEastAsia"/>
                <w:b w:val="0"/>
                <w:bCs w:val="0"/>
                <w:color w:val="auto"/>
                <w:sz w:val="24"/>
                <w:szCs w:val="24"/>
                <w:highlight w:val="none"/>
                <w:lang w:eastAsia="zh-CN"/>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rPr>
              <w:t>）因落实政府采购政策等原因进行价格扣除后成交供应商的评审报价</w:t>
            </w:r>
            <w:r>
              <w:rPr>
                <w:rFonts w:hint="eastAsia" w:ascii="宋体" w:hAnsi="宋体" w:eastAsia="宋体"/>
                <w:b w:val="0"/>
                <w:color w:val="auto"/>
                <w:sz w:val="24"/>
                <w:highlight w:val="none"/>
                <w:u w:val="none"/>
                <w:lang w:eastAsia="zh-CN"/>
              </w:rPr>
              <w:t>。</w:t>
            </w:r>
          </w:p>
        </w:tc>
      </w:tr>
      <w:tr w14:paraId="468D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74BA744E">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2</w:t>
            </w:r>
            <w:r>
              <w:rPr>
                <w:rFonts w:hint="eastAsia" w:asciiTheme="minorEastAsia" w:hAnsiTheme="minorEastAsia" w:eastAsiaTheme="minorEastAsia"/>
                <w:bCs/>
                <w:color w:val="auto"/>
                <w:kern w:val="2"/>
                <w:highlight w:val="none"/>
                <w:lang w:val="en-US" w:eastAsia="zh-CN"/>
              </w:rPr>
              <w:t>1</w:t>
            </w:r>
            <w:r>
              <w:rPr>
                <w:rFonts w:asciiTheme="minorEastAsia" w:hAnsiTheme="minorEastAsia" w:eastAsiaTheme="minorEastAsia"/>
                <w:bCs/>
                <w:color w:val="auto"/>
                <w:kern w:val="2"/>
                <w:highlight w:val="none"/>
              </w:rPr>
              <w:t>.1</w:t>
            </w:r>
          </w:p>
        </w:tc>
        <w:tc>
          <w:tcPr>
            <w:tcW w:w="1148" w:type="pct"/>
            <w:vAlign w:val="center"/>
          </w:tcPr>
          <w:p w14:paraId="1E8F8DAC">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成交通知书发出的形式</w:t>
            </w:r>
          </w:p>
        </w:tc>
        <w:tc>
          <w:tcPr>
            <w:tcW w:w="3282" w:type="pct"/>
            <w:vAlign w:val="center"/>
          </w:tcPr>
          <w:p w14:paraId="03CB624F">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 xml:space="preserve">□书面 </w:t>
            </w:r>
            <w:r>
              <w:rPr>
                <w:rFonts w:asciiTheme="minorEastAsia" w:hAnsiTheme="minorEastAsia" w:eastAsiaTheme="minorEastAsia"/>
                <w:b w:val="0"/>
                <w:color w:val="auto"/>
                <w:sz w:val="24"/>
                <w:highlight w:val="none"/>
              </w:rPr>
              <w:t xml:space="preserve">    </w:t>
            </w:r>
            <w:r>
              <w:rPr>
                <w:rFonts w:hint="eastAsia" w:asciiTheme="minorEastAsia" w:hAnsiTheme="minorEastAsia" w:eastAsiaTheme="minorEastAsia"/>
                <w:b w:val="0"/>
                <w:bCs w:val="0"/>
                <w:color w:val="auto"/>
                <w:sz w:val="24"/>
                <w:szCs w:val="24"/>
                <w:highlight w:val="none"/>
              </w:rPr>
              <w:sym w:font="Wingdings" w:char="00FE"/>
            </w:r>
            <w:r>
              <w:rPr>
                <w:rFonts w:hint="eastAsia" w:asciiTheme="minorEastAsia" w:hAnsiTheme="minorEastAsia" w:eastAsiaTheme="minorEastAsia"/>
                <w:b w:val="0"/>
                <w:color w:val="auto"/>
                <w:sz w:val="24"/>
                <w:highlight w:val="none"/>
              </w:rPr>
              <w:t>数据电文</w:t>
            </w:r>
          </w:p>
        </w:tc>
      </w:tr>
      <w:tr w14:paraId="06944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20E74165">
            <w:pPr>
              <w:pStyle w:val="46"/>
              <w:pBdr>
                <w:bottom w:val="none" w:color="auto" w:sz="0" w:space="0"/>
              </w:pBdr>
              <w:tabs>
                <w:tab w:val="clear" w:pos="4153"/>
                <w:tab w:val="clear" w:pos="8306"/>
              </w:tabs>
              <w:adjustRightInd/>
              <w:spacing w:line="240" w:lineRule="auto"/>
              <w:textAlignment w:val="auto"/>
              <w:rPr>
                <w:rFonts w:hint="eastAsia" w:ascii="宋体" w:hAnsi="宋体" w:eastAsia="宋体" w:cstheme="minorBidi"/>
                <w:bCs/>
                <w:color w:val="auto"/>
                <w:kern w:val="2"/>
                <w:sz w:val="24"/>
                <w:szCs w:val="20"/>
                <w:highlight w:val="none"/>
                <w:lang w:val="en-US" w:eastAsia="zh-CN" w:bidi="ar-SA"/>
              </w:rPr>
            </w:pPr>
            <w:r>
              <w:rPr>
                <w:rFonts w:hint="eastAsia" w:ascii="宋体" w:hAnsi="宋体" w:eastAsia="宋体" w:cs="宋体"/>
                <w:b w:val="0"/>
                <w:bCs/>
                <w:color w:val="auto"/>
                <w:sz w:val="24"/>
                <w:szCs w:val="24"/>
                <w:highlight w:val="none"/>
                <w:lang w:val="en-US" w:eastAsia="zh-CN"/>
              </w:rPr>
              <w:t>22.1</w:t>
            </w:r>
          </w:p>
        </w:tc>
        <w:tc>
          <w:tcPr>
            <w:tcW w:w="1148" w:type="pct"/>
            <w:vAlign w:val="center"/>
          </w:tcPr>
          <w:p w14:paraId="29081E82">
            <w:pPr>
              <w:pStyle w:val="45"/>
              <w:widowControl w:val="0"/>
              <w:spacing w:before="0" w:beforeAutospacing="0" w:after="0" w:afterAutospacing="0" w:line="360" w:lineRule="auto"/>
              <w:jc w:val="both"/>
              <w:rPr>
                <w:rFonts w:hint="eastAsia" w:ascii="宋体" w:hAnsi="宋体" w:eastAsia="宋体" w:cstheme="minorBidi"/>
                <w:b w:val="0"/>
                <w:bCs/>
                <w:color w:val="auto"/>
                <w:kern w:val="0"/>
                <w:sz w:val="24"/>
                <w:szCs w:val="28"/>
                <w:highlight w:val="none"/>
                <w:lang w:val="en-US" w:eastAsia="zh-CN" w:bidi="ar-SA"/>
              </w:rPr>
            </w:pPr>
            <w:r>
              <w:rPr>
                <w:rFonts w:hint="eastAsia" w:ascii="宋体" w:hAnsi="宋体" w:eastAsia="宋体" w:cs="宋体"/>
                <w:b w:val="0"/>
                <w:bCs/>
                <w:color w:val="auto"/>
                <w:sz w:val="24"/>
                <w:szCs w:val="24"/>
                <w:highlight w:val="none"/>
                <w:lang w:val="en-US" w:eastAsia="zh-CN"/>
              </w:rPr>
              <w:t>告知询价结果的形式</w:t>
            </w:r>
          </w:p>
        </w:tc>
        <w:tc>
          <w:tcPr>
            <w:tcW w:w="3282" w:type="pct"/>
            <w:vAlign w:val="center"/>
          </w:tcPr>
          <w:p w14:paraId="2B6B9778">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sym w:font="Wingdings" w:char="00FE"/>
            </w:r>
            <w:r>
              <w:rPr>
                <w:rFonts w:hint="eastAsia" w:ascii="宋体" w:hAnsi="宋体" w:eastAsia="宋体" w:cs="宋体"/>
                <w:b w:val="0"/>
                <w:bCs/>
                <w:color w:val="auto"/>
                <w:sz w:val="24"/>
                <w:szCs w:val="24"/>
                <w:highlight w:val="none"/>
                <w:lang w:val="en-US" w:eastAsia="zh-CN"/>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ascii="宋体" w:hAnsi="宋体" w:eastAsia="宋体" w:cs="宋体"/>
                <w:b w:val="0"/>
                <w:bCs/>
                <w:color w:val="auto"/>
                <w:sz w:val="24"/>
                <w:szCs w:val="24"/>
                <w:highlight w:val="none"/>
                <w:lang w:val="en-US" w:eastAsia="zh-CN"/>
              </w:rPr>
              <w:t>系统查看</w:t>
            </w:r>
          </w:p>
          <w:p w14:paraId="4C6B9544">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lang w:val="en-US" w:eastAsia="zh-CN"/>
              </w:rPr>
            </w:pPr>
            <w:r>
              <w:rPr>
                <w:rFonts w:hint="eastAsia" w:ascii="宋体" w:hAnsi="宋体" w:eastAsia="宋体" w:cs="宋体"/>
                <w:b w:val="0"/>
                <w:bCs/>
                <w:color w:val="auto"/>
                <w:sz w:val="24"/>
                <w:szCs w:val="24"/>
                <w:highlight w:val="none"/>
                <w:lang w:val="en-US" w:eastAsia="zh-CN"/>
              </w:rPr>
              <w:t>□</w:t>
            </w:r>
            <w:r>
              <w:rPr>
                <w:rFonts w:hint="eastAsia" w:ascii="宋体" w:hAnsi="宋体" w:eastAsia="宋体"/>
                <w:b w:val="0"/>
                <w:color w:val="auto"/>
                <w:sz w:val="24"/>
                <w:highlight w:val="none"/>
                <w:lang w:val="en-US" w:eastAsia="zh-CN"/>
              </w:rPr>
              <w:t>询价现场告知</w:t>
            </w:r>
          </w:p>
        </w:tc>
      </w:tr>
      <w:tr w14:paraId="62D7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6DA8E473">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inorEastAsia" w:hAnsiTheme="minorEastAsia" w:eastAsiaTheme="minorEastAsia"/>
                <w:bCs/>
                <w:color w:val="auto"/>
                <w:kern w:val="2"/>
                <w:highlight w:val="none"/>
              </w:rPr>
              <w:t>2</w:t>
            </w:r>
            <w:r>
              <w:rPr>
                <w:rFonts w:hint="eastAsia" w:asciiTheme="minorEastAsia" w:hAnsiTheme="minorEastAsia" w:eastAsiaTheme="minorEastAsia"/>
                <w:bCs/>
                <w:color w:val="auto"/>
                <w:kern w:val="2"/>
                <w:highlight w:val="none"/>
                <w:lang w:val="en-US" w:eastAsia="zh-CN"/>
              </w:rPr>
              <w:t>3</w:t>
            </w:r>
            <w:r>
              <w:rPr>
                <w:rFonts w:asciiTheme="minorEastAsia" w:hAnsiTheme="minorEastAsia" w:eastAsiaTheme="minorEastAsia"/>
                <w:bCs/>
                <w:color w:val="auto"/>
                <w:kern w:val="2"/>
                <w:highlight w:val="none"/>
              </w:rPr>
              <w:t>.1</w:t>
            </w:r>
          </w:p>
        </w:tc>
        <w:tc>
          <w:tcPr>
            <w:tcW w:w="1148" w:type="pct"/>
            <w:vAlign w:val="center"/>
          </w:tcPr>
          <w:p w14:paraId="46C8C9EA">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履约保证金</w:t>
            </w:r>
          </w:p>
        </w:tc>
        <w:tc>
          <w:tcPr>
            <w:tcW w:w="3282" w:type="pct"/>
          </w:tcPr>
          <w:p w14:paraId="7EDC787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5225812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47DCFA7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1BF94A6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442DB0F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683D3C5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169FE0E5">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659EF985">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p>
          <w:p w14:paraId="71DF47EB">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p>
          <w:p w14:paraId="521A119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7713426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5B1970BB">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color w:val="auto"/>
                <w:sz w:val="24"/>
                <w:highlight w:val="none"/>
              </w:rPr>
            </w:pPr>
            <w:r>
              <w:rPr>
                <w:rFonts w:hint="eastAsia" w:ascii="宋体" w:hAnsi="宋体" w:eastAsia="宋体"/>
                <w:bCs w:val="0"/>
                <w:color w:val="auto"/>
                <w:sz w:val="24"/>
                <w:szCs w:val="24"/>
                <w:highlight w:val="none"/>
              </w:rPr>
              <w:t>（2）以担保函、保证保险形式缴纳履约保证金的，受益人和收取单位须为采购人。</w:t>
            </w:r>
          </w:p>
        </w:tc>
      </w:tr>
      <w:tr w14:paraId="6F885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6E629F3B">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inorEastAsia" w:hAnsiTheme="minorEastAsia" w:eastAsiaTheme="minorEastAsia"/>
                <w:bCs/>
                <w:color w:val="auto"/>
                <w:kern w:val="2"/>
                <w:highlight w:val="none"/>
              </w:rPr>
              <w:t>2</w:t>
            </w:r>
            <w:r>
              <w:rPr>
                <w:rFonts w:hint="eastAsia" w:asciiTheme="minorEastAsia" w:hAnsiTheme="minorEastAsia" w:eastAsiaTheme="minorEastAsia"/>
                <w:bCs/>
                <w:color w:val="auto"/>
                <w:kern w:val="2"/>
                <w:highlight w:val="none"/>
                <w:lang w:val="en-US" w:eastAsia="zh-CN"/>
              </w:rPr>
              <w:t>4</w:t>
            </w:r>
            <w:r>
              <w:rPr>
                <w:rFonts w:asciiTheme="minorEastAsia" w:hAnsiTheme="minorEastAsia" w:eastAsiaTheme="minorEastAsia"/>
                <w:bCs/>
                <w:color w:val="auto"/>
                <w:kern w:val="2"/>
                <w:highlight w:val="none"/>
              </w:rPr>
              <w:t>.1</w:t>
            </w:r>
          </w:p>
        </w:tc>
        <w:tc>
          <w:tcPr>
            <w:tcW w:w="1148" w:type="pct"/>
            <w:vAlign w:val="center"/>
          </w:tcPr>
          <w:p w14:paraId="02DB1DAB">
            <w:pPr>
              <w:pStyle w:val="45"/>
              <w:widowControl w:val="0"/>
              <w:spacing w:before="0" w:beforeAutospacing="0" w:after="0" w:afterAutospacing="0" w:line="360" w:lineRule="auto"/>
              <w:jc w:val="both"/>
              <w:rPr>
                <w:rFonts w:hint="default" w:asciiTheme="minorEastAsia" w:hAnsiTheme="minorEastAsia" w:eastAsiaTheme="minorEastAsia"/>
                <w:b w:val="0"/>
                <w:color w:val="auto"/>
                <w:sz w:val="24"/>
                <w:highlight w:val="none"/>
                <w:lang w:val="en-US" w:eastAsia="zh-CN"/>
              </w:rPr>
            </w:pPr>
            <w:r>
              <w:rPr>
                <w:rFonts w:hint="eastAsia" w:asciiTheme="minorEastAsia" w:hAnsiTheme="minorEastAsia" w:eastAsiaTheme="minorEastAsia"/>
                <w:b w:val="0"/>
                <w:color w:val="auto"/>
                <w:sz w:val="24"/>
                <w:highlight w:val="none"/>
                <w:lang w:val="en-US" w:eastAsia="zh-CN"/>
              </w:rPr>
              <w:t>代理费用</w:t>
            </w:r>
          </w:p>
        </w:tc>
        <w:tc>
          <w:tcPr>
            <w:tcW w:w="3282" w:type="pct"/>
            <w:vAlign w:val="center"/>
          </w:tcPr>
          <w:p w14:paraId="65A922E6">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cs="宋体"/>
                <w:color w:val="auto"/>
                <w:spacing w:val="14"/>
                <w:sz w:val="24"/>
                <w:szCs w:val="24"/>
                <w:highlight w:val="none"/>
                <w:lang w:val="en-US" w:eastAsia="zh-CN"/>
              </w:rPr>
              <w:t>成交供应商</w:t>
            </w:r>
          </w:p>
          <w:p w14:paraId="6C3ADBE6">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w:t>
            </w:r>
            <w:r>
              <w:rPr>
                <w:rFonts w:ascii="宋体" w:hAnsi="宋体" w:eastAsia="宋体" w:cs="宋体"/>
                <w:color w:val="auto"/>
                <w:sz w:val="24"/>
                <w:szCs w:val="24"/>
                <w:highlight w:val="none"/>
                <w:u w:val="single" w:color="auto"/>
              </w:rPr>
              <w:t xml:space="preserve">  </w:t>
            </w:r>
          </w:p>
          <w:p w14:paraId="7F67AF6D">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b w:val="0"/>
                <w:bCs w:val="0"/>
                <w:color w:val="auto"/>
                <w:kern w:val="2"/>
                <w:sz w:val="24"/>
                <w:szCs w:val="24"/>
                <w:highlight w:val="none"/>
                <w:u w:val="single" w:color="auto"/>
                <w:lang w:val="en-US" w:eastAsia="zh-CN" w:bidi="ar-SA"/>
              </w:rPr>
              <w:t>参考《滁州市公共资源交易代理机构及从业人员管理暂行办法》（滁公管〔2022〕5号）文件，以最高限价（控制价）计算。</w:t>
            </w:r>
          </w:p>
        </w:tc>
      </w:tr>
      <w:tr w14:paraId="364B5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7D068680">
            <w:pPr>
              <w:pStyle w:val="46"/>
              <w:pBdr>
                <w:bottom w:val="none" w:color="auto" w:sz="0" w:space="0"/>
              </w:pBdr>
              <w:tabs>
                <w:tab w:val="clear" w:pos="4153"/>
                <w:tab w:val="clear" w:pos="8306"/>
              </w:tabs>
              <w:adjustRightInd/>
              <w:spacing w:line="360" w:lineRule="auto"/>
              <w:textAlignment w:val="auto"/>
              <w:rPr>
                <w:rFonts w:hint="default"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25.1</w:t>
            </w:r>
          </w:p>
        </w:tc>
        <w:tc>
          <w:tcPr>
            <w:tcW w:w="1148" w:type="pct"/>
            <w:vAlign w:val="center"/>
          </w:tcPr>
          <w:p w14:paraId="1E5BAAC5">
            <w:pPr>
              <w:pStyle w:val="45"/>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282" w:type="pct"/>
            <w:vAlign w:val="center"/>
          </w:tcPr>
          <w:p w14:paraId="036876CD">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（1）采购人与成交供应商应当自发出成交通知书之日起7个工作日内签订合同，采购合同签订之日起2个工作日内完成政府采购合同公开。</w:t>
            </w:r>
          </w:p>
          <w:p w14:paraId="1968BDB1">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szCs w:val="24"/>
                <w:highlight w:val="none"/>
                <w:lang w:val="en-US" w:eastAsia="zh-CN"/>
              </w:rPr>
              <w:t>（2）采购人与成交供应商</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在安徽省政府采购网和滁州市公共资源交易中心网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0BBB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1F2508C5">
            <w:pPr>
              <w:pStyle w:val="46"/>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bCs/>
                <w:color w:val="auto"/>
                <w:kern w:val="2"/>
                <w:highlight w:val="none"/>
                <w:lang w:eastAsia="zh-CN"/>
              </w:rPr>
            </w:pPr>
            <w:r>
              <w:rPr>
                <w:rFonts w:hint="eastAsia" w:asciiTheme="minorEastAsia" w:hAnsiTheme="minorEastAsia" w:eastAsiaTheme="minorEastAsia"/>
                <w:bCs/>
                <w:color w:val="auto"/>
                <w:kern w:val="2"/>
                <w:highlight w:val="none"/>
                <w:lang w:val="en-US" w:eastAsia="zh-CN"/>
              </w:rPr>
              <w:t>27</w:t>
            </w:r>
            <w:r>
              <w:rPr>
                <w:rFonts w:asciiTheme="minorEastAsia" w:hAnsiTheme="minorEastAsia" w:eastAsiaTheme="minorEastAsia"/>
                <w:bCs/>
                <w:color w:val="auto"/>
                <w:kern w:val="2"/>
                <w:highlight w:val="none"/>
              </w:rPr>
              <w:t>.</w:t>
            </w:r>
            <w:r>
              <w:rPr>
                <w:rFonts w:hint="eastAsia" w:asciiTheme="minorEastAsia" w:hAnsiTheme="minorEastAsia" w:eastAsiaTheme="minorEastAsia"/>
                <w:bCs/>
                <w:color w:val="auto"/>
                <w:kern w:val="2"/>
                <w:highlight w:val="none"/>
                <w:lang w:val="en-US" w:eastAsia="zh-CN"/>
              </w:rPr>
              <w:t>3</w:t>
            </w:r>
          </w:p>
        </w:tc>
        <w:tc>
          <w:tcPr>
            <w:tcW w:w="1148" w:type="pct"/>
            <w:vAlign w:val="center"/>
          </w:tcPr>
          <w:p w14:paraId="5A381F1D">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5809" w:type="dxa"/>
            <w:vAlign w:val="center"/>
          </w:tcPr>
          <w:p w14:paraId="3F875809">
            <w:pPr>
              <w:pStyle w:val="4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递交方式：</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u w:val="single"/>
                <w:lang w:val="en-US" w:eastAsia="zh-CN"/>
              </w:rPr>
              <w:t>供应商</w:t>
            </w:r>
            <w:r>
              <w:rPr>
                <w:rFonts w:hint="eastAsia" w:ascii="宋体" w:hAnsi="宋体" w:eastAsia="宋体" w:cs="宋体"/>
                <w:bCs/>
                <w:color w:val="auto"/>
                <w:kern w:val="0"/>
                <w:sz w:val="24"/>
                <w:szCs w:val="28"/>
                <w:highlight w:val="none"/>
                <w:u w:val="single"/>
              </w:rPr>
              <w:t xml:space="preserve">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  </w:t>
            </w:r>
          </w:p>
          <w:p w14:paraId="3C3DCAC3">
            <w:pPr>
              <w:pStyle w:val="4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接收部门：</w:t>
            </w:r>
            <w:r>
              <w:rPr>
                <w:rFonts w:hint="eastAsia" w:ascii="宋体" w:hAnsi="宋体" w:eastAsia="宋体" w:cs="宋体"/>
                <w:bCs/>
                <w:color w:val="auto"/>
                <w:kern w:val="0"/>
                <w:sz w:val="24"/>
                <w:szCs w:val="28"/>
                <w:highlight w:val="none"/>
                <w:u w:val="single"/>
                <w:lang w:val="en-US" w:eastAsia="zh-CN"/>
              </w:rPr>
              <w:t>滁州市军供保障中心、滁州市政府采购中心</w:t>
            </w:r>
            <w:r>
              <w:rPr>
                <w:rFonts w:hint="eastAsia" w:ascii="宋体" w:hAnsi="宋体" w:eastAsia="宋体" w:cs="宋体"/>
                <w:bCs/>
                <w:color w:val="auto"/>
                <w:kern w:val="0"/>
                <w:sz w:val="24"/>
                <w:szCs w:val="28"/>
                <w:highlight w:val="none"/>
                <w:u w:val="single"/>
              </w:rPr>
              <w:t xml:space="preserve">  </w:t>
            </w:r>
          </w:p>
          <w:p w14:paraId="5127A01B">
            <w:pPr>
              <w:pStyle w:val="4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联系电话：</w:t>
            </w:r>
            <w:r>
              <w:rPr>
                <w:rFonts w:hint="eastAsia" w:ascii="宋体" w:hAnsi="宋体" w:eastAsia="宋体" w:cs="宋体"/>
                <w:bCs/>
                <w:color w:val="auto"/>
                <w:kern w:val="0"/>
                <w:sz w:val="24"/>
                <w:szCs w:val="28"/>
                <w:highlight w:val="none"/>
                <w:u w:val="single"/>
                <w:lang w:eastAsia="zh-CN"/>
              </w:rPr>
              <w:t>15605514681</w:t>
            </w:r>
            <w:r>
              <w:rPr>
                <w:rFonts w:hint="eastAsia" w:ascii="宋体" w:hAnsi="宋体" w:eastAsia="宋体" w:cs="宋体"/>
                <w:bCs/>
                <w:color w:val="auto"/>
                <w:kern w:val="0"/>
                <w:sz w:val="24"/>
                <w:szCs w:val="28"/>
                <w:highlight w:val="none"/>
                <w:u w:val="single"/>
              </w:rPr>
              <w:t>、0550-35195</w:t>
            </w:r>
            <w:r>
              <w:rPr>
                <w:rFonts w:hint="eastAsia" w:ascii="宋体" w:hAnsi="宋体" w:eastAsia="宋体" w:cs="宋体"/>
                <w:bCs/>
                <w:color w:val="auto"/>
                <w:kern w:val="0"/>
                <w:sz w:val="24"/>
                <w:szCs w:val="28"/>
                <w:highlight w:val="none"/>
                <w:u w:val="single"/>
                <w:lang w:val="en-US" w:eastAsia="zh-CN"/>
              </w:rPr>
              <w:t>17</w:t>
            </w:r>
          </w:p>
          <w:p w14:paraId="2ADD4A94">
            <w:pPr>
              <w:pStyle w:val="45"/>
              <w:keepNext w:val="0"/>
              <w:keepLines w:val="0"/>
              <w:widowControl w:val="0"/>
              <w:suppressLineNumbers w:val="0"/>
              <w:spacing w:before="0" w:beforeAutospacing="0" w:after="0" w:afterAutospacing="0" w:line="360" w:lineRule="auto"/>
              <w:ind w:left="0" w:leftChars="0" w:right="0" w:rightChars="0"/>
              <w:jc w:val="both"/>
              <w:rPr>
                <w:rFonts w:asciiTheme="minorEastAsia" w:hAnsiTheme="minorEastAsia" w:eastAsiaTheme="minorEastAsia"/>
                <w:b w:val="0"/>
                <w:color w:val="auto"/>
                <w:sz w:val="24"/>
                <w:highlight w:val="none"/>
              </w:rPr>
            </w:pPr>
            <w:r>
              <w:rPr>
                <w:rFonts w:hint="eastAsia" w:ascii="宋体" w:hAnsi="宋体" w:eastAsia="宋体" w:cs="宋体"/>
                <w:b w:val="0"/>
                <w:color w:val="auto"/>
                <w:sz w:val="24"/>
                <w:highlight w:val="none"/>
              </w:rPr>
              <w:t>通讯地址：</w:t>
            </w:r>
            <w:r>
              <w:rPr>
                <w:rFonts w:hint="eastAsia" w:ascii="宋体" w:hAnsi="宋体" w:eastAsia="宋体" w:cs="宋体"/>
                <w:bCs/>
                <w:color w:val="auto"/>
                <w:kern w:val="0"/>
                <w:sz w:val="24"/>
                <w:szCs w:val="28"/>
                <w:highlight w:val="none"/>
                <w:u w:val="single"/>
                <w:lang w:eastAsia="zh-CN"/>
              </w:rPr>
              <w:t>滁州市琅琊区黄山路10号</w:t>
            </w:r>
            <w:r>
              <w:rPr>
                <w:rFonts w:hint="eastAsia" w:ascii="宋体" w:hAnsi="宋体" w:eastAsia="宋体" w:cs="宋体"/>
                <w:bCs/>
                <w:color w:val="auto"/>
                <w:kern w:val="0"/>
                <w:sz w:val="24"/>
                <w:szCs w:val="28"/>
                <w:highlight w:val="none"/>
                <w:u w:val="single"/>
                <w:lang w:val="en-US" w:eastAsia="zh-CN"/>
              </w:rPr>
              <w:t>、</w:t>
            </w:r>
            <w:r>
              <w:rPr>
                <w:rFonts w:hint="eastAsia" w:ascii="宋体" w:hAnsi="宋体" w:eastAsia="宋体" w:cs="宋体"/>
                <w:bCs/>
                <w:color w:val="auto"/>
                <w:kern w:val="0"/>
                <w:sz w:val="24"/>
                <w:szCs w:val="28"/>
                <w:highlight w:val="none"/>
                <w:u w:val="single"/>
                <w:lang w:eastAsia="zh-CN"/>
              </w:rPr>
              <w:t>滁州市龙蟠大道109号房产商务大厦</w:t>
            </w:r>
            <w:r>
              <w:rPr>
                <w:rFonts w:hint="eastAsia" w:ascii="宋体" w:hAnsi="宋体" w:eastAsia="宋体" w:cs="宋体"/>
                <w:bCs/>
                <w:color w:val="auto"/>
                <w:kern w:val="0"/>
                <w:sz w:val="24"/>
                <w:szCs w:val="28"/>
                <w:highlight w:val="none"/>
                <w:u w:val="single"/>
                <w:lang w:val="en-US" w:eastAsia="zh-CN"/>
              </w:rPr>
              <w:t>二</w:t>
            </w:r>
            <w:r>
              <w:rPr>
                <w:rFonts w:hint="eastAsia" w:ascii="宋体" w:hAnsi="宋体" w:eastAsia="宋体" w:cs="宋体"/>
                <w:bCs/>
                <w:color w:val="auto"/>
                <w:kern w:val="0"/>
                <w:sz w:val="24"/>
                <w:szCs w:val="28"/>
                <w:highlight w:val="none"/>
                <w:u w:val="single"/>
              </w:rPr>
              <w:t xml:space="preserve">楼  </w:t>
            </w:r>
          </w:p>
        </w:tc>
      </w:tr>
      <w:tr w14:paraId="101C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0DA6BEB1">
            <w:pPr>
              <w:pStyle w:val="46"/>
              <w:pBdr>
                <w:bottom w:val="none" w:color="auto" w:sz="0" w:space="0"/>
              </w:pBdr>
              <w:tabs>
                <w:tab w:val="clear" w:pos="4153"/>
                <w:tab w:val="clear" w:pos="8306"/>
              </w:tabs>
              <w:adjustRightInd/>
              <w:spacing w:line="240" w:lineRule="auto"/>
              <w:textAlignment w:val="auto"/>
              <w:rPr>
                <w:rFonts w:hint="default" w:asciiTheme="minorEastAsia" w:hAnsiTheme="minorEastAsia" w:eastAsiaTheme="minorEastAsia"/>
                <w:bCs/>
                <w:color w:val="auto"/>
                <w:kern w:val="2"/>
                <w:highlight w:val="none"/>
                <w:lang w:val="en-US" w:eastAsia="zh-CN"/>
              </w:rPr>
            </w:pPr>
            <w:r>
              <w:rPr>
                <w:rFonts w:hint="eastAsia" w:asciiTheme="minorEastAsia" w:hAnsiTheme="minorEastAsia" w:eastAsiaTheme="minorEastAsia"/>
                <w:bCs/>
                <w:color w:val="auto"/>
                <w:kern w:val="2"/>
                <w:highlight w:val="none"/>
                <w:lang w:val="en-US" w:eastAsia="zh-CN"/>
              </w:rPr>
              <w:t>28</w:t>
            </w:r>
          </w:p>
        </w:tc>
        <w:tc>
          <w:tcPr>
            <w:tcW w:w="1148" w:type="pct"/>
            <w:vAlign w:val="center"/>
          </w:tcPr>
          <w:p w14:paraId="113D6E0B">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其他内容</w:t>
            </w:r>
          </w:p>
        </w:tc>
        <w:tc>
          <w:tcPr>
            <w:tcW w:w="3282" w:type="pct"/>
            <w:vAlign w:val="center"/>
          </w:tcPr>
          <w:p w14:paraId="46F64188">
            <w:pPr>
              <w:pStyle w:val="4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5AB4961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询价通知书</w:t>
            </w:r>
            <w:r>
              <w:rPr>
                <w:rFonts w:asciiTheme="minorEastAsia" w:hAnsiTheme="minorEastAsia" w:eastAsiaTheme="minorEastAsia"/>
                <w:bCs/>
                <w:color w:val="auto"/>
                <w:sz w:val="24"/>
                <w:szCs w:val="24"/>
                <w:highlight w:val="none"/>
              </w:rPr>
              <w:t>的各个组成文件应互为解释，互为说明；</w:t>
            </w:r>
          </w:p>
          <w:p w14:paraId="00FBBB84">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0B0C516F">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73AD90D0">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询价通知书</w:t>
            </w:r>
            <w:r>
              <w:rPr>
                <w:rFonts w:asciiTheme="minorEastAsia" w:hAnsiTheme="minorEastAsia" w:eastAsiaTheme="minorEastAsia"/>
                <w:bCs/>
                <w:color w:val="auto"/>
                <w:sz w:val="24"/>
                <w:szCs w:val="24"/>
                <w:highlight w:val="none"/>
              </w:rPr>
              <w:t>中有特别规定外，仅适用于</w:t>
            </w:r>
            <w:r>
              <w:rPr>
                <w:rFonts w:hint="eastAsia" w:asciiTheme="minorEastAsia" w:hAnsiTheme="minorEastAsia" w:eastAsiaTheme="minorEastAsia"/>
                <w:bCs/>
                <w:color w:val="auto"/>
                <w:sz w:val="24"/>
                <w:szCs w:val="24"/>
                <w:highlight w:val="none"/>
              </w:rPr>
              <w:t>询价及响应文件提交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询价</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询价邀请、供应商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461D5EB4">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rPr>
              <w:t>（5）</w:t>
            </w:r>
            <w:r>
              <w:rPr>
                <w:rFonts w:asciiTheme="minorEastAsia" w:hAnsiTheme="minorEastAsia" w:eastAsiaTheme="minorEastAsia"/>
                <w:b w:val="0"/>
                <w:bCs w:val="0"/>
                <w:color w:val="auto"/>
                <w:sz w:val="24"/>
                <w:szCs w:val="24"/>
                <w:highlight w:val="none"/>
              </w:rPr>
              <w:t>按本款前述规定仍不能形成结论的，由</w:t>
            </w:r>
            <w:r>
              <w:rPr>
                <w:rFonts w:hint="eastAsia" w:asciiTheme="minorEastAsia" w:hAnsiTheme="minorEastAsia" w:eastAsiaTheme="minorEastAsia"/>
                <w:b w:val="0"/>
                <w:bCs w:val="0"/>
                <w:color w:val="auto"/>
                <w:sz w:val="24"/>
                <w:szCs w:val="24"/>
                <w:highlight w:val="none"/>
              </w:rPr>
              <w:t>采购</w:t>
            </w:r>
            <w:r>
              <w:rPr>
                <w:rFonts w:asciiTheme="minorEastAsia" w:hAnsiTheme="minorEastAsia" w:eastAsiaTheme="minorEastAsia"/>
                <w:b w:val="0"/>
                <w:bCs w:val="0"/>
                <w:color w:val="auto"/>
                <w:sz w:val="24"/>
                <w:szCs w:val="24"/>
                <w:highlight w:val="none"/>
              </w:rPr>
              <w:t>人负责解释。</w:t>
            </w:r>
          </w:p>
          <w:p w14:paraId="0F044383">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成交供应商</w:t>
            </w:r>
            <w:r>
              <w:rPr>
                <w:rFonts w:hint="eastAsia" w:asciiTheme="minorEastAsia" w:hAnsiTheme="minorEastAsia" w:eastAsiaTheme="minorEastAsia"/>
                <w:bCs/>
                <w:color w:val="auto"/>
                <w:sz w:val="24"/>
                <w:szCs w:val="24"/>
                <w:highlight w:val="none"/>
              </w:rPr>
              <w:t>融资申请信息推送第三方平台、意向金融机构。</w:t>
            </w:r>
          </w:p>
          <w:p w14:paraId="70617474">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3、电子保函指引：成交供应商可访问安徽省政府采购网“融资/保函”栏目，申请办理电子保函（包括：履约保函、预付款保函）。</w:t>
            </w:r>
          </w:p>
          <w:p w14:paraId="5C64566C">
            <w:pPr>
              <w:pStyle w:val="23"/>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val="0"/>
                <w:bCs/>
                <w:color w:val="auto"/>
                <w:kern w:val="2"/>
                <w:sz w:val="24"/>
                <w:szCs w:val="24"/>
                <w:highlight w:val="none"/>
              </w:rPr>
            </w:pPr>
            <w:r>
              <w:rPr>
                <w:rFonts w:hint="eastAsia" w:cs="@仿宋_GB2312" w:asciiTheme="minorEastAsia" w:hAnsiTheme="minorEastAsia" w:eastAsiaTheme="minorEastAsia"/>
                <w:b w:val="0"/>
                <w:bCs/>
                <w:color w:val="auto"/>
                <w:kern w:val="2"/>
                <w:sz w:val="24"/>
                <w:szCs w:val="24"/>
                <w:highlight w:val="none"/>
                <w:lang w:val="en-US" w:eastAsia="zh-CN" w:bidi="ar-SA"/>
              </w:rPr>
              <w:t>4.</w:t>
            </w:r>
            <w:r>
              <w:rPr>
                <w:rFonts w:hint="eastAsia" w:ascii="宋体" w:hAnsi="宋体" w:eastAsia="宋体" w:cs="宋体"/>
                <w:b w:val="0"/>
                <w:bCs/>
                <w:color w:val="auto"/>
                <w:kern w:val="2"/>
                <w:sz w:val="24"/>
                <w:szCs w:val="24"/>
                <w:highlight w:val="none"/>
                <w:lang w:val="en-US" w:eastAsia="zh-CN" w:bidi="ar"/>
              </w:rPr>
              <w:t>部分可提供线下政采贷的金融机构：</w:t>
            </w:r>
          </w:p>
          <w:p w14:paraId="5B26E6DE">
            <w:pPr>
              <w:pStyle w:val="23"/>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市本级</w:t>
            </w:r>
          </w:p>
          <w:p w14:paraId="0C0929CD">
            <w:pPr>
              <w:pStyle w:val="23"/>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金融机构名称：兴业银行滁州分行</w:t>
            </w:r>
          </w:p>
          <w:p w14:paraId="6F270C74">
            <w:pPr>
              <w:pStyle w:val="23"/>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安徽省滁州市琅琊区丰乐大道1090号</w:t>
            </w:r>
          </w:p>
          <w:p w14:paraId="2749231C">
            <w:pPr>
              <w:pStyle w:val="23"/>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伏庚：17755080811</w:t>
            </w:r>
          </w:p>
          <w:p w14:paraId="183BC51A">
            <w:pPr>
              <w:pStyle w:val="23"/>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5.特别提示：</w:t>
            </w:r>
          </w:p>
          <w:p w14:paraId="6106BDFF">
            <w:pPr>
              <w:pStyle w:val="23"/>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（1）供应商应填写信息并下载询价通知书，否则无法上传响应文件。</w:t>
            </w:r>
          </w:p>
          <w:p w14:paraId="3926000F">
            <w:pPr>
              <w:pStyle w:val="23"/>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注：供应商如为联合体的，牵头人必须完善投标人信息，并在上传响应文件环节添加联合体投标信息。</w:t>
            </w:r>
          </w:p>
          <w:p w14:paraId="5121F218">
            <w:pPr>
              <w:pStyle w:val="23"/>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2）本项目采用电子招标投标，请供应商在滁州市公共资源交易中心网&gt;服务指南&gt;软件下载栏目点击下载投标文件制作工具。供应商需采用最新版投标文件制作工具。软件运行需在国际互联网络通畅状态，供应商需注意更新，以免造成投标文件制作错误，如因此导致评标委员会否决其投标，责任自负。如有技术问题请联系0550-3801701，4009980000。</w:t>
            </w:r>
          </w:p>
          <w:p w14:paraId="2CDA0B3F">
            <w:pPr>
              <w:pStyle w:val="23"/>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（3）如果过程中出现询价通知书更改，应以最后发布的答疑澄清文件中的模板制作本项目最新响应文件。</w:t>
            </w:r>
          </w:p>
          <w:p w14:paraId="4FC3A05B">
            <w:pPr>
              <w:pStyle w:val="23"/>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 xml:space="preserve">（4）供应商应当用本单位CA数字证书制作响应文件，制作成功后进行响应文件上传。 </w:t>
            </w:r>
          </w:p>
          <w:p w14:paraId="13C9607C">
            <w:pPr>
              <w:pStyle w:val="23"/>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5）供应商须用CA数字证书盖章和加密响应文件，建议使用主锁。（如未办理CA数字证书请及时办理，网上办理和窗口办理均可。查看办理所需资料请登录滁州市公共资源交易中心网&gt;服务指南&gt;办事指南&gt;CA数字证书和电子签章。因未及时办理CA数字证书手续导致无法参与的，责任自负。</w:t>
            </w:r>
          </w:p>
          <w:p w14:paraId="0D20EAC3">
            <w:pPr>
              <w:pStyle w:val="23"/>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（6）请供应商注意加密响应文件CA数字证书的有效期，不在有效期的CA数字证书无法解密响应文件。</w:t>
            </w:r>
          </w:p>
          <w:p w14:paraId="1B4EA465">
            <w:pPr>
              <w:pStyle w:val="23"/>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（7）供应商响应MAC地址或供应商联系人或联系电话相同的，由询价小组否决其响应，并报告监管部门作不良行为处理和进一步调查。</w:t>
            </w:r>
          </w:p>
          <w:p w14:paraId="3EB568F4">
            <w:pPr>
              <w:pStyle w:val="23"/>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（8）供应商单方面出现其他供应商材料的，由询价小组否决其响应。</w:t>
            </w:r>
          </w:p>
          <w:p w14:paraId="68FA9B6B">
            <w:pPr>
              <w:pStyle w:val="23"/>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9）评审时查询响应文件制作机器码、文件创建标识码及造价软件加密锁号。若存在响应文件制作机器码或创建标识码或造价软件加密锁号信息与其他供应商雷同的，由询价小组否决其响应，依法依规予以处理。</w:t>
            </w:r>
          </w:p>
          <w:p w14:paraId="73E1E09D">
            <w:pPr>
              <w:pStyle w:val="23"/>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10）电子加密投标文件上传到系统后，需要供应商和代理公司到开标截止时间后共同解锁，不存在商务报价等信息通过系统泄密的风险；响应截止时间前，已上传的响应文件也可以撤回修改。集中到开标截止时间前上传电子加密响应文件，可能出现由于供应商制作电子投标文件不熟练、网络拥堵等不可预知的情况而且无法及时解决，丧失响应机会，请各供应商提前制作、上传电子加密响应文件，否则由于无法及时上传电子加密响应文件而无效响应的情况，责任自负！</w:t>
            </w:r>
          </w:p>
          <w:p w14:paraId="07675A05">
            <w:pPr>
              <w:pStyle w:val="23"/>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6.评标过程中的澄清、说明或补正：</w:t>
            </w:r>
          </w:p>
          <w:p w14:paraId="0008690C">
            <w:pPr>
              <w:pStyle w:val="23"/>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（1）询价小组通过网上招投标系统将需要澄清、说明或补正的内容以询标函的形式发送给供应商，供应商应安排专人登录网上招投标系统并保持在线状态，以便及时接收询价小组可能发出的询标函。</w:t>
            </w:r>
          </w:p>
          <w:p w14:paraId="5AAE010D">
            <w:pPr>
              <w:pStyle w:val="23"/>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2）因供应商未登录网上招投标系统导致无法及时接收询标函（远程网上询标）或未在规定时间内按询价小组要求进行澄清、说明或补正内容的视同供应商放弃澄清、说明或补正内容的权利，询价小组可按对供应商不利的解释进行判定。</w:t>
            </w:r>
          </w:p>
          <w:p w14:paraId="2E711095">
            <w:pPr>
              <w:pStyle w:val="23"/>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7.同义词语：</w:t>
            </w:r>
          </w:p>
          <w:p w14:paraId="3CB8EF5A">
            <w:pPr>
              <w:pStyle w:val="23"/>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询价通知书第六章</w:t>
            </w:r>
            <w:r>
              <w:rPr>
                <w:rFonts w:hint="eastAsia" w:ascii="宋体" w:hAnsi="宋体" w:eastAsia="宋体" w:cs="@仿宋_GB2312"/>
                <w:b w:val="0"/>
                <w:bCs/>
                <w:color w:val="auto"/>
                <w:kern w:val="2"/>
                <w:sz w:val="24"/>
                <w:szCs w:val="24"/>
                <w:highlight w:val="none"/>
                <w:lang w:val="en-US" w:eastAsia="zh-CN" w:bidi="ar"/>
              </w:rPr>
              <w:t xml:space="preserve">  </w:t>
            </w:r>
            <w:r>
              <w:rPr>
                <w:rFonts w:hint="eastAsia" w:ascii="宋体" w:hAnsi="宋体" w:eastAsia="宋体" w:cs="宋体"/>
                <w:b w:val="0"/>
                <w:bCs/>
                <w:color w:val="auto"/>
                <w:kern w:val="2"/>
                <w:sz w:val="24"/>
                <w:szCs w:val="24"/>
                <w:highlight w:val="none"/>
                <w:lang w:val="en-US" w:eastAsia="zh-CN" w:bidi="ar"/>
              </w:rPr>
              <w:t>响应文件格式、附件1“关于联合惩戒失信行为 加强信用查询管理的通知”等章节中 “招标人”、“供应商”，等同于“采购人”、“投标人”。</w:t>
            </w:r>
          </w:p>
          <w:p w14:paraId="381ABD86">
            <w:pPr>
              <w:pStyle w:val="4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8.落实政府采购支持节能产品、环境标志产品政策。</w:t>
            </w:r>
          </w:p>
          <w:p w14:paraId="551C7B3D">
            <w:pPr>
              <w:pStyle w:val="4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u w:val="none"/>
                <w:lang w:val="en-US" w:eastAsia="zh-CN" w:bidi="ar-SA"/>
              </w:rPr>
              <w:t>9.系统中提供的表格与询价通知书中不一致时，以询价通知书中提供的表格格式为准。</w:t>
            </w:r>
          </w:p>
        </w:tc>
      </w:tr>
    </w:tbl>
    <w:p w14:paraId="1B14CE10">
      <w:pPr>
        <w:spacing w:line="360" w:lineRule="auto"/>
        <w:ind w:firstLine="437"/>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3" w:name="_Toc29229"/>
      <w:bookmarkStart w:id="24" w:name="_Toc14682"/>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供应商须知</w:t>
      </w:r>
      <w:r>
        <w:rPr>
          <w:rFonts w:hint="eastAsia" w:asciiTheme="minorEastAsia" w:hAnsiTheme="minorEastAsia" w:eastAsiaTheme="minorEastAsia"/>
          <w:b/>
          <w:color w:val="auto"/>
          <w:sz w:val="24"/>
          <w:highlight w:val="none"/>
        </w:rPr>
        <w:t>正文</w:t>
      </w:r>
      <w:bookmarkEnd w:id="23"/>
      <w:bookmarkEnd w:id="24"/>
    </w:p>
    <w:p w14:paraId="489ABAD6">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28770DF8">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.1采购人：是指依法开展政府采购活动的国家机关、事业单位、团体组织。</w:t>
      </w:r>
    </w:p>
    <w:p w14:paraId="5F58451C">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.2采购代理机构：是指集中采购机构或从事采购代理业务的社会中介机构。</w:t>
      </w:r>
    </w:p>
    <w:p w14:paraId="664DA37A">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.3政府采购监督管理部门：</w:t>
      </w:r>
      <w:r>
        <w:rPr>
          <w:rFonts w:hint="eastAsia" w:asciiTheme="minorEastAsia" w:hAnsiTheme="minorEastAsia" w:eastAsiaTheme="minorEastAsia"/>
          <w:color w:val="auto"/>
          <w:sz w:val="24"/>
          <w:highlight w:val="none"/>
        </w:rPr>
        <w:t>各级人民政府指定的有关部门依法履行与政府采购活动有关的监督管理职责。</w:t>
      </w:r>
    </w:p>
    <w:p w14:paraId="0295084E">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.4供应商：是指向采购人提供货物、工程或者服务的法人、</w:t>
      </w:r>
      <w:r>
        <w:rPr>
          <w:rFonts w:hint="eastAsia" w:asciiTheme="minorEastAsia" w:hAnsiTheme="minorEastAsia" w:eastAsiaTheme="minorEastAsia"/>
          <w:color w:val="auto"/>
          <w:sz w:val="24"/>
          <w:highlight w:val="none"/>
          <w:lang w:val="en-US" w:eastAsia="zh-CN"/>
        </w:rPr>
        <w:t>其他</w:t>
      </w:r>
      <w:r>
        <w:rPr>
          <w:rFonts w:asciiTheme="minorEastAsia" w:hAnsiTheme="minorEastAsia" w:eastAsiaTheme="minorEastAsia"/>
          <w:color w:val="auto"/>
          <w:sz w:val="24"/>
          <w:highlight w:val="none"/>
        </w:rPr>
        <w:t>组织或者自然人。</w:t>
      </w:r>
      <w:r>
        <w:rPr>
          <w:rFonts w:hint="eastAsia" w:asciiTheme="minorEastAsia" w:hAnsiTheme="minorEastAsia" w:eastAsiaTheme="minorEastAsia"/>
          <w:color w:val="auto"/>
          <w:sz w:val="24"/>
          <w:highlight w:val="none"/>
        </w:rPr>
        <w:t>分支机构不得参加政府采购活动，但银行、保险、石油石化、电力、电信等特殊行业除外。</w:t>
      </w:r>
      <w:r>
        <w:rPr>
          <w:rFonts w:asciiTheme="minorEastAsia" w:hAnsiTheme="minorEastAsia" w:eastAsiaTheme="minorEastAsia"/>
          <w:color w:val="auto"/>
          <w:sz w:val="24"/>
          <w:highlight w:val="none"/>
        </w:rPr>
        <w:t>本项目的供应商须满足以下条件：</w:t>
      </w:r>
    </w:p>
    <w:p w14:paraId="24086B85">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具备《中华人民共和国政府采购法》第二十二条关于供应商条件的规定，遵守本项目采购人本级和上级财政部门政府采购的有关规定。</w:t>
      </w:r>
    </w:p>
    <w:p w14:paraId="338F6DC4">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以采购代理机构认可的方式获得了本项目的询价通知书。</w:t>
      </w:r>
    </w:p>
    <w:p w14:paraId="5EB9899A">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若</w:t>
      </w:r>
      <w:r>
        <w:rPr>
          <w:rFonts w:hint="eastAsia" w:ascii="宋体" w:hAnsi="宋体" w:eastAsia="宋体"/>
          <w:color w:val="auto"/>
          <w:sz w:val="24"/>
          <w:highlight w:val="none"/>
          <w:lang w:eastAsia="zh-CN"/>
        </w:rPr>
        <w:t>采购需求</w:t>
      </w:r>
      <w:r>
        <w:rPr>
          <w:rFonts w:asciiTheme="minorEastAsia" w:hAnsiTheme="minorEastAsia" w:eastAsiaTheme="minorEastAsia"/>
          <w:color w:val="auto"/>
          <w:sz w:val="24"/>
          <w:highlight w:val="none"/>
        </w:rPr>
        <w:t>中写明允许采购进口产品，供应商应保证所投产品可履行合法报通关手续进入中国关境内。</w:t>
      </w:r>
    </w:p>
    <w:p w14:paraId="27F74645">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若</w:t>
      </w:r>
      <w:r>
        <w:rPr>
          <w:rFonts w:hint="eastAsia" w:ascii="宋体" w:hAnsi="宋体" w:eastAsia="宋体"/>
          <w:color w:val="auto"/>
          <w:sz w:val="24"/>
          <w:highlight w:val="none"/>
          <w:lang w:eastAsia="zh-CN"/>
        </w:rPr>
        <w:t>采购需求</w:t>
      </w:r>
      <w:r>
        <w:rPr>
          <w:rFonts w:hint="eastAsia" w:asciiTheme="minorEastAsia" w:hAnsiTheme="minorEastAsia" w:eastAsiaTheme="minorEastAsia"/>
          <w:color w:val="auto"/>
          <w:sz w:val="24"/>
          <w:highlight w:val="none"/>
        </w:rPr>
        <w:t>中未写明允许采购进口产品，如供应商所投产品为进口产品，</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color w:val="auto"/>
          <w:sz w:val="24"/>
          <w:highlight w:val="none"/>
        </w:rPr>
        <w:t>。</w:t>
      </w:r>
    </w:p>
    <w:p w14:paraId="3D1282B4">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bookmarkStart w:id="25" w:name="_Hlk60605411"/>
      <w:r>
        <w:rPr>
          <w:rFonts w:hint="eastAsia" w:ascii="宋体" w:hAnsi="宋体" w:eastAsia="宋体"/>
          <w:bCs/>
          <w:color w:val="auto"/>
          <w:kern w:val="0"/>
          <w:sz w:val="24"/>
          <w:szCs w:val="28"/>
          <w:highlight w:val="none"/>
          <w:lang w:eastAsia="zh-CN"/>
        </w:rPr>
        <w:t>1.</w:t>
      </w:r>
      <w:r>
        <w:rPr>
          <w:rFonts w:ascii="宋体" w:hAnsi="宋体" w:eastAsia="宋体"/>
          <w:bCs/>
          <w:color w:val="auto"/>
          <w:kern w:val="0"/>
          <w:sz w:val="24"/>
          <w:szCs w:val="28"/>
          <w:highlight w:val="none"/>
        </w:rPr>
        <w:t>5</w:t>
      </w:r>
      <w:r>
        <w:rPr>
          <w:rFonts w:hint="eastAsia" w:ascii="宋体" w:hAnsi="宋体" w:eastAsia="宋体"/>
          <w:bCs/>
          <w:color w:val="auto"/>
          <w:kern w:val="0"/>
          <w:sz w:val="24"/>
          <w:szCs w:val="28"/>
          <w:highlight w:val="none"/>
        </w:rPr>
        <w:t>若询价公告</w:t>
      </w:r>
      <w:r>
        <w:rPr>
          <w:rFonts w:ascii="宋体" w:hAnsi="宋体" w:eastAsia="宋体"/>
          <w:bCs/>
          <w:color w:val="auto"/>
          <w:kern w:val="0"/>
          <w:sz w:val="24"/>
          <w:szCs w:val="28"/>
          <w:highlight w:val="none"/>
        </w:rPr>
        <w:t>中允许联合体</w:t>
      </w:r>
      <w:r>
        <w:rPr>
          <w:rFonts w:hint="eastAsia" w:ascii="宋体" w:hAnsi="宋体" w:eastAsia="宋体"/>
          <w:bCs/>
          <w:color w:val="auto"/>
          <w:kern w:val="0"/>
          <w:sz w:val="24"/>
          <w:szCs w:val="28"/>
          <w:highlight w:val="none"/>
        </w:rPr>
        <w:t>报价</w:t>
      </w:r>
      <w:r>
        <w:rPr>
          <w:rFonts w:ascii="宋体" w:hAnsi="宋体" w:eastAsia="宋体"/>
          <w:bCs/>
          <w:color w:val="auto"/>
          <w:kern w:val="0"/>
          <w:sz w:val="24"/>
          <w:szCs w:val="28"/>
          <w:highlight w:val="none"/>
        </w:rPr>
        <w:t>，对联合体规定如下：</w:t>
      </w:r>
    </w:p>
    <w:bookmarkEnd w:id="25"/>
    <w:p w14:paraId="0F2CEEF2">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w:t>
      </w:r>
      <w:r>
        <w:rPr>
          <w:rFonts w:asciiTheme="minorEastAsia" w:hAnsiTheme="minorEastAsia" w:eastAsiaTheme="minorEastAsia"/>
          <w:color w:val="auto"/>
          <w:sz w:val="24"/>
          <w:highlight w:val="none"/>
        </w:rPr>
        <w:t>5.1两个以上供应商可以组成一个联合体，以一个供应商的身份</w:t>
      </w:r>
      <w:r>
        <w:rPr>
          <w:rFonts w:hint="eastAsia" w:asciiTheme="minorEastAsia" w:hAnsiTheme="minorEastAsia" w:eastAsiaTheme="minorEastAsia"/>
          <w:color w:val="auto"/>
          <w:sz w:val="24"/>
          <w:highlight w:val="none"/>
        </w:rPr>
        <w:t>参加政府采购</w:t>
      </w:r>
      <w:r>
        <w:rPr>
          <w:rFonts w:asciiTheme="minorEastAsia" w:hAnsiTheme="minorEastAsia" w:eastAsiaTheme="minorEastAsia"/>
          <w:color w:val="auto"/>
          <w:sz w:val="24"/>
          <w:highlight w:val="none"/>
        </w:rPr>
        <w:t>。</w:t>
      </w:r>
    </w:p>
    <w:p w14:paraId="61EB5830">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w:t>
      </w:r>
      <w:r>
        <w:rPr>
          <w:rFonts w:asciiTheme="minorEastAsia" w:hAnsiTheme="minorEastAsia" w:eastAsiaTheme="minorEastAsia"/>
          <w:color w:val="auto"/>
          <w:sz w:val="24"/>
          <w:highlight w:val="none"/>
        </w:rPr>
        <w:t>5.2联合体各方均应符合《中华人民共和国政府采购法》第二十二条规定的条件。</w:t>
      </w:r>
    </w:p>
    <w:p w14:paraId="56E17D95">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w:t>
      </w:r>
      <w:r>
        <w:rPr>
          <w:rFonts w:asciiTheme="minorEastAsia" w:hAnsiTheme="minorEastAsia" w:eastAsiaTheme="minorEastAsia"/>
          <w:color w:val="auto"/>
          <w:sz w:val="24"/>
          <w:highlight w:val="none"/>
        </w:rPr>
        <w:t>5.3采购人根据采购项目对供应商的特殊要求，联合体中至少应当有一方符合相关规定。</w:t>
      </w:r>
    </w:p>
    <w:p w14:paraId="7680AD60">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w:t>
      </w:r>
      <w:r>
        <w:rPr>
          <w:rFonts w:asciiTheme="minorEastAsia" w:hAnsiTheme="minorEastAsia" w:eastAsiaTheme="minorEastAsia"/>
          <w:color w:val="auto"/>
          <w:sz w:val="24"/>
          <w:highlight w:val="none"/>
        </w:rPr>
        <w:t>5.4联合体各方应签订</w:t>
      </w:r>
      <w:r>
        <w:rPr>
          <w:rFonts w:hint="eastAsia" w:asciiTheme="minorEastAsia" w:hAnsiTheme="minorEastAsia" w:eastAsiaTheme="minorEastAsia"/>
          <w:color w:val="auto"/>
          <w:sz w:val="24"/>
          <w:highlight w:val="none"/>
        </w:rPr>
        <w:t>联合协议</w:t>
      </w:r>
      <w:r>
        <w:rPr>
          <w:rFonts w:asciiTheme="minorEastAsia" w:hAnsiTheme="minorEastAsia" w:eastAsiaTheme="minorEastAsia"/>
          <w:color w:val="auto"/>
          <w:sz w:val="24"/>
          <w:highlight w:val="none"/>
        </w:rPr>
        <w:t>，明确约定联合体各方承担的工作和相应的责任，并将</w:t>
      </w:r>
      <w:r>
        <w:rPr>
          <w:rFonts w:hint="eastAsia" w:asciiTheme="minorEastAsia" w:hAnsiTheme="minorEastAsia" w:eastAsiaTheme="minorEastAsia"/>
          <w:color w:val="auto"/>
          <w:sz w:val="24"/>
          <w:highlight w:val="none"/>
        </w:rPr>
        <w:t>联合协议</w:t>
      </w:r>
      <w:r>
        <w:rPr>
          <w:rFonts w:asciiTheme="minorEastAsia" w:hAnsiTheme="minorEastAsia" w:eastAsiaTheme="minorEastAsia"/>
          <w:color w:val="auto"/>
          <w:sz w:val="24"/>
          <w:highlight w:val="none"/>
        </w:rPr>
        <w:t>作为响应文件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一部分提交。</w:t>
      </w:r>
    </w:p>
    <w:p w14:paraId="327FE5FE">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w:t>
      </w:r>
      <w:r>
        <w:rPr>
          <w:rFonts w:asciiTheme="minorEastAsia" w:hAnsiTheme="minorEastAsia" w:eastAsiaTheme="minorEastAsia"/>
          <w:color w:val="auto"/>
          <w:sz w:val="24"/>
          <w:highlight w:val="none"/>
        </w:rPr>
        <w:t>5.5大中型企业、其他自然人、法人或者非法人组织与小型、微型企业组成联合体共同参加</w:t>
      </w:r>
      <w:r>
        <w:rPr>
          <w:rFonts w:hint="eastAsia" w:asciiTheme="minorEastAsia" w:hAnsiTheme="minorEastAsia" w:eastAsiaTheme="minorEastAsia"/>
          <w:color w:val="auto"/>
          <w:sz w:val="24"/>
          <w:highlight w:val="none"/>
        </w:rPr>
        <w:t>政府采购</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联合协议中</w:t>
      </w:r>
      <w:r>
        <w:rPr>
          <w:rFonts w:asciiTheme="minorEastAsia" w:hAnsiTheme="minorEastAsia" w:eastAsiaTheme="minorEastAsia"/>
          <w:color w:val="auto"/>
          <w:sz w:val="24"/>
          <w:highlight w:val="none"/>
        </w:rPr>
        <w:t>应写明小型、微型企业的协议合同金额占到</w:t>
      </w:r>
      <w:r>
        <w:rPr>
          <w:rFonts w:hint="eastAsia" w:asciiTheme="minorEastAsia" w:hAnsiTheme="minorEastAsia" w:eastAsiaTheme="minorEastAsia"/>
          <w:color w:val="auto"/>
          <w:sz w:val="24"/>
          <w:highlight w:val="none"/>
        </w:rPr>
        <w:t>联合协议合同</w:t>
      </w:r>
      <w:r>
        <w:rPr>
          <w:rFonts w:asciiTheme="minorEastAsia" w:hAnsiTheme="minorEastAsia" w:eastAsiaTheme="minorEastAsia"/>
          <w:color w:val="auto"/>
          <w:sz w:val="24"/>
          <w:highlight w:val="none"/>
        </w:rPr>
        <w:t>总金额的比例。</w:t>
      </w:r>
    </w:p>
    <w:p w14:paraId="6C2E4AB5">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w:t>
      </w:r>
      <w:r>
        <w:rPr>
          <w:rFonts w:asciiTheme="minorEastAsia" w:hAnsiTheme="minorEastAsia" w:eastAsiaTheme="minorEastAsia"/>
          <w:color w:val="auto"/>
          <w:sz w:val="24"/>
          <w:highlight w:val="none"/>
        </w:rPr>
        <w:t>5.6</w:t>
      </w:r>
      <w:r>
        <w:rPr>
          <w:rFonts w:hint="eastAsia" w:asciiTheme="minorEastAsia" w:hAnsiTheme="minorEastAsia" w:eastAsiaTheme="minorEastAsia"/>
          <w:color w:val="auto"/>
          <w:sz w:val="24"/>
          <w:highlight w:val="none"/>
        </w:rPr>
        <w:t>联合体中有同类资质的供应商按照联合体分工承担相同工作的，</w:t>
      </w:r>
      <w:r>
        <w:rPr>
          <w:rFonts w:asciiTheme="minorEastAsia" w:hAnsiTheme="minorEastAsia" w:eastAsiaTheme="minorEastAsia"/>
          <w:color w:val="auto"/>
          <w:sz w:val="24"/>
          <w:highlight w:val="none"/>
        </w:rPr>
        <w:t>应当按照</w:t>
      </w:r>
      <w:r>
        <w:rPr>
          <w:rFonts w:hint="eastAsia" w:asciiTheme="minorEastAsia" w:hAnsiTheme="minorEastAsia" w:eastAsiaTheme="minorEastAsia"/>
          <w:color w:val="auto"/>
          <w:sz w:val="24"/>
          <w:highlight w:val="none"/>
        </w:rPr>
        <w:t>资质等级较低的供应商确定资质等级。</w:t>
      </w:r>
    </w:p>
    <w:p w14:paraId="421C403B">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w:t>
      </w:r>
      <w:r>
        <w:rPr>
          <w:rFonts w:asciiTheme="minorEastAsia" w:hAnsiTheme="minorEastAsia" w:eastAsiaTheme="minorEastAsia"/>
          <w:color w:val="auto"/>
          <w:sz w:val="24"/>
          <w:highlight w:val="none"/>
        </w:rPr>
        <w:t>5.7以联合体形式参加政府采购活动的，联合体各方不得再单独参加或者与其他供应商另外组成联合体参加本项目政府采购活动，否则相关</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0379BA69">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w:t>
      </w:r>
      <w:r>
        <w:rPr>
          <w:rFonts w:asciiTheme="minorEastAsia" w:hAnsiTheme="minorEastAsia" w:eastAsiaTheme="minorEastAsia"/>
          <w:color w:val="auto"/>
          <w:sz w:val="24"/>
          <w:highlight w:val="none"/>
        </w:rPr>
        <w:t>5.8对联合体的其他资格要求</w:t>
      </w:r>
      <w:r>
        <w:rPr>
          <w:rFonts w:ascii="宋体" w:hAnsi="宋体" w:eastAsia="宋体"/>
          <w:color w:val="auto"/>
          <w:sz w:val="24"/>
          <w:highlight w:val="none"/>
        </w:rPr>
        <w:t>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Theme="minorEastAsia" w:hAnsiTheme="minorEastAsia" w:eastAsiaTheme="minorEastAsia"/>
          <w:color w:val="auto"/>
          <w:sz w:val="24"/>
          <w:highlight w:val="none"/>
        </w:rPr>
        <w:t>。</w:t>
      </w:r>
    </w:p>
    <w:p w14:paraId="7F012777">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3E0F378E">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本项目的采购人已获得足以支付本次采购后所签订的合同项下的资金。</w:t>
      </w:r>
    </w:p>
    <w:p w14:paraId="391E4AE9">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费用</w:t>
      </w:r>
    </w:p>
    <w:p w14:paraId="379CD780">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不论询价的结果如何，供应商应承担所有与准备和参加询价有关的费用。</w:t>
      </w:r>
    </w:p>
    <w:p w14:paraId="0FADCAAF">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15C789FD">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采购人、采购代理机构、供应商、询价小组的相关行为均受《中华人民共和国政府采购法》、《中华人民共和国政府采购法实施条例》及本项目本级和上级财政部门、政府采购监督管理部门的政府采购有关规定的约束，其权利受到上述法律法规的保护。</w:t>
      </w:r>
    </w:p>
    <w:p w14:paraId="45F3054A">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询价通知书构成</w:t>
      </w:r>
    </w:p>
    <w:p w14:paraId="07755D32">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.1询价通知书包括下列内容：</w:t>
      </w:r>
    </w:p>
    <w:p w14:paraId="1FFB6FF9">
      <w:pPr>
        <w:keepNext w:val="0"/>
        <w:keepLines w:val="0"/>
        <w:pageBreakBefore w:val="0"/>
        <w:widowControl w:val="0"/>
        <w:kinsoku/>
        <w:overflowPunct/>
        <w:topLinePunct w:val="0"/>
        <w:autoSpaceDE/>
        <w:autoSpaceDN/>
        <w:bidi w:val="0"/>
        <w:adjustRightInd/>
        <w:snapToGrid/>
        <w:spacing w:line="460" w:lineRule="exact"/>
        <w:ind w:firstLine="840" w:firstLineChars="35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询价邀请</w:t>
      </w:r>
    </w:p>
    <w:p w14:paraId="1FF9BC1A">
      <w:pPr>
        <w:keepNext w:val="0"/>
        <w:keepLines w:val="0"/>
        <w:pageBreakBefore w:val="0"/>
        <w:widowControl w:val="0"/>
        <w:kinsoku/>
        <w:overflowPunct/>
        <w:topLinePunct w:val="0"/>
        <w:autoSpaceDE/>
        <w:autoSpaceDN/>
        <w:bidi w:val="0"/>
        <w:adjustRightInd/>
        <w:snapToGrid/>
        <w:spacing w:line="460" w:lineRule="exact"/>
        <w:ind w:firstLine="840" w:firstLineChars="35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供应商须知</w:t>
      </w:r>
    </w:p>
    <w:p w14:paraId="48F5EC52">
      <w:pPr>
        <w:keepNext w:val="0"/>
        <w:keepLines w:val="0"/>
        <w:pageBreakBefore w:val="0"/>
        <w:widowControl w:val="0"/>
        <w:kinsoku/>
        <w:overflowPunct/>
        <w:topLinePunct w:val="0"/>
        <w:autoSpaceDE/>
        <w:autoSpaceDN/>
        <w:bidi w:val="0"/>
        <w:adjustRightInd/>
        <w:snapToGrid/>
        <w:spacing w:line="460" w:lineRule="exact"/>
        <w:ind w:firstLine="840" w:firstLineChars="35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4304689E">
      <w:pPr>
        <w:keepNext w:val="0"/>
        <w:keepLines w:val="0"/>
        <w:pageBreakBefore w:val="0"/>
        <w:widowControl w:val="0"/>
        <w:kinsoku/>
        <w:overflowPunct/>
        <w:topLinePunct w:val="0"/>
        <w:autoSpaceDE/>
        <w:autoSpaceDN/>
        <w:bidi w:val="0"/>
        <w:adjustRightInd/>
        <w:snapToGrid/>
        <w:spacing w:line="460" w:lineRule="exact"/>
        <w:ind w:firstLine="840" w:firstLineChars="35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w:t>
      </w:r>
      <w:r>
        <w:rPr>
          <w:rFonts w:hint="eastAsia" w:asciiTheme="minorEastAsia" w:hAnsiTheme="minorEastAsia" w:eastAsiaTheme="minorEastAsia"/>
          <w:color w:val="auto"/>
          <w:sz w:val="24"/>
          <w:highlight w:val="none"/>
        </w:rPr>
        <w:t>审方法</w:t>
      </w:r>
      <w:r>
        <w:rPr>
          <w:rFonts w:asciiTheme="minorEastAsia" w:hAnsiTheme="minorEastAsia" w:eastAsiaTheme="minorEastAsia"/>
          <w:color w:val="auto"/>
          <w:sz w:val="24"/>
          <w:highlight w:val="none"/>
        </w:rPr>
        <w:t>和标准</w:t>
      </w:r>
    </w:p>
    <w:p w14:paraId="2676F140">
      <w:pPr>
        <w:keepNext w:val="0"/>
        <w:keepLines w:val="0"/>
        <w:pageBreakBefore w:val="0"/>
        <w:widowControl w:val="0"/>
        <w:kinsoku/>
        <w:overflowPunct/>
        <w:topLinePunct w:val="0"/>
        <w:autoSpaceDE/>
        <w:autoSpaceDN/>
        <w:bidi w:val="0"/>
        <w:adjustRightInd/>
        <w:snapToGrid/>
        <w:spacing w:line="460" w:lineRule="exact"/>
        <w:ind w:firstLine="840" w:firstLineChars="35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4E1509A9">
      <w:pPr>
        <w:keepNext w:val="0"/>
        <w:keepLines w:val="0"/>
        <w:pageBreakBefore w:val="0"/>
        <w:widowControl w:val="0"/>
        <w:kinsoku/>
        <w:overflowPunct/>
        <w:topLinePunct w:val="0"/>
        <w:autoSpaceDE/>
        <w:autoSpaceDN/>
        <w:bidi w:val="0"/>
        <w:adjustRightInd/>
        <w:snapToGrid/>
        <w:spacing w:line="460" w:lineRule="exact"/>
        <w:ind w:firstLine="840" w:firstLineChars="35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响应文件格式</w:t>
      </w:r>
    </w:p>
    <w:p w14:paraId="42675A57">
      <w:pPr>
        <w:keepNext w:val="0"/>
        <w:keepLines w:val="0"/>
        <w:pageBreakBefore w:val="0"/>
        <w:widowControl w:val="0"/>
        <w:kinsoku/>
        <w:overflowPunct/>
        <w:topLinePunct w:val="0"/>
        <w:autoSpaceDE/>
        <w:autoSpaceDN/>
        <w:bidi w:val="0"/>
        <w:adjustRightInd/>
        <w:snapToGrid/>
        <w:spacing w:line="460" w:lineRule="exact"/>
        <w:ind w:firstLine="840" w:firstLineChars="35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1289F24B">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4B177943">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原则上采购人、采购代理机构不要求供应商提供样品。除仅凭书面方式不能准确描述采购需求，或者需要对样品进行主观判断以确认是否满足采购需求等特殊情况除外。</w:t>
      </w:r>
    </w:p>
    <w:p w14:paraId="785038E9">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，对样品的评审方法及评审标准见询价通知书第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3773CBA6">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供应商应认真阅读询价通知书所有的事项、格式、条款和技术规范等。</w:t>
      </w:r>
    </w:p>
    <w:p w14:paraId="04766DFB">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询价通知书的澄清与修改</w:t>
      </w:r>
    </w:p>
    <w:p w14:paraId="3A1B7D44">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供应商如对询价通知书内容有疑问，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79D4E668">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询价通知书</w:t>
      </w:r>
      <w:r>
        <w:rPr>
          <w:rFonts w:hint="eastAsia" w:asciiTheme="minorEastAsia" w:hAnsiTheme="minorEastAsia" w:eastAsiaTheme="minorEastAsia"/>
          <w:color w:val="auto"/>
          <w:sz w:val="24"/>
          <w:highlight w:val="none"/>
        </w:rPr>
        <w:t>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在安徽省政府采购网和滁州市公共资源交易中心网以发布更正公告的方式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澄清或修改询价通知书，更正公告的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为询价通知书</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组成部分，对供应商起约束作用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5C9CA14C">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3任何人或任何组织向供应商提供的任何书面或口头资料，未经采购代理机构在网上发布或书面通知，均作无效处理，不得作为询价通知书的组成部分。采购代理机构对供应商由此而做出的推论、理解和结论概不负责。</w:t>
      </w:r>
    </w:p>
    <w:p w14:paraId="24F442F1">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对于没有提出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w:t>
      </w:r>
      <w:r>
        <w:rPr>
          <w:rFonts w:hint="eastAsia" w:asciiTheme="minorEastAsia" w:hAnsiTheme="minorEastAsia" w:eastAsiaTheme="minorEastAsia"/>
          <w:color w:val="auto"/>
          <w:sz w:val="24"/>
          <w:highlight w:val="none"/>
        </w:rPr>
        <w:t>提交</w:t>
      </w:r>
      <w:r>
        <w:rPr>
          <w:rFonts w:asciiTheme="minorEastAsia" w:hAnsiTheme="minorEastAsia" w:eastAsiaTheme="minorEastAsia"/>
          <w:color w:val="auto"/>
          <w:sz w:val="24"/>
          <w:highlight w:val="none"/>
        </w:rPr>
        <w:t>了</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询价通知书（含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3B269A14">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响应范围及响应文件中标准和计量单位的使用</w:t>
      </w:r>
    </w:p>
    <w:p w14:paraId="49FCA0EC">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提交</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的响应文件</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1634E3A4">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.2供应商应当对所</w:t>
      </w:r>
      <w:r>
        <w:rPr>
          <w:rFonts w:hint="eastAsia" w:asciiTheme="minorEastAsia" w:hAnsiTheme="minorEastAsia" w:eastAsiaTheme="minorEastAsia"/>
          <w:color w:val="auto"/>
          <w:sz w:val="24"/>
          <w:highlight w:val="none"/>
        </w:rPr>
        <w:t>参与的</w:t>
      </w:r>
      <w:r>
        <w:rPr>
          <w:rFonts w:asciiTheme="minorEastAsia" w:hAnsiTheme="minorEastAsia" w:eastAsiaTheme="minorEastAsia"/>
          <w:color w:val="auto"/>
          <w:sz w:val="24"/>
          <w:highlight w:val="none"/>
        </w:rPr>
        <w:t>分包询价通知书中“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所参与包别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所参与包别的响应文件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3462350E">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bookmarkStart w:id="26"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.3无论询价通知书中是否要求，</w:t>
      </w:r>
      <w:r>
        <w:rPr>
          <w:rFonts w:hint="eastAsia" w:asciiTheme="minorEastAsia" w:hAnsiTheme="minorEastAsia" w:eastAsiaTheme="minorEastAsia"/>
          <w:color w:val="auto"/>
          <w:sz w:val="24"/>
          <w:highlight w:val="none"/>
        </w:rPr>
        <w:t>供应商所提供的货物及伴随的服务和工程均应符合国家强制性标准。</w:t>
      </w:r>
    </w:p>
    <w:bookmarkEnd w:id="26"/>
    <w:p w14:paraId="1564E428">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供应商与采购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w:t>
      </w:r>
      <w:r>
        <w:rPr>
          <w:rFonts w:hint="eastAsia" w:asciiTheme="minorEastAsia" w:hAnsiTheme="minorEastAsia" w:eastAsiaTheme="minorEastAsia"/>
          <w:color w:val="auto"/>
          <w:sz w:val="24"/>
          <w:highlight w:val="none"/>
        </w:rPr>
        <w:t>询价</w:t>
      </w:r>
      <w:r>
        <w:rPr>
          <w:rFonts w:asciiTheme="minorEastAsia" w:hAnsiTheme="minorEastAsia" w:eastAsiaTheme="minorEastAsia"/>
          <w:color w:val="auto"/>
          <w:sz w:val="24"/>
          <w:highlight w:val="none"/>
        </w:rPr>
        <w:t>有关的所有往来通知、函件和响应文件均用中文表述。供应商随响应文件提供的证明文件和资料可以为其它语言，但必须附中文译文。翻译的中文资料与外文资料出现差异时，以中文为准。</w:t>
      </w:r>
    </w:p>
    <w:p w14:paraId="6824AB29">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除询价通知书中有特殊要求外，响应文件中所使用的计量单位，应采用中华人民共和国法定计量单位。</w:t>
      </w:r>
    </w:p>
    <w:p w14:paraId="5F2F54EA">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6EE83614">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.1供应商应完整地按询价通知书提供的响应文件格式及要求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写响应文件，</w:t>
      </w:r>
      <w:r>
        <w:rPr>
          <w:rFonts w:hint="eastAsia" w:asciiTheme="minorEastAsia" w:hAnsiTheme="minorEastAsia" w:eastAsiaTheme="minorEastAsia"/>
          <w:color w:val="auto"/>
          <w:sz w:val="24"/>
          <w:highlight w:val="none"/>
        </w:rPr>
        <w:t>具体内容详见本项目响应文件格式的相关内容。</w:t>
      </w:r>
    </w:p>
    <w:p w14:paraId="69339495">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供应商应提交询价通知书要求的证明文件，证明其响应内容符合询价通知书规定。该证明文件是响应文件的一部分。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7" w:name="_Hlk11703583"/>
      <w:r>
        <w:rPr>
          <w:rFonts w:asciiTheme="minorEastAsia" w:hAnsiTheme="minorEastAsia" w:eastAsiaTheme="minorEastAsia"/>
          <w:color w:val="auto"/>
          <w:sz w:val="24"/>
          <w:highlight w:val="none"/>
        </w:rPr>
        <w:t>。</w:t>
      </w:r>
    </w:p>
    <w:bookmarkEnd w:id="27"/>
    <w:p w14:paraId="05F36DFA">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为保证公平公正，除非另有规定或说明，供应商对同一项目</w:t>
      </w:r>
      <w:r>
        <w:rPr>
          <w:rFonts w:hint="eastAsia" w:asciiTheme="minorEastAsia" w:hAnsiTheme="minorEastAsia" w:eastAsiaTheme="minorEastAsia"/>
          <w:color w:val="auto"/>
          <w:sz w:val="24"/>
          <w:highlight w:val="none"/>
        </w:rPr>
        <w:t>提交响应文件</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备选响应</w:t>
      </w:r>
      <w:r>
        <w:rPr>
          <w:rFonts w:asciiTheme="minorEastAsia" w:hAnsiTheme="minorEastAsia" w:eastAsiaTheme="minorEastAsia"/>
          <w:color w:val="auto"/>
          <w:sz w:val="24"/>
          <w:highlight w:val="none"/>
        </w:rPr>
        <w:t>方案。</w:t>
      </w:r>
    </w:p>
    <w:p w14:paraId="6F60BCAC">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7E63F1BA">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.1供应商的报价应当包括满足本次</w:t>
      </w:r>
      <w:r>
        <w:rPr>
          <w:rFonts w:hint="eastAsia" w:asciiTheme="minorEastAsia" w:hAnsiTheme="minorEastAsia" w:eastAsiaTheme="minorEastAsia"/>
          <w:color w:val="auto"/>
          <w:sz w:val="24"/>
          <w:highlight w:val="none"/>
        </w:rPr>
        <w:t>询价</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bookmarkStart w:id="28" w:name="_Hlk23199390"/>
      <w:r>
        <w:rPr>
          <w:rFonts w:asciiTheme="minorEastAsia" w:hAnsiTheme="minorEastAsia" w:eastAsiaTheme="minorEastAsia"/>
          <w:color w:val="auto"/>
          <w:sz w:val="24"/>
          <w:highlight w:val="none"/>
        </w:rPr>
        <w:t>除询价通知书中</w:t>
      </w:r>
      <w:r>
        <w:rPr>
          <w:rFonts w:hint="eastAsia" w:asciiTheme="minorEastAsia" w:hAnsiTheme="minorEastAsia" w:eastAsiaTheme="minorEastAsia"/>
          <w:color w:val="auto"/>
          <w:sz w:val="24"/>
          <w:highlight w:val="none"/>
          <w:lang w:eastAsia="zh-CN"/>
        </w:rPr>
        <w:t>另有规定</w:t>
      </w:r>
      <w:r>
        <w:rPr>
          <w:rFonts w:asciiTheme="minorEastAsia" w:hAnsiTheme="minorEastAsia" w:eastAsiaTheme="minorEastAsia"/>
          <w:color w:val="auto"/>
          <w:sz w:val="24"/>
          <w:highlight w:val="none"/>
        </w:rPr>
        <w:t>外，</w:t>
      </w:r>
      <w:r>
        <w:rPr>
          <w:rFonts w:hint="eastAsia" w:asciiTheme="minorEastAsia" w:hAnsiTheme="minorEastAsia" w:eastAsiaTheme="minorEastAsia"/>
          <w:color w:val="auto"/>
          <w:sz w:val="24"/>
          <w:highlight w:val="none"/>
        </w:rPr>
        <w:t>供应商的报价均应以人民币报价，应遵守《中华人民共和国价格法》。</w:t>
      </w:r>
      <w:bookmarkEnd w:id="28"/>
    </w:p>
    <w:p w14:paraId="1F7F967C">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 xml:space="preserve"> </w:t>
      </w:r>
      <w:r>
        <w:rPr>
          <w:rFonts w:asciiTheme="minorEastAsia" w:hAnsiTheme="minorEastAsia" w:eastAsiaTheme="minorEastAsia"/>
          <w:color w:val="auto"/>
          <w:sz w:val="24"/>
          <w:highlight w:val="none"/>
        </w:rPr>
        <w:t>供应商应在报价表上标明</w:t>
      </w:r>
      <w:r>
        <w:rPr>
          <w:rFonts w:hint="eastAsia" w:asciiTheme="minorEastAsia" w:hAnsiTheme="minorEastAsia" w:eastAsiaTheme="minorEastAsia"/>
          <w:color w:val="auto"/>
          <w:sz w:val="24"/>
          <w:highlight w:val="none"/>
        </w:rPr>
        <w:t>提供的</w:t>
      </w:r>
      <w:r>
        <w:rPr>
          <w:rFonts w:asciiTheme="minorEastAsia" w:hAnsiTheme="minorEastAsia" w:eastAsiaTheme="minorEastAsia"/>
          <w:color w:val="auto"/>
          <w:sz w:val="24"/>
          <w:highlight w:val="none"/>
        </w:rPr>
        <w:t>货物及相关服务的单价（如适用）和总价。</w:t>
      </w:r>
      <w:r>
        <w:rPr>
          <w:rFonts w:hint="eastAsia" w:asciiTheme="minorEastAsia" w:hAnsiTheme="minorEastAsia" w:eastAsiaTheme="minorEastAsia"/>
          <w:color w:val="auto"/>
          <w:sz w:val="24"/>
          <w:highlight w:val="none"/>
        </w:rPr>
        <w:t>未标明的视同包含在报价中。</w:t>
      </w:r>
    </w:p>
    <w:p w14:paraId="04B66110">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bookmarkStart w:id="29" w:name="_Hlk23199512"/>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bookmarkEnd w:id="29"/>
    <w:p w14:paraId="095CDD4F">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3DC42EEE">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询价有效期</w:t>
      </w:r>
    </w:p>
    <w:p w14:paraId="0886A9B2">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.1询价有效期为从响应文件提交截止之日算起的日历天数，询价有效期详见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4AECA661">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.2在询价有效期内，供应商的响应文件保持有效，供应商不得要求撤销或修改其响应文件。询价有效期不满足要求的</w:t>
      </w:r>
      <w:r>
        <w:rPr>
          <w:rFonts w:hint="eastAsia" w:asciiTheme="minorEastAsia" w:hAnsiTheme="minorEastAsia" w:eastAsiaTheme="minorEastAsia"/>
          <w:b/>
          <w:bCs/>
          <w:color w:val="auto"/>
          <w:sz w:val="24"/>
          <w:highlight w:val="none"/>
        </w:rPr>
        <w:t>响应</w:t>
      </w:r>
      <w:r>
        <w:rPr>
          <w:rFonts w:hint="eastAsia" w:asciiTheme="minorEastAsia" w:hAnsiTheme="minorEastAsia" w:eastAsiaTheme="minorEastAsia"/>
          <w:b/>
          <w:color w:val="auto"/>
          <w:sz w:val="24"/>
          <w:highlight w:val="none"/>
        </w:rPr>
        <w:t>无效</w:t>
      </w:r>
      <w:r>
        <w:rPr>
          <w:rFonts w:hint="eastAsia" w:asciiTheme="minorEastAsia" w:hAnsiTheme="minorEastAsia" w:eastAsiaTheme="minorEastAsia"/>
          <w:color w:val="auto"/>
          <w:sz w:val="24"/>
          <w:highlight w:val="none"/>
        </w:rPr>
        <w:t>。</w:t>
      </w:r>
    </w:p>
    <w:p w14:paraId="4CF8EE72">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询价有效期截止之前，要求供应商延长响应文件的有效期。接受该要求的供应商将不会被要求和允许修正其响应文件。供应商也可以拒绝延长询价有效期的要求，且不承担任何责任。上述要求和答复都应以书面形式提交。</w:t>
      </w:r>
    </w:p>
    <w:p w14:paraId="249187D3">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1F1129CC">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lang w:val="en-US" w:eastAsia="zh-CN"/>
        </w:rPr>
        <w:t>询价公告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2AD382D7">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3CBFACE2">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当在提交截止时间前完成响应文件的传输提交（以接收到电子签收凭证为准），并可以补充、修改或者撤回响应文件。提交截止时间前未完成响应文件传输的，视为撤回响应文件。未按规定加密或提交截止时间后送达的响应文件，电子交易系统应当拒收</w:t>
      </w:r>
      <w:r>
        <w:rPr>
          <w:rFonts w:asciiTheme="minorEastAsia" w:hAnsiTheme="minorEastAsia" w:eastAsiaTheme="minorEastAsia"/>
          <w:color w:val="auto"/>
          <w:sz w:val="24"/>
          <w:highlight w:val="none"/>
        </w:rPr>
        <w:t>。</w:t>
      </w:r>
    </w:p>
    <w:p w14:paraId="441EA423">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询价小组</w:t>
      </w:r>
    </w:p>
    <w:p w14:paraId="79371B71">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按照《中华人民共和国政府采购法》、《中华人民共和国政府采购法实施条例》及本项目本级和上级财政部门、政府采购监督管理部门的有关规定依法组建的询价小组，负责本项目评审工作。</w:t>
      </w:r>
    </w:p>
    <w:p w14:paraId="0C092633">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响应文件的评审</w:t>
      </w:r>
    </w:p>
    <w:p w14:paraId="27DD2BCF">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宋体" w:hAnsi="宋体" w:eastAsia="宋体" w:cs="宋体"/>
          <w:color w:val="auto"/>
          <w:sz w:val="24"/>
          <w:szCs w:val="24"/>
          <w:highlight w:val="none"/>
        </w:rPr>
      </w:pPr>
      <w:bookmarkStart w:id="30" w:name="_Hlk24663244"/>
      <w:bookmarkStart w:id="31" w:name="_Hlk23204954"/>
      <w:r>
        <w:rPr>
          <w:rFonts w:hint="eastAsia" w:ascii="宋体" w:hAnsi="宋体" w:eastAsia="宋体" w:cs="宋体"/>
          <w:color w:val="auto"/>
          <w:sz w:val="24"/>
          <w:szCs w:val="24"/>
          <w:highlight w:val="none"/>
          <w:lang w:val="en-US" w:eastAsia="zh-CN"/>
        </w:rPr>
        <w:t>13.1</w:t>
      </w: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1981F43F">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将被认定为</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07EFCCD8">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不良信用记录以采购人或采购代理机构查询结果为准。在本询价通知书规定的查询时间之外，网站信息发生的任何变更均不作为初审依据。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bookmarkEnd w:id="30"/>
    <w:bookmarkEnd w:id="31"/>
    <w:p w14:paraId="1CE96383">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响应文件的评审</w:t>
      </w:r>
      <w:r>
        <w:rPr>
          <w:rFonts w:asciiTheme="minorEastAsia" w:hAnsiTheme="minorEastAsia" w:eastAsiaTheme="minorEastAsia"/>
          <w:color w:val="auto"/>
          <w:sz w:val="24"/>
          <w:highlight w:val="none"/>
        </w:rPr>
        <w:t>是指依据询价通知书的规定，从响应文件的有效性和完整性对询价通知书的响应程度进行审查，以确定是否对询价通知书的实质性要求做出响应。</w:t>
      </w:r>
    </w:p>
    <w:p w14:paraId="470E476D">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授权代表</w:t>
      </w:r>
      <w:r>
        <w:rPr>
          <w:rFonts w:asciiTheme="minorEastAsia" w:hAnsiTheme="minorEastAsia" w:eastAsiaTheme="minorEastAsia"/>
          <w:color w:val="auto"/>
          <w:sz w:val="24"/>
          <w:highlight w:val="none"/>
        </w:rPr>
        <w:t>认为采购人员及其相关人员有法律法规所列与其他供应商有利害关系的，可以向采购人或采购代理机构书面提出回避申请，并说明理由。</w:t>
      </w:r>
    </w:p>
    <w:p w14:paraId="6E7F7899">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终止询价</w:t>
      </w:r>
    </w:p>
    <w:p w14:paraId="04718EEB">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出现下列情形之一的，</w:t>
      </w:r>
      <w:r>
        <w:rPr>
          <w:rFonts w:asciiTheme="minorEastAsia" w:hAnsiTheme="minorEastAsia" w:eastAsiaTheme="minorEastAsia"/>
          <w:color w:val="auto"/>
          <w:sz w:val="24"/>
          <w:highlight w:val="none"/>
        </w:rPr>
        <w:t>采购人或者采购代理机构应当</w:t>
      </w:r>
      <w:bookmarkStart w:id="32" w:name="_Hlk22478676"/>
      <w:r>
        <w:rPr>
          <w:rFonts w:asciiTheme="minorEastAsia" w:hAnsiTheme="minorEastAsia" w:eastAsiaTheme="minorEastAsia"/>
          <w:color w:val="auto"/>
          <w:sz w:val="24"/>
          <w:highlight w:val="none"/>
        </w:rPr>
        <w:t>终止询价</w:t>
      </w:r>
      <w:bookmarkEnd w:id="32"/>
      <w:r>
        <w:rPr>
          <w:rFonts w:asciiTheme="minorEastAsia" w:hAnsiTheme="minorEastAsia" w:eastAsiaTheme="minorEastAsia"/>
          <w:color w:val="auto"/>
          <w:sz w:val="24"/>
          <w:highlight w:val="none"/>
        </w:rPr>
        <w:t>采购活动，发</w:t>
      </w:r>
      <w:r>
        <w:rPr>
          <w:rFonts w:hint="eastAsia" w:asciiTheme="minorEastAsia" w:hAnsiTheme="minorEastAsia" w:eastAsiaTheme="minorEastAsia"/>
          <w:color w:val="auto"/>
          <w:sz w:val="24"/>
          <w:highlight w:val="none"/>
        </w:rPr>
        <w:t>布项目终止公告并说明原因，</w:t>
      </w:r>
      <w:r>
        <w:rPr>
          <w:rFonts w:asciiTheme="minorEastAsia" w:hAnsiTheme="minorEastAsia" w:eastAsiaTheme="minorEastAsia"/>
          <w:color w:val="auto"/>
          <w:sz w:val="24"/>
          <w:highlight w:val="none"/>
        </w:rPr>
        <w:t>重新开展采购活动：</w:t>
      </w:r>
    </w:p>
    <w:p w14:paraId="58BB7ACD">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因情况变化，不再符合规定的询价采购方式适用情形的；</w:t>
      </w:r>
    </w:p>
    <w:p w14:paraId="2BAD5667">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出现影响采购公正的违法、违规行为的；</w:t>
      </w:r>
    </w:p>
    <w:p w14:paraId="3568B232">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）在采购过程中符合竞争要求的供应商或者报价未超过采购预算的供应商不足3</w:t>
      </w:r>
      <w:r>
        <w:rPr>
          <w:rFonts w:hint="eastAsia" w:asciiTheme="minorEastAsia" w:hAnsiTheme="minorEastAsia" w:eastAsiaTheme="minorEastAsia"/>
          <w:color w:val="auto"/>
          <w:sz w:val="24"/>
          <w:highlight w:val="none"/>
        </w:rPr>
        <w:t>家的。</w:t>
      </w:r>
    </w:p>
    <w:p w14:paraId="26CDD173">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4B66807F">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询价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0BD52919">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.2询价小组要求供应商澄清、说明或者更正响应文件应当以书面形式（询标）作出。供应商的澄清、说明或者更正应当由法定代表人或其授权代表签字或者加盖公章</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电子签章</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w:t>
      </w:r>
    </w:p>
    <w:p w14:paraId="524E1137">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如有询标，授权代表（或法定代表人）可通过远程登录的方式接受网上询标，也可凭本人有效身份证明参加询标。因授权代表联系不上、没有及时登录系统等情形而无法接受询价小组询标的，供应商自行承担相关风险。本项目采用远程开标，具体操作方法详见服务指南&gt;交易须知&gt;开标大厅远程解密、质疑(异议)及回复以及评标过程中询标流程操作手册。</w:t>
      </w:r>
    </w:p>
    <w:p w14:paraId="49B5F00A">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15.3.1供应商的澄清、说明或补正将作为响应文件的一部分。</w:t>
      </w:r>
    </w:p>
    <w:p w14:paraId="29F65999">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15.3.2询价小组对供应商提交的澄清、说明或补正有疑问的，可以要求供应商进一步澄清、说明或补正，直至满足询价小组的要求。</w:t>
      </w:r>
    </w:p>
    <w:p w14:paraId="58819059">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15.3.3响应文件报价出现前后不一致的，按照下列规定修正：</w:t>
      </w:r>
    </w:p>
    <w:p w14:paraId="38E93903">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（1）响应文件中开启一览表内容与响应文件中相应内容不一致的，以开启一览表为准；</w:t>
      </w:r>
    </w:p>
    <w:p w14:paraId="6EA8F79A">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（2）大写金额（费率）和小写金额（费率）不一致的，以大写金额（费率）为准；</w:t>
      </w:r>
    </w:p>
    <w:p w14:paraId="305949C9">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（3）单价金额小数点或者百分比有明显错位的，以开启一览表的总价为准，并修改单价；</w:t>
      </w:r>
    </w:p>
    <w:p w14:paraId="21E7B623">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同时出现两种以上不一致的，按照前款规定的顺序修正。修正后的报价按照第15条的规定经供应商确认后产生约束力，无论供应商是接受或是拒绝调整后的价格，都应当由供应商在系统中确认。供应商拒绝对响应文件出现的错漏按上述原则进行修正、澄清、说明，其响应将被认定为投标无效。</w:t>
      </w:r>
    </w:p>
    <w:p w14:paraId="3FE89E81">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成交候选人的推荐原则及标准</w:t>
      </w:r>
    </w:p>
    <w:p w14:paraId="34375EF4">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ajorEastAsia" w:hAnsiTheme="majorEastAsia" w:eastAsiaTheme="majorEastAsia"/>
          <w:color w:val="auto"/>
          <w:sz w:val="24"/>
          <w:highlight w:val="none"/>
        </w:rPr>
      </w:pPr>
      <w:bookmarkStart w:id="33" w:name="_Hlk60605471"/>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.1根据《政府采购促进中小企业发展管理办法》（财库〔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hint="eastAsia" w:ascii="宋体" w:hAnsi="宋体" w:eastAsia="宋体"/>
          <w:color w:val="auto"/>
          <w:sz w:val="24"/>
          <w:highlight w:val="none"/>
        </w:rPr>
        <w:t>《</w:t>
      </w:r>
      <w:r>
        <w:rPr>
          <w:rFonts w:ascii="宋体" w:hAnsi="宋体" w:eastAsia="宋体"/>
          <w:color w:val="auto"/>
          <w:sz w:val="24"/>
          <w:highlight w:val="none"/>
        </w:rPr>
        <w:t>财政部 司法部关于政府</w:t>
      </w:r>
      <w:r>
        <w:rPr>
          <w:rFonts w:asciiTheme="majorEastAsia" w:hAnsiTheme="majorEastAsia" w:eastAsiaTheme="majorEastAsia"/>
          <w:color w:val="auto"/>
          <w:sz w:val="24"/>
          <w:highlight w:val="none"/>
        </w:rPr>
        <w:t>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中规定的标准扣除后的价格参与评审。对于同时属于小微企业、监狱企业或残疾人福利性单位的，不重复进行报价扣除。</w:t>
      </w:r>
    </w:p>
    <w:p w14:paraId="5A6E32A7">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宋体" w:hAnsi="宋体" w:eastAsia="宋体"/>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w:t>
      </w:r>
      <w:r>
        <w:rPr>
          <w:rFonts w:hint="eastAsia" w:ascii="宋体" w:hAnsi="宋体" w:eastAsia="宋体"/>
          <w:color w:val="auto"/>
          <w:sz w:val="24"/>
          <w:highlight w:val="none"/>
        </w:rPr>
        <w:t>体或者接受分包的小微企业与联合体内其他企业、分包企业之间存在直接控股、管理关系的，不享受价格扣除优惠政策。</w:t>
      </w:r>
    </w:p>
    <w:p w14:paraId="6EEDCA7E">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693C16FD">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16</w:t>
      </w:r>
      <w:r>
        <w:rPr>
          <w:rFonts w:asciiTheme="minorEastAsia" w:hAnsiTheme="minorEastAsia" w:eastAsiaTheme="minorEastAsia"/>
          <w:color w:val="auto"/>
          <w:sz w:val="24"/>
          <w:highlight w:val="none"/>
        </w:rPr>
        <w:t>.2如一个分包内只有一种产品，不同供应商所投产品为同一品牌同一型号的，提供相同品牌相同型号产品的不同供应商，以其通过</w:t>
      </w:r>
      <w:r>
        <w:rPr>
          <w:rFonts w:hint="eastAsia" w:asciiTheme="minorEastAsia" w:hAnsiTheme="minorEastAsia" w:eastAsiaTheme="minorEastAsia"/>
          <w:color w:val="auto"/>
          <w:sz w:val="24"/>
          <w:highlight w:val="none"/>
        </w:rPr>
        <w:t>评</w:t>
      </w:r>
      <w:r>
        <w:rPr>
          <w:rFonts w:asciiTheme="minorEastAsia" w:hAnsiTheme="minorEastAsia" w:eastAsiaTheme="minorEastAsia"/>
          <w:color w:val="auto"/>
          <w:sz w:val="24"/>
          <w:highlight w:val="none"/>
        </w:rPr>
        <w:t>审且报价最低的供应商获得成交候选人推荐资格；报价相同的，则所投产品为节能产品、环境标志产品、不发达地区或少数民族地区产品者优先；报价相同且所投产品同为节能产品、环境标志产品、不发达地区或少数民族地区产品的，则由询价小组采取随机抽取方式确定。</w:t>
      </w:r>
    </w:p>
    <w:p w14:paraId="4E8B6BFA">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16</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u w:val="none"/>
          <w:lang w:val="en-US" w:eastAsia="zh-CN"/>
        </w:rPr>
        <w:t>采购需求</w:t>
      </w:r>
      <w:r>
        <w:rPr>
          <w:rFonts w:asciiTheme="minorEastAsia" w:hAnsiTheme="minorEastAsia" w:eastAsiaTheme="minorEastAsia"/>
          <w:color w:val="auto"/>
          <w:sz w:val="24"/>
          <w:highlight w:val="none"/>
          <w:u w:val="none"/>
        </w:rPr>
        <w:t>中</w:t>
      </w:r>
      <w:r>
        <w:rPr>
          <w:rFonts w:asciiTheme="minorEastAsia" w:hAnsiTheme="minorEastAsia" w:eastAsiaTheme="minorEastAsia"/>
          <w:color w:val="auto"/>
          <w:sz w:val="24"/>
          <w:highlight w:val="none"/>
        </w:rPr>
        <w:t>载明核心产品，多家供应商提供的核心产品品牌型号相同的，按第</w:t>
      </w:r>
      <w:r>
        <w:rPr>
          <w:rFonts w:hint="eastAsia" w:asciiTheme="minorEastAsia" w:hAnsiTheme="minorEastAsia" w:eastAsiaTheme="minorEastAsia"/>
          <w:color w:val="auto"/>
          <w:sz w:val="24"/>
          <w:highlight w:val="none"/>
          <w:lang w:val="en-US" w:eastAsia="zh-CN"/>
        </w:rPr>
        <w:t>16</w:t>
      </w:r>
      <w:r>
        <w:rPr>
          <w:rFonts w:asciiTheme="minorEastAsia" w:hAnsiTheme="minorEastAsia" w:eastAsiaTheme="minorEastAsia"/>
          <w:color w:val="auto"/>
          <w:sz w:val="24"/>
          <w:highlight w:val="none"/>
        </w:rPr>
        <w:t>.2款规定处理。</w:t>
      </w:r>
    </w:p>
    <w:p w14:paraId="10E4ED90">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16</w:t>
      </w:r>
      <w:r>
        <w:rPr>
          <w:rFonts w:asciiTheme="minorEastAsia" w:hAnsiTheme="minorEastAsia" w:eastAsiaTheme="minorEastAsia"/>
          <w:color w:val="auto"/>
          <w:sz w:val="24"/>
          <w:highlight w:val="none"/>
        </w:rPr>
        <w:t>.4除了算术修正和落实政府采购政策需进行的价格扣除外，不对供应商的报价进行任何调整。评审结果按修正和扣除后的报价由低到高顺序排列。修正和扣除后的报价出现两家或两家以上相同者，则所投产品为节能产品、环境标志产品、不发达地区或少数民族地区产品者优先；若报价相同且所投产品同为节能产品、环境标志产品、不发达地区或少数民族地区产品的，则采取询价小组随机抽取的方式确定成交候选顺序。</w:t>
      </w:r>
      <w:bookmarkEnd w:id="33"/>
    </w:p>
    <w:p w14:paraId="3442AE92">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确定成交候选人和成交供应商</w:t>
      </w:r>
    </w:p>
    <w:p w14:paraId="2DC1B6F8">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询价小组应当从质量和服务均能满足</w:t>
      </w:r>
      <w:r>
        <w:rPr>
          <w:rFonts w:hint="eastAsia" w:asciiTheme="minorEastAsia" w:hAnsiTheme="minorEastAsia" w:eastAsiaTheme="minorEastAsia"/>
          <w:color w:val="auto"/>
          <w:sz w:val="24"/>
          <w:highlight w:val="none"/>
          <w:lang w:val="en-US" w:eastAsia="zh-CN"/>
        </w:rPr>
        <w:t>询价通知书</w:t>
      </w:r>
      <w:r>
        <w:rPr>
          <w:rFonts w:hint="eastAsia" w:asciiTheme="minorEastAsia" w:hAnsiTheme="minorEastAsia" w:eastAsiaTheme="minorEastAsia"/>
          <w:color w:val="auto"/>
          <w:sz w:val="24"/>
          <w:highlight w:val="none"/>
        </w:rPr>
        <w:t>实质性响应要求的供应商中，按照报价</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b/>
          <w:bCs/>
          <w:color w:val="auto"/>
          <w:sz w:val="24"/>
          <w:highlight w:val="none"/>
          <w:lang w:val="en-US" w:eastAsia="zh-CN"/>
        </w:rPr>
        <w:t>此处所指报价为价格优惠（如有）后报价</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由低到高的顺序提出</w:t>
      </w:r>
      <w:r>
        <w:rPr>
          <w:rFonts w:asciiTheme="minorEastAsia" w:hAnsiTheme="minorEastAsia" w:eastAsiaTheme="minorEastAsia"/>
          <w:color w:val="auto"/>
          <w:sz w:val="24"/>
          <w:highlight w:val="none"/>
        </w:rPr>
        <w:t>3名成交候选人</w:t>
      </w:r>
      <w:r>
        <w:rPr>
          <w:rFonts w:hint="eastAsia" w:asciiTheme="minorEastAsia" w:hAnsiTheme="minorEastAsia" w:eastAsiaTheme="minorEastAsia"/>
          <w:color w:val="auto"/>
          <w:sz w:val="24"/>
          <w:highlight w:val="none"/>
        </w:rPr>
        <w:t>。</w:t>
      </w:r>
    </w:p>
    <w:p w14:paraId="189DE185">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中规定，经采购人或采购人授权的询价小组确定成交供应商。</w:t>
      </w:r>
    </w:p>
    <w:p w14:paraId="3C5A1DF7">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因重大变故采购任务取消时，采购人有权拒绝任何供应商成交，且对受影响的供应商不承担任何责任。</w:t>
      </w:r>
    </w:p>
    <w:p w14:paraId="42F84194">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编写评审报告</w:t>
      </w:r>
    </w:p>
    <w:p w14:paraId="49B60094">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审报告是根据全体询价小组成员签字的原始评审记录和评审结果编写的报告，评审报告由询价小组全体成员签字。对评审结论持有异议的询价小组成员可以书面方式阐述其不同意见和理由。询价小组成员拒绝在评审报告上签字且不陈述其不同意见和理由的，视为同意评审结论。</w:t>
      </w:r>
    </w:p>
    <w:p w14:paraId="5EB04263">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.保密要求</w:t>
      </w:r>
    </w:p>
    <w:p w14:paraId="17FBCF7E">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19</w:t>
      </w:r>
      <w:r>
        <w:rPr>
          <w:rFonts w:asciiTheme="minorEastAsia" w:hAnsiTheme="minorEastAsia" w:eastAsiaTheme="minorEastAsia"/>
          <w:color w:val="auto"/>
          <w:sz w:val="24"/>
          <w:highlight w:val="none"/>
        </w:rPr>
        <w:t>.1评审应在严格保密的情况下进行。</w:t>
      </w:r>
    </w:p>
    <w:p w14:paraId="273485E4">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19</w:t>
      </w:r>
      <w:r>
        <w:rPr>
          <w:rFonts w:asciiTheme="minorEastAsia" w:hAnsiTheme="minorEastAsia" w:eastAsiaTheme="minorEastAsia"/>
          <w:color w:val="auto"/>
          <w:sz w:val="24"/>
          <w:highlight w:val="none"/>
        </w:rPr>
        <w:t>.2有关人员应当遵守评审工作纪律，不得泄露评审文件、评审情况和评审中获悉的国家秘密、商业秘密。</w:t>
      </w:r>
    </w:p>
    <w:p w14:paraId="54D85DD6">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成交结果公告</w:t>
      </w:r>
    </w:p>
    <w:p w14:paraId="11330444">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规定由询价小组直接确定</w:t>
      </w:r>
      <w:r>
        <w:rPr>
          <w:rFonts w:hint="eastAsia" w:asciiTheme="minorEastAsia" w:hAnsiTheme="minorEastAsia" w:eastAsiaTheme="minorEastAsia"/>
          <w:color w:val="auto"/>
          <w:sz w:val="24"/>
          <w:highlight w:val="none"/>
        </w:rPr>
        <w:t>成交供应商外，</w:t>
      </w:r>
      <w:r>
        <w:rPr>
          <w:rFonts w:asciiTheme="minorEastAsia" w:hAnsiTheme="minorEastAsia" w:eastAsiaTheme="minorEastAsia"/>
          <w:color w:val="auto"/>
          <w:sz w:val="24"/>
          <w:highlight w:val="none"/>
        </w:rPr>
        <w:t>在评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报告送采购人。采购人应当自收到评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报告之日起５个工作日内，在评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报告确定的</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候选人名单中按顺序确定</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候选人并列的，由采购人或者采购人委托询价小组按照询价通知书规定的方式确定</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；询价通知书未规定的，采取随机抽取的方式确定。</w:t>
      </w:r>
    </w:p>
    <w:p w14:paraId="2198ABA9">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.2自</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确定之日起2个工作日内，采购代理机构</w:t>
      </w:r>
      <w:r>
        <w:rPr>
          <w:rFonts w:hint="eastAsia" w:asciiTheme="minorEastAsia" w:hAnsiTheme="minorEastAsia" w:eastAsiaTheme="minorEastAsia"/>
          <w:color w:val="auto"/>
          <w:sz w:val="24"/>
          <w:highlight w:val="none"/>
        </w:rPr>
        <w:t>将</w:t>
      </w:r>
      <w:r>
        <w:rPr>
          <w:rFonts w:hint="eastAsia" w:ascii="宋体" w:hAnsi="宋体" w:eastAsia="宋体"/>
          <w:color w:val="auto"/>
          <w:sz w:val="24"/>
          <w:szCs w:val="18"/>
          <w:highlight w:val="none"/>
        </w:rPr>
        <w:t>在安徽省政府采购网（www.ccgp-anhui.gov.cn）和滁州市公共资源交易中心网上</w:t>
      </w:r>
      <w:r>
        <w:rPr>
          <w:rFonts w:asciiTheme="minorEastAsia" w:hAnsiTheme="minorEastAsia" w:eastAsiaTheme="minorEastAsia"/>
          <w:color w:val="auto"/>
          <w:sz w:val="24"/>
          <w:highlight w:val="none"/>
        </w:rPr>
        <w:t>发布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公告。</w:t>
      </w:r>
    </w:p>
    <w:p w14:paraId="53409589">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.3成交</w:t>
      </w:r>
      <w:r>
        <w:rPr>
          <w:rFonts w:asciiTheme="minorEastAsia" w:hAnsiTheme="minorEastAsia" w:eastAsiaTheme="minorEastAsia"/>
          <w:color w:val="auto"/>
          <w:sz w:val="24"/>
          <w:highlight w:val="none"/>
        </w:rPr>
        <w:t>公告内容应当包括采购人及其委托的采购代理机构的名称、地址、联系方式，项目名称和项目编号，</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名称、地址和</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金额，主要</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标的的名称、</w:t>
      </w:r>
      <w:r>
        <w:rPr>
          <w:rFonts w:hint="eastAsia" w:asciiTheme="minorEastAsia" w:hAnsiTheme="minorEastAsia" w:eastAsiaTheme="minorEastAsia"/>
          <w:color w:val="auto"/>
          <w:sz w:val="24"/>
          <w:highlight w:val="none"/>
        </w:rPr>
        <w:t>品牌（如有）</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规格型号、数量、单价，</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1A551A71">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成交通知书</w:t>
      </w:r>
    </w:p>
    <w:p w14:paraId="53FCF918">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21</w:t>
      </w:r>
      <w:r>
        <w:rPr>
          <w:rFonts w:asciiTheme="minorEastAsia" w:hAnsiTheme="minorEastAsia" w:eastAsiaTheme="minorEastAsia"/>
          <w:color w:val="auto"/>
          <w:sz w:val="24"/>
          <w:highlight w:val="none"/>
        </w:rPr>
        <w:t>.1采购代理机构发布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发出</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w:t>
      </w:r>
      <w:r>
        <w:rPr>
          <w:rFonts w:hint="eastAsia" w:asciiTheme="minorEastAsia" w:hAnsiTheme="minorEastAsia" w:eastAsiaTheme="minorEastAsia"/>
          <w:color w:val="auto"/>
          <w:sz w:val="24"/>
          <w:highlight w:val="none"/>
        </w:rPr>
        <w:t>中标通知书须加盖采购人、采购代理机构公章并经公共资源交易中心加盖见证章后，方可发出。</w:t>
      </w:r>
    </w:p>
    <w:p w14:paraId="185CA0E5">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通知书对采购人和</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具有同等法律效力。</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通知书发出以后，采购人改变</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结果或者</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放弃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，应当承担相应的法律责任。</w:t>
      </w:r>
    </w:p>
    <w:p w14:paraId="4426A669">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通知书是合同的组成部分。</w:t>
      </w:r>
    </w:p>
    <w:p w14:paraId="5C5EBB20">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.告知</w:t>
      </w:r>
      <w:r>
        <w:rPr>
          <w:rFonts w:hint="eastAsia" w:asciiTheme="minorEastAsia" w:hAnsiTheme="minorEastAsia" w:eastAsiaTheme="minorEastAsia"/>
          <w:b/>
          <w:color w:val="auto"/>
          <w:sz w:val="24"/>
          <w:highlight w:val="none"/>
        </w:rPr>
        <w:t>询价</w:t>
      </w:r>
      <w:r>
        <w:rPr>
          <w:rFonts w:asciiTheme="minorEastAsia" w:hAnsiTheme="minorEastAsia" w:eastAsiaTheme="minorEastAsia"/>
          <w:b/>
          <w:color w:val="auto"/>
          <w:sz w:val="24"/>
          <w:highlight w:val="none"/>
        </w:rPr>
        <w:t>结果</w:t>
      </w:r>
    </w:p>
    <w:p w14:paraId="1F009EAD">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.1在公告成交结果的同时，采购代理机构同时以</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规定的形式告知未成交供应商本人的排序。</w:t>
      </w:r>
    </w:p>
    <w:p w14:paraId="275B6D1C">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采购代理机构对未成交的供应商不做未成交原因的解释</w:t>
      </w:r>
      <w:r>
        <w:rPr>
          <w:rFonts w:asciiTheme="minorEastAsia" w:hAnsiTheme="minorEastAsia" w:eastAsiaTheme="minorEastAsia"/>
          <w:color w:val="auto"/>
          <w:sz w:val="24"/>
          <w:highlight w:val="none"/>
        </w:rPr>
        <w:t>。</w:t>
      </w:r>
    </w:p>
    <w:p w14:paraId="60B57A3F">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01AB9763">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.1成交供应商应按照</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规定缴纳履约保证金。</w:t>
      </w:r>
    </w:p>
    <w:p w14:paraId="4CAE0381">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如果成交供应商没有按照上述履约保证金的规定执行，将视为放弃成交资格。在此情况下，采购人可</w:t>
      </w:r>
      <w:r>
        <w:rPr>
          <w:rFonts w:asciiTheme="minorEastAsia" w:hAnsiTheme="minorEastAsia" w:eastAsiaTheme="minorEastAsia"/>
          <w:color w:val="auto"/>
          <w:sz w:val="24"/>
          <w:highlight w:val="none"/>
        </w:rPr>
        <w:t>确定下一</w:t>
      </w:r>
      <w:r>
        <w:rPr>
          <w:rFonts w:hint="eastAsia" w:asciiTheme="minorEastAsia" w:hAnsiTheme="minorEastAsia" w:eastAsiaTheme="minorEastAsia"/>
          <w:color w:val="auto"/>
          <w:sz w:val="24"/>
          <w:highlight w:val="none"/>
        </w:rPr>
        <w:t>成交候选</w:t>
      </w:r>
      <w:r>
        <w:rPr>
          <w:rFonts w:asciiTheme="minorEastAsia" w:hAnsiTheme="minorEastAsia" w:eastAsiaTheme="minorEastAsia"/>
          <w:color w:val="auto"/>
          <w:sz w:val="24"/>
          <w:highlight w:val="none"/>
        </w:rPr>
        <w:t>人为</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，也可以重新开展采购活动。</w:t>
      </w:r>
    </w:p>
    <w:p w14:paraId="3C70F3FF">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hint="default" w:asciiTheme="minorEastAsia" w:hAnsiTheme="minorEastAsia" w:eastAsiaTheme="minorEastAsia"/>
          <w:b/>
          <w:color w:val="auto"/>
          <w:sz w:val="24"/>
          <w:highlight w:val="none"/>
          <w:lang w:val="en-US" w:eastAsia="zh-CN"/>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4A94AA77">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本项目</w:t>
      </w:r>
      <w:r>
        <w:rPr>
          <w:rFonts w:hint="eastAsia" w:asciiTheme="minorEastAsia" w:hAnsiTheme="minorEastAsia" w:eastAsiaTheme="minorEastAsia"/>
          <w:color w:val="auto"/>
          <w:sz w:val="24"/>
          <w:highlight w:val="none"/>
          <w:lang w:val="en-US" w:eastAsia="zh-CN"/>
        </w:rPr>
        <w:t>代理费用</w:t>
      </w:r>
      <w:r>
        <w:rPr>
          <w:rFonts w:hint="eastAsia" w:asciiTheme="minorEastAsia" w:hAnsiTheme="minorEastAsia" w:eastAsiaTheme="minorEastAsia"/>
          <w:color w:val="auto"/>
          <w:sz w:val="24"/>
          <w:highlight w:val="none"/>
        </w:rPr>
        <w:t>的收取按</w:t>
      </w:r>
      <w:r>
        <w:rPr>
          <w:rFonts w:hint="eastAsia" w:asciiTheme="minorEastAsia" w:hAnsiTheme="minorEastAsia" w:eastAsiaTheme="minorEastAsia"/>
          <w:color w:val="auto"/>
          <w:sz w:val="24"/>
          <w:highlight w:val="none"/>
          <w:u w:val="single"/>
        </w:rPr>
        <w:t>供应商须知前附表的</w:t>
      </w:r>
      <w:r>
        <w:rPr>
          <w:rFonts w:hint="eastAsia" w:asciiTheme="minorEastAsia" w:hAnsiTheme="minorEastAsia" w:eastAsiaTheme="minorEastAsia"/>
          <w:color w:val="auto"/>
          <w:sz w:val="24"/>
          <w:highlight w:val="none"/>
        </w:rPr>
        <w:t>规定执行。</w:t>
      </w:r>
    </w:p>
    <w:p w14:paraId="4AD5F6D4">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65AD9F53">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399CF531">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.2询价通知书、成交供应商的响应文件及其澄清文件等，均为签订合同的依据。</w:t>
      </w:r>
    </w:p>
    <w:p w14:paraId="3AF3FF30">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.3成交供应商</w:t>
      </w:r>
      <w:r>
        <w:rPr>
          <w:rFonts w:asciiTheme="minorEastAsia" w:hAnsiTheme="minorEastAsia" w:eastAsiaTheme="minorEastAsia"/>
          <w:color w:val="auto"/>
          <w:sz w:val="24"/>
          <w:highlight w:val="none"/>
        </w:rPr>
        <w:t>拒绝与采购人签订合同的，采购人可以按照评审报告推荐的</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w:t>
      </w:r>
      <w:r>
        <w:rPr>
          <w:rFonts w:hint="eastAsia" w:asciiTheme="minorEastAsia" w:hAnsiTheme="minorEastAsia" w:eastAsiaTheme="minorEastAsia"/>
          <w:color w:val="auto"/>
          <w:sz w:val="24"/>
          <w:highlight w:val="none"/>
        </w:rPr>
        <w:t>名单</w:t>
      </w:r>
      <w:r>
        <w:rPr>
          <w:rFonts w:asciiTheme="minorEastAsia" w:hAnsiTheme="minorEastAsia" w:eastAsiaTheme="minorEastAsia"/>
          <w:color w:val="auto"/>
          <w:sz w:val="24"/>
          <w:highlight w:val="none"/>
        </w:rPr>
        <w:t>排序</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确定下一</w:t>
      </w:r>
      <w:r>
        <w:rPr>
          <w:rFonts w:hint="eastAsia" w:asciiTheme="minorEastAsia" w:hAnsiTheme="minorEastAsia" w:eastAsiaTheme="minorEastAsia"/>
          <w:color w:val="auto"/>
          <w:sz w:val="24"/>
          <w:highlight w:val="none"/>
        </w:rPr>
        <w:t>成交候选</w:t>
      </w:r>
      <w:r>
        <w:rPr>
          <w:rFonts w:asciiTheme="minorEastAsia" w:hAnsiTheme="minorEastAsia" w:eastAsiaTheme="minorEastAsia"/>
          <w:color w:val="auto"/>
          <w:sz w:val="24"/>
          <w:highlight w:val="none"/>
        </w:rPr>
        <w:t>人为</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，也可以重新开展政府采购活动。</w:t>
      </w:r>
    </w:p>
    <w:p w14:paraId="3BF61E91">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.4当出现法规规定的成交无效或成交结果无效情形时，采购人可依法与排名下一位的成交候选人另行签订合同，或依法重新开展采购活动。</w:t>
      </w:r>
    </w:p>
    <w:p w14:paraId="5D0E7AD1">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bookmarkStart w:id="34" w:name="_Hlk60264926"/>
      <w:r>
        <w:rPr>
          <w:rFonts w:hint="eastAsia" w:ascii="宋体" w:hAnsi="宋体" w:eastAsia="宋体"/>
          <w:color w:val="auto"/>
          <w:sz w:val="24"/>
          <w:highlight w:val="none"/>
          <w:lang w:val="en-US" w:eastAsia="zh-CN"/>
        </w:rPr>
        <w:t>25</w:t>
      </w:r>
      <w:r>
        <w:rPr>
          <w:rFonts w:hint="eastAsia" w:ascii="宋体" w:hAnsi="宋体" w:eastAsia="宋体"/>
          <w:color w:val="auto"/>
          <w:sz w:val="24"/>
          <w:highlight w:val="none"/>
        </w:rPr>
        <w:t>.5依据《政府采购促进中小企业发展管理办法》（财库〔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bookmarkEnd w:id="34"/>
    </w:p>
    <w:p w14:paraId="297E3676">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bookmarkStart w:id="35" w:name="_Toc518923100"/>
      <w:bookmarkStart w:id="36" w:name="_Toc2583661"/>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35"/>
      <w:bookmarkEnd w:id="36"/>
    </w:p>
    <w:p w14:paraId="51924879">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.1采购代理机构</w:t>
      </w:r>
      <w:r>
        <w:rPr>
          <w:rFonts w:asciiTheme="minorEastAsia" w:hAnsiTheme="minorEastAsia" w:eastAsiaTheme="minorEastAsia"/>
          <w:color w:val="auto"/>
          <w:sz w:val="24"/>
          <w:highlight w:val="none"/>
        </w:rPr>
        <w:t>工作人员</w:t>
      </w:r>
      <w:r>
        <w:rPr>
          <w:rFonts w:hint="eastAsia" w:asciiTheme="minorEastAsia" w:hAnsiTheme="minorEastAsia" w:eastAsiaTheme="minorEastAsia"/>
          <w:color w:val="auto"/>
          <w:sz w:val="24"/>
          <w:highlight w:val="none"/>
        </w:rPr>
        <w:t>不得以不正当手段获取政府采购代理业务，不得与采购人、供应商恶意串通。</w:t>
      </w:r>
    </w:p>
    <w:p w14:paraId="102F7C85">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采购代理机构工作人员不得接受采购人或者供应商组织的宴请、旅游、娱乐，不得收受礼品、现金、有价证券等，不得向采购人或者供应商报销应当由个人承担的费用。</w:t>
      </w:r>
    </w:p>
    <w:p w14:paraId="6BF32E54">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19CEE561">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27</w:t>
      </w:r>
      <w:r>
        <w:rPr>
          <w:rFonts w:hint="eastAsia" w:asciiTheme="minorEastAsia" w:hAnsiTheme="minorEastAsia" w:eastAsiaTheme="minorEastAsia"/>
          <w:color w:val="auto"/>
          <w:sz w:val="24"/>
          <w:highlight w:val="none"/>
        </w:rPr>
        <w:t>.1供应商认为询价通知书、采购过程和成交结果使自己的权益受到损害的，可以在知道或者应知其权益受到损害之日起七个工作日内，以书面形式向采购人或其委托的采购代理机构提出质疑。</w:t>
      </w:r>
    </w:p>
    <w:p w14:paraId="5428B7A7">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27</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质疑供应商应按照财政部制定的《政府采购质疑函范本》格式（详见</w:t>
      </w:r>
      <w:r>
        <w:rPr>
          <w:rFonts w:hint="eastAsia" w:asciiTheme="minorEastAsia" w:hAnsiTheme="minorEastAsia" w:eastAsiaTheme="minorEastAsia"/>
          <w:color w:val="auto"/>
          <w:sz w:val="24"/>
          <w:highlight w:val="none"/>
          <w:lang w:val="en-US" w:eastAsia="zh-CN"/>
        </w:rPr>
        <w:t>询价通知书</w:t>
      </w:r>
      <w:r>
        <w:rPr>
          <w:rFonts w:hint="eastAsia" w:asciiTheme="minorEastAsia" w:hAnsiTheme="minorEastAsia" w:eastAsiaTheme="minorEastAsia"/>
          <w:color w:val="auto"/>
          <w:sz w:val="24"/>
          <w:highlight w:val="none"/>
        </w:rPr>
        <w:t>）和《政府采购质疑和投诉办法》的要求，在法定质疑期内以书面形式提出质疑，超出法定质疑期提交的质疑将被拒绝。针对同一采购程序环节的质疑应一次性提出。</w:t>
      </w:r>
    </w:p>
    <w:p w14:paraId="052504C0">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27</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采购代理机构质疑函接收部门、联系电话和通讯地址，见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6BB3F613">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75AE3581">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投诉</w:t>
      </w:r>
    </w:p>
    <w:p w14:paraId="434BA9D7">
      <w:pPr>
        <w:keepNext w:val="0"/>
        <w:keepLines w:val="0"/>
        <w:pageBreakBefore w:val="0"/>
        <w:widowControl w:val="0"/>
        <w:kinsoku/>
        <w:wordWrap w:val="0"/>
        <w:overflowPunct/>
        <w:topLinePunct w:val="0"/>
        <w:autoSpaceDE/>
        <w:autoSpaceDN/>
        <w:bidi w:val="0"/>
        <w:adjustRightInd/>
        <w:snapToGrid/>
        <w:spacing w:line="46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28</w:t>
      </w:r>
      <w:r>
        <w:rPr>
          <w:rFonts w:hint="eastAsia" w:asciiTheme="minorEastAsia" w:hAnsiTheme="minorEastAsia" w:eastAsiaTheme="minorEastAsia"/>
          <w:color w:val="auto"/>
          <w:sz w:val="24"/>
          <w:highlight w:val="none"/>
        </w:rPr>
        <w:t>.1质疑投标人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19A4B014">
      <w:pPr>
        <w:keepNext w:val="0"/>
        <w:keepLines w:val="0"/>
        <w:pageBreakBefore w:val="0"/>
        <w:widowControl w:val="0"/>
        <w:kinsoku/>
        <w:wordWrap w:val="0"/>
        <w:overflowPunct/>
        <w:topLinePunct w:val="0"/>
        <w:autoSpaceDE/>
        <w:autoSpaceDN/>
        <w:bidi w:val="0"/>
        <w:adjustRightInd/>
        <w:snapToGrid/>
        <w:spacing w:line="46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28</w:t>
      </w:r>
      <w:r>
        <w:rPr>
          <w:rFonts w:hint="eastAsia" w:asciiTheme="minorEastAsia" w:hAnsiTheme="minorEastAsia" w:eastAsiaTheme="minorEastAsia"/>
          <w:color w:val="auto"/>
          <w:sz w:val="24"/>
          <w:highlight w:val="none"/>
        </w:rPr>
        <w:t>.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4687A402">
      <w:pPr>
        <w:keepNext w:val="0"/>
        <w:keepLines w:val="0"/>
        <w:pageBreakBefore w:val="0"/>
        <w:widowControl w:val="0"/>
        <w:kinsoku/>
        <w:wordWrap w:val="0"/>
        <w:overflowPunct/>
        <w:topLinePunct w:val="0"/>
        <w:autoSpaceDE/>
        <w:autoSpaceDN/>
        <w:bidi w:val="0"/>
        <w:adjustRightInd/>
        <w:snapToGrid/>
        <w:spacing w:line="46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28</w:t>
      </w:r>
      <w:r>
        <w:rPr>
          <w:rFonts w:hint="eastAsia" w:asciiTheme="minorEastAsia" w:hAnsiTheme="minorEastAsia" w:eastAsiaTheme="minorEastAsia"/>
          <w:color w:val="auto"/>
          <w:sz w:val="24"/>
          <w:highlight w:val="none"/>
        </w:rPr>
        <w:t>.3政府采购监督管理部门在处理投诉事项期间，可以视具体情况书面通知采购人暂停采购活动，但暂停时间最长不得超过30日。</w:t>
      </w:r>
    </w:p>
    <w:p w14:paraId="3CB444FB">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29.</w:t>
      </w:r>
      <w:r>
        <w:rPr>
          <w:rFonts w:hint="eastAsia" w:asciiTheme="minorEastAsia" w:hAnsiTheme="minorEastAsia" w:eastAsiaTheme="minorEastAsia"/>
          <w:b/>
          <w:color w:val="auto"/>
          <w:sz w:val="24"/>
          <w:highlight w:val="none"/>
        </w:rPr>
        <w:t>需要补充的其他内容</w:t>
      </w:r>
    </w:p>
    <w:p w14:paraId="5ED462AF">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b/>
          <w:color w:val="auto"/>
          <w:sz w:val="28"/>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br w:type="page"/>
      </w:r>
    </w:p>
    <w:p w14:paraId="41D2084F">
      <w:pPr>
        <w:spacing w:line="360" w:lineRule="auto"/>
        <w:jc w:val="center"/>
        <w:outlineLvl w:val="0"/>
        <w:rPr>
          <w:rFonts w:asciiTheme="minorEastAsia" w:hAnsiTheme="minorEastAsia" w:eastAsiaTheme="minorEastAsia"/>
          <w:b/>
          <w:color w:val="auto"/>
          <w:sz w:val="28"/>
          <w:highlight w:val="none"/>
        </w:rPr>
      </w:pPr>
      <w:bookmarkStart w:id="37" w:name="_Toc1471"/>
      <w:r>
        <w:rPr>
          <w:rFonts w:hint="eastAsia" w:asciiTheme="minorEastAsia" w:hAnsiTheme="minorEastAsia" w:eastAsiaTheme="minorEastAsia"/>
          <w:b/>
          <w:color w:val="auto"/>
          <w:sz w:val="28"/>
          <w:highlight w:val="none"/>
        </w:rPr>
        <w:t>第三章  采购需求</w:t>
      </w:r>
      <w:bookmarkEnd w:id="37"/>
    </w:p>
    <w:p w14:paraId="65CAA13C">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6B20E352">
      <w:pPr>
        <w:spacing w:line="360" w:lineRule="auto"/>
        <w:ind w:firstLine="480" w:firstLineChars="200"/>
        <w:rPr>
          <w:rFonts w:asciiTheme="minorEastAsia" w:hAnsiTheme="minorEastAsia" w:eastAsiaTheme="minorEastAsia"/>
          <w:color w:val="auto"/>
          <w:sz w:val="24"/>
          <w:szCs w:val="18"/>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szCs w:val="18"/>
          <w:highlight w:val="none"/>
        </w:rPr>
        <w:t>根据《</w:t>
      </w:r>
      <w:r>
        <w:rPr>
          <w:rFonts w:hint="eastAsia" w:asciiTheme="minorEastAsia" w:hAnsiTheme="minorEastAsia" w:eastAsiaTheme="minorEastAsia"/>
          <w:color w:val="auto"/>
          <w:sz w:val="24"/>
          <w:szCs w:val="18"/>
          <w:highlight w:val="none"/>
        </w:rPr>
        <w:t>政府采购进口产品管理办法</w:t>
      </w:r>
      <w:r>
        <w:rPr>
          <w:rFonts w:asciiTheme="minorEastAsia" w:hAnsiTheme="minorEastAsia" w:eastAsiaTheme="minorEastAsia"/>
          <w:color w:val="auto"/>
          <w:sz w:val="24"/>
          <w:szCs w:val="18"/>
          <w:highlight w:val="none"/>
        </w:rPr>
        <w:t>》及政府采购管理部门的相关规定，下列采购需求中</w:t>
      </w:r>
      <w:r>
        <w:rPr>
          <w:rFonts w:hint="eastAsia" w:asciiTheme="minorEastAsia" w:hAnsiTheme="minorEastAsia" w:eastAsiaTheme="minorEastAsia"/>
          <w:color w:val="auto"/>
          <w:sz w:val="24"/>
          <w:szCs w:val="18"/>
          <w:highlight w:val="none"/>
        </w:rPr>
        <w:t>标注进口产品的货物均</w:t>
      </w:r>
      <w:r>
        <w:rPr>
          <w:rFonts w:asciiTheme="minorEastAsia" w:hAnsiTheme="minorEastAsia" w:eastAsiaTheme="minorEastAsia"/>
          <w:color w:val="auto"/>
          <w:sz w:val="24"/>
          <w:szCs w:val="18"/>
          <w:highlight w:val="none"/>
        </w:rPr>
        <w:t>已履行相关论证手续，经核准采购进口</w:t>
      </w:r>
      <w:r>
        <w:rPr>
          <w:rFonts w:hint="eastAsia" w:asciiTheme="minorEastAsia" w:hAnsiTheme="minorEastAsia" w:eastAsiaTheme="minorEastAsia"/>
          <w:color w:val="auto"/>
          <w:sz w:val="24"/>
          <w:szCs w:val="18"/>
          <w:highlight w:val="none"/>
        </w:rPr>
        <w:t>产品</w:t>
      </w:r>
      <w:r>
        <w:rPr>
          <w:rFonts w:asciiTheme="minorEastAsia" w:hAnsiTheme="minorEastAsia" w:eastAsiaTheme="minorEastAsia"/>
          <w:color w:val="auto"/>
          <w:sz w:val="24"/>
          <w:szCs w:val="18"/>
          <w:highlight w:val="none"/>
        </w:rPr>
        <w:t>，但不限制满足询价通知书要求的国内产品参与竞争</w:t>
      </w:r>
      <w:r>
        <w:rPr>
          <w:rFonts w:hint="eastAsia" w:asciiTheme="minorEastAsia" w:hAnsiTheme="minorEastAsia" w:eastAsiaTheme="minorEastAsia"/>
          <w:color w:val="auto"/>
          <w:sz w:val="24"/>
          <w:szCs w:val="18"/>
          <w:highlight w:val="none"/>
        </w:rPr>
        <w:t>。未标注进口产品的货物均</w:t>
      </w:r>
      <w:r>
        <w:rPr>
          <w:rFonts w:asciiTheme="minorEastAsia" w:hAnsiTheme="minorEastAsia" w:eastAsiaTheme="minorEastAsia"/>
          <w:color w:val="auto"/>
          <w:sz w:val="24"/>
          <w:szCs w:val="18"/>
          <w:highlight w:val="none"/>
        </w:rPr>
        <w:t>为拒绝采购进口产品</w:t>
      </w:r>
      <w:r>
        <w:rPr>
          <w:rFonts w:hint="eastAsia" w:asciiTheme="minorEastAsia" w:hAnsiTheme="minorEastAsia" w:eastAsiaTheme="minorEastAsia"/>
          <w:color w:val="auto"/>
          <w:sz w:val="24"/>
          <w:szCs w:val="18"/>
          <w:highlight w:val="none"/>
        </w:rPr>
        <w:t>。</w:t>
      </w:r>
    </w:p>
    <w:p w14:paraId="598FCDAF">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rPr>
        <w:t>：</w:t>
      </w:r>
    </w:p>
    <w:p w14:paraId="0DBE0EF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w:t>
      </w:r>
      <w:r>
        <w:rPr>
          <w:rFonts w:hint="eastAsia" w:ascii="宋体" w:hAnsi="宋体" w:eastAsia="宋体" w:cs="宋体"/>
          <w:color w:val="auto"/>
          <w:sz w:val="24"/>
          <w:szCs w:val="24"/>
          <w:highlight w:val="none"/>
          <w:lang w:eastAsia="zh-CN"/>
        </w:rPr>
        <w:t>供应商在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文件中提供</w:t>
      </w:r>
      <w:r>
        <w:rPr>
          <w:rFonts w:hint="eastAsia" w:ascii="宋体" w:hAnsi="宋体" w:eastAsia="宋体" w:cs="宋体"/>
          <w:color w:val="auto"/>
          <w:sz w:val="24"/>
          <w:szCs w:val="24"/>
          <w:highlight w:val="none"/>
        </w:rPr>
        <w:t>所投产品须具有市场监管总局公布的《参与实施政府采购节能产品认证机构目录》中的认证机构出具的、处于有效期内的节能产品认证证书。</w:t>
      </w:r>
    </w:p>
    <w:p w14:paraId="6000816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3F436000">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0FF3FD2B">
      <w:pPr>
        <w:spacing w:line="360" w:lineRule="auto"/>
        <w:ind w:firstLine="435"/>
        <w:rPr>
          <w:rFonts w:asciiTheme="minorEastAsia" w:hAnsiTheme="minorEastAsia" w:eastAsiaTheme="minorEastAsia"/>
          <w:color w:val="auto"/>
          <w:sz w:val="24"/>
          <w:szCs w:val="18"/>
          <w:highlight w:val="none"/>
        </w:rPr>
      </w:pPr>
      <w:r>
        <w:rPr>
          <w:rFonts w:hint="eastAsia" w:asciiTheme="minorEastAsia" w:hAnsiTheme="minorEastAsia" w:eastAsiaTheme="minorEastAsia"/>
          <w:color w:val="auto"/>
          <w:sz w:val="24"/>
          <w:szCs w:val="18"/>
          <w:highlight w:val="none"/>
          <w:lang w:val="en-US" w:eastAsia="zh-CN"/>
        </w:rPr>
        <w:t>4</w:t>
      </w:r>
      <w:r>
        <w:rPr>
          <w:rFonts w:hint="eastAsia" w:asciiTheme="minorEastAsia" w:hAnsiTheme="minorEastAsia" w:eastAsiaTheme="minorEastAsia"/>
          <w:color w:val="auto"/>
          <w:sz w:val="24"/>
          <w:szCs w:val="18"/>
          <w:highlight w:val="none"/>
        </w:rPr>
        <w:t>.本项目为询价项目，所有采购需求内容供货时均需满足，条款</w:t>
      </w:r>
      <w:r>
        <w:rPr>
          <w:rFonts w:hint="eastAsia" w:asciiTheme="minorEastAsia" w:hAnsiTheme="minorEastAsia" w:eastAsiaTheme="minorEastAsia"/>
          <w:color w:val="auto"/>
          <w:sz w:val="24"/>
          <w:szCs w:val="18"/>
          <w:highlight w:val="none"/>
          <w:u w:val="single"/>
        </w:rPr>
        <w:t xml:space="preserve"> 1 </w:t>
      </w:r>
      <w:r>
        <w:rPr>
          <w:rFonts w:hint="eastAsia" w:asciiTheme="minorEastAsia" w:hAnsiTheme="minorEastAsia" w:eastAsiaTheme="minorEastAsia"/>
          <w:color w:val="auto"/>
          <w:sz w:val="24"/>
          <w:szCs w:val="18"/>
          <w:highlight w:val="none"/>
        </w:rPr>
        <w:t>条及以上未响应或负偏离的，</w:t>
      </w:r>
      <w:r>
        <w:rPr>
          <w:rFonts w:hint="eastAsia" w:asciiTheme="minorEastAsia" w:hAnsiTheme="minorEastAsia" w:eastAsiaTheme="minorEastAsia"/>
          <w:b/>
          <w:bCs/>
          <w:color w:val="auto"/>
          <w:sz w:val="24"/>
          <w:szCs w:val="18"/>
          <w:highlight w:val="none"/>
        </w:rPr>
        <w:t>响应无效</w:t>
      </w:r>
      <w:r>
        <w:rPr>
          <w:rFonts w:hint="eastAsia" w:asciiTheme="minorEastAsia" w:hAnsiTheme="minorEastAsia" w:eastAsiaTheme="minorEastAsia"/>
          <w:color w:val="auto"/>
          <w:sz w:val="24"/>
          <w:szCs w:val="18"/>
          <w:highlight w:val="none"/>
        </w:rPr>
        <w:t>。</w:t>
      </w:r>
    </w:p>
    <w:p w14:paraId="625B6D8D">
      <w:pPr>
        <w:spacing w:line="360" w:lineRule="auto"/>
        <w:ind w:firstLine="437"/>
        <w:outlineLvl w:val="1"/>
        <w:rPr>
          <w:rFonts w:asciiTheme="minorEastAsia" w:hAnsiTheme="minorEastAsia" w:eastAsiaTheme="minorEastAsia"/>
          <w:b/>
          <w:color w:val="auto"/>
          <w:sz w:val="24"/>
          <w:szCs w:val="18"/>
          <w:highlight w:val="none"/>
        </w:rPr>
      </w:pPr>
      <w:bookmarkStart w:id="38" w:name="_Toc23627"/>
      <w:bookmarkStart w:id="39" w:name="_Toc23283"/>
      <w:r>
        <w:rPr>
          <w:rFonts w:hint="eastAsia" w:asciiTheme="minorEastAsia" w:hAnsiTheme="minorEastAsia" w:eastAsiaTheme="minorEastAsia"/>
          <w:b/>
          <w:color w:val="auto"/>
          <w:sz w:val="24"/>
          <w:szCs w:val="18"/>
          <w:highlight w:val="none"/>
        </w:rPr>
        <w:t>一、采购需求前附表</w:t>
      </w:r>
      <w:bookmarkEnd w:id="38"/>
      <w:bookmarkEnd w:id="39"/>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15F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C2ED015">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
                <w:color w:val="auto"/>
                <w:kern w:val="2"/>
                <w:highlight w:val="none"/>
              </w:rPr>
            </w:pPr>
            <w:r>
              <w:rPr>
                <w:rFonts w:hint="eastAsia" w:asciiTheme="minorEastAsia" w:hAnsiTheme="minorEastAsia" w:eastAsiaTheme="minorEastAsia"/>
                <w:b/>
                <w:color w:val="auto"/>
                <w:kern w:val="2"/>
                <w:highlight w:val="none"/>
              </w:rPr>
              <w:t>序号</w:t>
            </w:r>
          </w:p>
        </w:tc>
        <w:tc>
          <w:tcPr>
            <w:tcW w:w="1192" w:type="pct"/>
            <w:vAlign w:val="center"/>
          </w:tcPr>
          <w:p w14:paraId="1B54223A">
            <w:pPr>
              <w:pStyle w:val="45"/>
              <w:widowControl w:val="0"/>
              <w:spacing w:before="0" w:beforeAutospacing="0" w:after="0" w:afterAutospacing="0" w:line="360" w:lineRule="auto"/>
              <w:rPr>
                <w:rFonts w:asciiTheme="minorEastAsia" w:hAnsiTheme="minorEastAsia" w:eastAsiaTheme="minorEastAsia"/>
                <w:bCs w:val="0"/>
                <w:color w:val="auto"/>
                <w:sz w:val="24"/>
                <w:highlight w:val="none"/>
              </w:rPr>
            </w:pPr>
            <w:r>
              <w:rPr>
                <w:rFonts w:hint="eastAsia" w:asciiTheme="minorEastAsia" w:hAnsiTheme="minorEastAsia" w:eastAsiaTheme="minorEastAsia"/>
                <w:bCs w:val="0"/>
                <w:color w:val="auto"/>
                <w:sz w:val="24"/>
                <w:highlight w:val="none"/>
              </w:rPr>
              <w:t>条款名称</w:t>
            </w:r>
          </w:p>
        </w:tc>
        <w:tc>
          <w:tcPr>
            <w:tcW w:w="3216" w:type="pct"/>
            <w:vAlign w:val="center"/>
          </w:tcPr>
          <w:p w14:paraId="454BBF1D">
            <w:pPr>
              <w:pStyle w:val="45"/>
              <w:widowControl w:val="0"/>
              <w:spacing w:before="0" w:beforeAutospacing="0" w:after="0" w:afterAutospacing="0" w:line="360" w:lineRule="auto"/>
              <w:rPr>
                <w:rFonts w:asciiTheme="minorEastAsia" w:hAnsiTheme="minorEastAsia" w:eastAsiaTheme="minorEastAsia"/>
                <w:bCs w:val="0"/>
                <w:color w:val="auto"/>
                <w:sz w:val="24"/>
                <w:highlight w:val="none"/>
              </w:rPr>
            </w:pPr>
            <w:r>
              <w:rPr>
                <w:rFonts w:hint="eastAsia" w:asciiTheme="minorEastAsia" w:hAnsiTheme="minorEastAsia" w:eastAsiaTheme="minorEastAsia"/>
                <w:bCs w:val="0"/>
                <w:color w:val="auto"/>
                <w:sz w:val="24"/>
                <w:highlight w:val="none"/>
              </w:rPr>
              <w:t>内容、说明与要求</w:t>
            </w:r>
          </w:p>
        </w:tc>
      </w:tr>
      <w:tr w14:paraId="09C09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9635EC5">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w:t>
            </w:r>
          </w:p>
        </w:tc>
        <w:tc>
          <w:tcPr>
            <w:tcW w:w="1192" w:type="pct"/>
            <w:vAlign w:val="center"/>
          </w:tcPr>
          <w:p w14:paraId="53491177">
            <w:pPr>
              <w:pStyle w:val="45"/>
              <w:widowControl w:val="0"/>
              <w:spacing w:before="0" w:beforeAutospacing="0" w:after="0" w:afterAutospacing="0" w:line="360" w:lineRule="auto"/>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付款方式</w:t>
            </w:r>
          </w:p>
        </w:tc>
        <w:tc>
          <w:tcPr>
            <w:tcW w:w="3216" w:type="pct"/>
            <w:vAlign w:val="center"/>
          </w:tcPr>
          <w:p w14:paraId="400EAC77">
            <w:pPr>
              <w:pStyle w:val="45"/>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u w:val="single"/>
                <w:lang w:eastAsia="zh-CN"/>
              </w:rPr>
            </w:pPr>
            <w:r>
              <w:rPr>
                <w:rFonts w:hint="eastAsia" w:asciiTheme="minorEastAsia" w:hAnsiTheme="minorEastAsia" w:eastAsiaTheme="minorEastAsia"/>
                <w:b w:val="0"/>
                <w:color w:val="auto"/>
                <w:sz w:val="24"/>
                <w:highlight w:val="none"/>
                <w:u w:val="single"/>
                <w:lang w:val="en-US" w:eastAsia="zh-CN"/>
              </w:rPr>
              <w:t>合同签订生效并具备实施条件后支付合同价的40%预付款（预付款支付前，中标人须提供同等金额的见索即付预付款保函），车辆全部交付使用且采购人验收合格后一次性付清合同价款</w:t>
            </w:r>
            <w:r>
              <w:rPr>
                <w:rFonts w:hint="eastAsia" w:asciiTheme="minorEastAsia" w:hAnsiTheme="minorEastAsia" w:eastAsiaTheme="minorEastAsia"/>
                <w:b w:val="0"/>
                <w:color w:val="auto"/>
                <w:sz w:val="24"/>
                <w:highlight w:val="none"/>
                <w:u w:val="single"/>
                <w:lang w:eastAsia="zh-CN"/>
              </w:rPr>
              <w:t>。</w:t>
            </w:r>
          </w:p>
        </w:tc>
      </w:tr>
      <w:tr w14:paraId="1F3D8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C5B3E9E">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2</w:t>
            </w:r>
          </w:p>
        </w:tc>
        <w:tc>
          <w:tcPr>
            <w:tcW w:w="1192" w:type="pct"/>
            <w:vAlign w:val="center"/>
          </w:tcPr>
          <w:p w14:paraId="79BFFB4A">
            <w:pPr>
              <w:pStyle w:val="45"/>
              <w:widowControl w:val="0"/>
              <w:spacing w:before="0" w:beforeAutospacing="0" w:after="0" w:afterAutospacing="0" w:line="360" w:lineRule="auto"/>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供货及安装地点</w:t>
            </w:r>
          </w:p>
        </w:tc>
        <w:tc>
          <w:tcPr>
            <w:tcW w:w="3216" w:type="pct"/>
            <w:vAlign w:val="center"/>
          </w:tcPr>
          <w:p w14:paraId="2AF9E2CB">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u w:val="single"/>
                <w:lang w:eastAsia="zh-CN"/>
              </w:rPr>
              <w:t>滁州市军供保障中心，</w:t>
            </w:r>
            <w:r>
              <w:rPr>
                <w:rFonts w:hint="eastAsia" w:asciiTheme="minorEastAsia" w:hAnsiTheme="minorEastAsia" w:eastAsiaTheme="minorEastAsia"/>
                <w:b w:val="0"/>
                <w:color w:val="auto"/>
                <w:sz w:val="24"/>
                <w:highlight w:val="none"/>
                <w:u w:val="single"/>
                <w:lang w:val="en-US" w:eastAsia="zh-CN"/>
              </w:rPr>
              <w:t>采购人指定地点</w:t>
            </w:r>
          </w:p>
        </w:tc>
      </w:tr>
      <w:tr w14:paraId="67175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C4D6A7">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3</w:t>
            </w:r>
          </w:p>
        </w:tc>
        <w:tc>
          <w:tcPr>
            <w:tcW w:w="1192" w:type="pct"/>
            <w:vAlign w:val="center"/>
          </w:tcPr>
          <w:p w14:paraId="0722A8E9">
            <w:pPr>
              <w:pStyle w:val="45"/>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u w:val="single"/>
                <w:lang w:eastAsia="zh-CN"/>
              </w:rPr>
            </w:pPr>
            <w:r>
              <w:rPr>
                <w:rFonts w:hint="eastAsia" w:asciiTheme="minorEastAsia" w:hAnsiTheme="minorEastAsia" w:eastAsiaTheme="minorEastAsia"/>
                <w:b w:val="0"/>
                <w:color w:val="auto"/>
                <w:sz w:val="24"/>
                <w:highlight w:val="none"/>
                <w:u w:val="single"/>
                <w:lang w:eastAsia="zh-CN"/>
              </w:rPr>
              <w:t>供货及安装期限</w:t>
            </w:r>
          </w:p>
        </w:tc>
        <w:tc>
          <w:tcPr>
            <w:tcW w:w="3216" w:type="pct"/>
            <w:vAlign w:val="center"/>
          </w:tcPr>
          <w:p w14:paraId="0438DA9D">
            <w:pPr>
              <w:pStyle w:val="45"/>
              <w:widowControl w:val="0"/>
              <w:spacing w:before="0" w:beforeAutospacing="0" w:after="0" w:afterAutospacing="0" w:line="360" w:lineRule="auto"/>
              <w:jc w:val="both"/>
              <w:rPr>
                <w:rFonts w:hint="default" w:asciiTheme="minorEastAsia" w:hAnsiTheme="minorEastAsia" w:eastAsiaTheme="minorEastAsia"/>
                <w:b w:val="0"/>
                <w:color w:val="auto"/>
                <w:sz w:val="24"/>
                <w:highlight w:val="none"/>
                <w:u w:val="single"/>
                <w:lang w:val="en-US" w:eastAsia="zh-CN"/>
              </w:rPr>
            </w:pPr>
            <w:r>
              <w:rPr>
                <w:rFonts w:hint="eastAsia" w:asciiTheme="minorEastAsia" w:hAnsiTheme="minorEastAsia" w:eastAsiaTheme="minorEastAsia"/>
                <w:b w:val="0"/>
                <w:color w:val="auto"/>
                <w:sz w:val="24"/>
                <w:highlight w:val="none"/>
                <w:u w:val="single"/>
                <w:lang w:eastAsia="zh-CN"/>
              </w:rPr>
              <w:t>自合同签订后</w:t>
            </w:r>
            <w:r>
              <w:rPr>
                <w:rFonts w:hint="eastAsia" w:asciiTheme="minorEastAsia" w:hAnsiTheme="minorEastAsia" w:eastAsiaTheme="minorEastAsia"/>
                <w:b w:val="0"/>
                <w:color w:val="auto"/>
                <w:sz w:val="24"/>
                <w:highlight w:val="none"/>
                <w:u w:val="single"/>
                <w:lang w:val="en-US" w:eastAsia="zh-CN"/>
              </w:rPr>
              <w:t>30</w:t>
            </w:r>
            <w:r>
              <w:rPr>
                <w:rFonts w:hint="eastAsia" w:asciiTheme="minorEastAsia" w:hAnsiTheme="minorEastAsia" w:eastAsiaTheme="minorEastAsia"/>
                <w:b w:val="0"/>
                <w:color w:val="auto"/>
                <w:sz w:val="24"/>
                <w:highlight w:val="none"/>
                <w:u w:val="single"/>
                <w:lang w:eastAsia="zh-CN"/>
              </w:rPr>
              <w:t>个日历天内完成供货并将货物运送至采购人指定地点。</w:t>
            </w:r>
          </w:p>
        </w:tc>
      </w:tr>
      <w:tr w14:paraId="648D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E13A485">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4</w:t>
            </w:r>
          </w:p>
        </w:tc>
        <w:tc>
          <w:tcPr>
            <w:tcW w:w="1192" w:type="pct"/>
            <w:vAlign w:val="center"/>
          </w:tcPr>
          <w:p w14:paraId="46F4A2F1">
            <w:pPr>
              <w:pStyle w:val="45"/>
              <w:widowControl w:val="0"/>
              <w:spacing w:before="0" w:beforeAutospacing="0" w:after="0" w:afterAutospacing="0" w:line="360" w:lineRule="auto"/>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免费质保期</w:t>
            </w:r>
          </w:p>
        </w:tc>
        <w:tc>
          <w:tcPr>
            <w:tcW w:w="3216" w:type="pct"/>
            <w:vAlign w:val="center"/>
          </w:tcPr>
          <w:p w14:paraId="142AFB8E">
            <w:pPr>
              <w:pStyle w:val="45"/>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u w:val="single"/>
                <w:lang w:eastAsia="zh-CN"/>
              </w:rPr>
            </w:pPr>
            <w:r>
              <w:rPr>
                <w:rFonts w:hint="eastAsia" w:asciiTheme="minorEastAsia" w:hAnsiTheme="minorEastAsia" w:eastAsiaTheme="minorEastAsia"/>
                <w:b w:val="0"/>
                <w:color w:val="auto"/>
                <w:sz w:val="24"/>
                <w:highlight w:val="none"/>
                <w:u w:val="single"/>
                <w:lang w:val="en-US" w:eastAsia="zh-CN"/>
              </w:rPr>
              <w:t>整车质保3年或10万公里，电池质保8年或50万公里，电控电机质保5年或25万公里，发动机质保5年或30万公里。质保期内成交人须提供免费质保服务和软件免费升级服务，质保期满后，应提供优先的有偿售后服务供应原厂零配件等。</w:t>
            </w:r>
          </w:p>
        </w:tc>
      </w:tr>
    </w:tbl>
    <w:p w14:paraId="391105BE">
      <w:pPr>
        <w:spacing w:line="360" w:lineRule="auto"/>
        <w:ind w:firstLine="437"/>
        <w:outlineLvl w:val="1"/>
        <w:rPr>
          <w:rFonts w:asciiTheme="minorEastAsia" w:hAnsiTheme="minorEastAsia" w:eastAsiaTheme="minorEastAsia"/>
          <w:b/>
          <w:bCs/>
          <w:color w:val="auto"/>
          <w:sz w:val="24"/>
          <w:szCs w:val="18"/>
          <w:highlight w:val="none"/>
        </w:rPr>
      </w:pPr>
      <w:bookmarkStart w:id="40" w:name="_Toc16847"/>
      <w:bookmarkStart w:id="41" w:name="_Toc30209"/>
      <w:r>
        <w:rPr>
          <w:rFonts w:hint="eastAsia" w:asciiTheme="minorEastAsia" w:hAnsiTheme="minorEastAsia" w:eastAsiaTheme="minorEastAsia"/>
          <w:b/>
          <w:bCs/>
          <w:color w:val="auto"/>
          <w:sz w:val="24"/>
          <w:szCs w:val="18"/>
          <w:highlight w:val="none"/>
        </w:rPr>
        <w:t>二、货物需求</w:t>
      </w:r>
      <w:bookmarkEnd w:id="40"/>
      <w:bookmarkEnd w:id="41"/>
    </w:p>
    <w:tbl>
      <w:tblPr>
        <w:tblStyle w:val="28"/>
        <w:tblW w:w="55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56"/>
        <w:gridCol w:w="4264"/>
        <w:gridCol w:w="840"/>
        <w:gridCol w:w="721"/>
        <w:gridCol w:w="885"/>
        <w:gridCol w:w="842"/>
      </w:tblGrid>
      <w:tr w14:paraId="03DF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6B605D0F">
            <w:pPr>
              <w:spacing w:line="360" w:lineRule="auto"/>
              <w:jc w:val="center"/>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序号</w:t>
            </w:r>
          </w:p>
        </w:tc>
        <w:tc>
          <w:tcPr>
            <w:tcW w:w="614" w:type="pct"/>
            <w:vAlign w:val="center"/>
          </w:tcPr>
          <w:p w14:paraId="027A72A2">
            <w:pPr>
              <w:spacing w:line="360" w:lineRule="auto"/>
              <w:jc w:val="center"/>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货物名称</w:t>
            </w:r>
          </w:p>
        </w:tc>
        <w:tc>
          <w:tcPr>
            <w:tcW w:w="2264" w:type="pct"/>
            <w:vAlign w:val="center"/>
          </w:tcPr>
          <w:p w14:paraId="37883E4C">
            <w:pPr>
              <w:spacing w:line="360" w:lineRule="auto"/>
              <w:jc w:val="center"/>
              <w:rPr>
                <w:rFonts w:asciiTheme="minorEastAsia" w:hAnsiTheme="minorEastAsia" w:eastAsiaTheme="minorEastAsia"/>
                <w:b/>
                <w:bCs/>
                <w:color w:val="auto"/>
                <w:sz w:val="24"/>
                <w:szCs w:val="18"/>
                <w:highlight w:val="none"/>
              </w:rPr>
            </w:pPr>
            <w:r>
              <w:rPr>
                <w:rFonts w:hint="eastAsia" w:ascii="宋体" w:hAnsi="宋体" w:eastAsia="宋体"/>
                <w:b/>
                <w:bCs/>
                <w:color w:val="auto"/>
                <w:sz w:val="24"/>
                <w:szCs w:val="18"/>
                <w:highlight w:val="none"/>
              </w:rPr>
              <w:t>技术参数及要求</w:t>
            </w:r>
          </w:p>
        </w:tc>
        <w:tc>
          <w:tcPr>
            <w:tcW w:w="446" w:type="pct"/>
            <w:vAlign w:val="center"/>
          </w:tcPr>
          <w:p w14:paraId="1C6B178D">
            <w:pPr>
              <w:spacing w:line="360" w:lineRule="auto"/>
              <w:jc w:val="center"/>
              <w:rPr>
                <w:rFonts w:asciiTheme="minorEastAsia" w:hAnsiTheme="minorEastAsia" w:eastAsiaTheme="minorEastAsia"/>
                <w:b/>
                <w:bCs/>
                <w:color w:val="auto"/>
                <w:sz w:val="24"/>
                <w:szCs w:val="18"/>
                <w:highlight w:val="none"/>
              </w:rPr>
            </w:pPr>
            <w:r>
              <w:rPr>
                <w:rFonts w:hint="eastAsia" w:ascii="宋体" w:hAnsi="宋体" w:eastAsia="宋体"/>
                <w:b/>
                <w:bCs/>
                <w:color w:val="auto"/>
                <w:sz w:val="24"/>
                <w:szCs w:val="18"/>
                <w:highlight w:val="none"/>
              </w:rPr>
              <w:t>数量（单位）</w:t>
            </w:r>
          </w:p>
        </w:tc>
        <w:tc>
          <w:tcPr>
            <w:tcW w:w="383" w:type="pct"/>
            <w:vAlign w:val="center"/>
          </w:tcPr>
          <w:p w14:paraId="6F8364B8">
            <w:pPr>
              <w:spacing w:line="360" w:lineRule="auto"/>
              <w:jc w:val="center"/>
              <w:rPr>
                <w:rFonts w:asciiTheme="minorEastAsia" w:hAnsiTheme="minorEastAsia" w:eastAsiaTheme="minorEastAsia"/>
                <w:b/>
                <w:bCs/>
                <w:color w:val="auto"/>
                <w:sz w:val="24"/>
                <w:szCs w:val="18"/>
                <w:highlight w:val="none"/>
              </w:rPr>
            </w:pPr>
            <w:r>
              <w:rPr>
                <w:rFonts w:hint="eastAsia" w:ascii="宋体" w:hAnsi="宋体" w:eastAsia="宋体"/>
                <w:b/>
                <w:bCs/>
                <w:color w:val="auto"/>
                <w:sz w:val="24"/>
                <w:szCs w:val="18"/>
                <w:highlight w:val="none"/>
              </w:rPr>
              <w:t>所属行业</w:t>
            </w:r>
          </w:p>
        </w:tc>
        <w:tc>
          <w:tcPr>
            <w:tcW w:w="470" w:type="pct"/>
            <w:vAlign w:val="center"/>
          </w:tcPr>
          <w:p w14:paraId="36F3B88A">
            <w:pPr>
              <w:spacing w:line="360" w:lineRule="auto"/>
              <w:jc w:val="center"/>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是否为核心产品</w:t>
            </w:r>
          </w:p>
        </w:tc>
        <w:tc>
          <w:tcPr>
            <w:tcW w:w="447" w:type="pct"/>
            <w:vAlign w:val="center"/>
          </w:tcPr>
          <w:p w14:paraId="09B77699">
            <w:pPr>
              <w:spacing w:line="360" w:lineRule="auto"/>
              <w:jc w:val="center"/>
              <w:rPr>
                <w:rFonts w:asciiTheme="minorEastAsia" w:hAnsiTheme="minorEastAsia" w:eastAsiaTheme="minorEastAsia"/>
                <w:b/>
                <w:bCs/>
                <w:color w:val="auto"/>
                <w:sz w:val="24"/>
                <w:szCs w:val="18"/>
                <w:highlight w:val="none"/>
              </w:rPr>
            </w:pPr>
            <w:r>
              <w:rPr>
                <w:rFonts w:hint="eastAsia" w:ascii="宋体" w:hAnsi="宋体" w:eastAsia="宋体"/>
                <w:b/>
                <w:bCs/>
                <w:color w:val="auto"/>
                <w:sz w:val="24"/>
                <w:szCs w:val="18"/>
                <w:highlight w:val="none"/>
              </w:rPr>
              <w:t>备注</w:t>
            </w:r>
          </w:p>
        </w:tc>
      </w:tr>
      <w:tr w14:paraId="58B87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74" w:type="pct"/>
            <w:vAlign w:val="center"/>
          </w:tcPr>
          <w:p w14:paraId="61147953">
            <w:pPr>
              <w:spacing w:line="360" w:lineRule="auto"/>
              <w:jc w:val="center"/>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1</w:t>
            </w:r>
          </w:p>
        </w:tc>
        <w:tc>
          <w:tcPr>
            <w:tcW w:w="614" w:type="pct"/>
            <w:vAlign w:val="center"/>
          </w:tcPr>
          <w:p w14:paraId="124DF8EA">
            <w:pPr>
              <w:spacing w:line="360" w:lineRule="auto"/>
              <w:jc w:val="center"/>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采购车型</w:t>
            </w:r>
          </w:p>
        </w:tc>
        <w:tc>
          <w:tcPr>
            <w:tcW w:w="2264" w:type="pct"/>
            <w:vAlign w:val="top"/>
          </w:tcPr>
          <w:p w14:paraId="093140E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一、车型参数</w:t>
            </w:r>
          </w:p>
          <w:p w14:paraId="2C78B6A8">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1.车体外尺寸：≥长：5995mm、宽2160mm、高3150mm；</w:t>
            </w:r>
          </w:p>
          <w:p w14:paraId="75631534">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2.车厢内径尺寸：4030mm(长）X2100mm（宽）X2120mm（高）</w:t>
            </w:r>
          </w:p>
          <w:p w14:paraId="473D3147">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3.轴距（mm）：≥3360；</w:t>
            </w:r>
          </w:p>
          <w:p w14:paraId="673147BD">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4.颜色：钛晶灰；</w:t>
            </w:r>
          </w:p>
          <w:p w14:paraId="1311B761">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5.级别：混动箱式货车；</w:t>
            </w:r>
          </w:p>
          <w:p w14:paraId="27AC81C4">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6.排量（mL）：≥1497；</w:t>
            </w:r>
          </w:p>
          <w:p w14:paraId="178917B6">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7.电池容量：55度±2；</w:t>
            </w:r>
          </w:p>
          <w:p w14:paraId="79B7AF38">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8.油箱容量：100L±5；</w:t>
            </w:r>
          </w:p>
          <w:p w14:paraId="3A2AC931">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9.纯电续航里程[km]：≥150；</w:t>
            </w:r>
          </w:p>
          <w:p w14:paraId="6A693759">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10.综合续航里程[km]：≥1100；</w:t>
            </w:r>
          </w:p>
          <w:p w14:paraId="318AED3D">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11.最大扭矩（Nm）：≥340；</w:t>
            </w:r>
          </w:p>
          <w:p w14:paraId="63B26159">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12.能源类型：插电式混合动力；</w:t>
            </w:r>
          </w:p>
          <w:p w14:paraId="0D98C8DE">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13.环保标准：国Ⅵ；</w:t>
            </w:r>
          </w:p>
          <w:p w14:paraId="4CE782A8">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14.驱动方式：后驱；</w:t>
            </w:r>
          </w:p>
          <w:p w14:paraId="4D4AA507">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15.驻车制动类型：前鼓后鼓；</w:t>
            </w:r>
          </w:p>
          <w:p w14:paraId="114A66FE">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16.轮胎规格：700R16LT；</w:t>
            </w:r>
          </w:p>
          <w:p w14:paraId="1E6EEF28">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color w:val="auto"/>
                <w:highlight w:val="none"/>
                <w:lang w:val="en-US" w:eastAsia="zh-CN"/>
              </w:rPr>
            </w:pPr>
            <w:r>
              <w:rPr>
                <w:rFonts w:hint="eastAsia" w:asciiTheme="minorEastAsia" w:hAnsiTheme="minorEastAsia" w:eastAsiaTheme="minorEastAsia"/>
                <w:bCs/>
                <w:color w:val="auto"/>
                <w:sz w:val="24"/>
                <w:szCs w:val="18"/>
                <w:highlight w:val="none"/>
                <w:lang w:val="en-US" w:eastAsia="zh-CN"/>
              </w:rPr>
              <w:t>17.车辆配置：车门开启自动P挡、ESC车身稳定控制、TCS驱动防滑、AVH自动驻车、EPB电子驻车系统、HHC坡道辅助、EBD电子制动力分配、CCS定速巡航、LED前组合大灯、前大灯自动开启、多功能方向盘、全液晶组合仪表、一键启动、大于等于10.1英寸多媒体大屏、旋钮换挡、自动空调、电动车窗、遥控钥匙/中控锁、倒车雷达、倒车影像。远程车辆状态查询、防盗报警状态响应、远程寻车、远程上/退电、远程解闭锁、远程空调、车载导航系统、车载WIFI、智能语音控制系统，机械减震座椅。</w:t>
            </w:r>
          </w:p>
          <w:p w14:paraId="16D5ADC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二、售后服务</w:t>
            </w:r>
          </w:p>
          <w:p w14:paraId="56C394D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s="Times New Roman"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1.成交人</w:t>
            </w:r>
            <w:r>
              <w:rPr>
                <w:rFonts w:hint="eastAsia" w:cs="Times New Roman" w:asciiTheme="minorEastAsia" w:hAnsiTheme="minorEastAsia" w:eastAsiaTheme="minorEastAsia"/>
                <w:bCs/>
                <w:color w:val="auto"/>
                <w:sz w:val="24"/>
                <w:szCs w:val="18"/>
                <w:highlight w:val="none"/>
                <w:lang w:val="en-US" w:eastAsia="zh-CN"/>
              </w:rPr>
              <w:t>免费提供40千瓦的充电桩，每辆车1个，安装地点由采购人指定。</w:t>
            </w:r>
          </w:p>
          <w:p w14:paraId="64425DF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s="Times New Roman" w:asciiTheme="minorEastAsia" w:hAnsiTheme="minorEastAsia" w:eastAsiaTheme="minorEastAsia"/>
                <w:bCs/>
                <w:color w:val="auto"/>
                <w:sz w:val="24"/>
                <w:szCs w:val="18"/>
                <w:highlight w:val="none"/>
                <w:lang w:val="en-US" w:eastAsia="zh-CN"/>
              </w:rPr>
            </w:pPr>
            <w:r>
              <w:rPr>
                <w:rFonts w:hint="eastAsia" w:cs="Times New Roman" w:asciiTheme="minorEastAsia" w:hAnsiTheme="minorEastAsia" w:eastAsiaTheme="minorEastAsia"/>
                <w:bCs/>
                <w:color w:val="auto"/>
                <w:sz w:val="24"/>
                <w:szCs w:val="18"/>
                <w:highlight w:val="none"/>
                <w:lang w:val="en-US" w:eastAsia="zh-CN"/>
              </w:rPr>
              <w:t>2.交货方式：送货至采购人指定地点，成交人承担途中费用。</w:t>
            </w:r>
          </w:p>
          <w:p w14:paraId="4A50F0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cs="@仿宋_GB2312" w:asciiTheme="minorEastAsia" w:hAnsiTheme="minorEastAsia" w:eastAsiaTheme="minorEastAsia"/>
                <w:bCs/>
                <w:color w:val="auto"/>
                <w:kern w:val="2"/>
                <w:sz w:val="24"/>
                <w:szCs w:val="18"/>
                <w:highlight w:val="none"/>
                <w:lang w:val="en-US" w:eastAsia="zh-CN" w:bidi="ar-SA"/>
              </w:rPr>
            </w:pPr>
            <w:r>
              <w:rPr>
                <w:rFonts w:hint="eastAsia" w:cs="Times New Roman" w:asciiTheme="minorEastAsia" w:hAnsiTheme="minorEastAsia" w:eastAsiaTheme="minorEastAsia"/>
                <w:bCs/>
                <w:color w:val="auto"/>
                <w:sz w:val="24"/>
                <w:szCs w:val="18"/>
                <w:highlight w:val="none"/>
                <w:lang w:val="en-US" w:eastAsia="zh-CN"/>
              </w:rPr>
              <w:t>3.质保期：整车质保3年或10万公里，电池质保8年或50万公里，电控电机质保5年或25万公里，发动机质保5年或30万公里</w:t>
            </w:r>
            <w:r>
              <w:rPr>
                <w:rFonts w:hint="eastAsia" w:asciiTheme="minorEastAsia" w:hAnsiTheme="minorEastAsia" w:eastAsiaTheme="minorEastAsia"/>
                <w:bCs/>
                <w:color w:val="auto"/>
                <w:sz w:val="24"/>
                <w:szCs w:val="18"/>
                <w:highlight w:val="none"/>
                <w:lang w:val="en-US" w:eastAsia="zh-CN"/>
              </w:rPr>
              <w:t>。</w:t>
            </w:r>
          </w:p>
        </w:tc>
        <w:tc>
          <w:tcPr>
            <w:tcW w:w="446" w:type="pct"/>
            <w:vAlign w:val="center"/>
          </w:tcPr>
          <w:p w14:paraId="2CA8DACD">
            <w:pPr>
              <w:spacing w:line="360" w:lineRule="auto"/>
              <w:jc w:val="center"/>
              <w:rPr>
                <w:rFonts w:hint="default"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1辆</w:t>
            </w:r>
          </w:p>
        </w:tc>
        <w:tc>
          <w:tcPr>
            <w:tcW w:w="383" w:type="pct"/>
            <w:vAlign w:val="center"/>
          </w:tcPr>
          <w:p w14:paraId="3F1667F7">
            <w:pPr>
              <w:spacing w:line="360" w:lineRule="auto"/>
              <w:jc w:val="center"/>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工业</w:t>
            </w:r>
          </w:p>
        </w:tc>
        <w:tc>
          <w:tcPr>
            <w:tcW w:w="470" w:type="pct"/>
            <w:vAlign w:val="center"/>
          </w:tcPr>
          <w:p w14:paraId="06ED0F45">
            <w:pPr>
              <w:spacing w:line="360" w:lineRule="auto"/>
              <w:jc w:val="center"/>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是</w:t>
            </w:r>
          </w:p>
        </w:tc>
        <w:tc>
          <w:tcPr>
            <w:tcW w:w="447" w:type="pct"/>
            <w:vAlign w:val="center"/>
          </w:tcPr>
          <w:p w14:paraId="4BDD40BE">
            <w:pPr>
              <w:spacing w:line="360" w:lineRule="auto"/>
              <w:jc w:val="center"/>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w:t>
            </w:r>
          </w:p>
        </w:tc>
      </w:tr>
    </w:tbl>
    <w:p w14:paraId="3861F40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asciiTheme="minorEastAsia" w:hAnsiTheme="minorEastAsia" w:eastAsiaTheme="minorEastAsia"/>
          <w:b/>
          <w:bCs/>
          <w:color w:val="auto"/>
          <w:sz w:val="24"/>
          <w:szCs w:val="18"/>
          <w:highlight w:val="none"/>
        </w:rPr>
      </w:pPr>
      <w:bookmarkStart w:id="42" w:name="_Toc16122"/>
      <w:bookmarkStart w:id="43" w:name="_Toc14176"/>
      <w:r>
        <w:rPr>
          <w:rFonts w:hint="eastAsia" w:asciiTheme="minorEastAsia" w:hAnsiTheme="minorEastAsia" w:eastAsiaTheme="minorEastAsia"/>
          <w:b/>
          <w:bCs/>
          <w:color w:val="auto"/>
          <w:sz w:val="24"/>
          <w:szCs w:val="18"/>
          <w:highlight w:val="none"/>
        </w:rPr>
        <w:t>三、报价要求</w:t>
      </w:r>
      <w:bookmarkEnd w:id="42"/>
      <w:bookmarkEnd w:id="43"/>
    </w:p>
    <w:p w14:paraId="3DD7C5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b w:val="0"/>
          <w:color w:val="auto"/>
          <w:sz w:val="24"/>
          <w:highlight w:val="none"/>
          <w:lang w:val="en-US" w:eastAsia="zh-CN"/>
        </w:rPr>
      </w:pPr>
      <w:r>
        <w:rPr>
          <w:rFonts w:hint="eastAsia" w:asciiTheme="minorEastAsia" w:hAnsiTheme="minorEastAsia" w:eastAsiaTheme="minorEastAsia"/>
          <w:b w:val="0"/>
          <w:color w:val="auto"/>
          <w:sz w:val="24"/>
          <w:highlight w:val="none"/>
          <w:lang w:val="en-US" w:eastAsia="zh-CN"/>
        </w:rPr>
        <w:t>1.供应商根据采购需求要求进行报价，本项目为固定单价项目，供应商可自行踏勘现场充分考虑报价，所报单价包括</w:t>
      </w:r>
      <w:r>
        <w:rPr>
          <w:rFonts w:hint="eastAsia" w:ascii="宋体" w:hAnsi="宋体" w:eastAsia="宋体" w:cs="宋体"/>
          <w:color w:val="auto"/>
          <w:sz w:val="24"/>
          <w:szCs w:val="24"/>
          <w:highlight w:val="none"/>
        </w:rPr>
        <w:t>货物(车辆) 出厂价、货物(车辆)运输费用、货物设备费、人工费、材料费(含主材及辅材) 、装卸费、运输费、安装费、调试费、管理费、利润、风险费用</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国家对成交人征收的各种税费等所有一切费用</w:t>
      </w:r>
      <w:r>
        <w:rPr>
          <w:rFonts w:hint="eastAsia" w:asciiTheme="minorEastAsia" w:hAnsiTheme="minorEastAsia" w:eastAsiaTheme="minorEastAsia"/>
          <w:b w:val="0"/>
          <w:color w:val="auto"/>
          <w:sz w:val="24"/>
          <w:highlight w:val="none"/>
          <w:lang w:val="en-US" w:eastAsia="zh-CN"/>
        </w:rPr>
        <w:t>，采购人不再为此项目支付任何费用，价格今后将不作任何调增。</w:t>
      </w:r>
    </w:p>
    <w:p w14:paraId="42C047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b w:val="0"/>
          <w:color w:val="auto"/>
          <w:sz w:val="24"/>
          <w:highlight w:val="none"/>
          <w:lang w:val="en-US" w:eastAsia="zh-CN"/>
        </w:rPr>
      </w:pPr>
      <w:r>
        <w:rPr>
          <w:rFonts w:hint="eastAsia" w:asciiTheme="minorEastAsia" w:hAnsiTheme="minorEastAsia" w:eastAsiaTheme="minorEastAsia"/>
          <w:b w:val="0"/>
          <w:color w:val="auto"/>
          <w:sz w:val="24"/>
          <w:highlight w:val="none"/>
          <w:lang w:val="en-US" w:eastAsia="zh-CN"/>
        </w:rPr>
        <w:t>2.供应商所报价格包含安全完成本项目所需全部费用，实施过程中如发生安全事故等情形，由成交供应商承担全部责任。</w:t>
      </w:r>
    </w:p>
    <w:p w14:paraId="33ED41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b w:val="0"/>
          <w:color w:val="auto"/>
          <w:sz w:val="24"/>
          <w:highlight w:val="none"/>
          <w:lang w:val="en-US" w:eastAsia="zh-CN"/>
        </w:rPr>
      </w:pPr>
      <w:r>
        <w:rPr>
          <w:rFonts w:hint="eastAsia" w:asciiTheme="minorEastAsia" w:hAnsiTheme="minorEastAsia" w:eastAsiaTheme="minorEastAsia"/>
          <w:b w:val="0"/>
          <w:color w:val="auto"/>
          <w:sz w:val="24"/>
          <w:highlight w:val="none"/>
          <w:lang w:val="en-US" w:eastAsia="zh-CN"/>
        </w:rPr>
        <w:t>3.项目实施过程中，成交供应商应对已有成品进行保护，因成交供应商实施过程或未保护的原因造成的损坏等由成交供应商赔偿或修复。</w:t>
      </w:r>
    </w:p>
    <w:p w14:paraId="5428819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outlineLvl w:val="1"/>
        <w:rPr>
          <w:rFonts w:hint="eastAsia" w:asciiTheme="minorEastAsia" w:hAnsiTheme="minorEastAsia" w:eastAsiaTheme="minorEastAsia"/>
          <w:b/>
          <w:bCs/>
          <w:color w:val="auto"/>
          <w:sz w:val="24"/>
          <w:szCs w:val="18"/>
          <w:highlight w:val="none"/>
        </w:rPr>
      </w:pPr>
      <w:bookmarkStart w:id="44" w:name="_Toc10777"/>
      <w:bookmarkStart w:id="45" w:name="_Toc17094"/>
      <w:r>
        <w:rPr>
          <w:rFonts w:hint="eastAsia" w:asciiTheme="minorEastAsia" w:hAnsiTheme="minorEastAsia" w:eastAsiaTheme="minorEastAsia"/>
          <w:b/>
          <w:bCs/>
          <w:color w:val="auto"/>
          <w:sz w:val="24"/>
          <w:szCs w:val="18"/>
          <w:highlight w:val="none"/>
        </w:rPr>
        <w:t>其他要求</w:t>
      </w:r>
      <w:bookmarkEnd w:id="44"/>
      <w:bookmarkEnd w:id="45"/>
    </w:p>
    <w:p w14:paraId="6BA64107">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（一）货物的生产、安装、维修、检验、验收等按照以下原则执行：有国家标准的执行国家标准；无国家标准的执行行业标准；无行业标准的执行地方标准；无地方标准的执行企业标准。</w:t>
      </w:r>
    </w:p>
    <w:p w14:paraId="37F652FB">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（二）如果在技术参数或配置中标明了品牌或产地，则仅供参考，并非指定，但投标人提供的货物必须满足主要技术参数及配置要求，投标人可以选用替代的方案，但这种替代整体上要优于或相当于</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的相关要求。</w:t>
      </w:r>
    </w:p>
    <w:p w14:paraId="68AD212E">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货时所有货物（包括零部件）须为全新的、未使用过的原装正品，并完全符合国家质量标准，提供厂家出具的合格证书、有国家强制性认证要求的产品须提供相应证书，货物的技术参数及配置情况必须由投标人提供国家相关检测机构出具的检验报告、生产厂家公开发布的印刷资料等技术资料予以支持。没有技术资料支持的技术参数及配置不能视为响应。(厂家出具的合格证书供货时提供。)</w:t>
      </w:r>
    </w:p>
    <w:p w14:paraId="3BCA2C4D">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（四）技术支持</w:t>
      </w:r>
    </w:p>
    <w:p w14:paraId="291A92FF">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应向采购人提供全方位、及时而有效的技术支持和服务。</w:t>
      </w:r>
    </w:p>
    <w:p w14:paraId="5B4FCCCC">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负责供货、安装、调试。</w:t>
      </w:r>
    </w:p>
    <w:p w14:paraId="3ED80F59">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负责将货物的全部有关技术文件（外文应提供中文翻译资料，下同）、施工图纸、资料、测试、验收报告等汇集成册交付采购人，涉及进口的产品或部件配件软件等须提供中国海关进口货物报关单、完税证明及商检证明等材料。</w:t>
      </w:r>
    </w:p>
    <w:p w14:paraId="625B0465">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（五）质保及售后服务</w:t>
      </w:r>
    </w:p>
    <w:p w14:paraId="2D4FCA08">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质保期内成交人须提供免费质保服务和软件免费升级服务，</w:t>
      </w:r>
      <w:r>
        <w:rPr>
          <w:rFonts w:hint="eastAsia" w:ascii="宋体" w:hAnsi="宋体" w:eastAsia="宋体" w:cs="宋体"/>
          <w:color w:val="auto"/>
          <w:sz w:val="24"/>
          <w:szCs w:val="24"/>
          <w:highlight w:val="none"/>
        </w:rPr>
        <w:t>质保期满后，应提供优先的有偿售后服务及按不高于</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文件中主要配件、易损件清单所报价格供应原厂零配件等。</w:t>
      </w:r>
    </w:p>
    <w:p w14:paraId="2EC39CAA">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须设有维修服务电话，负责解答用户在货物使用中遇到的问题，及时提出解决问题的建议和操作方法。</w:t>
      </w:r>
    </w:p>
    <w:p w14:paraId="495B308E">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3.售后服务响应时间：</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必须为采购人提供上门服务，</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须自接到报修后</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小时内组织实施维修。若不能及时响应并开展维修，可由采购人直接派员进行处理，若确属</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原因造成，则所需费用自合同款项余额中扣除。如果</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在收到报修通知后</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小时内没有弥补缺陷，采购人可采取必要的补救措施，但费用和风险由</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承担。其中产生的拆除、运输、包装、安装、配件等相关的所有费用由</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自行承担。</w:t>
      </w:r>
    </w:p>
    <w:p w14:paraId="37F34815">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（六）培训：</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负责为采购人操作人员提供操作及维护培训，直至其能熟练独立操作及日常维护与保养，简单故障诊断与排除。</w:t>
      </w:r>
    </w:p>
    <w:p w14:paraId="2E7E93B3">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（七）验收：</w:t>
      </w:r>
    </w:p>
    <w:p w14:paraId="758B8C34">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1.采购人和相关部门按照国家规定标准验收，没有国家标准的按行业标准验收，无行业标准的按地方或企业标准验收，</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予以配合。涉及安全、消防、环保等其他需要由质检或行业主管部门验收的项目，采购人须约请相关部门和专家参加项目验收。</w:t>
      </w:r>
    </w:p>
    <w:p w14:paraId="45382AC1">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2.货物在验收时，</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提供的必要文件。</w:t>
      </w:r>
    </w:p>
    <w:p w14:paraId="50813E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bCs/>
          <w:color w:val="auto"/>
          <w:sz w:val="24"/>
          <w:szCs w:val="18"/>
          <w:highlight w:val="none"/>
        </w:rPr>
      </w:pPr>
    </w:p>
    <w:p w14:paraId="5DBDCBD0">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8F87635">
      <w:pPr>
        <w:spacing w:line="360" w:lineRule="auto"/>
        <w:jc w:val="center"/>
        <w:outlineLvl w:val="0"/>
        <w:rPr>
          <w:rFonts w:asciiTheme="minorEastAsia" w:hAnsiTheme="minorEastAsia" w:eastAsiaTheme="minorEastAsia"/>
          <w:b/>
          <w:color w:val="auto"/>
          <w:sz w:val="28"/>
          <w:highlight w:val="none"/>
        </w:rPr>
      </w:pPr>
      <w:bookmarkStart w:id="46" w:name="_Toc15765"/>
      <w:r>
        <w:rPr>
          <w:rFonts w:hint="eastAsia" w:asciiTheme="minorEastAsia" w:hAnsiTheme="minorEastAsia" w:eastAsiaTheme="minorEastAsia"/>
          <w:b/>
          <w:color w:val="auto"/>
          <w:sz w:val="28"/>
          <w:highlight w:val="none"/>
        </w:rPr>
        <w:t>第四章  评审方法和标准</w:t>
      </w:r>
      <w:bookmarkEnd w:id="46"/>
    </w:p>
    <w:p w14:paraId="207BFDAF">
      <w:pPr>
        <w:spacing w:line="360" w:lineRule="auto"/>
        <w:ind w:firstLine="437"/>
        <w:outlineLvl w:val="1"/>
        <w:rPr>
          <w:rFonts w:asciiTheme="minorEastAsia" w:hAnsiTheme="minorEastAsia" w:eastAsiaTheme="minorEastAsia"/>
          <w:b/>
          <w:color w:val="auto"/>
          <w:sz w:val="24"/>
          <w:highlight w:val="none"/>
        </w:rPr>
      </w:pPr>
      <w:bookmarkStart w:id="47" w:name="_Toc11117"/>
      <w:bookmarkStart w:id="48" w:name="_Toc1221"/>
      <w:r>
        <w:rPr>
          <w:rFonts w:hint="eastAsia" w:asciiTheme="minorEastAsia" w:hAnsiTheme="minorEastAsia" w:eastAsiaTheme="minorEastAsia"/>
          <w:b/>
          <w:color w:val="auto"/>
          <w:sz w:val="24"/>
          <w:highlight w:val="none"/>
        </w:rPr>
        <w:t>一、总则</w:t>
      </w:r>
      <w:bookmarkEnd w:id="47"/>
      <w:bookmarkEnd w:id="48"/>
    </w:p>
    <w:p w14:paraId="11B63ED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本项目将按照询价通知书第二章 供应商须知的相关要求</w:t>
      </w:r>
      <w:r>
        <w:rPr>
          <w:rFonts w:asciiTheme="minorEastAsia" w:hAnsiTheme="minorEastAsia" w:eastAsiaTheme="minorEastAsia"/>
          <w:color w:val="auto"/>
          <w:sz w:val="24"/>
          <w:highlight w:val="none"/>
        </w:rPr>
        <w:t>及本章的规定评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w:t>
      </w:r>
    </w:p>
    <w:p w14:paraId="49868DC5">
      <w:pPr>
        <w:spacing w:line="360" w:lineRule="auto"/>
        <w:ind w:firstLine="437"/>
        <w:outlineLvl w:val="1"/>
        <w:rPr>
          <w:rFonts w:asciiTheme="minorEastAsia" w:hAnsiTheme="minorEastAsia" w:eastAsiaTheme="minorEastAsia"/>
          <w:b/>
          <w:color w:val="auto"/>
          <w:sz w:val="24"/>
          <w:highlight w:val="none"/>
        </w:rPr>
      </w:pPr>
      <w:bookmarkStart w:id="49" w:name="_Toc21906"/>
      <w:bookmarkStart w:id="50" w:name="_Toc20555"/>
      <w:r>
        <w:rPr>
          <w:rFonts w:hint="eastAsia" w:asciiTheme="minorEastAsia" w:hAnsiTheme="minorEastAsia" w:eastAsiaTheme="minorEastAsia"/>
          <w:b/>
          <w:color w:val="auto"/>
          <w:sz w:val="24"/>
          <w:highlight w:val="none"/>
        </w:rPr>
        <w:t>二、评审方法</w:t>
      </w:r>
      <w:bookmarkEnd w:id="49"/>
      <w:bookmarkEnd w:id="50"/>
    </w:p>
    <w:p w14:paraId="43749494">
      <w:pPr>
        <w:spacing w:line="360" w:lineRule="auto"/>
        <w:ind w:firstLine="435"/>
        <w:rPr>
          <w:rFonts w:asciiTheme="minorEastAsia" w:hAnsiTheme="minorEastAsia" w:eastAsiaTheme="minorEastAsia"/>
          <w:color w:val="auto"/>
          <w:sz w:val="24"/>
          <w:highlight w:val="none"/>
        </w:rPr>
      </w:pPr>
      <w:bookmarkStart w:id="51" w:name="_Hlk23204339"/>
      <w:r>
        <w:rPr>
          <w:rFonts w:hint="eastAsia" w:asciiTheme="minorEastAsia" w:hAnsiTheme="minorEastAsia" w:eastAsiaTheme="minorEastAsia"/>
          <w:color w:val="auto"/>
          <w:sz w:val="24"/>
          <w:highlight w:val="none"/>
        </w:rPr>
        <w:t>询价小组对通过供应商的响应文件进行评审，以确定其是否满足询价通知书的实质性要求。评审表如下：</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720"/>
        <w:gridCol w:w="4302"/>
        <w:gridCol w:w="1841"/>
      </w:tblGrid>
      <w:tr w14:paraId="3C1EB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108413F0">
            <w:pPr>
              <w:adjustRightInd w:val="0"/>
              <w:snapToGrid w:val="0"/>
              <w:spacing w:line="360" w:lineRule="auto"/>
              <w:ind w:right="-10"/>
              <w:jc w:val="center"/>
              <w:rPr>
                <w:rFonts w:asciiTheme="minorEastAsia" w:hAnsiTheme="minorEastAsia" w:eastAsiaTheme="minorEastAsia"/>
                <w:color w:val="auto"/>
                <w:sz w:val="24"/>
                <w:highlight w:val="none"/>
              </w:rPr>
            </w:pPr>
            <w:bookmarkStart w:id="52" w:name="_Hlk60605773"/>
            <w:r>
              <w:rPr>
                <w:rFonts w:hint="eastAsia" w:asciiTheme="minorEastAsia" w:hAnsiTheme="minorEastAsia" w:eastAsiaTheme="minorEastAsia"/>
                <w:b/>
                <w:color w:val="auto"/>
                <w:sz w:val="24"/>
                <w:szCs w:val="22"/>
                <w:highlight w:val="none"/>
              </w:rPr>
              <w:t>评审表</w:t>
            </w:r>
          </w:p>
        </w:tc>
      </w:tr>
      <w:tr w14:paraId="3BF4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47110B66">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序号</w:t>
            </w:r>
          </w:p>
        </w:tc>
        <w:tc>
          <w:tcPr>
            <w:tcW w:w="1009" w:type="pct"/>
            <w:tcBorders>
              <w:bottom w:val="single" w:color="auto" w:sz="4" w:space="0"/>
            </w:tcBorders>
            <w:vAlign w:val="center"/>
          </w:tcPr>
          <w:p w14:paraId="19729A47">
            <w:pPr>
              <w:pStyle w:val="46"/>
              <w:pBdr>
                <w:bottom w:val="none" w:color="auto" w:sz="0" w:space="0"/>
              </w:pBdr>
              <w:tabs>
                <w:tab w:val="clear" w:pos="4153"/>
                <w:tab w:val="clear" w:pos="8306"/>
              </w:tabs>
              <w:snapToGrid w:val="0"/>
              <w:spacing w:line="360" w:lineRule="auto"/>
              <w:ind w:right="-10"/>
              <w:textAlignment w:val="auto"/>
              <w:rPr>
                <w:rFonts w:asciiTheme="minorEastAsia" w:hAnsiTheme="minorEastAsia" w:eastAsiaTheme="minorEastAsia"/>
                <w:color w:val="auto"/>
                <w:kern w:val="2"/>
                <w:szCs w:val="24"/>
                <w:highlight w:val="none"/>
              </w:rPr>
            </w:pPr>
            <w:r>
              <w:rPr>
                <w:rFonts w:hint="eastAsia" w:asciiTheme="minorEastAsia" w:hAnsiTheme="minorEastAsia" w:eastAsiaTheme="minorEastAsia"/>
                <w:color w:val="auto"/>
                <w:kern w:val="2"/>
                <w:szCs w:val="24"/>
                <w:highlight w:val="none"/>
                <w:lang w:val="en-US" w:eastAsia="zh-CN"/>
              </w:rPr>
              <w:t>审查</w:t>
            </w:r>
            <w:r>
              <w:rPr>
                <w:rFonts w:hint="eastAsia" w:asciiTheme="minorEastAsia" w:hAnsiTheme="minorEastAsia" w:eastAsiaTheme="minorEastAsia"/>
                <w:color w:val="auto"/>
                <w:kern w:val="2"/>
                <w:szCs w:val="24"/>
                <w:highlight w:val="none"/>
              </w:rPr>
              <w:t>指标</w:t>
            </w:r>
          </w:p>
        </w:tc>
        <w:tc>
          <w:tcPr>
            <w:tcW w:w="2524" w:type="pct"/>
            <w:tcBorders>
              <w:bottom w:val="single" w:color="auto" w:sz="4" w:space="0"/>
            </w:tcBorders>
            <w:vAlign w:val="center"/>
          </w:tcPr>
          <w:p w14:paraId="3F379E77">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审查</w:t>
            </w:r>
            <w:r>
              <w:rPr>
                <w:rFonts w:hint="eastAsia" w:asciiTheme="minorEastAsia" w:hAnsiTheme="minorEastAsia" w:eastAsiaTheme="minorEastAsia"/>
                <w:color w:val="auto"/>
                <w:sz w:val="24"/>
                <w:highlight w:val="none"/>
              </w:rPr>
              <w:t>标准</w:t>
            </w:r>
          </w:p>
        </w:tc>
        <w:tc>
          <w:tcPr>
            <w:tcW w:w="1078" w:type="pct"/>
            <w:tcBorders>
              <w:bottom w:val="single" w:color="auto" w:sz="4" w:space="0"/>
            </w:tcBorders>
            <w:vAlign w:val="center"/>
          </w:tcPr>
          <w:p w14:paraId="539D83D0">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格式要求</w:t>
            </w:r>
          </w:p>
        </w:tc>
      </w:tr>
      <w:tr w14:paraId="2A783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87" w:type="pct"/>
            <w:tcBorders>
              <w:bottom w:val="single" w:color="auto" w:sz="4" w:space="0"/>
            </w:tcBorders>
            <w:vAlign w:val="center"/>
          </w:tcPr>
          <w:p w14:paraId="1D7FEC9A">
            <w:pPr>
              <w:adjustRightInd w:val="0"/>
              <w:snapToGrid w:val="0"/>
              <w:spacing w:line="360" w:lineRule="auto"/>
              <w:ind w:right="-10" w:rightChars="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1</w:t>
            </w:r>
          </w:p>
        </w:tc>
        <w:tc>
          <w:tcPr>
            <w:tcW w:w="1009" w:type="pct"/>
            <w:tcBorders>
              <w:bottom w:val="single" w:color="auto" w:sz="4" w:space="0"/>
            </w:tcBorders>
            <w:vAlign w:val="center"/>
          </w:tcPr>
          <w:p w14:paraId="0C015C36">
            <w:pPr>
              <w:spacing w:after="50" w:line="360" w:lineRule="auto"/>
              <w:ind w:right="-10" w:rightChars="0"/>
              <w:jc w:val="center"/>
              <w:rPr>
                <w:rFonts w:asciiTheme="minorEastAsia" w:hAnsiTheme="minorEastAsia" w:eastAsiaTheme="minorEastAsia"/>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524" w:type="pct"/>
            <w:tcBorders>
              <w:bottom w:val="single" w:color="auto" w:sz="4" w:space="0"/>
            </w:tcBorders>
            <w:vAlign w:val="center"/>
          </w:tcPr>
          <w:p w14:paraId="5888FF3B">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w:t>
            </w:r>
          </w:p>
          <w:p w14:paraId="346DC9F2">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供有效的事业单位法人证书；</w:t>
            </w:r>
          </w:p>
          <w:p w14:paraId="7DBFE4D3">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是非企业机构的，应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ascii="宋体" w:hAnsi="宋体" w:eastAsia="宋体" w:cs="宋体"/>
                <w:color w:val="auto"/>
                <w:sz w:val="24"/>
                <w:szCs w:val="24"/>
                <w:highlight w:val="none"/>
              </w:rPr>
              <w:t>登记证书等证明文件；</w:t>
            </w:r>
          </w:p>
          <w:p w14:paraId="414C4059">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是个体工商户的，应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供有效的个体工商户营业执照；</w:t>
            </w:r>
          </w:p>
          <w:p w14:paraId="0E62CE9C">
            <w:pPr>
              <w:spacing w:after="50" w:line="360" w:lineRule="auto"/>
              <w:ind w:right="-10" w:rightChars="0"/>
              <w:jc w:val="left"/>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是自然人的，应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供有效的自然人身份证明</w:t>
            </w:r>
            <w:r>
              <w:rPr>
                <w:rFonts w:hint="eastAsia" w:ascii="宋体" w:hAnsi="宋体" w:eastAsia="宋体" w:cs="宋体"/>
                <w:color w:val="auto"/>
                <w:sz w:val="24"/>
                <w:szCs w:val="24"/>
                <w:highlight w:val="none"/>
                <w:lang w:eastAsia="zh-CN"/>
              </w:rPr>
              <w:t>；</w:t>
            </w:r>
          </w:p>
        </w:tc>
        <w:tc>
          <w:tcPr>
            <w:tcW w:w="1078" w:type="pct"/>
            <w:vAlign w:val="center"/>
          </w:tcPr>
          <w:p w14:paraId="1ABE7334">
            <w:pPr>
              <w:spacing w:line="360" w:lineRule="auto"/>
              <w:jc w:val="left"/>
              <w:rPr>
                <w:rFonts w:asciiTheme="minorEastAsia" w:hAnsiTheme="minorEastAsia" w:eastAsiaTheme="minorEastAsia"/>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0C95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7FB523CB">
            <w:pPr>
              <w:adjustRightInd w:val="0"/>
              <w:snapToGrid w:val="0"/>
              <w:spacing w:line="360" w:lineRule="auto"/>
              <w:ind w:right="-10" w:rightChars="0"/>
              <w:jc w:val="center"/>
              <w:rPr>
                <w:rFonts w:hint="eastAsia" w:asciiTheme="minorEastAsia" w:hAnsiTheme="minorEastAsia" w:eastAsiaTheme="minorEastAsia"/>
                <w:color w:val="auto"/>
                <w:sz w:val="24"/>
                <w:highlight w:val="none"/>
                <w:lang w:val="en-US" w:eastAsia="zh-CN"/>
              </w:rPr>
            </w:pPr>
            <w:r>
              <w:rPr>
                <w:rFonts w:hint="eastAsia" w:ascii="宋体" w:hAnsi="宋体" w:eastAsia="宋体"/>
                <w:color w:val="auto"/>
                <w:sz w:val="24"/>
                <w:highlight w:val="none"/>
                <w:lang w:val="en-US" w:eastAsia="zh-CN"/>
              </w:rPr>
              <w:t>2</w:t>
            </w:r>
          </w:p>
        </w:tc>
        <w:tc>
          <w:tcPr>
            <w:tcW w:w="1009" w:type="pct"/>
            <w:tcBorders>
              <w:bottom w:val="single" w:color="auto" w:sz="4" w:space="0"/>
            </w:tcBorders>
            <w:vAlign w:val="center"/>
          </w:tcPr>
          <w:p w14:paraId="760BFDE2">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宋体" w:hAnsi="宋体" w:eastAsia="宋体"/>
                <w:color w:val="auto"/>
                <w:sz w:val="24"/>
                <w:szCs w:val="18"/>
                <w:highlight w:val="none"/>
                <w:lang w:val="en-US" w:eastAsia="zh-CN"/>
              </w:rPr>
              <w:t>供应商资格声明书</w:t>
            </w:r>
          </w:p>
        </w:tc>
        <w:tc>
          <w:tcPr>
            <w:tcW w:w="2524" w:type="pct"/>
            <w:tcBorders>
              <w:bottom w:val="single" w:color="auto" w:sz="4" w:space="0"/>
            </w:tcBorders>
            <w:vAlign w:val="center"/>
          </w:tcPr>
          <w:p w14:paraId="213A1E9D">
            <w:pPr>
              <w:keepNext w:val="0"/>
              <w:keepLines w:val="0"/>
              <w:pageBreakBefore w:val="0"/>
              <w:widowControl w:val="0"/>
              <w:kinsoku/>
              <w:wordWrap w:val="0"/>
              <w:overflowPunct/>
              <w:topLinePunct w:val="0"/>
              <w:autoSpaceDE/>
              <w:autoSpaceDN/>
              <w:bidi w:val="0"/>
              <w:adjustRightInd/>
              <w:snapToGrid/>
              <w:spacing w:after="50" w:line="360" w:lineRule="auto"/>
              <w:ind w:right="-11" w:rightChars="0"/>
              <w:jc w:val="left"/>
              <w:textAlignment w:val="auto"/>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w:t>
            </w:r>
            <w:r>
              <w:rPr>
                <w:rFonts w:hint="eastAsia" w:ascii="宋体" w:hAnsi="宋体" w:eastAsia="宋体" w:cs="宋体"/>
                <w:color w:val="auto"/>
                <w:sz w:val="24"/>
                <w:szCs w:val="24"/>
                <w:highlight w:val="none"/>
                <w:lang w:val="en-US" w:eastAsia="zh-CN"/>
              </w:rPr>
              <w:t>询价通知书</w:t>
            </w:r>
            <w:r>
              <w:rPr>
                <w:rFonts w:ascii="宋体" w:hAnsi="宋体" w:eastAsia="宋体" w:cs="宋体"/>
                <w:color w:val="auto"/>
                <w:sz w:val="24"/>
                <w:szCs w:val="24"/>
                <w:highlight w:val="none"/>
              </w:rPr>
              <w:t>要求的《</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lang w:eastAsia="zh-CN"/>
              </w:rPr>
              <w:t>。</w:t>
            </w:r>
          </w:p>
        </w:tc>
        <w:tc>
          <w:tcPr>
            <w:tcW w:w="1078" w:type="pct"/>
            <w:tcBorders>
              <w:bottom w:val="single" w:color="auto" w:sz="4" w:space="0"/>
            </w:tcBorders>
            <w:vAlign w:val="center"/>
          </w:tcPr>
          <w:p w14:paraId="57DF1294">
            <w:pPr>
              <w:spacing w:line="360" w:lineRule="auto"/>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5565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345DE36C">
            <w:pPr>
              <w:adjustRightInd w:val="0"/>
              <w:snapToGrid w:val="0"/>
              <w:spacing w:line="360" w:lineRule="auto"/>
              <w:ind w:right="-10" w:rightChars="0"/>
              <w:jc w:val="center"/>
              <w:rPr>
                <w:rFonts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3</w:t>
            </w:r>
          </w:p>
        </w:tc>
        <w:tc>
          <w:tcPr>
            <w:tcW w:w="1009" w:type="pct"/>
            <w:tcBorders>
              <w:bottom w:val="single" w:color="auto" w:sz="4" w:space="0"/>
            </w:tcBorders>
            <w:vAlign w:val="center"/>
          </w:tcPr>
          <w:p w14:paraId="55E5B85D">
            <w:pPr>
              <w:spacing w:after="50" w:line="360" w:lineRule="auto"/>
              <w:ind w:right="-10" w:rightChars="0"/>
              <w:jc w:val="center"/>
              <w:rPr>
                <w:rFonts w:asciiTheme="minorEastAsia" w:hAnsiTheme="minorEastAsia" w:eastAsiaTheme="minorEastAsia"/>
                <w:color w:val="auto"/>
                <w:sz w:val="24"/>
                <w:szCs w:val="18"/>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w:t>
            </w:r>
          </w:p>
        </w:tc>
        <w:tc>
          <w:tcPr>
            <w:tcW w:w="2524" w:type="pct"/>
            <w:tcBorders>
              <w:bottom w:val="single" w:color="auto" w:sz="4" w:space="0"/>
            </w:tcBorders>
            <w:vAlign w:val="center"/>
          </w:tcPr>
          <w:p w14:paraId="4633E45D">
            <w:pPr>
              <w:keepNext w:val="0"/>
              <w:keepLines w:val="0"/>
              <w:pageBreakBefore w:val="0"/>
              <w:widowControl w:val="0"/>
              <w:kinsoku/>
              <w:wordWrap w:val="0"/>
              <w:overflowPunct/>
              <w:topLinePunct w:val="0"/>
              <w:autoSpaceDE/>
              <w:autoSpaceDN/>
              <w:bidi w:val="0"/>
              <w:adjustRightInd/>
              <w:snapToGrid/>
              <w:spacing w:after="50" w:line="360" w:lineRule="auto"/>
              <w:ind w:right="-11" w:rightChars="0"/>
              <w:jc w:val="left"/>
              <w:textAlignment w:val="auto"/>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不得存在</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须知正文第</w:t>
            </w:r>
            <w:r>
              <w:rPr>
                <w:rFonts w:hint="eastAsia" w:ascii="宋体" w:hAnsi="宋体" w:eastAsia="宋体" w:cs="宋体"/>
                <w:color w:val="auto"/>
                <w:sz w:val="24"/>
                <w:szCs w:val="24"/>
                <w:highlight w:val="none"/>
                <w:lang w:val="en-US" w:eastAsia="zh-CN"/>
              </w:rPr>
              <w:t>13.1条中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8" w:type="pct"/>
            <w:tcBorders>
              <w:bottom w:val="single" w:color="auto" w:sz="4" w:space="0"/>
            </w:tcBorders>
            <w:vAlign w:val="center"/>
          </w:tcPr>
          <w:p w14:paraId="145CFFB9">
            <w:pPr>
              <w:spacing w:line="360" w:lineRule="auto"/>
              <w:jc w:val="left"/>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无须</w:t>
            </w:r>
            <w:r>
              <w:rPr>
                <w:rFonts w:hint="eastAsia" w:ascii="宋体" w:hAnsi="宋体" w:eastAsia="宋体" w:cs="宋体"/>
                <w:color w:val="auto"/>
                <w:sz w:val="24"/>
                <w:szCs w:val="24"/>
                <w:highlight w:val="none"/>
                <w:lang w:val="en-US" w:eastAsia="zh-CN"/>
              </w:rPr>
              <w:t>供应商提</w:t>
            </w:r>
            <w:r>
              <w:rPr>
                <w:rFonts w:hint="eastAsia" w:ascii="宋体" w:hAnsi="宋体" w:eastAsia="宋体" w:cs="宋体"/>
                <w:color w:val="auto"/>
                <w:sz w:val="24"/>
                <w:szCs w:val="24"/>
                <w:highlight w:val="none"/>
              </w:rPr>
              <w:t>供，由采购人或采购代理机构查询。</w:t>
            </w:r>
          </w:p>
        </w:tc>
      </w:tr>
      <w:tr w14:paraId="59221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71BA61D9">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Theme="majorEastAsia" w:hAnsiTheme="majorEastAsia" w:eastAsiaTheme="majorEastAsia"/>
                <w:color w:val="auto"/>
                <w:sz w:val="24"/>
                <w:highlight w:val="none"/>
                <w:lang w:val="en-US" w:eastAsia="zh-CN"/>
              </w:rPr>
              <w:t>4</w:t>
            </w:r>
          </w:p>
        </w:tc>
        <w:tc>
          <w:tcPr>
            <w:tcW w:w="1009" w:type="pct"/>
            <w:vAlign w:val="center"/>
          </w:tcPr>
          <w:p w14:paraId="42183F0F">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val="en-US" w:eastAsia="zh-CN"/>
              </w:rPr>
              <w:t>响应</w:t>
            </w:r>
            <w:r>
              <w:rPr>
                <w:rFonts w:hint="eastAsia" w:asciiTheme="minorEastAsia" w:hAnsiTheme="minorEastAsia" w:eastAsiaTheme="minorEastAsia"/>
                <w:color w:val="auto"/>
                <w:sz w:val="24"/>
                <w:szCs w:val="28"/>
                <w:highlight w:val="none"/>
              </w:rPr>
              <w:t>函</w:t>
            </w:r>
          </w:p>
        </w:tc>
        <w:tc>
          <w:tcPr>
            <w:tcW w:w="2524" w:type="pct"/>
            <w:vAlign w:val="center"/>
          </w:tcPr>
          <w:p w14:paraId="2187AE4E">
            <w:pPr>
              <w:spacing w:after="50" w:line="360" w:lineRule="auto"/>
              <w:ind w:right="-10" w:rightChars="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询价通知书</w:t>
            </w:r>
            <w:r>
              <w:rPr>
                <w:rFonts w:hint="eastAsia" w:asciiTheme="minorEastAsia" w:hAnsiTheme="minorEastAsia" w:eastAsiaTheme="minorEastAsia"/>
                <w:color w:val="auto"/>
                <w:sz w:val="24"/>
                <w:szCs w:val="28"/>
                <w:highlight w:val="none"/>
              </w:rPr>
              <w:t>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078" w:type="pct"/>
            <w:vAlign w:val="center"/>
          </w:tcPr>
          <w:p w14:paraId="3C5B19A1">
            <w:pPr>
              <w:adjustRightInd w:val="0"/>
              <w:snapToGrid w:val="0"/>
              <w:spacing w:line="360" w:lineRule="auto"/>
              <w:ind w:right="-10" w:rightChars="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41E4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6A8E34BC">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lang w:val="en-US" w:eastAsia="zh-CN"/>
              </w:rPr>
              <w:t>5</w:t>
            </w:r>
          </w:p>
        </w:tc>
        <w:tc>
          <w:tcPr>
            <w:tcW w:w="1009" w:type="pct"/>
            <w:vAlign w:val="center"/>
          </w:tcPr>
          <w:p w14:paraId="0D26CDDD">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2524" w:type="pct"/>
            <w:vAlign w:val="center"/>
          </w:tcPr>
          <w:p w14:paraId="43252F84">
            <w:pPr>
              <w:spacing w:after="50" w:line="360" w:lineRule="auto"/>
              <w:ind w:right="-10" w:rightChars="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询价通知书</w:t>
            </w:r>
            <w:r>
              <w:rPr>
                <w:rFonts w:hint="eastAsia" w:asciiTheme="minorEastAsia" w:hAnsiTheme="minorEastAsia" w:eastAsiaTheme="minorEastAsia"/>
                <w:color w:val="auto"/>
                <w:sz w:val="24"/>
                <w:szCs w:val="28"/>
                <w:highlight w:val="none"/>
              </w:rPr>
              <w:t>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078" w:type="pct"/>
            <w:vAlign w:val="center"/>
          </w:tcPr>
          <w:p w14:paraId="4F767A5C">
            <w:pPr>
              <w:adjustRightInd w:val="0"/>
              <w:snapToGrid w:val="0"/>
              <w:spacing w:line="360" w:lineRule="auto"/>
              <w:ind w:right="-10" w:rightChars="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w:t>
            </w:r>
            <w:r>
              <w:rPr>
                <w:rFonts w:hint="eastAsia" w:asciiTheme="minorEastAsia" w:hAnsiTheme="minorEastAsia" w:eastAsiaTheme="minorEastAsia"/>
                <w:color w:val="auto"/>
                <w:sz w:val="24"/>
                <w:highlight w:val="none"/>
                <w:lang w:val="en-US" w:eastAsia="zh-CN"/>
              </w:rPr>
              <w:t>询价</w:t>
            </w:r>
            <w:r>
              <w:rPr>
                <w:rFonts w:hint="eastAsia" w:asciiTheme="minorEastAsia" w:hAnsiTheme="minorEastAsia" w:eastAsiaTheme="minorEastAsia"/>
                <w:color w:val="auto"/>
                <w:sz w:val="24"/>
                <w:highlight w:val="none"/>
              </w:rPr>
              <w:t>的无需此件，提供身份证明即可。</w:t>
            </w: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02CE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428E0C6F">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lang w:val="en-US" w:eastAsia="zh-CN"/>
              </w:rPr>
              <w:t>6</w:t>
            </w:r>
          </w:p>
        </w:tc>
        <w:tc>
          <w:tcPr>
            <w:tcW w:w="1009" w:type="pct"/>
            <w:vAlign w:val="center"/>
          </w:tcPr>
          <w:p w14:paraId="4D1E049F">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报价</w:t>
            </w:r>
          </w:p>
        </w:tc>
        <w:tc>
          <w:tcPr>
            <w:tcW w:w="2524" w:type="pct"/>
            <w:vAlign w:val="center"/>
          </w:tcPr>
          <w:p w14:paraId="54F248A1">
            <w:pPr>
              <w:spacing w:after="50" w:line="360" w:lineRule="auto"/>
              <w:ind w:right="-10" w:rightChars="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val="en-US" w:eastAsia="zh-CN"/>
              </w:rPr>
              <w:t>询价通知书供应商</w:t>
            </w:r>
            <w:r>
              <w:rPr>
                <w:rFonts w:hint="eastAsia" w:asciiTheme="minorEastAsia" w:hAnsiTheme="minorEastAsia" w:eastAsiaTheme="minorEastAsia"/>
                <w:color w:val="auto"/>
                <w:sz w:val="24"/>
                <w:highlight w:val="none"/>
              </w:rPr>
              <w:t>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078" w:type="pct"/>
            <w:vAlign w:val="center"/>
          </w:tcPr>
          <w:p w14:paraId="3676ACEB">
            <w:pPr>
              <w:adjustRightInd w:val="0"/>
              <w:snapToGrid w:val="0"/>
              <w:spacing w:line="360" w:lineRule="auto"/>
              <w:ind w:right="-10" w:rightChars="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2C01B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4E29B10C">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lang w:val="en-US" w:eastAsia="zh-CN"/>
              </w:rPr>
              <w:t>7</w:t>
            </w:r>
          </w:p>
        </w:tc>
        <w:tc>
          <w:tcPr>
            <w:tcW w:w="1009" w:type="pct"/>
            <w:vAlign w:val="center"/>
          </w:tcPr>
          <w:p w14:paraId="665E21A5">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2524" w:type="pct"/>
            <w:vAlign w:val="center"/>
          </w:tcPr>
          <w:p w14:paraId="0A4626F9">
            <w:pPr>
              <w:keepNext w:val="0"/>
              <w:keepLines w:val="0"/>
              <w:pageBreakBefore w:val="0"/>
              <w:widowControl w:val="0"/>
              <w:kinsoku/>
              <w:wordWrap w:val="0"/>
              <w:overflowPunct/>
              <w:topLinePunct w:val="0"/>
              <w:autoSpaceDE/>
              <w:autoSpaceDN/>
              <w:bidi w:val="0"/>
              <w:adjustRightInd/>
              <w:snapToGrid/>
              <w:spacing w:after="50" w:line="360" w:lineRule="auto"/>
              <w:ind w:right="-11" w:rightChars="0"/>
              <w:jc w:val="left"/>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val="en-US" w:eastAsia="zh-CN"/>
              </w:rPr>
              <w:t>询价通知书</w:t>
            </w:r>
            <w:r>
              <w:rPr>
                <w:rFonts w:hint="eastAsia" w:asciiTheme="minorEastAsia" w:hAnsiTheme="minorEastAsia" w:eastAsiaTheme="minorEastAsia"/>
                <w:color w:val="auto"/>
                <w:sz w:val="24"/>
                <w:szCs w:val="28"/>
                <w:highlight w:val="none"/>
              </w:rPr>
              <w:t>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078" w:type="pct"/>
            <w:vAlign w:val="center"/>
          </w:tcPr>
          <w:p w14:paraId="2B7AC75A">
            <w:pPr>
              <w:adjustRightInd w:val="0"/>
              <w:snapToGrid w:val="0"/>
              <w:spacing w:line="360" w:lineRule="auto"/>
              <w:ind w:right="-10" w:rightChars="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1192C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40CD261F">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lang w:val="en-US" w:eastAsia="zh-CN"/>
              </w:rPr>
              <w:t>8</w:t>
            </w:r>
          </w:p>
        </w:tc>
        <w:tc>
          <w:tcPr>
            <w:tcW w:w="1009" w:type="pct"/>
            <w:vAlign w:val="center"/>
          </w:tcPr>
          <w:p w14:paraId="41AA8575">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2524" w:type="pct"/>
            <w:vAlign w:val="center"/>
          </w:tcPr>
          <w:p w14:paraId="3C42E7A6">
            <w:pPr>
              <w:keepNext w:val="0"/>
              <w:keepLines w:val="0"/>
              <w:pageBreakBefore w:val="0"/>
              <w:widowControl w:val="0"/>
              <w:kinsoku/>
              <w:wordWrap w:val="0"/>
              <w:overflowPunct/>
              <w:topLinePunct w:val="0"/>
              <w:autoSpaceDE/>
              <w:autoSpaceDN/>
              <w:bidi w:val="0"/>
              <w:adjustRightInd/>
              <w:snapToGrid/>
              <w:spacing w:after="50" w:line="360" w:lineRule="auto"/>
              <w:ind w:right="-11" w:rightChars="0"/>
              <w:jc w:val="left"/>
              <w:textAlignment w:val="auto"/>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val="en-US" w:eastAsia="zh-CN"/>
              </w:rPr>
              <w:t>询价通知书</w:t>
            </w:r>
            <w:r>
              <w:rPr>
                <w:rFonts w:hint="eastAsia" w:asciiTheme="minorEastAsia" w:hAnsiTheme="minorEastAsia" w:eastAsiaTheme="minorEastAsia"/>
                <w:color w:val="auto"/>
                <w:sz w:val="24"/>
                <w:szCs w:val="28"/>
                <w:highlight w:val="none"/>
              </w:rPr>
              <w:t>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1078" w:type="pct"/>
            <w:vAlign w:val="center"/>
          </w:tcPr>
          <w:p w14:paraId="12B9CEC1">
            <w:pPr>
              <w:adjustRightInd w:val="0"/>
              <w:snapToGrid w:val="0"/>
              <w:spacing w:line="360" w:lineRule="auto"/>
              <w:ind w:right="-10" w:rightChars="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4B6FF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10A2B932">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lang w:val="en-US" w:eastAsia="zh-CN"/>
              </w:rPr>
              <w:t>9</w:t>
            </w:r>
          </w:p>
        </w:tc>
        <w:tc>
          <w:tcPr>
            <w:tcW w:w="1009" w:type="pct"/>
            <w:vAlign w:val="center"/>
          </w:tcPr>
          <w:p w14:paraId="0EED1D5A">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2524" w:type="pct"/>
            <w:vAlign w:val="center"/>
          </w:tcPr>
          <w:p w14:paraId="764D7595">
            <w:pPr>
              <w:spacing w:after="50" w:line="360" w:lineRule="auto"/>
              <w:ind w:right="-10" w:rightChars="0"/>
              <w:jc w:val="left"/>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eastAsia="zh-CN"/>
              </w:rPr>
              <w:t>询价通知书</w:t>
            </w:r>
            <w:r>
              <w:rPr>
                <w:rFonts w:hint="eastAsia" w:asciiTheme="minorEastAsia" w:hAnsiTheme="minorEastAsia" w:eastAsiaTheme="minorEastAsia"/>
                <w:color w:val="auto"/>
                <w:sz w:val="24"/>
                <w:szCs w:val="28"/>
                <w:highlight w:val="none"/>
              </w:rPr>
              <w:t>列明的其他</w:t>
            </w:r>
            <w:r>
              <w:rPr>
                <w:rFonts w:hint="eastAsia" w:asciiTheme="minorEastAsia" w:hAnsiTheme="minorEastAsia" w:eastAsiaTheme="minorEastAsia"/>
                <w:color w:val="auto"/>
                <w:sz w:val="24"/>
                <w:szCs w:val="28"/>
                <w:highlight w:val="none"/>
                <w:lang w:val="en-US" w:eastAsia="zh-CN"/>
              </w:rPr>
              <w:t>实质性要求</w:t>
            </w:r>
          </w:p>
        </w:tc>
        <w:tc>
          <w:tcPr>
            <w:tcW w:w="1078" w:type="pct"/>
            <w:vAlign w:val="center"/>
          </w:tcPr>
          <w:p w14:paraId="3683EF64">
            <w:pPr>
              <w:adjustRightInd w:val="0"/>
              <w:snapToGrid w:val="0"/>
              <w:spacing w:line="360" w:lineRule="auto"/>
              <w:ind w:right="-10" w:rightChars="0"/>
              <w:jc w:val="center"/>
              <w:rPr>
                <w:rFonts w:asciiTheme="minorEastAsia" w:hAnsiTheme="minorEastAsia" w:eastAsiaTheme="minorEastAsia"/>
                <w:color w:val="auto"/>
                <w:sz w:val="24"/>
                <w:highlight w:val="none"/>
              </w:rPr>
            </w:pPr>
          </w:p>
        </w:tc>
      </w:tr>
      <w:bookmarkEnd w:id="52"/>
    </w:tbl>
    <w:p w14:paraId="027940E3">
      <w:pPr>
        <w:spacing w:line="360" w:lineRule="auto"/>
        <w:ind w:firstLine="435"/>
        <w:rPr>
          <w:rFonts w:asciiTheme="minorEastAsia" w:hAnsiTheme="minorEastAsia" w:eastAsiaTheme="minorEastAsia"/>
          <w:color w:val="auto"/>
          <w:sz w:val="24"/>
          <w:highlight w:val="none"/>
        </w:rPr>
      </w:pPr>
      <w:bookmarkStart w:id="53" w:name="_Hlk16461707"/>
      <w:r>
        <w:rPr>
          <w:rFonts w:hint="eastAsia" w:asciiTheme="minorEastAsia" w:hAnsiTheme="minorEastAsia" w:eastAsiaTheme="minorEastAsia"/>
          <w:b/>
          <w:bCs/>
          <w:color w:val="auto"/>
          <w:sz w:val="24"/>
          <w:highlight w:val="none"/>
        </w:rPr>
        <w:t>评审指标通过标准：</w:t>
      </w:r>
      <w:r>
        <w:rPr>
          <w:rFonts w:hint="eastAsia" w:asciiTheme="minorEastAsia" w:hAnsiTheme="minorEastAsia" w:eastAsiaTheme="minorEastAsia"/>
          <w:color w:val="auto"/>
          <w:sz w:val="24"/>
          <w:highlight w:val="none"/>
        </w:rPr>
        <w:t>供应商必须通过评审表中的全部评审指标。</w:t>
      </w:r>
    </w:p>
    <w:bookmarkEnd w:id="51"/>
    <w:bookmarkEnd w:id="53"/>
    <w:p w14:paraId="28202ED5">
      <w:pPr>
        <w:spacing w:line="360" w:lineRule="auto"/>
        <w:ind w:firstLine="437"/>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.无效响应条款</w:t>
      </w:r>
    </w:p>
    <w:p w14:paraId="1EEF0E4E">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.1响应文件有下列情形之一的,其响应文件拒收</w:t>
      </w:r>
      <w:r>
        <w:rPr>
          <w:rFonts w:hint="eastAsia" w:asciiTheme="minorEastAsia" w:hAnsiTheme="minorEastAsia" w:eastAsiaTheme="minorEastAsia"/>
          <w:color w:val="auto"/>
          <w:sz w:val="24"/>
          <w:highlight w:val="none"/>
          <w:lang w:eastAsia="zh-CN"/>
        </w:rPr>
        <w:t>：</w:t>
      </w:r>
    </w:p>
    <w:p w14:paraId="5E42F2E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(1)未在响应文件递交截止时间前通过网上招标投标系统递交有效电子响应文件的，系统不予接收，其将被拒绝。</w:t>
      </w:r>
    </w:p>
    <w:p w14:paraId="4343736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接到远程解密指令后，须在规定时间内解密。因供应商自身原因导致响应文件在规定时间内未能解密、解密失败或解密超时，响应文件无效；解密时间：从本项目解密程序开始时计时，至完成响应文件解密时间，不得超过60分钟，否则响应文件将被拒绝。</w:t>
      </w:r>
    </w:p>
    <w:p w14:paraId="515958C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.2供应商有下列情形之一的,资格审查后其作无效响应处理：</w:t>
      </w:r>
    </w:p>
    <w:p w14:paraId="2F96EC8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（1）供应商为本项目提供采购代理服务的；</w:t>
      </w:r>
    </w:p>
    <w:p w14:paraId="661A9E2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（2）供应商与在本项目代理机构存在相互任职或工作的；</w:t>
      </w:r>
    </w:p>
    <w:p w14:paraId="198653A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（3）与采购人存在利害关系可能影响采购公正性的法人、其他组织或者个人；</w:t>
      </w:r>
    </w:p>
    <w:p w14:paraId="42867A0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（4）询价公告写明专门面向中小企业采购，供应商提供的货物非中小企业制造的；</w:t>
      </w:r>
    </w:p>
    <w:p w14:paraId="0A3E14F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（5）要求供应商以联合体形式参加采购活动，供应商非联合体或者联合协议中中小企业合同金额未达到应当达到的比例；</w:t>
      </w:r>
    </w:p>
    <w:p w14:paraId="02252CB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（6）要求获得采购合同的供应商向中小企业分包，供应商未提供分包意向协议或者分包意向协议中中小企业合同金额未达到应当达到的比例；</w:t>
      </w:r>
    </w:p>
    <w:p w14:paraId="4B5C1CA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（7）评审专家无法查看并检验电子响应文件中相关资料的；</w:t>
      </w:r>
    </w:p>
    <w:p w14:paraId="245C750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（8）联合体参与未提交联合体协议的；</w:t>
      </w:r>
    </w:p>
    <w:p w14:paraId="0E76F5F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）责令停产停业</w:t>
      </w:r>
      <w:r>
        <w:rPr>
          <w:rFonts w:hint="eastAsia" w:asciiTheme="minorEastAsia" w:hAnsiTheme="minorEastAsia" w:eastAsiaTheme="minorEastAsia"/>
          <w:color w:val="auto"/>
          <w:sz w:val="24"/>
          <w:highlight w:val="none"/>
          <w:lang w:val="en-US" w:eastAsia="zh-CN"/>
        </w:rPr>
        <w:t>的；</w:t>
      </w:r>
    </w:p>
    <w:p w14:paraId="4CE74F5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）暂停或者取消参与政府采购项目资格的；</w:t>
      </w:r>
    </w:p>
    <w:p w14:paraId="69A49F7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）单位负责人为同一人或者存在</w:t>
      </w:r>
      <w:r>
        <w:rPr>
          <w:rFonts w:hint="eastAsia" w:asciiTheme="minorEastAsia" w:hAnsiTheme="minorEastAsia" w:eastAsiaTheme="minorEastAsia"/>
          <w:color w:val="auto"/>
          <w:sz w:val="24"/>
          <w:highlight w:val="none"/>
          <w:lang w:val="en-US" w:eastAsia="zh-CN"/>
        </w:rPr>
        <w:t>直接</w:t>
      </w:r>
      <w:r>
        <w:rPr>
          <w:rFonts w:hint="eastAsia" w:asciiTheme="minorEastAsia" w:hAnsiTheme="minorEastAsia" w:eastAsiaTheme="minorEastAsia"/>
          <w:color w:val="auto"/>
          <w:sz w:val="24"/>
          <w:highlight w:val="none"/>
        </w:rPr>
        <w:t>控股、管理关系的不同</w:t>
      </w:r>
      <w:r>
        <w:rPr>
          <w:rFonts w:hint="eastAsia" w:asciiTheme="minorEastAsia" w:hAnsiTheme="minorEastAsia" w:eastAsiaTheme="minorEastAsia"/>
          <w:color w:val="auto"/>
          <w:sz w:val="24"/>
          <w:highlight w:val="none"/>
          <w:lang w:val="en-US" w:eastAsia="zh-CN"/>
        </w:rPr>
        <w:t>单位</w:t>
      </w:r>
      <w:r>
        <w:rPr>
          <w:rFonts w:hint="eastAsia" w:asciiTheme="minorEastAsia" w:hAnsiTheme="minorEastAsia" w:eastAsiaTheme="minorEastAsia"/>
          <w:color w:val="auto"/>
          <w:sz w:val="24"/>
          <w:highlight w:val="none"/>
        </w:rPr>
        <w:t>的；</w:t>
      </w:r>
    </w:p>
    <w:p w14:paraId="799F85F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）供应商基本资格条件和特定资格条件中有一项及以上不符合要求的；</w:t>
      </w:r>
    </w:p>
    <w:p w14:paraId="65CB84B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询价评审时查询响应文件制作机器码、文件创建标识码及造价软件加密锁号。若存在响应文件制作机器码或创建标识码或造价软件加密锁号信息与其他供应商雷同的，响应无效、进行信用信息披露，行政监管部门将依据线索依法查处；</w:t>
      </w:r>
    </w:p>
    <w:p w14:paraId="7A91919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）其它情形，经询价小组提出按无效响应处理，并经公共资源交易监督部门核准的；</w:t>
      </w:r>
    </w:p>
    <w:p w14:paraId="35C5E3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）供应商响应MAC地址或供应商联系人或联系电话相同的，由询价小组否决其响应，并报告监管部门作不良行为处理和进一步调查；</w:t>
      </w:r>
    </w:p>
    <w:p w14:paraId="4D4CE2E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）供应商单方面出现其他供应商材料的；</w:t>
      </w:r>
    </w:p>
    <w:p w14:paraId="670BB5B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）询价公告未写明允许采购进口产品，供应商所投产品为进口产品的；</w:t>
      </w:r>
    </w:p>
    <w:p w14:paraId="08CD5C1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询价通知书</w:t>
      </w:r>
      <w:r>
        <w:rPr>
          <w:rFonts w:hint="eastAsia" w:asciiTheme="minorEastAsia" w:hAnsiTheme="minorEastAsia" w:eastAsiaTheme="minorEastAsia"/>
          <w:color w:val="auto"/>
          <w:sz w:val="24"/>
          <w:highlight w:val="none"/>
        </w:rPr>
        <w:t>规定的其它无效情形。</w:t>
      </w:r>
    </w:p>
    <w:p w14:paraId="3CF035D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 供应商有下列情形之一的,符合性审查后其按无效响应处理：</w:t>
      </w:r>
    </w:p>
    <w:p w14:paraId="155F6F8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（1）响应文件签章不全，经询价小组一致认定对响应内容有实质性影响并经公共资源交易监督部门核准的；</w:t>
      </w:r>
    </w:p>
    <w:p w14:paraId="37AC007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（2）未按规定的格式填写导致实质性内容不全以及实质上不响应，或者关键字迹模糊、无法辨认；经公共资源交易监督部门核准的；</w:t>
      </w:r>
    </w:p>
    <w:p w14:paraId="317E176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（3）同一供应商提交两个或以上不同的响应文件或者报价，但</w:t>
      </w:r>
      <w:r>
        <w:rPr>
          <w:rFonts w:hint="eastAsia" w:asciiTheme="minorEastAsia" w:hAnsiTheme="minorEastAsia" w:eastAsiaTheme="minorEastAsia"/>
          <w:color w:val="auto"/>
          <w:sz w:val="24"/>
          <w:highlight w:val="none"/>
          <w:lang w:eastAsia="zh-CN"/>
        </w:rPr>
        <w:t>询价通知书</w:t>
      </w:r>
      <w:r>
        <w:rPr>
          <w:rFonts w:hint="eastAsia" w:asciiTheme="minorEastAsia" w:hAnsiTheme="minorEastAsia" w:eastAsiaTheme="minorEastAsia"/>
          <w:color w:val="auto"/>
          <w:sz w:val="24"/>
          <w:highlight w:val="none"/>
        </w:rPr>
        <w:t>规定提交备选方案的除外；</w:t>
      </w:r>
    </w:p>
    <w:p w14:paraId="2150C2D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（4）响应文件没有对</w:t>
      </w:r>
      <w:r>
        <w:rPr>
          <w:rFonts w:hint="eastAsia" w:asciiTheme="minorEastAsia" w:hAnsiTheme="minorEastAsia" w:eastAsiaTheme="minorEastAsia"/>
          <w:color w:val="auto"/>
          <w:sz w:val="24"/>
          <w:highlight w:val="none"/>
          <w:lang w:eastAsia="zh-CN"/>
        </w:rPr>
        <w:t>询价通知书</w:t>
      </w:r>
      <w:r>
        <w:rPr>
          <w:rFonts w:hint="eastAsia" w:asciiTheme="minorEastAsia" w:hAnsiTheme="minorEastAsia" w:eastAsiaTheme="minorEastAsia"/>
          <w:color w:val="auto"/>
          <w:sz w:val="24"/>
          <w:highlight w:val="none"/>
        </w:rPr>
        <w:t>的实质性要求和条件作出响应；</w:t>
      </w:r>
    </w:p>
    <w:p w14:paraId="6A91006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（5）报价超出规定的最高限价或公布的采购预算的或供应商的报价各项单价高于</w:t>
      </w:r>
      <w:r>
        <w:rPr>
          <w:rFonts w:hint="eastAsia" w:asciiTheme="minorEastAsia" w:hAnsiTheme="minorEastAsia" w:eastAsiaTheme="minorEastAsia"/>
          <w:color w:val="auto"/>
          <w:sz w:val="24"/>
          <w:highlight w:val="none"/>
          <w:lang w:eastAsia="zh-CN"/>
        </w:rPr>
        <w:t>询价通知书</w:t>
      </w:r>
      <w:r>
        <w:rPr>
          <w:rFonts w:hint="eastAsia" w:asciiTheme="minorEastAsia" w:hAnsiTheme="minorEastAsia" w:eastAsiaTheme="minorEastAsia"/>
          <w:color w:val="auto"/>
          <w:sz w:val="24"/>
          <w:highlight w:val="none"/>
        </w:rPr>
        <w:t>给定的单价最高限价；</w:t>
      </w:r>
    </w:p>
    <w:p w14:paraId="479A932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（6）不按询价小组要求澄清、说明或补正的，或者询价小组根据</w:t>
      </w:r>
      <w:r>
        <w:rPr>
          <w:rFonts w:hint="eastAsia" w:asciiTheme="minorEastAsia" w:hAnsiTheme="minorEastAsia" w:eastAsiaTheme="minorEastAsia"/>
          <w:color w:val="auto"/>
          <w:sz w:val="24"/>
          <w:highlight w:val="none"/>
          <w:lang w:eastAsia="zh-CN"/>
        </w:rPr>
        <w:t>询价通知书</w:t>
      </w:r>
      <w:r>
        <w:rPr>
          <w:rFonts w:hint="eastAsia" w:asciiTheme="minorEastAsia" w:hAnsiTheme="minorEastAsia" w:eastAsiaTheme="minorEastAsia"/>
          <w:color w:val="auto"/>
          <w:sz w:val="24"/>
          <w:highlight w:val="none"/>
        </w:rPr>
        <w:t>的规定对</w:t>
      </w:r>
      <w:r>
        <w:rPr>
          <w:rFonts w:hint="eastAsia" w:asciiTheme="minorEastAsia" w:hAnsiTheme="minorEastAsia" w:eastAsiaTheme="minorEastAsia"/>
          <w:color w:val="auto"/>
          <w:sz w:val="24"/>
          <w:highlight w:val="none"/>
          <w:lang w:eastAsia="zh-CN"/>
        </w:rPr>
        <w:t>响应文件</w:t>
      </w:r>
      <w:r>
        <w:rPr>
          <w:rFonts w:hint="eastAsia" w:asciiTheme="minorEastAsia" w:hAnsiTheme="minorEastAsia" w:eastAsiaTheme="minorEastAsia"/>
          <w:color w:val="auto"/>
          <w:sz w:val="24"/>
          <w:highlight w:val="none"/>
        </w:rPr>
        <w:t>的计算错误进行修正后，供应商不接受修正的报价的。</w:t>
      </w:r>
    </w:p>
    <w:p w14:paraId="38B5C7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（7）其它情形，经询价小组提出按无效响应处理，并经公共资源交易监督部门核准的；</w:t>
      </w:r>
    </w:p>
    <w:p w14:paraId="7B15050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（8）响应文件含有采购人不能接受的附加条件的；</w:t>
      </w:r>
    </w:p>
    <w:p w14:paraId="2F60833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hint="eastAsia" w:asciiTheme="minorEastAsia" w:hAnsiTheme="minorEastAsia" w:eastAsiaTheme="minorEastAsia"/>
          <w:color w:val="auto"/>
          <w:sz w:val="24"/>
          <w:highlight w:val="none"/>
          <w:lang w:eastAsia="zh-CN"/>
        </w:rPr>
        <w:t>询价通知书</w:t>
      </w:r>
      <w:r>
        <w:rPr>
          <w:rFonts w:hint="eastAsia" w:asciiTheme="minorEastAsia" w:hAnsiTheme="minorEastAsia" w:eastAsiaTheme="minorEastAsia"/>
          <w:color w:val="auto"/>
          <w:sz w:val="24"/>
          <w:highlight w:val="none"/>
        </w:rPr>
        <w:t>规定的其它无效响应情形。</w:t>
      </w:r>
    </w:p>
    <w:p w14:paraId="63075F2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.4 供应商有下列情形之一的, 详细评审后其按无效响应处理：</w:t>
      </w:r>
    </w:p>
    <w:p w14:paraId="3D96EA5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（1）产品不符合必须强制执行的国家标准的；</w:t>
      </w:r>
    </w:p>
    <w:p w14:paraId="096B7B7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（2）供应商有串通、弄虚作假、行贿等违法行为；</w:t>
      </w:r>
    </w:p>
    <w:p w14:paraId="1A008F0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（3）响应文件含有违反国家法律、法规的内容，或附有采购人不能接受的条件的；</w:t>
      </w:r>
    </w:p>
    <w:p w14:paraId="7281E2A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（4）报价明显低于其他供应商，且不能证明报价合理性的响应无效；</w:t>
      </w:r>
    </w:p>
    <w:p w14:paraId="40688A0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（5）拒不确认询价小组评审修正的响应无效；</w:t>
      </w:r>
    </w:p>
    <w:p w14:paraId="4ACE0CA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（6）其它情形，经询价小组提出按无效响应处理，并经公共资源交易监督部门核准的；</w:t>
      </w:r>
    </w:p>
    <w:p w14:paraId="52E5489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hint="eastAsia" w:asciiTheme="minorEastAsia" w:hAnsiTheme="minorEastAsia" w:eastAsiaTheme="minorEastAsia"/>
          <w:color w:val="auto"/>
          <w:sz w:val="24"/>
          <w:highlight w:val="none"/>
          <w:lang w:eastAsia="zh-CN"/>
        </w:rPr>
        <w:t>询价通知书</w:t>
      </w:r>
      <w:r>
        <w:rPr>
          <w:rFonts w:hint="eastAsia" w:asciiTheme="minorEastAsia" w:hAnsiTheme="minorEastAsia" w:eastAsiaTheme="minorEastAsia"/>
          <w:color w:val="auto"/>
          <w:sz w:val="24"/>
          <w:highlight w:val="none"/>
        </w:rPr>
        <w:t>规定的其它无效响应情形。</w:t>
      </w:r>
    </w:p>
    <w:p w14:paraId="13FD0391">
      <w:pPr>
        <w:widowControl/>
        <w:jc w:val="left"/>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br w:type="page"/>
      </w:r>
    </w:p>
    <w:p w14:paraId="2E944157">
      <w:pPr>
        <w:spacing w:line="360" w:lineRule="auto"/>
        <w:jc w:val="center"/>
        <w:outlineLvl w:val="0"/>
        <w:rPr>
          <w:rFonts w:hint="eastAsia" w:ascii="宋体" w:hAnsi="宋体" w:eastAsia="宋体" w:cs="宋体"/>
          <w:b/>
          <w:color w:val="auto"/>
          <w:sz w:val="28"/>
          <w:highlight w:val="none"/>
        </w:rPr>
      </w:pPr>
      <w:bookmarkStart w:id="54" w:name="_Toc26650379"/>
      <w:bookmarkStart w:id="55" w:name="_Toc5156"/>
      <w:r>
        <w:rPr>
          <w:rFonts w:hint="eastAsia" w:ascii="宋体" w:hAnsi="宋体" w:eastAsia="宋体" w:cs="宋体"/>
          <w:b/>
          <w:color w:val="auto"/>
          <w:sz w:val="28"/>
          <w:highlight w:val="none"/>
        </w:rPr>
        <w:t>第五章  政府采购合同</w:t>
      </w:r>
      <w:bookmarkEnd w:id="54"/>
      <w:bookmarkEnd w:id="55"/>
    </w:p>
    <w:p w14:paraId="7A7DFD41">
      <w:pPr>
        <w:snapToGrid w:val="0"/>
        <w:spacing w:line="400" w:lineRule="exact"/>
        <w:jc w:val="center"/>
        <w:rPr>
          <w:rFonts w:hint="eastAsia" w:ascii="宋体" w:hAnsi="宋体" w:eastAsia="宋体" w:cs="宋体"/>
          <w:b/>
          <w:color w:val="auto"/>
          <w:sz w:val="48"/>
          <w:szCs w:val="48"/>
          <w:highlight w:val="none"/>
        </w:rPr>
      </w:pPr>
      <w:r>
        <w:rPr>
          <w:rFonts w:hint="eastAsia" w:ascii="宋体" w:hAnsi="宋体" w:eastAsia="宋体" w:cs="宋体"/>
          <w:bCs/>
          <w:color w:val="auto"/>
          <w:szCs w:val="21"/>
          <w:highlight w:val="none"/>
        </w:rPr>
        <w:t>（此合同格式仅作为参考）</w:t>
      </w:r>
    </w:p>
    <w:p w14:paraId="4A60805D">
      <w:pPr>
        <w:spacing w:line="460" w:lineRule="exact"/>
        <w:ind w:left="360"/>
        <w:jc w:val="center"/>
        <w:outlineLvl w:val="1"/>
        <w:rPr>
          <w:rFonts w:hint="eastAsia" w:ascii="宋体" w:hAnsi="宋体" w:eastAsia="宋体" w:cs="宋体"/>
          <w:b/>
          <w:color w:val="auto"/>
          <w:sz w:val="30"/>
          <w:szCs w:val="30"/>
          <w:highlight w:val="none"/>
        </w:rPr>
      </w:pPr>
      <w:bookmarkStart w:id="56" w:name="_Toc29013"/>
      <w:r>
        <w:rPr>
          <w:rFonts w:hint="eastAsia" w:ascii="宋体" w:hAnsi="宋体" w:eastAsia="宋体" w:cs="宋体"/>
          <w:b/>
          <w:color w:val="auto"/>
          <w:sz w:val="30"/>
          <w:szCs w:val="30"/>
          <w:highlight w:val="none"/>
        </w:rPr>
        <w:t>一、合同协议书（格式）</w:t>
      </w:r>
    </w:p>
    <w:p w14:paraId="19921FA8">
      <w:pPr>
        <w:spacing w:line="460" w:lineRule="exact"/>
        <w:jc w:val="center"/>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合同名称   </w:t>
      </w:r>
      <w:r>
        <w:rPr>
          <w:rFonts w:hint="eastAsia" w:ascii="宋体" w:hAnsi="宋体" w:eastAsia="宋体" w:cs="宋体"/>
          <w:color w:val="auto"/>
          <w:sz w:val="28"/>
          <w:szCs w:val="28"/>
          <w:highlight w:val="none"/>
        </w:rPr>
        <w:t xml:space="preserve">          编号</w:t>
      </w:r>
    </w:p>
    <w:p w14:paraId="6209E48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    方：                                   卖    方：</w:t>
      </w:r>
    </w:p>
    <w:p w14:paraId="78C3BFA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电    话：</w:t>
      </w:r>
    </w:p>
    <w:p w14:paraId="6C50B47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住    所：                                   住    所：            </w:t>
      </w:r>
    </w:p>
    <w:p w14:paraId="647F5CB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（买方）</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中所需</w:t>
      </w:r>
      <w:r>
        <w:rPr>
          <w:rFonts w:hint="eastAsia" w:ascii="宋体" w:hAnsi="宋体" w:eastAsia="宋体" w:cs="宋体"/>
          <w:color w:val="auto"/>
          <w:sz w:val="24"/>
          <w:szCs w:val="24"/>
          <w:highlight w:val="none"/>
          <w:u w:val="single"/>
        </w:rPr>
        <w:t>（产品名称）</w:t>
      </w:r>
      <w:r>
        <w:rPr>
          <w:rFonts w:hint="eastAsia" w:ascii="宋体" w:hAnsi="宋体" w:eastAsia="宋体" w:cs="宋体"/>
          <w:color w:val="auto"/>
          <w:sz w:val="24"/>
          <w:szCs w:val="24"/>
          <w:highlight w:val="none"/>
        </w:rPr>
        <w:t xml:space="preserve"> 经公开询价，确定</w:t>
      </w:r>
      <w:r>
        <w:rPr>
          <w:rFonts w:hint="eastAsia" w:ascii="宋体" w:hAnsi="宋体" w:eastAsia="宋体" w:cs="宋体"/>
          <w:color w:val="auto"/>
          <w:sz w:val="24"/>
          <w:szCs w:val="24"/>
          <w:highlight w:val="none"/>
          <w:u w:val="single"/>
        </w:rPr>
        <w:t>（卖方）</w:t>
      </w:r>
      <w:r>
        <w:rPr>
          <w:rFonts w:hint="eastAsia" w:ascii="宋体" w:hAnsi="宋体" w:eastAsia="宋体" w:cs="宋体"/>
          <w:color w:val="auto"/>
          <w:sz w:val="24"/>
          <w:szCs w:val="24"/>
          <w:highlight w:val="none"/>
        </w:rPr>
        <w:t>为成交人。按照《中华人民共和国民法典》的规定，买卖双方同意按照下述的条款和条件，签署本合同。</w:t>
      </w:r>
    </w:p>
    <w:p w14:paraId="6DB1343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1、本合同文件</w:t>
      </w:r>
    </w:p>
    <w:p w14:paraId="4383718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下列每一文件均应作为合同的组成部分进行阅读和解释：</w:t>
      </w:r>
    </w:p>
    <w:p w14:paraId="6B46265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询价通知书</w:t>
      </w:r>
      <w:r>
        <w:rPr>
          <w:rFonts w:hint="eastAsia" w:ascii="宋体" w:hAnsi="宋体" w:eastAsia="宋体" w:cs="宋体"/>
          <w:bCs/>
          <w:color w:val="auto"/>
          <w:sz w:val="24"/>
          <w:szCs w:val="24"/>
          <w:highlight w:val="none"/>
        </w:rPr>
        <w:t>（2）响应文件（3）成交通知书</w:t>
      </w:r>
    </w:p>
    <w:p w14:paraId="0D80B2B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（4）经双方确认进入合同的其它文件、补充条款或说明</w:t>
      </w:r>
    </w:p>
    <w:p w14:paraId="2C4BFD7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、货物的名称、规格型号、数量和价格（若产品过多则见附表，如有附表则必须加盖公章）</w:t>
      </w:r>
    </w:p>
    <w:p w14:paraId="11AED2FC">
      <w:pPr>
        <w:spacing w:line="40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单位：元</w:t>
      </w:r>
    </w:p>
    <w:tbl>
      <w:tblPr>
        <w:tblStyle w:val="28"/>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046"/>
        <w:gridCol w:w="928"/>
        <w:gridCol w:w="928"/>
        <w:gridCol w:w="1106"/>
        <w:gridCol w:w="1286"/>
        <w:gridCol w:w="1693"/>
      </w:tblGrid>
      <w:tr w14:paraId="78E9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jc w:val="center"/>
        </w:trPr>
        <w:tc>
          <w:tcPr>
            <w:tcW w:w="1668" w:type="dxa"/>
            <w:noWrap w:val="0"/>
            <w:vAlign w:val="top"/>
          </w:tcPr>
          <w:p w14:paraId="36E7600A">
            <w:pPr>
              <w:spacing w:before="100" w:beforeLines="50" w:beforeAutospacing="1" w:after="100" w:afterLines="30" w:afterAutospacing="1"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w:t>
            </w:r>
          </w:p>
        </w:tc>
        <w:tc>
          <w:tcPr>
            <w:tcW w:w="2046" w:type="dxa"/>
            <w:noWrap w:val="0"/>
            <w:vAlign w:val="top"/>
          </w:tcPr>
          <w:p w14:paraId="0E39D490">
            <w:pPr>
              <w:spacing w:before="100" w:beforeLines="50" w:beforeAutospacing="1" w:after="100" w:afterLines="30" w:afterAutospacing="1"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w:t>
            </w:r>
          </w:p>
        </w:tc>
        <w:tc>
          <w:tcPr>
            <w:tcW w:w="928" w:type="dxa"/>
            <w:noWrap w:val="0"/>
            <w:vAlign w:val="top"/>
          </w:tcPr>
          <w:p w14:paraId="37A97057">
            <w:pPr>
              <w:spacing w:before="100" w:beforeLines="50" w:beforeAutospacing="1" w:after="100" w:afterLines="30" w:afterAutospacing="1"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928" w:type="dxa"/>
            <w:noWrap w:val="0"/>
            <w:vAlign w:val="top"/>
          </w:tcPr>
          <w:p w14:paraId="5B6BDF5A">
            <w:pPr>
              <w:spacing w:before="100" w:beforeLines="50" w:beforeAutospacing="1" w:after="100" w:afterLines="30" w:afterAutospacing="1"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106" w:type="dxa"/>
            <w:noWrap w:val="0"/>
            <w:vAlign w:val="top"/>
          </w:tcPr>
          <w:p w14:paraId="1D0A884B">
            <w:pPr>
              <w:spacing w:before="100" w:beforeLines="50" w:beforeAutospacing="1" w:after="100" w:afterLines="30" w:afterAutospacing="1"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1286" w:type="dxa"/>
            <w:noWrap w:val="0"/>
            <w:vAlign w:val="top"/>
          </w:tcPr>
          <w:p w14:paraId="45DE3878">
            <w:pPr>
              <w:spacing w:before="100" w:beforeLines="50" w:beforeAutospacing="1" w:after="100" w:afterLines="30" w:afterAutospacing="1"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小计</w:t>
            </w:r>
          </w:p>
        </w:tc>
        <w:tc>
          <w:tcPr>
            <w:tcW w:w="1693" w:type="dxa"/>
            <w:noWrap w:val="0"/>
            <w:vAlign w:val="top"/>
          </w:tcPr>
          <w:p w14:paraId="0A9B8885">
            <w:pPr>
              <w:spacing w:before="100" w:beforeLines="50" w:beforeAutospacing="1" w:after="100" w:afterLines="30" w:afterAutospacing="1"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生产厂商</w:t>
            </w:r>
          </w:p>
        </w:tc>
      </w:tr>
      <w:tr w14:paraId="2638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jc w:val="center"/>
        </w:trPr>
        <w:tc>
          <w:tcPr>
            <w:tcW w:w="1668" w:type="dxa"/>
            <w:noWrap w:val="0"/>
            <w:vAlign w:val="top"/>
          </w:tcPr>
          <w:p w14:paraId="79F65CBC">
            <w:pPr>
              <w:spacing w:before="100" w:beforeLines="50" w:beforeAutospacing="1" w:after="100" w:afterLines="30" w:afterAutospacing="1" w:line="400" w:lineRule="exact"/>
              <w:jc w:val="center"/>
              <w:rPr>
                <w:rFonts w:hint="eastAsia" w:ascii="宋体" w:hAnsi="宋体" w:eastAsia="宋体" w:cs="宋体"/>
                <w:color w:val="auto"/>
                <w:sz w:val="24"/>
                <w:szCs w:val="24"/>
                <w:highlight w:val="none"/>
              </w:rPr>
            </w:pPr>
          </w:p>
        </w:tc>
        <w:tc>
          <w:tcPr>
            <w:tcW w:w="2046" w:type="dxa"/>
            <w:noWrap w:val="0"/>
            <w:vAlign w:val="top"/>
          </w:tcPr>
          <w:p w14:paraId="321A9B03">
            <w:pPr>
              <w:spacing w:before="100" w:beforeLines="50" w:beforeAutospacing="1" w:after="100" w:afterLines="30" w:afterAutospacing="1" w:line="400" w:lineRule="exact"/>
              <w:jc w:val="center"/>
              <w:rPr>
                <w:rFonts w:hint="eastAsia" w:ascii="宋体" w:hAnsi="宋体" w:eastAsia="宋体" w:cs="宋体"/>
                <w:color w:val="auto"/>
                <w:sz w:val="24"/>
                <w:szCs w:val="24"/>
                <w:highlight w:val="none"/>
              </w:rPr>
            </w:pPr>
          </w:p>
        </w:tc>
        <w:tc>
          <w:tcPr>
            <w:tcW w:w="928" w:type="dxa"/>
            <w:noWrap w:val="0"/>
            <w:vAlign w:val="top"/>
          </w:tcPr>
          <w:p w14:paraId="5936141A">
            <w:pPr>
              <w:spacing w:before="100" w:beforeLines="50" w:beforeAutospacing="1" w:after="100" w:afterLines="30" w:afterAutospacing="1" w:line="400" w:lineRule="exact"/>
              <w:jc w:val="center"/>
              <w:rPr>
                <w:rFonts w:hint="eastAsia" w:ascii="宋体" w:hAnsi="宋体" w:eastAsia="宋体" w:cs="宋体"/>
                <w:color w:val="auto"/>
                <w:sz w:val="24"/>
                <w:szCs w:val="24"/>
                <w:highlight w:val="none"/>
              </w:rPr>
            </w:pPr>
          </w:p>
        </w:tc>
        <w:tc>
          <w:tcPr>
            <w:tcW w:w="928" w:type="dxa"/>
            <w:noWrap w:val="0"/>
            <w:vAlign w:val="top"/>
          </w:tcPr>
          <w:p w14:paraId="4128240E">
            <w:pPr>
              <w:spacing w:before="100" w:beforeLines="50" w:beforeAutospacing="1" w:after="100" w:afterLines="30" w:afterAutospacing="1" w:line="400" w:lineRule="exact"/>
              <w:jc w:val="center"/>
              <w:rPr>
                <w:rFonts w:hint="eastAsia" w:ascii="宋体" w:hAnsi="宋体" w:eastAsia="宋体" w:cs="宋体"/>
                <w:color w:val="auto"/>
                <w:sz w:val="24"/>
                <w:szCs w:val="24"/>
                <w:highlight w:val="none"/>
              </w:rPr>
            </w:pPr>
          </w:p>
        </w:tc>
        <w:tc>
          <w:tcPr>
            <w:tcW w:w="1106" w:type="dxa"/>
            <w:noWrap w:val="0"/>
            <w:vAlign w:val="top"/>
          </w:tcPr>
          <w:p w14:paraId="637DE78C">
            <w:pPr>
              <w:spacing w:before="100" w:beforeLines="50" w:beforeAutospacing="1" w:after="100" w:afterLines="30" w:afterAutospacing="1" w:line="400" w:lineRule="exact"/>
              <w:jc w:val="center"/>
              <w:rPr>
                <w:rFonts w:hint="eastAsia" w:ascii="宋体" w:hAnsi="宋体" w:eastAsia="宋体" w:cs="宋体"/>
                <w:color w:val="auto"/>
                <w:sz w:val="24"/>
                <w:szCs w:val="24"/>
                <w:highlight w:val="none"/>
              </w:rPr>
            </w:pPr>
          </w:p>
        </w:tc>
        <w:tc>
          <w:tcPr>
            <w:tcW w:w="1286" w:type="dxa"/>
            <w:noWrap w:val="0"/>
            <w:vAlign w:val="top"/>
          </w:tcPr>
          <w:p w14:paraId="703D5221">
            <w:pPr>
              <w:spacing w:before="100" w:beforeLines="50" w:beforeAutospacing="1" w:after="100" w:afterLines="30" w:afterAutospacing="1" w:line="400" w:lineRule="exact"/>
              <w:jc w:val="center"/>
              <w:rPr>
                <w:rFonts w:hint="eastAsia" w:ascii="宋体" w:hAnsi="宋体" w:eastAsia="宋体" w:cs="宋体"/>
                <w:color w:val="auto"/>
                <w:sz w:val="24"/>
                <w:szCs w:val="24"/>
                <w:highlight w:val="none"/>
              </w:rPr>
            </w:pPr>
          </w:p>
        </w:tc>
        <w:tc>
          <w:tcPr>
            <w:tcW w:w="1693" w:type="dxa"/>
            <w:noWrap w:val="0"/>
            <w:vAlign w:val="top"/>
          </w:tcPr>
          <w:p w14:paraId="58949F97">
            <w:pPr>
              <w:spacing w:before="100" w:beforeLines="50" w:beforeAutospacing="1" w:after="100" w:afterLines="30" w:afterAutospacing="1" w:line="400" w:lineRule="exact"/>
              <w:jc w:val="center"/>
              <w:rPr>
                <w:rFonts w:hint="eastAsia" w:ascii="宋体" w:hAnsi="宋体" w:eastAsia="宋体" w:cs="宋体"/>
                <w:color w:val="auto"/>
                <w:sz w:val="24"/>
                <w:szCs w:val="24"/>
                <w:highlight w:val="none"/>
              </w:rPr>
            </w:pPr>
          </w:p>
        </w:tc>
      </w:tr>
      <w:tr w14:paraId="5BCC8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668" w:type="dxa"/>
            <w:noWrap w:val="0"/>
            <w:vAlign w:val="top"/>
          </w:tcPr>
          <w:p w14:paraId="4C06E584">
            <w:pPr>
              <w:spacing w:before="100" w:beforeLines="50" w:beforeAutospacing="1" w:after="100" w:afterLines="30" w:afterAutospacing="1" w:line="400" w:lineRule="exact"/>
              <w:rPr>
                <w:rFonts w:hint="eastAsia" w:ascii="宋体" w:hAnsi="宋体" w:eastAsia="宋体" w:cs="宋体"/>
                <w:color w:val="auto"/>
                <w:sz w:val="24"/>
                <w:szCs w:val="24"/>
                <w:highlight w:val="none"/>
              </w:rPr>
            </w:pPr>
          </w:p>
        </w:tc>
        <w:tc>
          <w:tcPr>
            <w:tcW w:w="2046" w:type="dxa"/>
            <w:noWrap w:val="0"/>
            <w:vAlign w:val="top"/>
          </w:tcPr>
          <w:p w14:paraId="25CA156F">
            <w:pPr>
              <w:spacing w:before="100" w:beforeLines="50" w:beforeAutospacing="1" w:after="100" w:afterLines="30" w:afterAutospacing="1" w:line="400" w:lineRule="exact"/>
              <w:rPr>
                <w:rFonts w:hint="eastAsia" w:ascii="宋体" w:hAnsi="宋体" w:eastAsia="宋体" w:cs="宋体"/>
                <w:color w:val="auto"/>
                <w:sz w:val="24"/>
                <w:szCs w:val="24"/>
                <w:highlight w:val="none"/>
              </w:rPr>
            </w:pPr>
          </w:p>
        </w:tc>
        <w:tc>
          <w:tcPr>
            <w:tcW w:w="928" w:type="dxa"/>
            <w:noWrap w:val="0"/>
            <w:vAlign w:val="top"/>
          </w:tcPr>
          <w:p w14:paraId="099D631D">
            <w:pPr>
              <w:spacing w:before="100" w:beforeLines="50" w:beforeAutospacing="1" w:after="100" w:afterLines="30" w:afterAutospacing="1" w:line="400" w:lineRule="exact"/>
              <w:rPr>
                <w:rFonts w:hint="eastAsia" w:ascii="宋体" w:hAnsi="宋体" w:eastAsia="宋体" w:cs="宋体"/>
                <w:color w:val="auto"/>
                <w:sz w:val="24"/>
                <w:szCs w:val="24"/>
                <w:highlight w:val="none"/>
              </w:rPr>
            </w:pPr>
          </w:p>
        </w:tc>
        <w:tc>
          <w:tcPr>
            <w:tcW w:w="928" w:type="dxa"/>
            <w:noWrap w:val="0"/>
            <w:vAlign w:val="top"/>
          </w:tcPr>
          <w:p w14:paraId="5D5A41E9">
            <w:pPr>
              <w:spacing w:before="100" w:beforeLines="50" w:beforeAutospacing="1" w:after="100" w:afterLines="30" w:afterAutospacing="1" w:line="400" w:lineRule="exact"/>
              <w:rPr>
                <w:rFonts w:hint="eastAsia" w:ascii="宋体" w:hAnsi="宋体" w:eastAsia="宋体" w:cs="宋体"/>
                <w:color w:val="auto"/>
                <w:sz w:val="24"/>
                <w:szCs w:val="24"/>
                <w:highlight w:val="none"/>
              </w:rPr>
            </w:pPr>
          </w:p>
        </w:tc>
        <w:tc>
          <w:tcPr>
            <w:tcW w:w="1106" w:type="dxa"/>
            <w:noWrap w:val="0"/>
            <w:vAlign w:val="top"/>
          </w:tcPr>
          <w:p w14:paraId="1AC2434E">
            <w:pPr>
              <w:spacing w:before="100" w:beforeLines="50" w:beforeAutospacing="1" w:after="100" w:afterLines="30" w:afterAutospacing="1" w:line="400" w:lineRule="exact"/>
              <w:rPr>
                <w:rFonts w:hint="eastAsia" w:ascii="宋体" w:hAnsi="宋体" w:eastAsia="宋体" w:cs="宋体"/>
                <w:color w:val="auto"/>
                <w:sz w:val="24"/>
                <w:szCs w:val="24"/>
                <w:highlight w:val="none"/>
              </w:rPr>
            </w:pPr>
          </w:p>
        </w:tc>
        <w:tc>
          <w:tcPr>
            <w:tcW w:w="1286" w:type="dxa"/>
            <w:noWrap w:val="0"/>
            <w:vAlign w:val="top"/>
          </w:tcPr>
          <w:p w14:paraId="6EDBB3C1">
            <w:pPr>
              <w:spacing w:before="100" w:beforeLines="50" w:beforeAutospacing="1" w:after="100" w:afterLines="30" w:afterAutospacing="1" w:line="400" w:lineRule="exact"/>
              <w:rPr>
                <w:rFonts w:hint="eastAsia" w:ascii="宋体" w:hAnsi="宋体" w:eastAsia="宋体" w:cs="宋体"/>
                <w:color w:val="auto"/>
                <w:sz w:val="24"/>
                <w:szCs w:val="24"/>
                <w:highlight w:val="none"/>
              </w:rPr>
            </w:pPr>
          </w:p>
        </w:tc>
        <w:tc>
          <w:tcPr>
            <w:tcW w:w="1693" w:type="dxa"/>
            <w:noWrap w:val="0"/>
            <w:vAlign w:val="top"/>
          </w:tcPr>
          <w:p w14:paraId="2B1186AC">
            <w:pPr>
              <w:spacing w:before="100" w:beforeLines="50" w:beforeAutospacing="1" w:after="100" w:afterLines="30" w:afterAutospacing="1" w:line="400" w:lineRule="exact"/>
              <w:rPr>
                <w:rFonts w:hint="eastAsia" w:ascii="宋体" w:hAnsi="宋体" w:eastAsia="宋体" w:cs="宋体"/>
                <w:color w:val="auto"/>
                <w:sz w:val="24"/>
                <w:szCs w:val="24"/>
                <w:highlight w:val="none"/>
              </w:rPr>
            </w:pPr>
          </w:p>
        </w:tc>
      </w:tr>
      <w:tr w14:paraId="138D4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668" w:type="dxa"/>
            <w:noWrap w:val="0"/>
            <w:vAlign w:val="top"/>
          </w:tcPr>
          <w:p w14:paraId="640A7534">
            <w:pPr>
              <w:spacing w:before="100" w:beforeLines="50" w:beforeAutospacing="1" w:after="100" w:afterLines="30" w:afterAutospacing="1" w:line="400" w:lineRule="exact"/>
              <w:rPr>
                <w:rFonts w:hint="eastAsia" w:ascii="宋体" w:hAnsi="宋体" w:eastAsia="宋体" w:cs="宋体"/>
                <w:color w:val="auto"/>
                <w:sz w:val="24"/>
                <w:szCs w:val="24"/>
                <w:highlight w:val="none"/>
              </w:rPr>
            </w:pPr>
          </w:p>
        </w:tc>
        <w:tc>
          <w:tcPr>
            <w:tcW w:w="2046" w:type="dxa"/>
            <w:noWrap w:val="0"/>
            <w:vAlign w:val="top"/>
          </w:tcPr>
          <w:p w14:paraId="2EDDC3E1">
            <w:pPr>
              <w:spacing w:before="100" w:beforeLines="50" w:beforeAutospacing="1" w:after="100" w:afterLines="30" w:afterAutospacing="1" w:line="400" w:lineRule="exact"/>
              <w:rPr>
                <w:rFonts w:hint="eastAsia" w:ascii="宋体" w:hAnsi="宋体" w:eastAsia="宋体" w:cs="宋体"/>
                <w:color w:val="auto"/>
                <w:sz w:val="24"/>
                <w:szCs w:val="24"/>
                <w:highlight w:val="none"/>
              </w:rPr>
            </w:pPr>
          </w:p>
        </w:tc>
        <w:tc>
          <w:tcPr>
            <w:tcW w:w="928" w:type="dxa"/>
            <w:noWrap w:val="0"/>
            <w:vAlign w:val="top"/>
          </w:tcPr>
          <w:p w14:paraId="49AE8724">
            <w:pPr>
              <w:spacing w:before="100" w:beforeLines="50" w:beforeAutospacing="1" w:after="100" w:afterLines="30" w:afterAutospacing="1" w:line="400" w:lineRule="exact"/>
              <w:rPr>
                <w:rFonts w:hint="eastAsia" w:ascii="宋体" w:hAnsi="宋体" w:eastAsia="宋体" w:cs="宋体"/>
                <w:color w:val="auto"/>
                <w:sz w:val="24"/>
                <w:szCs w:val="24"/>
                <w:highlight w:val="none"/>
              </w:rPr>
            </w:pPr>
          </w:p>
        </w:tc>
        <w:tc>
          <w:tcPr>
            <w:tcW w:w="928" w:type="dxa"/>
            <w:noWrap w:val="0"/>
            <w:vAlign w:val="top"/>
          </w:tcPr>
          <w:p w14:paraId="27C8C3D9">
            <w:pPr>
              <w:spacing w:before="100" w:beforeLines="50" w:beforeAutospacing="1" w:after="100" w:afterLines="30" w:afterAutospacing="1" w:line="400" w:lineRule="exact"/>
              <w:rPr>
                <w:rFonts w:hint="eastAsia" w:ascii="宋体" w:hAnsi="宋体" w:eastAsia="宋体" w:cs="宋体"/>
                <w:color w:val="auto"/>
                <w:sz w:val="24"/>
                <w:szCs w:val="24"/>
                <w:highlight w:val="none"/>
              </w:rPr>
            </w:pPr>
          </w:p>
        </w:tc>
        <w:tc>
          <w:tcPr>
            <w:tcW w:w="1106" w:type="dxa"/>
            <w:noWrap w:val="0"/>
            <w:vAlign w:val="top"/>
          </w:tcPr>
          <w:p w14:paraId="6A94354E">
            <w:pPr>
              <w:spacing w:before="100" w:beforeLines="50" w:beforeAutospacing="1" w:after="100" w:afterLines="30" w:afterAutospacing="1" w:line="400" w:lineRule="exact"/>
              <w:rPr>
                <w:rFonts w:hint="eastAsia" w:ascii="宋体" w:hAnsi="宋体" w:eastAsia="宋体" w:cs="宋体"/>
                <w:color w:val="auto"/>
                <w:sz w:val="24"/>
                <w:szCs w:val="24"/>
                <w:highlight w:val="none"/>
              </w:rPr>
            </w:pPr>
          </w:p>
        </w:tc>
        <w:tc>
          <w:tcPr>
            <w:tcW w:w="1286" w:type="dxa"/>
            <w:noWrap w:val="0"/>
            <w:vAlign w:val="top"/>
          </w:tcPr>
          <w:p w14:paraId="42EE275A">
            <w:pPr>
              <w:spacing w:before="100" w:beforeLines="50" w:beforeAutospacing="1" w:after="100" w:afterLines="30" w:afterAutospacing="1" w:line="400" w:lineRule="exact"/>
              <w:rPr>
                <w:rFonts w:hint="eastAsia" w:ascii="宋体" w:hAnsi="宋体" w:eastAsia="宋体" w:cs="宋体"/>
                <w:color w:val="auto"/>
                <w:sz w:val="24"/>
                <w:szCs w:val="24"/>
                <w:highlight w:val="none"/>
              </w:rPr>
            </w:pPr>
          </w:p>
        </w:tc>
        <w:tc>
          <w:tcPr>
            <w:tcW w:w="1693" w:type="dxa"/>
            <w:noWrap w:val="0"/>
            <w:vAlign w:val="top"/>
          </w:tcPr>
          <w:p w14:paraId="54BC894C">
            <w:pPr>
              <w:spacing w:before="100" w:beforeLines="50" w:beforeAutospacing="1" w:after="100" w:afterLines="30" w:afterAutospacing="1" w:line="400" w:lineRule="exact"/>
              <w:rPr>
                <w:rFonts w:hint="eastAsia" w:ascii="宋体" w:hAnsi="宋体" w:eastAsia="宋体" w:cs="宋体"/>
                <w:color w:val="auto"/>
                <w:sz w:val="24"/>
                <w:szCs w:val="24"/>
                <w:highlight w:val="none"/>
              </w:rPr>
            </w:pPr>
          </w:p>
        </w:tc>
      </w:tr>
      <w:tr w14:paraId="3AE1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 w:hRule="atLeast"/>
          <w:jc w:val="center"/>
        </w:trPr>
        <w:tc>
          <w:tcPr>
            <w:tcW w:w="6676" w:type="dxa"/>
            <w:gridSpan w:val="5"/>
            <w:noWrap w:val="0"/>
            <w:vAlign w:val="top"/>
          </w:tcPr>
          <w:p w14:paraId="2D908B31">
            <w:pPr>
              <w:spacing w:before="100" w:beforeLines="50" w:beforeAutospacing="1" w:after="100" w:afterLines="30" w:afterAutospacing="1"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2979" w:type="dxa"/>
            <w:gridSpan w:val="2"/>
            <w:noWrap w:val="0"/>
            <w:vAlign w:val="top"/>
          </w:tcPr>
          <w:p w14:paraId="65DA441A">
            <w:pPr>
              <w:spacing w:before="100" w:beforeLines="50" w:beforeAutospacing="1" w:after="100" w:afterLines="30" w:afterAutospacing="1" w:line="400" w:lineRule="exact"/>
              <w:jc w:val="center"/>
              <w:rPr>
                <w:rFonts w:hint="eastAsia" w:ascii="宋体" w:hAnsi="宋体" w:eastAsia="宋体" w:cs="宋体"/>
                <w:color w:val="auto"/>
                <w:sz w:val="24"/>
                <w:szCs w:val="24"/>
                <w:highlight w:val="none"/>
              </w:rPr>
            </w:pPr>
          </w:p>
        </w:tc>
      </w:tr>
      <w:tr w14:paraId="2023D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9655" w:type="dxa"/>
            <w:gridSpan w:val="7"/>
            <w:noWrap w:val="0"/>
            <w:vAlign w:val="top"/>
          </w:tcPr>
          <w:p w14:paraId="549859C4">
            <w:pPr>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合同总金额（大写）：</w:t>
            </w:r>
          </w:p>
          <w:p w14:paraId="7FE82279">
            <w:pPr>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备注：上述产品报价包括：货物(车辆) 出厂价、货物(车辆)运输费用、货物设备费、人工费、材料费(含主材及辅材) 、装卸费、运输费、安装费、调试费、管理费、利润、风险费用</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国家对成交人征收的各种税费等所有一切费用，采购人不再为此项目支付任何费用，综合单价今后将不作任何调整。</w:t>
            </w:r>
          </w:p>
        </w:tc>
      </w:tr>
    </w:tbl>
    <w:p w14:paraId="79A00E7B">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3、合同总价：</w:t>
      </w:r>
    </w:p>
    <w:p w14:paraId="569D2730">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合同总价为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w:t>
      </w:r>
    </w:p>
    <w:p w14:paraId="7BBC08FB">
      <w:pPr>
        <w:keepNext w:val="0"/>
        <w:keepLines w:val="0"/>
        <w:pageBreakBefore w:val="0"/>
        <w:kinsoku/>
        <w:wordWrap/>
        <w:overflowPunct/>
        <w:topLinePunct w:val="0"/>
        <w:autoSpaceDE/>
        <w:autoSpaceDN w:val="0"/>
        <w:bidi w:val="0"/>
        <w:adjustRightInd/>
        <w:snapToGrid/>
        <w:spacing w:line="480" w:lineRule="exact"/>
        <w:ind w:left="0"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4.付款方式：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B74176E">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5.合同供货（服务）期限及地点和方式：</w:t>
      </w:r>
    </w:p>
    <w:p w14:paraId="0D2CC092">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卖方应于合同签字生效后开始计算的</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日内将货物送到买方指定的地点，由买方进行验收。</w:t>
      </w:r>
    </w:p>
    <w:p w14:paraId="4D026BA3">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货物运输至买方指定地点到货物验收合格前，卖方负责对货物承担安保义务。</w:t>
      </w:r>
    </w:p>
    <w:p w14:paraId="26DF984E">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6.验收要求：（1）甲方依据</w:t>
      </w:r>
      <w:r>
        <w:rPr>
          <w:rFonts w:hint="eastAsia" w:ascii="宋体" w:hAnsi="宋体" w:eastAsia="宋体" w:cs="宋体"/>
          <w:color w:val="auto"/>
          <w:sz w:val="24"/>
          <w:szCs w:val="24"/>
          <w:highlight w:val="none"/>
          <w:lang w:val="en-US" w:eastAsia="zh-CN"/>
        </w:rPr>
        <w:t>询价通知书</w:t>
      </w:r>
      <w:r>
        <w:rPr>
          <w:rFonts w:hint="eastAsia" w:ascii="宋体" w:hAnsi="宋体" w:eastAsia="宋体" w:cs="宋体"/>
          <w:color w:val="auto"/>
          <w:sz w:val="24"/>
          <w:szCs w:val="24"/>
          <w:highlight w:val="none"/>
        </w:rPr>
        <w:t>中的采购需求及技术参数要求、乙方的投标文件及国家有关质量标准进行验收。</w:t>
      </w:r>
    </w:p>
    <w:p w14:paraId="5C79F43F">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（2）乙方交货前应对产品或服务作出全面检查和对验收文件进行整理，并列出清单，作为甲方验收和使用的技术条件依据，检验的结果应随服务一起提交甲方。</w:t>
      </w:r>
    </w:p>
    <w:p w14:paraId="2B617A0C">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（3）验收时乙方必须在现场，验收完毕后作出验收结果报告。</w:t>
      </w:r>
    </w:p>
    <w:p w14:paraId="56FE28E1">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售后服务</w:t>
      </w:r>
    </w:p>
    <w:p w14:paraId="5C0D01F7">
      <w:pPr>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（一）卖方对合同货物的质量保修期为整车质保3年或10万公里，电池质保8年或50万公里，电控电机质保5年或25万公里，发动机质保5年或30万公里</w:t>
      </w:r>
      <w:r>
        <w:rPr>
          <w:rFonts w:hint="eastAsia" w:ascii="宋体" w:hAnsi="宋体" w:eastAsia="宋体" w:cs="宋体"/>
          <w:bCs/>
          <w:color w:val="auto"/>
          <w:sz w:val="24"/>
          <w:szCs w:val="24"/>
          <w:highlight w:val="none"/>
        </w:rPr>
        <w:t>。</w:t>
      </w:r>
    </w:p>
    <w:p w14:paraId="73BB75F9">
      <w:pPr>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（二）卖方在合同货物的质量保修期内，免费为买方提供合同货物的</w:t>
      </w:r>
      <w:r>
        <w:rPr>
          <w:rFonts w:hint="eastAsia" w:ascii="宋体" w:hAnsi="宋体" w:eastAsia="宋体" w:cs="宋体"/>
          <w:bCs/>
          <w:color w:val="auto"/>
          <w:sz w:val="24"/>
          <w:szCs w:val="24"/>
          <w:highlight w:val="none"/>
        </w:rPr>
        <w:t>质保服务、软件免费升级服务、</w:t>
      </w:r>
      <w:r>
        <w:rPr>
          <w:rFonts w:hint="eastAsia" w:ascii="宋体" w:hAnsi="宋体" w:eastAsia="宋体" w:cs="宋体"/>
          <w:color w:val="auto"/>
          <w:sz w:val="24"/>
          <w:szCs w:val="24"/>
          <w:highlight w:val="none"/>
        </w:rPr>
        <w:t xml:space="preserve">技术指导和维修服务，服务的时间是：每周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小时（工作时间）。</w:t>
      </w:r>
    </w:p>
    <w:p w14:paraId="40710035">
      <w:pPr>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（三）卖方保证在合同货物出现故障和缺陷时，或接到买方提出的技术服务要求后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小时内予以答复，如买方有要求或必要时，卖方应在接到买方通知后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小时内派员至买方免费维修和提供现场指导。</w:t>
      </w:r>
    </w:p>
    <w:p w14:paraId="4D84F22C">
      <w:pPr>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（四）如卖方在接到买方维修通知后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小时仍不能修复有关货物，卖方应提供与该货物同一型号的备用货物。</w:t>
      </w:r>
    </w:p>
    <w:p w14:paraId="03CAD42B">
      <w:pPr>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（五）如卖方在接到买方提出的技术服务要求或维修通知后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小时内没有响应、拒绝或没有派员到达买方提供技术服务、修理或退换货物，买方有权委托第三方对合同货物进行维修或提供技术服务，因此产生的相关费用由卖方承担。</w:t>
      </w:r>
    </w:p>
    <w:p w14:paraId="770CD3C0">
      <w:pPr>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（六）在合同货物保修期届满后，如果因合同货物硬件或软件的固有缺陷和瑕疵出现紧急故障和事故，卖方应在接到买方通知之后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小时内到达现场。</w:t>
      </w:r>
    </w:p>
    <w:p w14:paraId="603E933F">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8.违约责任及解决争议方法：详见合同条款。</w:t>
      </w:r>
    </w:p>
    <w:p w14:paraId="1938BD85">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9.合同的生效</w:t>
      </w:r>
    </w:p>
    <w:p w14:paraId="31D8689F">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合同经双方授权代表签署，买卖双方加盖印章之后生效。</w:t>
      </w:r>
    </w:p>
    <w:p w14:paraId="13578FBC">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color w:val="auto"/>
          <w:sz w:val="24"/>
          <w:szCs w:val="24"/>
          <w:highlight w:val="none"/>
        </w:rPr>
      </w:pPr>
    </w:p>
    <w:p w14:paraId="2F46D833">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     份，双方各执     份。</w:t>
      </w:r>
    </w:p>
    <w:p w14:paraId="26CACB24">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  方：                          卖  方：</w:t>
      </w:r>
    </w:p>
    <w:p w14:paraId="2274AE5A">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称：（盖章）                  名  称：（盖章）</w:t>
      </w:r>
    </w:p>
    <w:p w14:paraId="6E4D617C">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      法定代表人（或委托代理人）：</w:t>
      </w:r>
    </w:p>
    <w:p w14:paraId="062078F6">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                        （签字）</w:t>
      </w:r>
    </w:p>
    <w:p w14:paraId="1DD48710">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                        地    址：</w:t>
      </w:r>
    </w:p>
    <w:p w14:paraId="2C724247">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                        邮政编码：</w:t>
      </w:r>
    </w:p>
    <w:p w14:paraId="13D23E2D">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电    话：</w:t>
      </w:r>
    </w:p>
    <w:p w14:paraId="58943433">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14:paraId="372BD318">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账</w:t>
      </w:r>
      <w:r>
        <w:rPr>
          <w:rFonts w:hint="eastAsia" w:ascii="宋体" w:hAnsi="宋体" w:eastAsia="宋体" w:cs="宋体"/>
          <w:color w:val="auto"/>
          <w:sz w:val="24"/>
          <w:szCs w:val="24"/>
          <w:highlight w:val="none"/>
        </w:rPr>
        <w:t xml:space="preserve">    号：                        </w:t>
      </w:r>
      <w:r>
        <w:rPr>
          <w:rFonts w:hint="eastAsia" w:ascii="宋体" w:hAnsi="宋体" w:eastAsia="宋体" w:cs="宋体"/>
          <w:color w:val="auto"/>
          <w:sz w:val="24"/>
          <w:szCs w:val="24"/>
          <w:highlight w:val="none"/>
          <w:lang w:eastAsia="zh-CN"/>
        </w:rPr>
        <w:t>账</w:t>
      </w:r>
      <w:r>
        <w:rPr>
          <w:rFonts w:hint="eastAsia" w:ascii="宋体" w:hAnsi="宋体" w:eastAsia="宋体" w:cs="宋体"/>
          <w:color w:val="auto"/>
          <w:sz w:val="24"/>
          <w:szCs w:val="24"/>
          <w:highlight w:val="none"/>
        </w:rPr>
        <w:t xml:space="preserve">    号：</w:t>
      </w:r>
    </w:p>
    <w:p w14:paraId="72ABEDE6">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                        签订时间：</w:t>
      </w:r>
    </w:p>
    <w:p w14:paraId="480688F0">
      <w:pPr>
        <w:spacing w:line="400" w:lineRule="exact"/>
        <w:ind w:left="360"/>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bookmarkStart w:id="57" w:name="_Toc58430331"/>
      <w:r>
        <w:rPr>
          <w:rFonts w:hint="eastAsia" w:ascii="宋体" w:hAnsi="宋体" w:eastAsia="宋体" w:cs="宋体"/>
          <w:b/>
          <w:color w:val="auto"/>
          <w:sz w:val="24"/>
          <w:szCs w:val="24"/>
          <w:highlight w:val="none"/>
        </w:rPr>
        <w:t>二、合同条款</w:t>
      </w:r>
      <w:bookmarkEnd w:id="57"/>
    </w:p>
    <w:p w14:paraId="7D5E23E1">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  合同文件</w:t>
      </w:r>
    </w:p>
    <w:p w14:paraId="5FFAA5F0">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1.合同文件适用法律</w:t>
      </w:r>
    </w:p>
    <w:p w14:paraId="26CC13A6">
      <w:pPr>
        <w:spacing w:line="44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适用于合同文件的法律是中华人民共和国现行法律、法规及采购人所在地的地方性法规。</w:t>
      </w:r>
    </w:p>
    <w:p w14:paraId="331CD91F">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2.合同文件组成和解释顺序</w:t>
      </w:r>
    </w:p>
    <w:p w14:paraId="4D40E13F">
      <w:pPr>
        <w:spacing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(1)合同文件的组成和解释顺序如下：</w:t>
      </w:r>
    </w:p>
    <w:p w14:paraId="679243AA">
      <w:pPr>
        <w:spacing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&lt;1&gt;合同的主要条款；</w:t>
      </w:r>
    </w:p>
    <w:p w14:paraId="6520E3E0">
      <w:pPr>
        <w:spacing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&lt;2&gt;合同的一般性条款；</w:t>
      </w:r>
    </w:p>
    <w:p w14:paraId="249CABE7">
      <w:pPr>
        <w:spacing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&lt;3&gt;洽商、变更等明确双方权利义务的纪要、协议；</w:t>
      </w:r>
    </w:p>
    <w:p w14:paraId="678A6B0A">
      <w:pPr>
        <w:spacing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&lt;4&gt;中标通知书、投标文件和</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w:t>
      </w:r>
    </w:p>
    <w:p w14:paraId="58AD74CD">
      <w:pPr>
        <w:spacing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&lt;5&gt;有关图纸、标准、规范和其它有关技术资料、技术要求。</w:t>
      </w:r>
    </w:p>
    <w:p w14:paraId="2E64A617">
      <w:pPr>
        <w:spacing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&lt;6&gt;合同的主要条款的效力优于合同的一般性条款的效力。</w:t>
      </w:r>
    </w:p>
    <w:p w14:paraId="6D792729">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3.合同文件使用文字</w:t>
      </w:r>
    </w:p>
    <w:p w14:paraId="68508424">
      <w:pPr>
        <w:pStyle w:val="8"/>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(1)合同文件使用中文书写、解释和说明。</w:t>
      </w:r>
    </w:p>
    <w:p w14:paraId="013C0E0D">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 xml:space="preserve">(2)合同文件使用技术性条款约定的为国家标准和规范；国家没有相应标准、规范时，可使用行业标准、规范。非标货物应按约定的技术性条款的标准和规范。 </w:t>
      </w:r>
    </w:p>
    <w:p w14:paraId="0FA4AC96">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  标的物的一般条款</w:t>
      </w:r>
    </w:p>
    <w:p w14:paraId="7A3253D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4.完整物权</w:t>
      </w:r>
    </w:p>
    <w:p w14:paraId="2FCB54E2">
      <w:pPr>
        <w:tabs>
          <w:tab w:val="left" w:pos="660"/>
        </w:tabs>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对于出卖的标的物，卖方应当拥有完整物权，并且卖方负有保证第三人不得向买方主张任何权利（包括知识产权）的义务。</w:t>
      </w:r>
    </w:p>
    <w:p w14:paraId="64E0CBB9">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5.质量保证</w:t>
      </w:r>
    </w:p>
    <w:p w14:paraId="0051ED4E">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4F946373">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0A2BA23F">
      <w:pPr>
        <w:pStyle w:val="8"/>
        <w:tabs>
          <w:tab w:val="left" w:pos="900"/>
        </w:tabs>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(3)除合同主要条款规定外，合同条款中标的物的质量保证期均自标的物通过最终验收之日起计算，且质量保证期按不低于国家标准和卖方承诺的高于国家标准的质保期（卖方有特殊要求的除外）。</w:t>
      </w:r>
    </w:p>
    <w:p w14:paraId="249595A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6.包装</w:t>
      </w:r>
    </w:p>
    <w:p w14:paraId="60CC30E7">
      <w:pPr>
        <w:pStyle w:val="8"/>
        <w:tabs>
          <w:tab w:val="left" w:pos="900"/>
        </w:tabs>
        <w:spacing w:line="440" w:lineRule="exact"/>
        <w:ind w:firstLine="540" w:firstLineChars="225"/>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52CAC15E">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7.伴随服务</w:t>
      </w:r>
    </w:p>
    <w:p w14:paraId="27AA7FF8">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(1)卖方除应履行按期按量交付合格标的物的义务之外，还应提供下列服务：</w:t>
      </w:r>
    </w:p>
    <w:p w14:paraId="166EFF62">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&lt;1&gt;标的物的现场安装或指导安装、启动、调试、监督（如果必须安装、调试的话）；</w:t>
      </w:r>
    </w:p>
    <w:p w14:paraId="1BCD8344">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&lt;2&gt;提供标的物组装和一般维修所必须的工具；</w:t>
      </w:r>
    </w:p>
    <w:p w14:paraId="6863AB98">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&lt;3&gt;在合同规定的期限内对所提供标的物实行运行监督、维修服务的前提条件是该服务并不能免除卖方在质量保证期内所承担的义务；</w:t>
      </w:r>
    </w:p>
    <w:p w14:paraId="37F2693C">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&lt;4&gt;对买方技术人员的技术指导或培训。</w:t>
      </w:r>
    </w:p>
    <w:p w14:paraId="2973AEAD">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(2)除合同另有规定之外，伴随服务的费用均已含在合同价款中，买方不再另行进行支付。</w:t>
      </w:r>
    </w:p>
    <w:p w14:paraId="53593C1F">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  标的物的交付、检验和验收</w:t>
      </w:r>
    </w:p>
    <w:p w14:paraId="104C9D5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8.标的物的交付</w:t>
      </w:r>
    </w:p>
    <w:p w14:paraId="6CA6DB6E">
      <w:pPr>
        <w:pStyle w:val="8"/>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(1)标的物的所有权自标的物交付时转移。</w:t>
      </w:r>
    </w:p>
    <w:p w14:paraId="41F07DFA">
      <w:pPr>
        <w:pStyle w:val="8"/>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(2)卖方应当按照约定的期限和约定的地点交付符合</w:t>
      </w:r>
      <w:r>
        <w:rPr>
          <w:rFonts w:hint="eastAsia" w:ascii="宋体" w:hAnsi="宋体" w:eastAsia="宋体" w:cs="宋体"/>
          <w:color w:val="auto"/>
          <w:sz w:val="24"/>
          <w:szCs w:val="24"/>
          <w:highlight w:val="none"/>
          <w:u w:val="none" w:color="000000"/>
          <w:lang w:eastAsia="zh-CN"/>
        </w:rPr>
        <w:t>询价通知书</w:t>
      </w:r>
      <w:r>
        <w:rPr>
          <w:rFonts w:hint="eastAsia" w:ascii="宋体" w:hAnsi="宋体" w:eastAsia="宋体" w:cs="宋体"/>
          <w:color w:val="auto"/>
          <w:sz w:val="24"/>
          <w:szCs w:val="24"/>
          <w:highlight w:val="none"/>
          <w:u w:val="none" w:color="000000"/>
        </w:rPr>
        <w:t>要求的标的物。</w:t>
      </w:r>
    </w:p>
    <w:p w14:paraId="620D647D">
      <w:pPr>
        <w:pStyle w:val="8"/>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(3)卖方应当按照约定或者交易习惯向采购人交付提取标的物单证以外的有关单证和资料。</w:t>
      </w:r>
    </w:p>
    <w:p w14:paraId="2A0ADCA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9.检验和验收</w:t>
      </w:r>
    </w:p>
    <w:p w14:paraId="50FCCB0C">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793A7CC5">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(2)买方根据合同规定的内容和验收标准进行验收，经检验无误后出具验收合格证明，该证明作为最终付款所需文件的组成部分。</w:t>
      </w:r>
    </w:p>
    <w:p w14:paraId="0DF0380B">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(3)验收期限自标的物交付之日起</w:t>
      </w:r>
      <w:r>
        <w:rPr>
          <w:rFonts w:hint="eastAsia" w:ascii="宋体" w:hAnsi="宋体" w:eastAsia="宋体" w:cs="宋体"/>
          <w:color w:val="auto"/>
          <w:sz w:val="24"/>
          <w:szCs w:val="24"/>
          <w:highlight w:val="none"/>
          <w:u w:val="none" w:color="000000"/>
          <w:lang w:val="en-US" w:eastAsia="zh-CN"/>
        </w:rPr>
        <w:t>5个工作日</w:t>
      </w:r>
      <w:r>
        <w:rPr>
          <w:rFonts w:hint="eastAsia" w:ascii="宋体" w:hAnsi="宋体" w:eastAsia="宋体" w:cs="宋体"/>
          <w:color w:val="auto"/>
          <w:sz w:val="24"/>
          <w:szCs w:val="24"/>
          <w:highlight w:val="none"/>
          <w:u w:val="none" w:color="000000"/>
        </w:rPr>
        <w:t>内。特殊情况需延长的，双方应在合同条款中约定。</w:t>
      </w:r>
    </w:p>
    <w:p w14:paraId="102C7262">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 对标的物提出异议的时间和办法</w:t>
      </w:r>
    </w:p>
    <w:p w14:paraId="7FF8632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10.对标的物提出异议的时间和办法 </w:t>
      </w:r>
    </w:p>
    <w:p w14:paraId="4519E1F3">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(1)买方在验收过程中，应当于双方约定的检验期间内将标的物的数量或质量不符合约定的情形及处理方式以书面形式通知卖方。</w:t>
      </w:r>
    </w:p>
    <w:p w14:paraId="779E1E0D">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(2)如买方在验收期满后既不出具验收合格证明又未提出书面异议的视为卖方所交标的物符合合同规定。</w:t>
      </w:r>
    </w:p>
    <w:p w14:paraId="17A102A4">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(3)卖方应在收到买方书面异议后七天内负责处理问题，否则将视为默认买方提出的异议和处理意见。</w:t>
      </w:r>
    </w:p>
    <w:p w14:paraId="2178AD62">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 合同价款和支付</w:t>
      </w:r>
    </w:p>
    <w:p w14:paraId="30148EDD">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11.合同价款和支付</w:t>
      </w:r>
    </w:p>
    <w:p w14:paraId="0552D347">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(1)本合同的结算货币为人民币，单位元。</w:t>
      </w:r>
    </w:p>
    <w:p w14:paraId="1413476E">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(2)卖方应按照双方签订的合同规定交货并在合同主要条款规定的期限内持下列单据结算货款：</w:t>
      </w:r>
    </w:p>
    <w:p w14:paraId="665F55F3">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&lt;1&gt;合格的销售发票；</w:t>
      </w:r>
    </w:p>
    <w:p w14:paraId="392B4DAD">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&lt;2&gt;买方盖章签收后的送货回单和验收合格证明。</w:t>
      </w:r>
    </w:p>
    <w:p w14:paraId="5B351238">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(3)买方应按合同主要条款规定的期限和方式付款。</w:t>
      </w:r>
    </w:p>
    <w:p w14:paraId="4687F627">
      <w:pPr>
        <w:pStyle w:val="8"/>
        <w:tabs>
          <w:tab w:val="left" w:pos="540"/>
        </w:tabs>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(4)根据现行税法对买方征收的与本合同有关的一切税费均由买方承担；根据现行税法对卖方征收的与本合同有关的一切税费均由卖方承担。</w:t>
      </w:r>
    </w:p>
    <w:p w14:paraId="009BF8A7">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 违约责任</w:t>
      </w:r>
    </w:p>
    <w:p w14:paraId="31EFBAC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12.违约责任</w:t>
      </w:r>
    </w:p>
    <w:p w14:paraId="5614CF61">
      <w:pPr>
        <w:pStyle w:val="8"/>
        <w:spacing w:line="440" w:lineRule="exact"/>
        <w:ind w:firstLine="540" w:firstLineChars="225"/>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合同一方不履行合同义务或者履行合同义务不符合约定的，应当承担继续履行、采取补救措施或者赔偿损失等违约责任。</w:t>
      </w:r>
    </w:p>
    <w:p w14:paraId="64A1DDC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13.买方违约责任</w:t>
      </w:r>
    </w:p>
    <w:p w14:paraId="2874262F">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w:t>
      </w:r>
      <w:r>
        <w:rPr>
          <w:rFonts w:hint="eastAsia" w:hAnsi="宋体" w:cs="宋体"/>
          <w:color w:val="auto"/>
          <w:szCs w:val="24"/>
          <w:highlight w:val="none"/>
          <w:u w:color="000000"/>
        </w:rPr>
        <w:t>在合同生效后，非产品质量问题，</w:t>
      </w:r>
      <w:r>
        <w:rPr>
          <w:rFonts w:hint="eastAsia" w:ascii="宋体" w:hAnsi="宋体" w:eastAsia="宋体" w:cs="宋体"/>
          <w:color w:val="auto"/>
          <w:sz w:val="24"/>
          <w:szCs w:val="24"/>
          <w:highlight w:val="none"/>
          <w:u w:val="none" w:color="000000"/>
        </w:rPr>
        <w:t>买方要求退货的，应向卖方偿付合同总价款的5%，作为违约金，违约金不足以补偿损失的，卖方有权要求甲方补足。</w:t>
      </w:r>
    </w:p>
    <w:p w14:paraId="47185AEB">
      <w:pPr>
        <w:pStyle w:val="8"/>
        <w:overflowPunct w:val="0"/>
        <w:spacing w:line="440" w:lineRule="exact"/>
        <w:ind w:right="-334" w:rightChars="-159"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(2)买方逾期付款的应按照逾期付款金额的每天万分之四支付逾期付款违约金。</w:t>
      </w:r>
    </w:p>
    <w:p w14:paraId="3B4E79A6">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(3)买方违反合同规定，拒绝接收卖方交付的符合</w:t>
      </w:r>
      <w:r>
        <w:rPr>
          <w:rFonts w:hint="eastAsia" w:ascii="宋体" w:hAnsi="宋体" w:eastAsia="宋体" w:cs="宋体"/>
          <w:color w:val="auto"/>
          <w:sz w:val="24"/>
          <w:szCs w:val="24"/>
          <w:highlight w:val="none"/>
          <w:u w:val="none" w:color="000000"/>
          <w:lang w:eastAsia="zh-CN"/>
        </w:rPr>
        <w:t>询价通知书</w:t>
      </w:r>
      <w:r>
        <w:rPr>
          <w:rFonts w:hint="eastAsia" w:ascii="宋体" w:hAnsi="宋体" w:eastAsia="宋体" w:cs="宋体"/>
          <w:color w:val="auto"/>
          <w:sz w:val="24"/>
          <w:szCs w:val="24"/>
          <w:highlight w:val="none"/>
          <w:u w:val="none" w:color="000000"/>
        </w:rPr>
        <w:t>要求的合格标的物，应当承担卖方由此造成的损失。</w:t>
      </w:r>
    </w:p>
    <w:p w14:paraId="0572FC63">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14.卖方违约责任</w:t>
      </w:r>
    </w:p>
    <w:p w14:paraId="2649CEBF">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(1)卖方不能交货（逾期超过五天视为不能交货），或交货不合格从而影响买方按期正常使用的，应向买方偿付合同总价款5%的违约金，违约金不足以补偿损失的，买方有权要求卖方补足。</w:t>
      </w:r>
    </w:p>
    <w:p w14:paraId="00882407">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14:paraId="0A29E198">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hAnsi="宋体" w:cs="宋体"/>
          <w:color w:val="auto"/>
          <w:szCs w:val="24"/>
          <w:highlight w:val="none"/>
          <w:u w:color="000000"/>
        </w:rPr>
        <w:t>（3）卖方逾期提供售后服务的，每逾期一天应按货款的每天万分之四支付违约金，同时承担买方因此遭致的损失费用。</w:t>
      </w:r>
    </w:p>
    <w:p w14:paraId="046653E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15.不可抗力</w:t>
      </w:r>
    </w:p>
    <w:p w14:paraId="24419AA1">
      <w:pPr>
        <w:pStyle w:val="8"/>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(1)因水灾、火灾、地震、战争等不可抗力不能履行合同的，根据不可抗力的影响，部分或者全部免除责任。但合同一方迟延履行后发生不可抗力的，不能免除责任。</w:t>
      </w:r>
    </w:p>
    <w:p w14:paraId="6DC4D9FA">
      <w:pPr>
        <w:pStyle w:val="8"/>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(2)合同一方因不可抗力不能履行合同的，应当及时通知对方，以减轻可能给对方造成的损失，并应当在合理期限内提供证明。</w:t>
      </w:r>
    </w:p>
    <w:p w14:paraId="3EFA1F63">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 索赔</w:t>
      </w:r>
    </w:p>
    <w:p w14:paraId="6AB3868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16.索赔</w:t>
      </w:r>
    </w:p>
    <w:p w14:paraId="06BABDC2">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(1)买方有权根据当地产品质量检验机构或其它有权威部门出具的检验证书向卖方提出索赔。</w:t>
      </w:r>
    </w:p>
    <w:p w14:paraId="38AE1D29">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(2)在本合同规定的检验期和质量保证期内，如果卖方对买方提出的索赔或差异有责任，则卖方应按买方同意的下列一种或多种方式解决索赔事宜：</w:t>
      </w:r>
    </w:p>
    <w:p w14:paraId="15E341DC">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&lt;1&gt;卖方同意退货，并按合同规定的货币将货款退还给买方，并承担由此发生的一切损失和费用，包括利息、银行手续费、运费、保险费、检验费、仓储费、装卸费以及为保护退回标的物所需的其它必要费用；</w:t>
      </w:r>
    </w:p>
    <w:p w14:paraId="6A924A31">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&lt;2&gt;根据标的物的低劣程度、损坏程度以及甲方遭受损失的数额，经双方协商确定降低标的物的价格；</w:t>
      </w:r>
    </w:p>
    <w:p w14:paraId="59E76E95">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77B57F62">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2B541B45">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(4)买方提出索赔的书面材料应报当地政府采购管理部门备案。卖方同意的索赔方案应报当地政府采购管理部门审核。</w:t>
      </w:r>
    </w:p>
    <w:p w14:paraId="774293B2">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 履约保证金</w:t>
      </w:r>
    </w:p>
    <w:p w14:paraId="51DC20BB">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17.履约保证金</w:t>
      </w:r>
    </w:p>
    <w:p w14:paraId="3D5256BA">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(1)卖方应在本合同签订时，按</w:t>
      </w:r>
      <w:r>
        <w:rPr>
          <w:rFonts w:hint="eastAsia" w:ascii="宋体" w:hAnsi="宋体" w:eastAsia="宋体" w:cs="宋体"/>
          <w:color w:val="auto"/>
          <w:sz w:val="24"/>
          <w:szCs w:val="24"/>
          <w:highlight w:val="none"/>
          <w:u w:val="none" w:color="000000"/>
          <w:lang w:eastAsia="zh-CN"/>
        </w:rPr>
        <w:t>询价通知书</w:t>
      </w:r>
      <w:r>
        <w:rPr>
          <w:rFonts w:hint="eastAsia" w:ascii="宋体" w:hAnsi="宋体" w:eastAsia="宋体" w:cs="宋体"/>
          <w:color w:val="auto"/>
          <w:sz w:val="24"/>
          <w:szCs w:val="24"/>
          <w:highlight w:val="none"/>
          <w:u w:val="none" w:color="000000"/>
        </w:rPr>
        <w:t>的约定提供相应的履约保证金，保证金的有效期应不低于合同有效期。</w:t>
      </w:r>
    </w:p>
    <w:p w14:paraId="1B0BD056">
      <w:pPr>
        <w:pStyle w:val="8"/>
        <w:overflowPunct w:val="0"/>
        <w:spacing w:line="440" w:lineRule="exact"/>
        <w:ind w:right="-334" w:rightChars="-159"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(2)如果卖方未能履行合同规定的任何义务，买方有权从履约保证金中取得补偿。</w:t>
      </w:r>
    </w:p>
    <w:p w14:paraId="3F33D9F6">
      <w:pPr>
        <w:pStyle w:val="8"/>
        <w:overflowPunct w:val="0"/>
        <w:spacing w:line="440" w:lineRule="exact"/>
        <w:ind w:right="-334" w:rightChars="-159" w:firstLine="0"/>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九.  合同的解除和转让</w:t>
      </w:r>
    </w:p>
    <w:p w14:paraId="38292D9E">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18.合同的解除</w:t>
      </w:r>
    </w:p>
    <w:p w14:paraId="31A77A7A">
      <w:pPr>
        <w:pStyle w:val="8"/>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(1)买方和卖方协商一致，可以解除合同。</w:t>
      </w:r>
    </w:p>
    <w:p w14:paraId="59ECC8A5">
      <w:pPr>
        <w:pStyle w:val="8"/>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(2)有下列情形之一，合同一方可以解除合同：</w:t>
      </w:r>
    </w:p>
    <w:p w14:paraId="5A5A4EE0">
      <w:pPr>
        <w:pStyle w:val="8"/>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&lt;1&gt;因不可抗力致使不能实现合同目的，未受不可抗力影响的一方有权解除合同；</w:t>
      </w:r>
    </w:p>
    <w:p w14:paraId="5769688C">
      <w:pPr>
        <w:pStyle w:val="8"/>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&lt;2&gt;因合同一方违约导致合同不能履行，另一方有权解除合同。</w:t>
      </w:r>
    </w:p>
    <w:p w14:paraId="7637F966">
      <w:pPr>
        <w:pStyle w:val="8"/>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(3)有权解除合同的一方，应当在违约事实或不可抗力发生之后三十天内书面通知对方以主张解除合同，合同在书面通知到达对方时解除。</w:t>
      </w:r>
    </w:p>
    <w:p w14:paraId="1DDFAD1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19.合同的转让</w:t>
      </w:r>
    </w:p>
    <w:p w14:paraId="04334960">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合同的部分和全部都不得转让。</w:t>
      </w:r>
    </w:p>
    <w:p w14:paraId="7700F0B9">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 合同的生效</w:t>
      </w:r>
    </w:p>
    <w:p w14:paraId="241C850D">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20.合同的生效</w:t>
      </w:r>
    </w:p>
    <w:p w14:paraId="33D898F8">
      <w:pPr>
        <w:spacing w:line="440" w:lineRule="exact"/>
        <w:ind w:firstLine="664" w:firstLineChars="2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本合同在双方签字盖章后生效。</w:t>
      </w:r>
    </w:p>
    <w:p w14:paraId="2442D6FF">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 争议解决</w:t>
      </w:r>
    </w:p>
    <w:p w14:paraId="42F926B2">
      <w:pPr>
        <w:spacing w:line="44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21.争议解决</w:t>
      </w:r>
    </w:p>
    <w:p w14:paraId="190DE617">
      <w:pPr>
        <w:pStyle w:val="8"/>
        <w:overflowPunct w:val="0"/>
        <w:spacing w:line="440" w:lineRule="exact"/>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 xml:space="preserve"> 买卖双方因合同发生争议，进行调解，协商不成，可选择：</w:t>
      </w:r>
    </w:p>
    <w:p w14:paraId="3CF473A9">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(1)双方同时</w:t>
      </w:r>
      <w:r>
        <w:rPr>
          <w:rFonts w:hint="eastAsia" w:ascii="宋体" w:hAnsi="宋体" w:eastAsia="宋体" w:cs="宋体"/>
          <w:color w:val="auto"/>
          <w:sz w:val="24"/>
          <w:szCs w:val="24"/>
          <w:highlight w:val="none"/>
        </w:rPr>
        <w:t>将争议提交滁州仲裁委员会</w:t>
      </w:r>
      <w:r>
        <w:rPr>
          <w:rFonts w:hint="eastAsia" w:ascii="宋体" w:hAnsi="宋体" w:eastAsia="宋体" w:cs="宋体"/>
          <w:color w:val="auto"/>
          <w:sz w:val="24"/>
          <w:szCs w:val="24"/>
          <w:highlight w:val="none"/>
          <w:u w:val="none" w:color="000000"/>
        </w:rPr>
        <w:t>进行仲裁；</w:t>
      </w:r>
    </w:p>
    <w:p w14:paraId="496E0D74">
      <w:pPr>
        <w:pStyle w:val="8"/>
        <w:tabs>
          <w:tab w:val="left" w:pos="900"/>
        </w:tabs>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(2)向买方所在地人民法院提起诉讼。</w:t>
      </w:r>
    </w:p>
    <w:p w14:paraId="56E24D26">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十二 .附则</w:t>
      </w:r>
    </w:p>
    <w:p w14:paraId="76FB74B8">
      <w:pPr>
        <w:spacing w:line="44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22.合同份数。</w:t>
      </w:r>
    </w:p>
    <w:p w14:paraId="4F0049E7">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本合同一式陆份，买卖双方各执</w:t>
      </w:r>
      <w:r>
        <w:rPr>
          <w:rFonts w:hint="eastAsia" w:ascii="宋体" w:hAnsi="宋体" w:eastAsia="宋体" w:cs="宋体"/>
          <w:color w:val="auto"/>
          <w:sz w:val="24"/>
          <w:szCs w:val="24"/>
          <w:highlight w:val="none"/>
          <w:lang w:val="en-US" w:eastAsia="zh-CN"/>
        </w:rPr>
        <w:t>叁</w:t>
      </w:r>
      <w:r>
        <w:rPr>
          <w:rFonts w:hint="eastAsia" w:ascii="宋体" w:hAnsi="宋体" w:eastAsia="宋体" w:cs="宋体"/>
          <w:color w:val="auto"/>
          <w:sz w:val="24"/>
          <w:szCs w:val="24"/>
          <w:highlight w:val="none"/>
        </w:rPr>
        <w:t>份。</w:t>
      </w:r>
    </w:p>
    <w:p w14:paraId="521F9C3A">
      <w:pPr>
        <w:spacing w:line="44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23.未尽事宜</w:t>
      </w:r>
    </w:p>
    <w:p w14:paraId="2AE93244">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本合同未尽事宜应按《中华人民共和国政府采购法》、《中华人民共和国民法典》、《中华人民共和国产品质量法》之规定解释。</w:t>
      </w:r>
    </w:p>
    <w:p w14:paraId="6EFB4E10">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186CB5DD">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响应文件格式</w:t>
      </w:r>
      <w:bookmarkEnd w:id="56"/>
    </w:p>
    <w:p w14:paraId="5E1E1B11">
      <w:pPr>
        <w:spacing w:line="900" w:lineRule="exact"/>
        <w:jc w:val="center"/>
        <w:rPr>
          <w:rFonts w:asciiTheme="minorEastAsia" w:hAnsiTheme="minorEastAsia" w:eastAsiaTheme="minorEastAsia"/>
          <w:b/>
          <w:color w:val="auto"/>
          <w:sz w:val="72"/>
          <w:highlight w:val="none"/>
        </w:rPr>
      </w:pPr>
    </w:p>
    <w:p w14:paraId="65C438D2">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720E2B32">
      <w:pPr>
        <w:spacing w:line="900" w:lineRule="exact"/>
        <w:jc w:val="center"/>
        <w:rPr>
          <w:rFonts w:asciiTheme="minorEastAsia" w:hAnsiTheme="minorEastAsia" w:eastAsiaTheme="minorEastAsia"/>
          <w:b/>
          <w:color w:val="auto"/>
          <w:sz w:val="72"/>
          <w:highlight w:val="none"/>
        </w:rPr>
      </w:pPr>
    </w:p>
    <w:p w14:paraId="2295902F">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3493AA8A">
      <w:pPr>
        <w:spacing w:line="900" w:lineRule="exact"/>
        <w:jc w:val="center"/>
        <w:rPr>
          <w:rFonts w:asciiTheme="minorEastAsia" w:hAnsiTheme="minorEastAsia" w:eastAsiaTheme="minorEastAsia"/>
          <w:b/>
          <w:color w:val="auto"/>
          <w:sz w:val="72"/>
          <w:highlight w:val="none"/>
        </w:rPr>
      </w:pPr>
    </w:p>
    <w:p w14:paraId="71EDE66E">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22EACDB6">
      <w:pPr>
        <w:spacing w:line="900" w:lineRule="exact"/>
        <w:jc w:val="center"/>
        <w:rPr>
          <w:rFonts w:asciiTheme="minorEastAsia" w:hAnsiTheme="minorEastAsia" w:eastAsiaTheme="minorEastAsia"/>
          <w:b/>
          <w:color w:val="auto"/>
          <w:sz w:val="72"/>
          <w:highlight w:val="none"/>
        </w:rPr>
      </w:pPr>
    </w:p>
    <w:p w14:paraId="3DDC3FA4">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134F50DD">
      <w:pPr>
        <w:spacing w:after="156" w:afterLines="50"/>
        <w:jc w:val="center"/>
        <w:rPr>
          <w:rFonts w:asciiTheme="minorEastAsia" w:hAnsiTheme="minorEastAsia" w:eastAsiaTheme="minorEastAsia"/>
          <w:b/>
          <w:color w:val="auto"/>
          <w:sz w:val="72"/>
          <w:highlight w:val="none"/>
        </w:rPr>
      </w:pPr>
    </w:p>
    <w:p w14:paraId="5D27ED0E">
      <w:pPr>
        <w:spacing w:after="156" w:afterLines="50" w:line="500" w:lineRule="exact"/>
        <w:jc w:val="center"/>
        <w:rPr>
          <w:rFonts w:asciiTheme="minorEastAsia" w:hAnsiTheme="minorEastAsia" w:eastAsiaTheme="minorEastAsia"/>
          <w:b/>
          <w:color w:val="auto"/>
          <w:sz w:val="28"/>
          <w:szCs w:val="28"/>
          <w:highlight w:val="none"/>
        </w:rPr>
      </w:pPr>
    </w:p>
    <w:p w14:paraId="524F0A5D">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0E6E1A81">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5A544C21">
      <w:pPr>
        <w:spacing w:after="156" w:afterLines="50" w:line="500" w:lineRule="exact"/>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应</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商：</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63472905">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58" w:name="_Toc13530"/>
      <w:bookmarkStart w:id="59" w:name="_Toc215"/>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58"/>
      <w:bookmarkEnd w:id="59"/>
    </w:p>
    <w:p w14:paraId="289E2D5F">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4B2E757D">
      <w:pPr>
        <w:spacing w:line="360" w:lineRule="auto"/>
        <w:jc w:val="center"/>
        <w:outlineLvl w:val="1"/>
        <w:rPr>
          <w:rFonts w:asciiTheme="minorEastAsia" w:hAnsiTheme="minorEastAsia" w:eastAsiaTheme="minorEastAsia"/>
          <w:b/>
          <w:color w:val="auto"/>
          <w:sz w:val="24"/>
          <w:highlight w:val="none"/>
        </w:rPr>
      </w:pPr>
      <w:bookmarkStart w:id="60" w:name="_Toc14197"/>
      <w:bookmarkStart w:id="61" w:name="_Toc11521"/>
      <w:bookmarkStart w:id="62" w:name="_Hlk23205287"/>
      <w:r>
        <w:rPr>
          <w:rFonts w:hint="eastAsia" w:asciiTheme="minorEastAsia" w:hAnsiTheme="minorEastAsia" w:eastAsiaTheme="minorEastAsia"/>
          <w:b/>
          <w:color w:val="auto"/>
          <w:sz w:val="24"/>
          <w:highlight w:val="none"/>
        </w:rPr>
        <w:t>一、报价表</w:t>
      </w:r>
      <w:bookmarkEnd w:id="60"/>
      <w:bookmarkEnd w:id="61"/>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320"/>
        <w:gridCol w:w="1318"/>
        <w:gridCol w:w="1318"/>
        <w:gridCol w:w="672"/>
        <w:gridCol w:w="677"/>
        <w:gridCol w:w="939"/>
        <w:gridCol w:w="939"/>
        <w:gridCol w:w="670"/>
      </w:tblGrid>
      <w:tr w14:paraId="26FBD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3" w:hRule="atLeast"/>
          <w:jc w:val="center"/>
        </w:trPr>
        <w:tc>
          <w:tcPr>
            <w:tcW w:w="393" w:type="pct"/>
            <w:vAlign w:val="center"/>
          </w:tcPr>
          <w:p w14:paraId="484EFCC2">
            <w:pPr>
              <w:pStyle w:val="45"/>
              <w:widowControl w:val="0"/>
              <w:spacing w:before="0" w:beforeAutospacing="0" w:after="0" w:afterAutospacing="0"/>
              <w:rPr>
                <w:rFonts w:asciiTheme="minorEastAsia" w:hAnsiTheme="minorEastAsia" w:eastAsiaTheme="minorEastAsia"/>
                <w:bCs w:val="0"/>
                <w:color w:val="auto"/>
                <w:kern w:val="2"/>
                <w:sz w:val="24"/>
                <w:szCs w:val="24"/>
                <w:highlight w:val="none"/>
              </w:rPr>
            </w:pPr>
            <w:r>
              <w:rPr>
                <w:rFonts w:hint="eastAsia" w:asciiTheme="minorEastAsia" w:hAnsiTheme="minorEastAsia" w:eastAsiaTheme="minorEastAsia"/>
                <w:bCs w:val="0"/>
                <w:color w:val="auto"/>
                <w:kern w:val="2"/>
                <w:sz w:val="24"/>
                <w:szCs w:val="24"/>
                <w:highlight w:val="none"/>
              </w:rPr>
              <w:t>序号</w:t>
            </w:r>
          </w:p>
        </w:tc>
        <w:tc>
          <w:tcPr>
            <w:tcW w:w="775" w:type="pct"/>
            <w:vAlign w:val="center"/>
          </w:tcPr>
          <w:p w14:paraId="12538BEA">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货物名称</w:t>
            </w:r>
          </w:p>
        </w:tc>
        <w:tc>
          <w:tcPr>
            <w:tcW w:w="773" w:type="pct"/>
            <w:vAlign w:val="center"/>
          </w:tcPr>
          <w:p w14:paraId="66FFBA15">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品牌、型</w:t>
            </w:r>
          </w:p>
          <w:p w14:paraId="3B791574">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号</w:t>
            </w:r>
          </w:p>
        </w:tc>
        <w:tc>
          <w:tcPr>
            <w:tcW w:w="773" w:type="pct"/>
            <w:vAlign w:val="center"/>
          </w:tcPr>
          <w:p w14:paraId="69F3D36F">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原产地及</w:t>
            </w:r>
          </w:p>
          <w:p w14:paraId="3EB14DCD">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生产厂商</w:t>
            </w:r>
          </w:p>
        </w:tc>
        <w:tc>
          <w:tcPr>
            <w:tcW w:w="394" w:type="pct"/>
            <w:vAlign w:val="center"/>
          </w:tcPr>
          <w:p w14:paraId="32930DDC">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单位</w:t>
            </w:r>
          </w:p>
        </w:tc>
        <w:tc>
          <w:tcPr>
            <w:tcW w:w="394" w:type="pct"/>
            <w:vAlign w:val="center"/>
          </w:tcPr>
          <w:p w14:paraId="4A5B1ABD">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数量</w:t>
            </w:r>
          </w:p>
        </w:tc>
        <w:tc>
          <w:tcPr>
            <w:tcW w:w="550" w:type="pct"/>
            <w:vAlign w:val="center"/>
          </w:tcPr>
          <w:p w14:paraId="7DFF0804">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单价</w:t>
            </w:r>
          </w:p>
          <w:p w14:paraId="5F2EE97E">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（元）</w:t>
            </w:r>
          </w:p>
        </w:tc>
        <w:tc>
          <w:tcPr>
            <w:tcW w:w="550" w:type="pct"/>
            <w:vAlign w:val="center"/>
          </w:tcPr>
          <w:p w14:paraId="174AA08B">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小计</w:t>
            </w:r>
          </w:p>
          <w:p w14:paraId="4534CAA6">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（元）</w:t>
            </w:r>
          </w:p>
        </w:tc>
        <w:tc>
          <w:tcPr>
            <w:tcW w:w="393" w:type="pct"/>
            <w:vAlign w:val="center"/>
          </w:tcPr>
          <w:p w14:paraId="6FBDEAB1">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备注</w:t>
            </w:r>
          </w:p>
        </w:tc>
      </w:tr>
      <w:tr w14:paraId="257C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tcPr>
          <w:p w14:paraId="6F50EEAD">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775" w:type="pct"/>
          </w:tcPr>
          <w:p w14:paraId="2DA54642">
            <w:pPr>
              <w:rPr>
                <w:rFonts w:asciiTheme="minorEastAsia" w:hAnsiTheme="minorEastAsia" w:eastAsiaTheme="minorEastAsia"/>
                <w:color w:val="auto"/>
                <w:sz w:val="24"/>
                <w:szCs w:val="24"/>
                <w:highlight w:val="none"/>
              </w:rPr>
            </w:pPr>
          </w:p>
        </w:tc>
        <w:tc>
          <w:tcPr>
            <w:tcW w:w="773" w:type="pct"/>
          </w:tcPr>
          <w:p w14:paraId="47B58CF8">
            <w:pPr>
              <w:rPr>
                <w:rFonts w:asciiTheme="minorEastAsia" w:hAnsiTheme="minorEastAsia" w:eastAsiaTheme="minorEastAsia"/>
                <w:color w:val="auto"/>
                <w:sz w:val="24"/>
                <w:szCs w:val="24"/>
                <w:highlight w:val="none"/>
              </w:rPr>
            </w:pPr>
          </w:p>
        </w:tc>
        <w:tc>
          <w:tcPr>
            <w:tcW w:w="773" w:type="pct"/>
          </w:tcPr>
          <w:p w14:paraId="4ACFFF97">
            <w:pPr>
              <w:rPr>
                <w:rFonts w:asciiTheme="minorEastAsia" w:hAnsiTheme="minorEastAsia" w:eastAsiaTheme="minorEastAsia"/>
                <w:color w:val="auto"/>
                <w:sz w:val="24"/>
                <w:szCs w:val="24"/>
                <w:highlight w:val="none"/>
              </w:rPr>
            </w:pPr>
          </w:p>
        </w:tc>
        <w:tc>
          <w:tcPr>
            <w:tcW w:w="394" w:type="pct"/>
          </w:tcPr>
          <w:p w14:paraId="1D3FF1FA">
            <w:pPr>
              <w:rPr>
                <w:rFonts w:asciiTheme="minorEastAsia" w:hAnsiTheme="minorEastAsia" w:eastAsiaTheme="minorEastAsia"/>
                <w:color w:val="auto"/>
                <w:sz w:val="24"/>
                <w:szCs w:val="24"/>
                <w:highlight w:val="none"/>
              </w:rPr>
            </w:pPr>
          </w:p>
        </w:tc>
        <w:tc>
          <w:tcPr>
            <w:tcW w:w="394" w:type="pct"/>
          </w:tcPr>
          <w:p w14:paraId="18C2F4AF">
            <w:pPr>
              <w:rPr>
                <w:rFonts w:asciiTheme="minorEastAsia" w:hAnsiTheme="minorEastAsia" w:eastAsiaTheme="minorEastAsia"/>
                <w:color w:val="auto"/>
                <w:sz w:val="24"/>
                <w:szCs w:val="24"/>
                <w:highlight w:val="none"/>
              </w:rPr>
            </w:pPr>
          </w:p>
        </w:tc>
        <w:tc>
          <w:tcPr>
            <w:tcW w:w="550" w:type="pct"/>
          </w:tcPr>
          <w:p w14:paraId="5F2CFA12">
            <w:pPr>
              <w:rPr>
                <w:rFonts w:asciiTheme="minorEastAsia" w:hAnsiTheme="minorEastAsia" w:eastAsiaTheme="minorEastAsia"/>
                <w:color w:val="auto"/>
                <w:sz w:val="24"/>
                <w:szCs w:val="24"/>
                <w:highlight w:val="none"/>
              </w:rPr>
            </w:pPr>
          </w:p>
        </w:tc>
        <w:tc>
          <w:tcPr>
            <w:tcW w:w="550" w:type="pct"/>
          </w:tcPr>
          <w:p w14:paraId="7EFA4952">
            <w:pPr>
              <w:rPr>
                <w:rFonts w:asciiTheme="minorEastAsia" w:hAnsiTheme="minorEastAsia" w:eastAsiaTheme="minorEastAsia"/>
                <w:color w:val="auto"/>
                <w:sz w:val="24"/>
                <w:szCs w:val="24"/>
                <w:highlight w:val="none"/>
              </w:rPr>
            </w:pPr>
          </w:p>
        </w:tc>
        <w:tc>
          <w:tcPr>
            <w:tcW w:w="393" w:type="pct"/>
          </w:tcPr>
          <w:p w14:paraId="24E858D2">
            <w:pPr>
              <w:rPr>
                <w:rFonts w:asciiTheme="minorEastAsia" w:hAnsiTheme="minorEastAsia" w:eastAsiaTheme="minorEastAsia"/>
                <w:color w:val="auto"/>
                <w:sz w:val="24"/>
                <w:szCs w:val="24"/>
                <w:highlight w:val="none"/>
              </w:rPr>
            </w:pPr>
          </w:p>
        </w:tc>
      </w:tr>
      <w:tr w14:paraId="08D8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7FC729BB">
            <w:pPr>
              <w:jc w:val="center"/>
              <w:rPr>
                <w:rFonts w:asciiTheme="minorEastAsia" w:hAnsiTheme="minorEastAsia" w:eastAsiaTheme="minorEastAsia"/>
                <w:color w:val="auto"/>
                <w:sz w:val="24"/>
                <w:szCs w:val="24"/>
                <w:highlight w:val="none"/>
              </w:rPr>
            </w:pPr>
          </w:p>
        </w:tc>
        <w:tc>
          <w:tcPr>
            <w:tcW w:w="775" w:type="pct"/>
            <w:vAlign w:val="center"/>
          </w:tcPr>
          <w:p w14:paraId="2BE5DBB4">
            <w:pPr>
              <w:pStyle w:val="53"/>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其他费用</w:t>
            </w:r>
          </w:p>
        </w:tc>
        <w:tc>
          <w:tcPr>
            <w:tcW w:w="773" w:type="pct"/>
          </w:tcPr>
          <w:p w14:paraId="427E85A1">
            <w:pPr>
              <w:rPr>
                <w:rFonts w:asciiTheme="minorEastAsia" w:hAnsiTheme="minorEastAsia" w:eastAsiaTheme="minorEastAsia"/>
                <w:color w:val="auto"/>
                <w:sz w:val="24"/>
                <w:szCs w:val="24"/>
                <w:highlight w:val="none"/>
              </w:rPr>
            </w:pPr>
          </w:p>
        </w:tc>
        <w:tc>
          <w:tcPr>
            <w:tcW w:w="773" w:type="pct"/>
          </w:tcPr>
          <w:p w14:paraId="508C7E0F">
            <w:pPr>
              <w:rPr>
                <w:rFonts w:asciiTheme="minorEastAsia" w:hAnsiTheme="minorEastAsia" w:eastAsiaTheme="minorEastAsia"/>
                <w:color w:val="auto"/>
                <w:sz w:val="24"/>
                <w:szCs w:val="24"/>
                <w:highlight w:val="none"/>
              </w:rPr>
            </w:pPr>
          </w:p>
        </w:tc>
        <w:tc>
          <w:tcPr>
            <w:tcW w:w="394" w:type="pct"/>
          </w:tcPr>
          <w:p w14:paraId="36D0F0CA">
            <w:pPr>
              <w:rPr>
                <w:rFonts w:asciiTheme="minorEastAsia" w:hAnsiTheme="minorEastAsia" w:eastAsiaTheme="minorEastAsia"/>
                <w:color w:val="auto"/>
                <w:sz w:val="24"/>
                <w:szCs w:val="24"/>
                <w:highlight w:val="none"/>
              </w:rPr>
            </w:pPr>
          </w:p>
        </w:tc>
        <w:tc>
          <w:tcPr>
            <w:tcW w:w="394" w:type="pct"/>
          </w:tcPr>
          <w:p w14:paraId="6BB7A1F8">
            <w:pPr>
              <w:rPr>
                <w:rFonts w:asciiTheme="minorEastAsia" w:hAnsiTheme="minorEastAsia" w:eastAsiaTheme="minorEastAsia"/>
                <w:color w:val="auto"/>
                <w:sz w:val="24"/>
                <w:szCs w:val="24"/>
                <w:highlight w:val="none"/>
              </w:rPr>
            </w:pPr>
          </w:p>
        </w:tc>
        <w:tc>
          <w:tcPr>
            <w:tcW w:w="550" w:type="pct"/>
          </w:tcPr>
          <w:p w14:paraId="5A1120BD">
            <w:pPr>
              <w:rPr>
                <w:rFonts w:asciiTheme="minorEastAsia" w:hAnsiTheme="minorEastAsia" w:eastAsiaTheme="minorEastAsia"/>
                <w:color w:val="auto"/>
                <w:sz w:val="24"/>
                <w:szCs w:val="24"/>
                <w:highlight w:val="none"/>
              </w:rPr>
            </w:pPr>
          </w:p>
        </w:tc>
        <w:tc>
          <w:tcPr>
            <w:tcW w:w="550" w:type="pct"/>
          </w:tcPr>
          <w:p w14:paraId="68632DAE">
            <w:pPr>
              <w:rPr>
                <w:rFonts w:asciiTheme="minorEastAsia" w:hAnsiTheme="minorEastAsia" w:eastAsiaTheme="minorEastAsia"/>
                <w:color w:val="auto"/>
                <w:sz w:val="24"/>
                <w:szCs w:val="24"/>
                <w:highlight w:val="none"/>
              </w:rPr>
            </w:pPr>
          </w:p>
        </w:tc>
        <w:tc>
          <w:tcPr>
            <w:tcW w:w="393" w:type="pct"/>
          </w:tcPr>
          <w:p w14:paraId="7C63B762">
            <w:pPr>
              <w:rPr>
                <w:rFonts w:asciiTheme="minorEastAsia" w:hAnsiTheme="minorEastAsia" w:eastAsiaTheme="minorEastAsia"/>
                <w:color w:val="auto"/>
                <w:sz w:val="24"/>
                <w:szCs w:val="24"/>
                <w:highlight w:val="none"/>
              </w:rPr>
            </w:pPr>
          </w:p>
        </w:tc>
      </w:tr>
      <w:tr w14:paraId="05963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2C8A3747">
            <w:pPr>
              <w:jc w:val="center"/>
              <w:rPr>
                <w:rFonts w:asciiTheme="minorEastAsia" w:hAnsiTheme="minorEastAsia" w:eastAsiaTheme="minorEastAsia"/>
                <w:color w:val="auto"/>
                <w:sz w:val="24"/>
                <w:szCs w:val="24"/>
                <w:highlight w:val="none"/>
              </w:rPr>
            </w:pPr>
          </w:p>
        </w:tc>
        <w:tc>
          <w:tcPr>
            <w:tcW w:w="775" w:type="pct"/>
          </w:tcPr>
          <w:p w14:paraId="0970F526">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p>
        </w:tc>
        <w:tc>
          <w:tcPr>
            <w:tcW w:w="773" w:type="pct"/>
          </w:tcPr>
          <w:p w14:paraId="00C364A7">
            <w:pPr>
              <w:rPr>
                <w:rFonts w:asciiTheme="minorEastAsia" w:hAnsiTheme="minorEastAsia" w:eastAsiaTheme="minorEastAsia"/>
                <w:color w:val="auto"/>
                <w:sz w:val="24"/>
                <w:szCs w:val="24"/>
                <w:highlight w:val="none"/>
              </w:rPr>
            </w:pPr>
          </w:p>
        </w:tc>
        <w:tc>
          <w:tcPr>
            <w:tcW w:w="773" w:type="pct"/>
          </w:tcPr>
          <w:p w14:paraId="26DC250B">
            <w:pPr>
              <w:rPr>
                <w:rFonts w:asciiTheme="minorEastAsia" w:hAnsiTheme="minorEastAsia" w:eastAsiaTheme="minorEastAsia"/>
                <w:color w:val="auto"/>
                <w:sz w:val="24"/>
                <w:szCs w:val="24"/>
                <w:highlight w:val="none"/>
              </w:rPr>
            </w:pPr>
          </w:p>
        </w:tc>
        <w:tc>
          <w:tcPr>
            <w:tcW w:w="394" w:type="pct"/>
          </w:tcPr>
          <w:p w14:paraId="56CA350E">
            <w:pPr>
              <w:rPr>
                <w:rFonts w:asciiTheme="minorEastAsia" w:hAnsiTheme="minorEastAsia" w:eastAsiaTheme="minorEastAsia"/>
                <w:color w:val="auto"/>
                <w:sz w:val="24"/>
                <w:szCs w:val="24"/>
                <w:highlight w:val="none"/>
              </w:rPr>
            </w:pPr>
          </w:p>
        </w:tc>
        <w:tc>
          <w:tcPr>
            <w:tcW w:w="394" w:type="pct"/>
          </w:tcPr>
          <w:p w14:paraId="5B76DCA8">
            <w:pPr>
              <w:rPr>
                <w:rFonts w:asciiTheme="minorEastAsia" w:hAnsiTheme="minorEastAsia" w:eastAsiaTheme="minorEastAsia"/>
                <w:color w:val="auto"/>
                <w:sz w:val="24"/>
                <w:szCs w:val="24"/>
                <w:highlight w:val="none"/>
              </w:rPr>
            </w:pPr>
          </w:p>
        </w:tc>
        <w:tc>
          <w:tcPr>
            <w:tcW w:w="550" w:type="pct"/>
          </w:tcPr>
          <w:p w14:paraId="35860A42">
            <w:pPr>
              <w:rPr>
                <w:rFonts w:asciiTheme="minorEastAsia" w:hAnsiTheme="minorEastAsia" w:eastAsiaTheme="minorEastAsia"/>
                <w:color w:val="auto"/>
                <w:sz w:val="24"/>
                <w:szCs w:val="24"/>
                <w:highlight w:val="none"/>
              </w:rPr>
            </w:pPr>
          </w:p>
        </w:tc>
        <w:tc>
          <w:tcPr>
            <w:tcW w:w="550" w:type="pct"/>
          </w:tcPr>
          <w:p w14:paraId="7FD764D7">
            <w:pPr>
              <w:rPr>
                <w:rFonts w:asciiTheme="minorEastAsia" w:hAnsiTheme="minorEastAsia" w:eastAsiaTheme="minorEastAsia"/>
                <w:color w:val="auto"/>
                <w:sz w:val="24"/>
                <w:szCs w:val="24"/>
                <w:highlight w:val="none"/>
              </w:rPr>
            </w:pPr>
          </w:p>
        </w:tc>
        <w:tc>
          <w:tcPr>
            <w:tcW w:w="393" w:type="pct"/>
          </w:tcPr>
          <w:p w14:paraId="56D191EE">
            <w:pPr>
              <w:rPr>
                <w:rFonts w:asciiTheme="minorEastAsia" w:hAnsiTheme="minorEastAsia" w:eastAsiaTheme="minorEastAsia"/>
                <w:color w:val="auto"/>
                <w:sz w:val="24"/>
                <w:szCs w:val="24"/>
                <w:highlight w:val="none"/>
              </w:rPr>
            </w:pPr>
          </w:p>
        </w:tc>
      </w:tr>
      <w:tr w14:paraId="61C66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4903A96D">
            <w:pPr>
              <w:jc w:val="center"/>
              <w:rPr>
                <w:rFonts w:asciiTheme="minorEastAsia" w:hAnsiTheme="minorEastAsia" w:eastAsiaTheme="minorEastAsia"/>
                <w:color w:val="auto"/>
                <w:sz w:val="24"/>
                <w:szCs w:val="24"/>
                <w:highlight w:val="none"/>
              </w:rPr>
            </w:pPr>
          </w:p>
        </w:tc>
        <w:tc>
          <w:tcPr>
            <w:tcW w:w="775" w:type="pct"/>
          </w:tcPr>
          <w:p w14:paraId="6B5D9E8C">
            <w:pPr>
              <w:pStyle w:val="53"/>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w:t>
            </w:r>
          </w:p>
        </w:tc>
        <w:tc>
          <w:tcPr>
            <w:tcW w:w="773" w:type="pct"/>
          </w:tcPr>
          <w:p w14:paraId="6362163C">
            <w:pPr>
              <w:rPr>
                <w:rFonts w:asciiTheme="minorEastAsia" w:hAnsiTheme="minorEastAsia" w:eastAsiaTheme="minorEastAsia"/>
                <w:color w:val="auto"/>
                <w:sz w:val="24"/>
                <w:szCs w:val="24"/>
                <w:highlight w:val="none"/>
              </w:rPr>
            </w:pPr>
          </w:p>
        </w:tc>
        <w:tc>
          <w:tcPr>
            <w:tcW w:w="773" w:type="pct"/>
          </w:tcPr>
          <w:p w14:paraId="6275EABA">
            <w:pPr>
              <w:rPr>
                <w:rFonts w:asciiTheme="minorEastAsia" w:hAnsiTheme="minorEastAsia" w:eastAsiaTheme="minorEastAsia"/>
                <w:color w:val="auto"/>
                <w:sz w:val="24"/>
                <w:szCs w:val="24"/>
                <w:highlight w:val="none"/>
              </w:rPr>
            </w:pPr>
          </w:p>
        </w:tc>
        <w:tc>
          <w:tcPr>
            <w:tcW w:w="394" w:type="pct"/>
          </w:tcPr>
          <w:p w14:paraId="2BB2C175">
            <w:pPr>
              <w:rPr>
                <w:rFonts w:asciiTheme="minorEastAsia" w:hAnsiTheme="minorEastAsia" w:eastAsiaTheme="minorEastAsia"/>
                <w:color w:val="auto"/>
                <w:sz w:val="24"/>
                <w:szCs w:val="24"/>
                <w:highlight w:val="none"/>
              </w:rPr>
            </w:pPr>
          </w:p>
        </w:tc>
        <w:tc>
          <w:tcPr>
            <w:tcW w:w="394" w:type="pct"/>
          </w:tcPr>
          <w:p w14:paraId="3DA6BFD6">
            <w:pPr>
              <w:rPr>
                <w:rFonts w:asciiTheme="minorEastAsia" w:hAnsiTheme="minorEastAsia" w:eastAsiaTheme="minorEastAsia"/>
                <w:color w:val="auto"/>
                <w:sz w:val="24"/>
                <w:szCs w:val="24"/>
                <w:highlight w:val="none"/>
              </w:rPr>
            </w:pPr>
          </w:p>
        </w:tc>
        <w:tc>
          <w:tcPr>
            <w:tcW w:w="550" w:type="pct"/>
          </w:tcPr>
          <w:p w14:paraId="79A8E79F">
            <w:pPr>
              <w:rPr>
                <w:rFonts w:asciiTheme="minorEastAsia" w:hAnsiTheme="minorEastAsia" w:eastAsiaTheme="minorEastAsia"/>
                <w:color w:val="auto"/>
                <w:sz w:val="24"/>
                <w:szCs w:val="24"/>
                <w:highlight w:val="none"/>
              </w:rPr>
            </w:pPr>
          </w:p>
        </w:tc>
        <w:tc>
          <w:tcPr>
            <w:tcW w:w="550" w:type="pct"/>
          </w:tcPr>
          <w:p w14:paraId="7A8902A2">
            <w:pPr>
              <w:rPr>
                <w:rFonts w:asciiTheme="minorEastAsia" w:hAnsiTheme="minorEastAsia" w:eastAsiaTheme="minorEastAsia"/>
                <w:color w:val="auto"/>
                <w:sz w:val="24"/>
                <w:szCs w:val="24"/>
                <w:highlight w:val="none"/>
              </w:rPr>
            </w:pPr>
          </w:p>
        </w:tc>
        <w:tc>
          <w:tcPr>
            <w:tcW w:w="393" w:type="pct"/>
          </w:tcPr>
          <w:p w14:paraId="01E7F33A">
            <w:pPr>
              <w:rPr>
                <w:rFonts w:asciiTheme="minorEastAsia" w:hAnsiTheme="minorEastAsia" w:eastAsiaTheme="minorEastAsia"/>
                <w:color w:val="auto"/>
                <w:sz w:val="24"/>
                <w:szCs w:val="24"/>
                <w:highlight w:val="none"/>
              </w:rPr>
            </w:pPr>
          </w:p>
        </w:tc>
      </w:tr>
      <w:tr w14:paraId="6AC31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5A9EFA8A">
            <w:pPr>
              <w:jc w:val="center"/>
              <w:rPr>
                <w:rFonts w:asciiTheme="minorEastAsia" w:hAnsiTheme="minorEastAsia" w:eastAsiaTheme="minorEastAsia"/>
                <w:color w:val="auto"/>
                <w:sz w:val="24"/>
                <w:szCs w:val="24"/>
                <w:highlight w:val="none"/>
              </w:rPr>
            </w:pPr>
          </w:p>
        </w:tc>
        <w:tc>
          <w:tcPr>
            <w:tcW w:w="775" w:type="pct"/>
          </w:tcPr>
          <w:p w14:paraId="579624DD">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p>
        </w:tc>
        <w:tc>
          <w:tcPr>
            <w:tcW w:w="773" w:type="pct"/>
          </w:tcPr>
          <w:p w14:paraId="24683B10">
            <w:pPr>
              <w:rPr>
                <w:rFonts w:asciiTheme="minorEastAsia" w:hAnsiTheme="minorEastAsia" w:eastAsiaTheme="minorEastAsia"/>
                <w:color w:val="auto"/>
                <w:sz w:val="24"/>
                <w:szCs w:val="24"/>
                <w:highlight w:val="none"/>
              </w:rPr>
            </w:pPr>
          </w:p>
        </w:tc>
        <w:tc>
          <w:tcPr>
            <w:tcW w:w="773" w:type="pct"/>
          </w:tcPr>
          <w:p w14:paraId="1A046724">
            <w:pPr>
              <w:rPr>
                <w:rFonts w:asciiTheme="minorEastAsia" w:hAnsiTheme="minorEastAsia" w:eastAsiaTheme="minorEastAsia"/>
                <w:color w:val="auto"/>
                <w:sz w:val="24"/>
                <w:szCs w:val="24"/>
                <w:highlight w:val="none"/>
              </w:rPr>
            </w:pPr>
          </w:p>
        </w:tc>
        <w:tc>
          <w:tcPr>
            <w:tcW w:w="394" w:type="pct"/>
          </w:tcPr>
          <w:p w14:paraId="395B5745">
            <w:pPr>
              <w:rPr>
                <w:rFonts w:asciiTheme="minorEastAsia" w:hAnsiTheme="minorEastAsia" w:eastAsiaTheme="minorEastAsia"/>
                <w:color w:val="auto"/>
                <w:sz w:val="24"/>
                <w:szCs w:val="24"/>
                <w:highlight w:val="none"/>
              </w:rPr>
            </w:pPr>
          </w:p>
        </w:tc>
        <w:tc>
          <w:tcPr>
            <w:tcW w:w="394" w:type="pct"/>
          </w:tcPr>
          <w:p w14:paraId="427C58D2">
            <w:pPr>
              <w:rPr>
                <w:rFonts w:asciiTheme="minorEastAsia" w:hAnsiTheme="minorEastAsia" w:eastAsiaTheme="minorEastAsia"/>
                <w:color w:val="auto"/>
                <w:sz w:val="24"/>
                <w:szCs w:val="24"/>
                <w:highlight w:val="none"/>
              </w:rPr>
            </w:pPr>
          </w:p>
        </w:tc>
        <w:tc>
          <w:tcPr>
            <w:tcW w:w="550" w:type="pct"/>
          </w:tcPr>
          <w:p w14:paraId="7D28DED2">
            <w:pPr>
              <w:rPr>
                <w:rFonts w:asciiTheme="minorEastAsia" w:hAnsiTheme="minorEastAsia" w:eastAsiaTheme="minorEastAsia"/>
                <w:color w:val="auto"/>
                <w:sz w:val="24"/>
                <w:szCs w:val="24"/>
                <w:highlight w:val="none"/>
              </w:rPr>
            </w:pPr>
          </w:p>
        </w:tc>
        <w:tc>
          <w:tcPr>
            <w:tcW w:w="550" w:type="pct"/>
          </w:tcPr>
          <w:p w14:paraId="2945FD56">
            <w:pPr>
              <w:rPr>
                <w:rFonts w:asciiTheme="minorEastAsia" w:hAnsiTheme="minorEastAsia" w:eastAsiaTheme="minorEastAsia"/>
                <w:color w:val="auto"/>
                <w:sz w:val="24"/>
                <w:szCs w:val="24"/>
                <w:highlight w:val="none"/>
              </w:rPr>
            </w:pPr>
          </w:p>
        </w:tc>
        <w:tc>
          <w:tcPr>
            <w:tcW w:w="393" w:type="pct"/>
          </w:tcPr>
          <w:p w14:paraId="5F770DAB">
            <w:pPr>
              <w:rPr>
                <w:rFonts w:asciiTheme="minorEastAsia" w:hAnsiTheme="minorEastAsia" w:eastAsiaTheme="minorEastAsia"/>
                <w:color w:val="auto"/>
                <w:sz w:val="24"/>
                <w:szCs w:val="24"/>
                <w:highlight w:val="none"/>
              </w:rPr>
            </w:pPr>
          </w:p>
        </w:tc>
      </w:tr>
      <w:tr w14:paraId="691B4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505" w:type="pct"/>
            <w:gridSpan w:val="6"/>
            <w:vAlign w:val="center"/>
          </w:tcPr>
          <w:p w14:paraId="15E0A067">
            <w:pPr>
              <w:jc w:val="center"/>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合计（元）</w:t>
            </w:r>
          </w:p>
        </w:tc>
        <w:tc>
          <w:tcPr>
            <w:tcW w:w="1101" w:type="pct"/>
            <w:gridSpan w:val="2"/>
          </w:tcPr>
          <w:p w14:paraId="2F1D0C37">
            <w:pPr>
              <w:rPr>
                <w:rFonts w:asciiTheme="minorEastAsia" w:hAnsiTheme="minorEastAsia" w:eastAsiaTheme="minorEastAsia"/>
                <w:color w:val="auto"/>
                <w:sz w:val="24"/>
                <w:szCs w:val="24"/>
                <w:highlight w:val="none"/>
              </w:rPr>
            </w:pPr>
          </w:p>
        </w:tc>
        <w:tc>
          <w:tcPr>
            <w:tcW w:w="393" w:type="pct"/>
          </w:tcPr>
          <w:p w14:paraId="3C99F949">
            <w:pPr>
              <w:rPr>
                <w:rFonts w:asciiTheme="minorEastAsia" w:hAnsiTheme="minorEastAsia" w:eastAsiaTheme="minorEastAsia"/>
                <w:color w:val="auto"/>
                <w:sz w:val="24"/>
                <w:szCs w:val="24"/>
                <w:highlight w:val="none"/>
              </w:rPr>
            </w:pPr>
          </w:p>
        </w:tc>
      </w:tr>
    </w:tbl>
    <w:p w14:paraId="415AEF73">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供应商电子签章：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5AE62446">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14:paraId="20A37A0E">
      <w:pPr>
        <w:spacing w:line="360" w:lineRule="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lang w:eastAsia="zh-CN"/>
        </w:rPr>
        <w:t>注：</w:t>
      </w:r>
    </w:p>
    <w:p w14:paraId="187C2B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1.表中所列货物为对应本项目需求的货物(车辆) 出厂价、货物(车辆)运输费用、货物设备费、人工费、材料费(含主材及辅材) 、装卸费、运输费、安装费、调试费、管理费、利润、风险费用及国家对成交人征收的各种税费等所有一切费用。如有漏项或缺项，供应商承担全部责任。</w:t>
      </w:r>
    </w:p>
    <w:p w14:paraId="7FA6546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2.表中须明确列出所投产品的货物名称、品牌、型号、原产地及生产厂商，否则可能导致</w:t>
      </w:r>
      <w:r>
        <w:rPr>
          <w:rFonts w:hint="eastAsia" w:asciiTheme="minorEastAsia" w:hAnsiTheme="minorEastAsia" w:eastAsiaTheme="minorEastAsia"/>
          <w:b/>
          <w:bCs/>
          <w:color w:val="auto"/>
          <w:sz w:val="24"/>
          <w:highlight w:val="none"/>
        </w:rPr>
        <w:t>响应无效</w:t>
      </w:r>
      <w:r>
        <w:rPr>
          <w:rFonts w:hint="eastAsia" w:asciiTheme="minorEastAsia" w:hAnsiTheme="minorEastAsia" w:eastAsiaTheme="minorEastAsia"/>
          <w:color w:val="auto"/>
          <w:sz w:val="24"/>
          <w:highlight w:val="none"/>
        </w:rPr>
        <w:t>。</w:t>
      </w:r>
    </w:p>
    <w:p w14:paraId="454DEB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.任何有选择或有条件的报价，或者表中某一包别填写多个报价，均为无效报价。</w:t>
      </w:r>
    </w:p>
    <w:p w14:paraId="466DEFBB">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C7D6D65">
      <w:pPr>
        <w:spacing w:line="360" w:lineRule="auto"/>
        <w:jc w:val="center"/>
        <w:outlineLvl w:val="1"/>
        <w:rPr>
          <w:rFonts w:asciiTheme="minorEastAsia" w:hAnsiTheme="minorEastAsia" w:eastAsiaTheme="minorEastAsia"/>
          <w:b/>
          <w:color w:val="auto"/>
          <w:sz w:val="24"/>
          <w:highlight w:val="none"/>
        </w:rPr>
      </w:pPr>
      <w:bookmarkStart w:id="63" w:name="_Toc17882"/>
      <w:bookmarkStart w:id="64" w:name="_Toc26924"/>
      <w:r>
        <w:rPr>
          <w:rFonts w:hint="eastAsia" w:asciiTheme="minorEastAsia" w:hAnsiTheme="minorEastAsia" w:eastAsiaTheme="minorEastAsia"/>
          <w:b/>
          <w:color w:val="auto"/>
          <w:sz w:val="24"/>
          <w:highlight w:val="none"/>
        </w:rPr>
        <w:t>二、响应函</w:t>
      </w:r>
      <w:bookmarkEnd w:id="63"/>
      <w:bookmarkEnd w:id="64"/>
    </w:p>
    <w:p w14:paraId="3550FF94">
      <w:pPr>
        <w:pStyle w:val="15"/>
        <w:spacing w:line="360" w:lineRule="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致：</w:t>
      </w:r>
      <w:r>
        <w:rPr>
          <w:rFonts w:hint="eastAsia" w:asciiTheme="minorEastAsia" w:hAnsiTheme="minorEastAsia" w:eastAsiaTheme="minorEastAsia"/>
          <w:color w:val="auto"/>
          <w:sz w:val="24"/>
          <w:highlight w:val="none"/>
          <w:u w:val="none"/>
          <w:lang w:eastAsia="zh-CN"/>
        </w:rPr>
        <w:t>采购人</w:t>
      </w:r>
    </w:p>
    <w:p w14:paraId="3EA64CD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根据贵方的询价公告和询价邀请，我方兹宣布同意如下：</w:t>
      </w:r>
    </w:p>
    <w:p w14:paraId="71747CF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.我方根据询价通知书的规定，严格履行合同的责任和义务,并保证于买方要求的日期内完成，并通过买方验收。</w:t>
      </w:r>
    </w:p>
    <w:p w14:paraId="6EF770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.我方已详细审核全部询价通知书，包括询价通知书的澄清或修改（如有），参考资料及有关附件，我方正式认可并遵守本次询价通知书，并对询价通知书各项条款、规定及要求均无异议。</w:t>
      </w:r>
    </w:p>
    <w:p w14:paraId="041B804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.我方同意从询价通知书规定的响应文件提交截止日期起遵循本询价通知书，并在询价通知书规定的询价有效期之前均具有约束力。</w:t>
      </w:r>
    </w:p>
    <w:p w14:paraId="6DA50F4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响应文件所提供的一切资料均真实无误、及时、有效，企业运营正常。由于我方提供资料不实而造成的责任和后果由我方承担。我方同意按照贵方提出的要求，提供与响应文件有关的任何证据、数据或资料。</w:t>
      </w:r>
    </w:p>
    <w:p w14:paraId="724F3C90">
      <w:pPr>
        <w:spacing w:line="360" w:lineRule="auto"/>
        <w:ind w:firstLine="435"/>
        <w:rPr>
          <w:rFonts w:asciiTheme="minorEastAsia" w:hAnsiTheme="minorEastAsia" w:eastAsiaTheme="minorEastAsia"/>
          <w:color w:val="auto"/>
          <w:sz w:val="24"/>
          <w:highlight w:val="none"/>
        </w:rPr>
      </w:pPr>
    </w:p>
    <w:p w14:paraId="149A7FB9">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供应商电子签章：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086510D5">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14:paraId="23F3F882">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5D7C8721">
      <w:pPr>
        <w:spacing w:line="360" w:lineRule="auto"/>
        <w:jc w:val="center"/>
        <w:outlineLvl w:val="1"/>
        <w:rPr>
          <w:rFonts w:hint="eastAsia" w:asciiTheme="minorEastAsia" w:hAnsiTheme="minorEastAsia" w:eastAsiaTheme="minorEastAsia"/>
          <w:b/>
          <w:color w:val="auto"/>
          <w:sz w:val="24"/>
          <w:highlight w:val="none"/>
        </w:rPr>
      </w:pPr>
      <w:bookmarkStart w:id="65" w:name="_Toc963"/>
      <w:bookmarkStart w:id="66" w:name="_Toc27880"/>
      <w:r>
        <w:rPr>
          <w:rFonts w:hint="eastAsia" w:asciiTheme="minorEastAsia" w:hAnsiTheme="minorEastAsia" w:eastAsiaTheme="minorEastAsia"/>
          <w:b/>
          <w:color w:val="auto"/>
          <w:sz w:val="24"/>
          <w:highlight w:val="none"/>
          <w:lang w:val="en-US" w:eastAsia="zh-CN"/>
        </w:rPr>
        <w:t>三．供应商资格声明书</w:t>
      </w:r>
      <w:bookmarkEnd w:id="65"/>
      <w:r>
        <w:rPr>
          <w:rFonts w:hint="eastAsia" w:asciiTheme="minorEastAsia" w:hAnsiTheme="minorEastAsia" w:eastAsiaTheme="minorEastAsia"/>
          <w:b/>
          <w:color w:val="auto"/>
          <w:sz w:val="24"/>
          <w:highlight w:val="none"/>
          <w:lang w:val="en-US" w:eastAsia="zh-CN"/>
        </w:rPr>
        <w:t xml:space="preserve"> </w:t>
      </w:r>
    </w:p>
    <w:p w14:paraId="78776417">
      <w:pPr>
        <w:pStyle w:val="15"/>
        <w:spacing w:line="360" w:lineRule="auto"/>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none"/>
          <w:lang w:eastAsia="zh-CN"/>
        </w:rPr>
        <w:t>采购人</w:t>
      </w:r>
    </w:p>
    <w:p w14:paraId="5D96AF4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在参与本次项目询价中，我单位承诺：</w:t>
      </w:r>
    </w:p>
    <w:p w14:paraId="14B5B6F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154D2E1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19A6BBB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0244D77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FC0196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413B9E2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3001"/>
        <w:gridCol w:w="3392"/>
      </w:tblGrid>
      <w:tr w14:paraId="2092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37D0BC58">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3095" w:type="dxa"/>
            <w:vAlign w:val="center"/>
          </w:tcPr>
          <w:p w14:paraId="2D3303FB">
            <w:pPr>
              <w:pStyle w:val="10"/>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3500" w:type="dxa"/>
            <w:vAlign w:val="center"/>
          </w:tcPr>
          <w:p w14:paraId="63D835A3">
            <w:pPr>
              <w:pStyle w:val="10"/>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0D04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353E3056">
            <w:pPr>
              <w:pStyle w:val="10"/>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3095" w:type="dxa"/>
            <w:vAlign w:val="center"/>
          </w:tcPr>
          <w:p w14:paraId="6BE4F3A8">
            <w:pPr>
              <w:pStyle w:val="10"/>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3500" w:type="dxa"/>
            <w:vAlign w:val="center"/>
          </w:tcPr>
          <w:p w14:paraId="74BABD38">
            <w:pPr>
              <w:pStyle w:val="10"/>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56AE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34F142E2">
            <w:pPr>
              <w:pStyle w:val="10"/>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3095" w:type="dxa"/>
            <w:vAlign w:val="center"/>
          </w:tcPr>
          <w:p w14:paraId="6AC5F798">
            <w:pPr>
              <w:pStyle w:val="10"/>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3500" w:type="dxa"/>
            <w:vAlign w:val="center"/>
          </w:tcPr>
          <w:p w14:paraId="1B1DD143">
            <w:pPr>
              <w:pStyle w:val="10"/>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13659D3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4C4AFF3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EB459F5">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6F1054F">
      <w:pPr>
        <w:pStyle w:val="10"/>
        <w:rPr>
          <w:rFonts w:hint="eastAsia" w:asciiTheme="minorEastAsia" w:hAnsiTheme="minorEastAsia" w:eastAsiaTheme="minorEastAsia" w:cstheme="minorEastAsia"/>
          <w:color w:val="auto"/>
          <w:kern w:val="0"/>
          <w:sz w:val="24"/>
          <w:szCs w:val="24"/>
          <w:highlight w:val="none"/>
          <w:lang w:val="en-US" w:eastAsia="zh-CN" w:bidi="ar"/>
        </w:rPr>
      </w:pPr>
    </w:p>
    <w:p w14:paraId="2C7330EA">
      <w:pPr>
        <w:pStyle w:val="10"/>
        <w:rPr>
          <w:rFonts w:hint="eastAsia" w:asciiTheme="minorEastAsia" w:hAnsiTheme="minorEastAsia" w:eastAsiaTheme="minorEastAsia" w:cstheme="minorEastAsia"/>
          <w:color w:val="auto"/>
          <w:kern w:val="0"/>
          <w:sz w:val="24"/>
          <w:szCs w:val="24"/>
          <w:highlight w:val="none"/>
          <w:lang w:val="en-US" w:eastAsia="zh-CN" w:bidi="ar"/>
        </w:rPr>
      </w:pPr>
    </w:p>
    <w:p w14:paraId="61C3F9DB">
      <w:pPr>
        <w:pStyle w:val="10"/>
        <w:rPr>
          <w:rFonts w:hint="eastAsia" w:asciiTheme="minorEastAsia" w:hAnsiTheme="minorEastAsia" w:eastAsiaTheme="minorEastAsia" w:cstheme="minorEastAsia"/>
          <w:color w:val="auto"/>
          <w:kern w:val="0"/>
          <w:sz w:val="24"/>
          <w:szCs w:val="24"/>
          <w:highlight w:val="none"/>
          <w:lang w:val="en-US" w:eastAsia="zh-CN" w:bidi="ar"/>
        </w:rPr>
      </w:pPr>
    </w:p>
    <w:p w14:paraId="211C9C97">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26EA146E">
      <w:pPr>
        <w:spacing w:line="360" w:lineRule="auto"/>
        <w:jc w:val="center"/>
        <w:outlineLvl w:val="1"/>
        <w:rPr>
          <w:rFonts w:asciiTheme="minorEastAsia" w:hAnsiTheme="minorEastAsia" w:eastAsiaTheme="minorEastAsia"/>
          <w:b/>
          <w:color w:val="auto"/>
          <w:sz w:val="24"/>
          <w:highlight w:val="none"/>
        </w:rPr>
      </w:pPr>
      <w:bookmarkStart w:id="67" w:name="_Toc21371"/>
      <w:r>
        <w:rPr>
          <w:rFonts w:hint="eastAsia" w:asciiTheme="minorEastAsia" w:hAnsiTheme="minorEastAsia" w:eastAsiaTheme="minorEastAsia"/>
          <w:b/>
          <w:color w:val="auto"/>
          <w:sz w:val="24"/>
          <w:highlight w:val="none"/>
        </w:rPr>
        <w:t>四、授权书</w:t>
      </w:r>
      <w:bookmarkEnd w:id="66"/>
      <w:bookmarkEnd w:id="67"/>
    </w:p>
    <w:p w14:paraId="3503AC4A">
      <w:pPr>
        <w:pStyle w:val="14"/>
        <w:snapToGrid w:val="0"/>
        <w:spacing w:line="360" w:lineRule="auto"/>
        <w:ind w:firstLine="480" w:firstLineChars="200"/>
        <w:jc w:val="left"/>
        <w:rPr>
          <w:rFonts w:asciiTheme="minorEastAsia" w:hAnsiTheme="minorEastAsia"/>
          <w:color w:val="auto"/>
          <w:sz w:val="24"/>
          <w:szCs w:val="28"/>
          <w:highlight w:val="none"/>
        </w:rPr>
      </w:pPr>
    </w:p>
    <w:p w14:paraId="1A8FE97E">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asciiTheme="minorEastAsia" w:hAnsiTheme="minorEastAsia" w:eastAsiaTheme="minorEastAsia"/>
          <w:color w:val="auto"/>
          <w:sz w:val="24"/>
          <w:szCs w:val="28"/>
          <w:highlight w:val="none"/>
        </w:rPr>
        <w:t>书声明：</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（供应商名称）授权</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（供应商授权代表姓名）代表我方参加本项目</w:t>
      </w:r>
      <w:r>
        <w:rPr>
          <w:rFonts w:hint="eastAsia" w:asciiTheme="minorEastAsia" w:hAnsiTheme="minorEastAsia" w:eastAsiaTheme="minorEastAsia"/>
          <w:bCs/>
          <w:color w:val="auto"/>
          <w:sz w:val="24"/>
          <w:szCs w:val="28"/>
          <w:highlight w:val="none"/>
        </w:rPr>
        <w:t>采购活动</w:t>
      </w:r>
      <w:r>
        <w:rPr>
          <w:rFonts w:hint="eastAsia" w:asciiTheme="minorEastAsia" w:hAnsiTheme="minorEastAsia" w:eastAsiaTheme="minorEastAsia"/>
          <w:color w:val="auto"/>
          <w:sz w:val="24"/>
          <w:szCs w:val="28"/>
          <w:highlight w:val="none"/>
        </w:rPr>
        <w:t>，全权代表我方处理询价过程的一切事宜，包括但不限于：提交响应文件、谈判、签约等。供应商授权代表在询价过程中所签署的一切文件和处理与之有关的一切事务，我方均予以认可并对此承担责任。供应商授权代表无转委托权。特此授权。</w:t>
      </w:r>
    </w:p>
    <w:p w14:paraId="3241DF5A">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本授权书自出具之日起生效。</w:t>
      </w:r>
    </w:p>
    <w:p w14:paraId="33142EC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授权</w:t>
      </w:r>
      <w:r>
        <w:rPr>
          <w:rFonts w:hint="eastAsia" w:asciiTheme="minorEastAsia" w:hAnsiTheme="minorEastAsia" w:eastAsiaTheme="minorEastAsia"/>
          <w:color w:val="auto"/>
          <w:sz w:val="24"/>
          <w:highlight w:val="none"/>
        </w:rPr>
        <w:t>代表身份证明扫描件：</w:t>
      </w:r>
    </w:p>
    <w:p w14:paraId="17515BD0">
      <w:pPr>
        <w:spacing w:line="360" w:lineRule="auto"/>
        <w:ind w:firstLine="435"/>
        <w:rPr>
          <w:rFonts w:asciiTheme="minorEastAsia" w:hAnsiTheme="minorEastAsia" w:eastAsiaTheme="minorEastAsia"/>
          <w:color w:val="auto"/>
          <w:sz w:val="24"/>
          <w:highlight w:val="none"/>
        </w:rPr>
      </w:pPr>
    </w:p>
    <w:p w14:paraId="433C6BF3">
      <w:pPr>
        <w:spacing w:line="360" w:lineRule="auto"/>
        <w:ind w:firstLine="435"/>
        <w:rPr>
          <w:rFonts w:asciiTheme="minorEastAsia" w:hAnsiTheme="minorEastAsia" w:eastAsiaTheme="minorEastAsia"/>
          <w:color w:val="auto"/>
          <w:sz w:val="24"/>
          <w:highlight w:val="none"/>
        </w:rPr>
      </w:pPr>
    </w:p>
    <w:p w14:paraId="4C463E2D">
      <w:pPr>
        <w:spacing w:line="360" w:lineRule="auto"/>
        <w:ind w:firstLine="435"/>
        <w:rPr>
          <w:rFonts w:asciiTheme="minorEastAsia" w:hAnsiTheme="minorEastAsia" w:eastAsiaTheme="minorEastAsia"/>
          <w:color w:val="auto"/>
          <w:sz w:val="24"/>
          <w:highlight w:val="none"/>
        </w:rPr>
      </w:pPr>
    </w:p>
    <w:p w14:paraId="5C2F0935">
      <w:pPr>
        <w:spacing w:line="360" w:lineRule="auto"/>
        <w:ind w:firstLine="435"/>
        <w:rPr>
          <w:rFonts w:asciiTheme="minorEastAsia" w:hAnsiTheme="minorEastAsia" w:eastAsiaTheme="minorEastAsia"/>
          <w:color w:val="auto"/>
          <w:sz w:val="24"/>
          <w:highlight w:val="none"/>
        </w:rPr>
      </w:pPr>
    </w:p>
    <w:p w14:paraId="08274A62">
      <w:pPr>
        <w:spacing w:line="360" w:lineRule="auto"/>
        <w:ind w:firstLine="435"/>
        <w:rPr>
          <w:rFonts w:asciiTheme="minorEastAsia" w:hAnsiTheme="minorEastAsia" w:eastAsiaTheme="minorEastAsia"/>
          <w:color w:val="auto"/>
          <w:sz w:val="24"/>
          <w:highlight w:val="none"/>
        </w:rPr>
      </w:pPr>
    </w:p>
    <w:p w14:paraId="71073B9B">
      <w:pPr>
        <w:spacing w:line="360" w:lineRule="auto"/>
        <w:ind w:firstLine="435"/>
        <w:rPr>
          <w:rFonts w:asciiTheme="minorEastAsia" w:hAnsiTheme="minorEastAsia" w:eastAsiaTheme="minorEastAsia"/>
          <w:color w:val="auto"/>
          <w:sz w:val="24"/>
          <w:highlight w:val="none"/>
        </w:rPr>
      </w:pPr>
    </w:p>
    <w:p w14:paraId="54ECAAF8">
      <w:pPr>
        <w:spacing w:line="360" w:lineRule="auto"/>
        <w:ind w:firstLine="435"/>
        <w:rPr>
          <w:rFonts w:asciiTheme="minorEastAsia" w:hAnsiTheme="minorEastAsia" w:eastAsiaTheme="minorEastAsia"/>
          <w:color w:val="auto"/>
          <w:sz w:val="24"/>
          <w:highlight w:val="none"/>
        </w:rPr>
      </w:pPr>
    </w:p>
    <w:p w14:paraId="2F6A40D6">
      <w:pPr>
        <w:spacing w:line="360" w:lineRule="auto"/>
        <w:ind w:firstLine="435"/>
        <w:rPr>
          <w:rFonts w:asciiTheme="minorEastAsia" w:hAnsiTheme="minorEastAsia" w:eastAsiaTheme="minorEastAsia"/>
          <w:color w:val="auto"/>
          <w:sz w:val="24"/>
          <w:highlight w:val="none"/>
        </w:rPr>
      </w:pPr>
    </w:p>
    <w:p w14:paraId="1129A414">
      <w:pPr>
        <w:spacing w:line="360" w:lineRule="auto"/>
        <w:rPr>
          <w:rFonts w:asciiTheme="minorEastAsia" w:hAnsiTheme="minorEastAsia" w:eastAsiaTheme="minorEastAsia"/>
          <w:color w:val="auto"/>
          <w:sz w:val="24"/>
          <w:highlight w:val="none"/>
        </w:rPr>
      </w:pPr>
    </w:p>
    <w:p w14:paraId="49EA2F5B">
      <w:pPr>
        <w:spacing w:line="360" w:lineRule="auto"/>
        <w:ind w:firstLine="435"/>
        <w:rPr>
          <w:rFonts w:asciiTheme="minorEastAsia" w:hAnsiTheme="minorEastAsia" w:eastAsiaTheme="minorEastAsia"/>
          <w:color w:val="auto"/>
          <w:sz w:val="24"/>
          <w:szCs w:val="28"/>
          <w:highlight w:val="none"/>
          <w:u w:val="single"/>
          <w:lang w:val="zh-CN"/>
        </w:rPr>
      </w:pPr>
      <w:r>
        <w:rPr>
          <w:rFonts w:hint="eastAsia" w:asciiTheme="minorEastAsia" w:hAnsiTheme="minorEastAsia" w:eastAsiaTheme="minorEastAsia"/>
          <w:color w:val="auto"/>
          <w:sz w:val="24"/>
          <w:szCs w:val="28"/>
          <w:highlight w:val="none"/>
        </w:rPr>
        <w:t>授权代表联系方式：</w:t>
      </w:r>
      <w:r>
        <w:rPr>
          <w:rFonts w:hint="eastAsia" w:asciiTheme="minorEastAsia" w:hAnsiTheme="minorEastAsia" w:eastAsiaTheme="minorEastAsia"/>
          <w:color w:val="auto"/>
          <w:sz w:val="24"/>
          <w:szCs w:val="28"/>
          <w:highlight w:val="none"/>
          <w:u w:val="single"/>
        </w:rPr>
        <w:t xml:space="preserve">          （请填写手机号码）</w:t>
      </w:r>
    </w:p>
    <w:p w14:paraId="54D68C2F">
      <w:pPr>
        <w:spacing w:line="360" w:lineRule="auto"/>
        <w:ind w:firstLine="435"/>
        <w:rPr>
          <w:rFonts w:asciiTheme="minorEastAsia" w:hAnsiTheme="minorEastAsia" w:eastAsiaTheme="minorEastAsia"/>
          <w:color w:val="auto"/>
          <w:sz w:val="24"/>
          <w:szCs w:val="28"/>
          <w:highlight w:val="none"/>
          <w:lang w:val="zh-CN"/>
        </w:rPr>
      </w:pPr>
    </w:p>
    <w:p w14:paraId="49182260">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Theme="minorEastAsia" w:hAnsiTheme="minorEastAsia" w:eastAsiaTheme="minorEastAsia"/>
          <w:color w:val="auto"/>
          <w:sz w:val="24"/>
          <w:szCs w:val="28"/>
          <w:highlight w:val="none"/>
        </w:rPr>
        <w:t>声明。</w:t>
      </w:r>
    </w:p>
    <w:p w14:paraId="5D3E2D43">
      <w:pPr>
        <w:spacing w:line="360" w:lineRule="auto"/>
        <w:rPr>
          <w:rFonts w:asciiTheme="minorEastAsia" w:hAnsiTheme="minorEastAsia" w:eastAsiaTheme="minorEastAsia"/>
          <w:color w:val="auto"/>
          <w:sz w:val="24"/>
          <w:szCs w:val="28"/>
          <w:highlight w:val="none"/>
        </w:rPr>
      </w:pPr>
    </w:p>
    <w:p w14:paraId="4D9ECDAF">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供应商电子签章：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7F426869">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14:paraId="4A45634C">
      <w:pPr>
        <w:spacing w:line="360" w:lineRule="auto"/>
        <w:ind w:firstLine="435"/>
        <w:rPr>
          <w:rFonts w:asciiTheme="minorEastAsia" w:hAnsiTheme="minorEastAsia" w:eastAsiaTheme="minorEastAsia"/>
          <w:color w:val="auto"/>
          <w:sz w:val="24"/>
          <w:highlight w:val="none"/>
        </w:rPr>
      </w:pPr>
    </w:p>
    <w:p w14:paraId="7B3BBB78">
      <w:pPr>
        <w:spacing w:line="360" w:lineRule="auto"/>
        <w:ind w:firstLine="435"/>
        <w:rPr>
          <w:rFonts w:asciiTheme="minorEastAsia" w:hAnsiTheme="minorEastAsia" w:eastAsiaTheme="minorEastAsia"/>
          <w:color w:val="auto"/>
          <w:sz w:val="24"/>
          <w:highlight w:val="none"/>
        </w:rPr>
      </w:pPr>
    </w:p>
    <w:p w14:paraId="1BB54D25">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206E7F4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1.本项目只允许有唯一的供应商授权代表，提供身份证明扫描件；</w:t>
      </w:r>
    </w:p>
    <w:p w14:paraId="7449425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2.法定代表人参加询价的无需提供授权书，提供身份证明扫描件。</w:t>
      </w:r>
    </w:p>
    <w:p w14:paraId="2723C30E">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7F81D3F">
      <w:pPr>
        <w:spacing w:line="360" w:lineRule="auto"/>
        <w:jc w:val="center"/>
        <w:outlineLvl w:val="1"/>
        <w:rPr>
          <w:rFonts w:asciiTheme="minorEastAsia" w:hAnsiTheme="minorEastAsia" w:eastAsiaTheme="minorEastAsia"/>
          <w:b/>
          <w:color w:val="auto"/>
          <w:sz w:val="24"/>
          <w:highlight w:val="none"/>
        </w:rPr>
      </w:pPr>
      <w:bookmarkStart w:id="68" w:name="_Toc24321"/>
      <w:bookmarkStart w:id="69" w:name="_Toc14799"/>
      <w:r>
        <w:rPr>
          <w:rFonts w:hint="eastAsia" w:asciiTheme="minorEastAsia" w:hAnsiTheme="minorEastAsia" w:eastAsiaTheme="minorEastAsia"/>
          <w:b/>
          <w:color w:val="auto"/>
          <w:sz w:val="24"/>
          <w:highlight w:val="none"/>
        </w:rPr>
        <w:t>五、响应表</w:t>
      </w:r>
      <w:bookmarkEnd w:id="68"/>
      <w:bookmarkEnd w:id="69"/>
    </w:p>
    <w:p w14:paraId="5953E211">
      <w:pPr>
        <w:spacing w:line="360" w:lineRule="auto"/>
        <w:ind w:firstLine="435"/>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5.1</w:t>
      </w:r>
      <w:r>
        <w:rPr>
          <w:rFonts w:hint="eastAsia" w:asciiTheme="minorEastAsia" w:hAnsiTheme="minorEastAsia" w:eastAsiaTheme="minorEastAsia"/>
          <w:b/>
          <w:color w:val="auto"/>
          <w:sz w:val="24"/>
          <w:highlight w:val="none"/>
        </w:rPr>
        <w:t>商务响应表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916"/>
        <w:gridCol w:w="2497"/>
        <w:gridCol w:w="2575"/>
        <w:gridCol w:w="810"/>
      </w:tblGrid>
      <w:tr w14:paraId="6B918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14:paraId="57B16692">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26E80979">
            <w:pPr>
              <w:pStyle w:val="14"/>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6F9E09DD">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询价通知书要求</w:t>
            </w:r>
          </w:p>
        </w:tc>
        <w:tc>
          <w:tcPr>
            <w:tcW w:w="1511" w:type="pct"/>
            <w:vAlign w:val="center"/>
          </w:tcPr>
          <w:p w14:paraId="1D1DCBE1">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475" w:type="pct"/>
            <w:vAlign w:val="center"/>
          </w:tcPr>
          <w:p w14:paraId="1AB46974">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201C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752150AE">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4C914C45">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2F07C699">
            <w:pPr>
              <w:jc w:val="center"/>
              <w:rPr>
                <w:rFonts w:asciiTheme="minorEastAsia" w:hAnsiTheme="minorEastAsia" w:eastAsiaTheme="minorEastAsia"/>
                <w:color w:val="auto"/>
                <w:sz w:val="24"/>
                <w:highlight w:val="none"/>
              </w:rPr>
            </w:pPr>
          </w:p>
        </w:tc>
        <w:tc>
          <w:tcPr>
            <w:tcW w:w="1511" w:type="pct"/>
            <w:vAlign w:val="center"/>
          </w:tcPr>
          <w:p w14:paraId="00D331EF">
            <w:pPr>
              <w:jc w:val="center"/>
              <w:rPr>
                <w:rFonts w:asciiTheme="minorEastAsia" w:hAnsiTheme="minorEastAsia" w:eastAsiaTheme="minorEastAsia"/>
                <w:color w:val="auto"/>
                <w:sz w:val="24"/>
                <w:highlight w:val="none"/>
              </w:rPr>
            </w:pPr>
          </w:p>
        </w:tc>
        <w:tc>
          <w:tcPr>
            <w:tcW w:w="475" w:type="pct"/>
            <w:vAlign w:val="center"/>
          </w:tcPr>
          <w:p w14:paraId="36512751">
            <w:pPr>
              <w:jc w:val="center"/>
              <w:rPr>
                <w:rFonts w:asciiTheme="minorEastAsia" w:hAnsiTheme="minorEastAsia" w:eastAsiaTheme="minorEastAsia"/>
                <w:color w:val="auto"/>
                <w:sz w:val="24"/>
                <w:highlight w:val="none"/>
              </w:rPr>
            </w:pPr>
          </w:p>
        </w:tc>
      </w:tr>
      <w:tr w14:paraId="1898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2AA2980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7523EE9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供货及安装地点</w:t>
            </w:r>
          </w:p>
        </w:tc>
        <w:tc>
          <w:tcPr>
            <w:tcW w:w="1465" w:type="pct"/>
            <w:vAlign w:val="center"/>
          </w:tcPr>
          <w:p w14:paraId="3842DDAA">
            <w:pPr>
              <w:jc w:val="center"/>
              <w:rPr>
                <w:rFonts w:asciiTheme="minorEastAsia" w:hAnsiTheme="minorEastAsia" w:eastAsiaTheme="minorEastAsia"/>
                <w:color w:val="auto"/>
                <w:sz w:val="24"/>
                <w:highlight w:val="none"/>
              </w:rPr>
            </w:pPr>
          </w:p>
        </w:tc>
        <w:tc>
          <w:tcPr>
            <w:tcW w:w="1511" w:type="pct"/>
            <w:vAlign w:val="center"/>
          </w:tcPr>
          <w:p w14:paraId="038AF5E2">
            <w:pPr>
              <w:jc w:val="center"/>
              <w:rPr>
                <w:rFonts w:asciiTheme="minorEastAsia" w:hAnsiTheme="minorEastAsia" w:eastAsiaTheme="minorEastAsia"/>
                <w:color w:val="auto"/>
                <w:sz w:val="24"/>
                <w:highlight w:val="none"/>
              </w:rPr>
            </w:pPr>
          </w:p>
        </w:tc>
        <w:tc>
          <w:tcPr>
            <w:tcW w:w="475" w:type="pct"/>
            <w:vAlign w:val="center"/>
          </w:tcPr>
          <w:p w14:paraId="44B65698">
            <w:pPr>
              <w:jc w:val="center"/>
              <w:rPr>
                <w:rFonts w:asciiTheme="minorEastAsia" w:hAnsiTheme="minorEastAsia" w:eastAsiaTheme="minorEastAsia"/>
                <w:color w:val="auto"/>
                <w:sz w:val="24"/>
                <w:highlight w:val="none"/>
              </w:rPr>
            </w:pPr>
          </w:p>
        </w:tc>
      </w:tr>
      <w:tr w14:paraId="28A0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4D45C88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1984804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供货及安装期限</w:t>
            </w:r>
          </w:p>
        </w:tc>
        <w:tc>
          <w:tcPr>
            <w:tcW w:w="1465" w:type="pct"/>
            <w:vAlign w:val="center"/>
          </w:tcPr>
          <w:p w14:paraId="2DC93BCC">
            <w:pPr>
              <w:jc w:val="center"/>
              <w:rPr>
                <w:rFonts w:asciiTheme="minorEastAsia" w:hAnsiTheme="minorEastAsia" w:eastAsiaTheme="minorEastAsia"/>
                <w:color w:val="auto"/>
                <w:sz w:val="24"/>
                <w:highlight w:val="none"/>
              </w:rPr>
            </w:pPr>
          </w:p>
        </w:tc>
        <w:tc>
          <w:tcPr>
            <w:tcW w:w="1511" w:type="pct"/>
            <w:vAlign w:val="center"/>
          </w:tcPr>
          <w:p w14:paraId="1E939DAC">
            <w:pPr>
              <w:pStyle w:val="53"/>
              <w:jc w:val="center"/>
              <w:rPr>
                <w:rFonts w:asciiTheme="minorEastAsia" w:hAnsiTheme="minorEastAsia" w:eastAsiaTheme="minorEastAsia"/>
                <w:color w:val="auto"/>
                <w:highlight w:val="none"/>
              </w:rPr>
            </w:pPr>
          </w:p>
        </w:tc>
        <w:tc>
          <w:tcPr>
            <w:tcW w:w="475" w:type="pct"/>
            <w:vAlign w:val="center"/>
          </w:tcPr>
          <w:p w14:paraId="562AD800">
            <w:pPr>
              <w:jc w:val="center"/>
              <w:rPr>
                <w:rFonts w:asciiTheme="minorEastAsia" w:hAnsiTheme="minorEastAsia" w:eastAsiaTheme="minorEastAsia"/>
                <w:color w:val="auto"/>
                <w:sz w:val="24"/>
                <w:highlight w:val="none"/>
              </w:rPr>
            </w:pPr>
          </w:p>
        </w:tc>
      </w:tr>
      <w:tr w14:paraId="4644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4CFFD75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14:paraId="4BEB49C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免费质保期</w:t>
            </w:r>
          </w:p>
        </w:tc>
        <w:tc>
          <w:tcPr>
            <w:tcW w:w="1465" w:type="pct"/>
            <w:vAlign w:val="center"/>
          </w:tcPr>
          <w:p w14:paraId="5DA4AF39">
            <w:pPr>
              <w:jc w:val="center"/>
              <w:rPr>
                <w:rFonts w:asciiTheme="minorEastAsia" w:hAnsiTheme="minorEastAsia" w:eastAsiaTheme="minorEastAsia"/>
                <w:color w:val="auto"/>
                <w:sz w:val="24"/>
                <w:highlight w:val="none"/>
              </w:rPr>
            </w:pPr>
          </w:p>
        </w:tc>
        <w:tc>
          <w:tcPr>
            <w:tcW w:w="1511" w:type="pct"/>
            <w:vAlign w:val="center"/>
          </w:tcPr>
          <w:p w14:paraId="3AC8D83A">
            <w:pPr>
              <w:jc w:val="center"/>
              <w:rPr>
                <w:rFonts w:asciiTheme="minorEastAsia" w:hAnsiTheme="minorEastAsia" w:eastAsiaTheme="minorEastAsia"/>
                <w:color w:val="auto"/>
                <w:sz w:val="24"/>
                <w:highlight w:val="none"/>
              </w:rPr>
            </w:pPr>
          </w:p>
        </w:tc>
        <w:tc>
          <w:tcPr>
            <w:tcW w:w="475" w:type="pct"/>
            <w:vAlign w:val="center"/>
          </w:tcPr>
          <w:p w14:paraId="0A01B34B">
            <w:pPr>
              <w:jc w:val="center"/>
              <w:rPr>
                <w:rFonts w:asciiTheme="minorEastAsia" w:hAnsiTheme="minorEastAsia" w:eastAsiaTheme="minorEastAsia"/>
                <w:color w:val="auto"/>
                <w:sz w:val="24"/>
                <w:highlight w:val="none"/>
              </w:rPr>
            </w:pPr>
          </w:p>
        </w:tc>
      </w:tr>
      <w:tr w14:paraId="304E1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55DDC29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0A31A97F">
            <w:pPr>
              <w:jc w:val="center"/>
              <w:rPr>
                <w:rFonts w:asciiTheme="minorEastAsia" w:hAnsiTheme="minorEastAsia" w:eastAsiaTheme="minorEastAsia"/>
                <w:color w:val="auto"/>
                <w:sz w:val="24"/>
                <w:highlight w:val="none"/>
              </w:rPr>
            </w:pPr>
          </w:p>
        </w:tc>
        <w:tc>
          <w:tcPr>
            <w:tcW w:w="1465" w:type="pct"/>
            <w:vAlign w:val="center"/>
          </w:tcPr>
          <w:p w14:paraId="3FBAFCF7">
            <w:pPr>
              <w:jc w:val="center"/>
              <w:rPr>
                <w:rFonts w:asciiTheme="minorEastAsia" w:hAnsiTheme="minorEastAsia" w:eastAsiaTheme="minorEastAsia"/>
                <w:color w:val="auto"/>
                <w:sz w:val="24"/>
                <w:highlight w:val="none"/>
              </w:rPr>
            </w:pPr>
          </w:p>
        </w:tc>
        <w:tc>
          <w:tcPr>
            <w:tcW w:w="1511" w:type="pct"/>
            <w:vAlign w:val="center"/>
          </w:tcPr>
          <w:p w14:paraId="178D5337">
            <w:pPr>
              <w:jc w:val="center"/>
              <w:rPr>
                <w:rFonts w:asciiTheme="minorEastAsia" w:hAnsiTheme="minorEastAsia" w:eastAsiaTheme="minorEastAsia"/>
                <w:color w:val="auto"/>
                <w:sz w:val="24"/>
                <w:highlight w:val="none"/>
              </w:rPr>
            </w:pPr>
          </w:p>
        </w:tc>
        <w:tc>
          <w:tcPr>
            <w:tcW w:w="475" w:type="pct"/>
            <w:vAlign w:val="center"/>
          </w:tcPr>
          <w:p w14:paraId="35943F4D">
            <w:pPr>
              <w:jc w:val="center"/>
              <w:rPr>
                <w:rFonts w:asciiTheme="minorEastAsia" w:hAnsiTheme="minorEastAsia" w:eastAsiaTheme="minorEastAsia"/>
                <w:color w:val="auto"/>
                <w:sz w:val="24"/>
                <w:highlight w:val="none"/>
              </w:rPr>
            </w:pPr>
          </w:p>
        </w:tc>
      </w:tr>
    </w:tbl>
    <w:p w14:paraId="4282A5BC">
      <w:pPr>
        <w:spacing w:line="360" w:lineRule="auto"/>
        <w:ind w:firstLine="435"/>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5.2</w:t>
      </w:r>
      <w:r>
        <w:rPr>
          <w:rFonts w:hint="eastAsia" w:asciiTheme="minorEastAsia" w:hAnsiTheme="minorEastAsia" w:eastAsiaTheme="minorEastAsia"/>
          <w:b/>
          <w:color w:val="auto"/>
          <w:sz w:val="24"/>
          <w:highlight w:val="none"/>
        </w:rPr>
        <w:t>技术响应表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01B4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19C7A5CC">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6AC2599F">
            <w:pPr>
              <w:pStyle w:val="14"/>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5110C7BA">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询价通知书规定的技术参数要求</w:t>
            </w:r>
          </w:p>
        </w:tc>
        <w:tc>
          <w:tcPr>
            <w:tcW w:w="1456" w:type="pct"/>
            <w:vAlign w:val="center"/>
          </w:tcPr>
          <w:p w14:paraId="08F45759">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1C3D3C94">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7AB3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BD1F7BC">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0EA5C89A">
            <w:pPr>
              <w:jc w:val="center"/>
              <w:rPr>
                <w:rFonts w:asciiTheme="minorEastAsia" w:hAnsiTheme="minorEastAsia" w:eastAsiaTheme="minorEastAsia"/>
                <w:color w:val="auto"/>
                <w:sz w:val="24"/>
                <w:highlight w:val="none"/>
              </w:rPr>
            </w:pPr>
          </w:p>
        </w:tc>
        <w:tc>
          <w:tcPr>
            <w:tcW w:w="1680" w:type="pct"/>
            <w:vAlign w:val="center"/>
          </w:tcPr>
          <w:p w14:paraId="3A2D3B1F">
            <w:pPr>
              <w:jc w:val="center"/>
              <w:rPr>
                <w:rFonts w:asciiTheme="minorEastAsia" w:hAnsiTheme="minorEastAsia" w:eastAsiaTheme="minorEastAsia"/>
                <w:color w:val="auto"/>
                <w:sz w:val="24"/>
                <w:highlight w:val="none"/>
              </w:rPr>
            </w:pPr>
          </w:p>
        </w:tc>
        <w:tc>
          <w:tcPr>
            <w:tcW w:w="1456" w:type="pct"/>
            <w:vAlign w:val="center"/>
          </w:tcPr>
          <w:p w14:paraId="19FFB41E">
            <w:pPr>
              <w:jc w:val="center"/>
              <w:rPr>
                <w:rFonts w:asciiTheme="minorEastAsia" w:hAnsiTheme="minorEastAsia" w:eastAsiaTheme="minorEastAsia"/>
                <w:color w:val="auto"/>
                <w:sz w:val="24"/>
                <w:highlight w:val="none"/>
              </w:rPr>
            </w:pPr>
          </w:p>
        </w:tc>
        <w:tc>
          <w:tcPr>
            <w:tcW w:w="502" w:type="pct"/>
            <w:vAlign w:val="center"/>
          </w:tcPr>
          <w:p w14:paraId="1E00C2F1">
            <w:pPr>
              <w:jc w:val="center"/>
              <w:rPr>
                <w:rFonts w:asciiTheme="minorEastAsia" w:hAnsiTheme="minorEastAsia" w:eastAsiaTheme="minorEastAsia"/>
                <w:color w:val="auto"/>
                <w:sz w:val="24"/>
                <w:highlight w:val="none"/>
              </w:rPr>
            </w:pPr>
          </w:p>
        </w:tc>
      </w:tr>
      <w:tr w14:paraId="36E4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9C3E06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616D0535">
            <w:pPr>
              <w:jc w:val="center"/>
              <w:rPr>
                <w:rFonts w:asciiTheme="minorEastAsia" w:hAnsiTheme="minorEastAsia" w:eastAsiaTheme="minorEastAsia"/>
                <w:color w:val="auto"/>
                <w:sz w:val="24"/>
                <w:highlight w:val="none"/>
              </w:rPr>
            </w:pPr>
          </w:p>
        </w:tc>
        <w:tc>
          <w:tcPr>
            <w:tcW w:w="1680" w:type="pct"/>
            <w:vAlign w:val="center"/>
          </w:tcPr>
          <w:p w14:paraId="1A9717FF">
            <w:pPr>
              <w:jc w:val="center"/>
              <w:rPr>
                <w:rFonts w:asciiTheme="minorEastAsia" w:hAnsiTheme="minorEastAsia" w:eastAsiaTheme="minorEastAsia"/>
                <w:color w:val="auto"/>
                <w:sz w:val="24"/>
                <w:highlight w:val="none"/>
              </w:rPr>
            </w:pPr>
          </w:p>
        </w:tc>
        <w:tc>
          <w:tcPr>
            <w:tcW w:w="1456" w:type="pct"/>
            <w:vAlign w:val="center"/>
          </w:tcPr>
          <w:p w14:paraId="21B8BF16">
            <w:pPr>
              <w:jc w:val="center"/>
              <w:rPr>
                <w:rFonts w:asciiTheme="minorEastAsia" w:hAnsiTheme="minorEastAsia" w:eastAsiaTheme="minorEastAsia"/>
                <w:color w:val="auto"/>
                <w:sz w:val="24"/>
                <w:highlight w:val="none"/>
              </w:rPr>
            </w:pPr>
          </w:p>
        </w:tc>
        <w:tc>
          <w:tcPr>
            <w:tcW w:w="502" w:type="pct"/>
            <w:vAlign w:val="center"/>
          </w:tcPr>
          <w:p w14:paraId="787C5195">
            <w:pPr>
              <w:jc w:val="center"/>
              <w:rPr>
                <w:rFonts w:asciiTheme="minorEastAsia" w:hAnsiTheme="minorEastAsia" w:eastAsiaTheme="minorEastAsia"/>
                <w:color w:val="auto"/>
                <w:sz w:val="24"/>
                <w:highlight w:val="none"/>
              </w:rPr>
            </w:pPr>
          </w:p>
        </w:tc>
      </w:tr>
      <w:tr w14:paraId="06B2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09B415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340BB275">
            <w:pPr>
              <w:jc w:val="center"/>
              <w:rPr>
                <w:rFonts w:asciiTheme="minorEastAsia" w:hAnsiTheme="minorEastAsia" w:eastAsiaTheme="minorEastAsia"/>
                <w:color w:val="auto"/>
                <w:sz w:val="24"/>
                <w:highlight w:val="none"/>
              </w:rPr>
            </w:pPr>
          </w:p>
        </w:tc>
        <w:tc>
          <w:tcPr>
            <w:tcW w:w="1680" w:type="pct"/>
            <w:vAlign w:val="center"/>
          </w:tcPr>
          <w:p w14:paraId="7434B721">
            <w:pPr>
              <w:jc w:val="center"/>
              <w:rPr>
                <w:rFonts w:asciiTheme="minorEastAsia" w:hAnsiTheme="minorEastAsia" w:eastAsiaTheme="minorEastAsia"/>
                <w:color w:val="auto"/>
                <w:sz w:val="24"/>
                <w:highlight w:val="none"/>
              </w:rPr>
            </w:pPr>
          </w:p>
        </w:tc>
        <w:tc>
          <w:tcPr>
            <w:tcW w:w="1456" w:type="pct"/>
            <w:vAlign w:val="center"/>
          </w:tcPr>
          <w:p w14:paraId="322289E2">
            <w:pPr>
              <w:pStyle w:val="53"/>
              <w:jc w:val="center"/>
              <w:rPr>
                <w:rFonts w:asciiTheme="minorEastAsia" w:hAnsiTheme="minorEastAsia" w:eastAsiaTheme="minorEastAsia"/>
                <w:color w:val="auto"/>
                <w:highlight w:val="none"/>
              </w:rPr>
            </w:pPr>
          </w:p>
        </w:tc>
        <w:tc>
          <w:tcPr>
            <w:tcW w:w="502" w:type="pct"/>
            <w:vAlign w:val="center"/>
          </w:tcPr>
          <w:p w14:paraId="220A2041">
            <w:pPr>
              <w:jc w:val="center"/>
              <w:rPr>
                <w:rFonts w:asciiTheme="minorEastAsia" w:hAnsiTheme="minorEastAsia" w:eastAsiaTheme="minorEastAsia"/>
                <w:color w:val="auto"/>
                <w:sz w:val="24"/>
                <w:highlight w:val="none"/>
              </w:rPr>
            </w:pPr>
          </w:p>
        </w:tc>
      </w:tr>
      <w:tr w14:paraId="6BAEF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32C215C">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198478DD">
            <w:pPr>
              <w:jc w:val="center"/>
              <w:rPr>
                <w:rFonts w:asciiTheme="minorEastAsia" w:hAnsiTheme="minorEastAsia" w:eastAsiaTheme="minorEastAsia"/>
                <w:color w:val="auto"/>
                <w:sz w:val="24"/>
                <w:highlight w:val="none"/>
              </w:rPr>
            </w:pPr>
          </w:p>
        </w:tc>
        <w:tc>
          <w:tcPr>
            <w:tcW w:w="1680" w:type="pct"/>
            <w:vAlign w:val="center"/>
          </w:tcPr>
          <w:p w14:paraId="4C922F62">
            <w:pPr>
              <w:jc w:val="center"/>
              <w:rPr>
                <w:rFonts w:asciiTheme="minorEastAsia" w:hAnsiTheme="minorEastAsia" w:eastAsiaTheme="minorEastAsia"/>
                <w:color w:val="auto"/>
                <w:sz w:val="24"/>
                <w:highlight w:val="none"/>
              </w:rPr>
            </w:pPr>
          </w:p>
        </w:tc>
        <w:tc>
          <w:tcPr>
            <w:tcW w:w="1456" w:type="pct"/>
            <w:vAlign w:val="center"/>
          </w:tcPr>
          <w:p w14:paraId="26D0C14C">
            <w:pPr>
              <w:pStyle w:val="53"/>
              <w:jc w:val="center"/>
              <w:rPr>
                <w:rFonts w:asciiTheme="minorEastAsia" w:hAnsiTheme="minorEastAsia" w:eastAsiaTheme="minorEastAsia"/>
                <w:color w:val="auto"/>
                <w:highlight w:val="none"/>
              </w:rPr>
            </w:pPr>
          </w:p>
        </w:tc>
        <w:tc>
          <w:tcPr>
            <w:tcW w:w="502" w:type="pct"/>
            <w:vAlign w:val="center"/>
          </w:tcPr>
          <w:p w14:paraId="7FF21668">
            <w:pPr>
              <w:jc w:val="center"/>
              <w:rPr>
                <w:rFonts w:asciiTheme="minorEastAsia" w:hAnsiTheme="minorEastAsia" w:eastAsiaTheme="minorEastAsia"/>
                <w:color w:val="auto"/>
                <w:sz w:val="24"/>
                <w:highlight w:val="none"/>
              </w:rPr>
            </w:pPr>
          </w:p>
        </w:tc>
      </w:tr>
      <w:tr w14:paraId="2F4A4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93AAF5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731DD75F">
            <w:pPr>
              <w:jc w:val="center"/>
              <w:rPr>
                <w:rFonts w:asciiTheme="minorEastAsia" w:hAnsiTheme="minorEastAsia" w:eastAsiaTheme="minorEastAsia"/>
                <w:color w:val="auto"/>
                <w:sz w:val="24"/>
                <w:highlight w:val="none"/>
              </w:rPr>
            </w:pPr>
          </w:p>
        </w:tc>
        <w:tc>
          <w:tcPr>
            <w:tcW w:w="1680" w:type="pct"/>
            <w:vAlign w:val="center"/>
          </w:tcPr>
          <w:p w14:paraId="51368FEB">
            <w:pPr>
              <w:jc w:val="center"/>
              <w:rPr>
                <w:rFonts w:asciiTheme="minorEastAsia" w:hAnsiTheme="minorEastAsia" w:eastAsiaTheme="minorEastAsia"/>
                <w:color w:val="auto"/>
                <w:sz w:val="24"/>
                <w:highlight w:val="none"/>
              </w:rPr>
            </w:pPr>
          </w:p>
        </w:tc>
        <w:tc>
          <w:tcPr>
            <w:tcW w:w="1456" w:type="pct"/>
            <w:vAlign w:val="center"/>
          </w:tcPr>
          <w:p w14:paraId="70C29E8D">
            <w:pPr>
              <w:jc w:val="center"/>
              <w:rPr>
                <w:rFonts w:asciiTheme="minorEastAsia" w:hAnsiTheme="minorEastAsia" w:eastAsiaTheme="minorEastAsia"/>
                <w:color w:val="auto"/>
                <w:sz w:val="24"/>
                <w:highlight w:val="none"/>
              </w:rPr>
            </w:pPr>
          </w:p>
        </w:tc>
        <w:tc>
          <w:tcPr>
            <w:tcW w:w="502" w:type="pct"/>
            <w:vAlign w:val="center"/>
          </w:tcPr>
          <w:p w14:paraId="373D812C">
            <w:pPr>
              <w:jc w:val="center"/>
              <w:rPr>
                <w:rFonts w:asciiTheme="minorEastAsia" w:hAnsiTheme="minorEastAsia" w:eastAsiaTheme="minorEastAsia"/>
                <w:color w:val="auto"/>
                <w:sz w:val="24"/>
                <w:highlight w:val="none"/>
              </w:rPr>
            </w:pPr>
          </w:p>
        </w:tc>
      </w:tr>
    </w:tbl>
    <w:p w14:paraId="50E2A998">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供应商电子签章：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661CB059">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14:paraId="4B898E63">
      <w:pPr>
        <w:pStyle w:val="15"/>
        <w:spacing w:line="360" w:lineRule="auto"/>
        <w:rPr>
          <w:rFonts w:asciiTheme="minorEastAsia" w:hAnsiTheme="minorEastAsia" w:eastAsiaTheme="minorEastAsia"/>
          <w:b w:val="0"/>
          <w:color w:val="auto"/>
          <w:sz w:val="24"/>
          <w:highlight w:val="none"/>
        </w:rPr>
      </w:pPr>
    </w:p>
    <w:p w14:paraId="2B27EA59">
      <w:pPr>
        <w:pStyle w:val="15"/>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2790DA96">
      <w:pPr>
        <w:spacing w:line="360" w:lineRule="auto"/>
        <w:jc w:val="center"/>
        <w:outlineLvl w:val="1"/>
        <w:rPr>
          <w:rFonts w:hint="eastAsia" w:asciiTheme="minorEastAsia" w:hAnsiTheme="minorEastAsia" w:eastAsiaTheme="minorEastAsia"/>
          <w:b/>
          <w:color w:val="auto"/>
          <w:sz w:val="24"/>
          <w:highlight w:val="none"/>
          <w:lang w:eastAsia="zh-CN"/>
        </w:rPr>
      </w:pPr>
      <w:bookmarkStart w:id="70" w:name="_Toc5390"/>
      <w:bookmarkStart w:id="71" w:name="_Toc10896"/>
      <w:r>
        <w:rPr>
          <w:rFonts w:hint="eastAsia" w:asciiTheme="minorEastAsia" w:hAnsiTheme="minorEastAsia" w:eastAsiaTheme="minorEastAsia"/>
          <w:b/>
          <w:color w:val="auto"/>
          <w:sz w:val="24"/>
          <w:highlight w:val="none"/>
          <w:lang w:eastAsia="zh-CN"/>
        </w:rPr>
        <w:t>六</w:t>
      </w:r>
      <w:r>
        <w:rPr>
          <w:rFonts w:hint="eastAsia" w:asciiTheme="minorEastAsia" w:hAnsiTheme="minorEastAsia" w:eastAsiaTheme="minorEastAsia"/>
          <w:b/>
          <w:color w:val="auto"/>
          <w:sz w:val="24"/>
          <w:highlight w:val="none"/>
        </w:rPr>
        <w:t>、</w:t>
      </w:r>
      <w:bookmarkEnd w:id="70"/>
      <w:bookmarkEnd w:id="71"/>
      <w:r>
        <w:rPr>
          <w:rFonts w:hint="eastAsia" w:asciiTheme="minorEastAsia" w:hAnsiTheme="minorEastAsia" w:eastAsiaTheme="minorEastAsia"/>
          <w:b/>
          <w:color w:val="auto"/>
          <w:sz w:val="24"/>
          <w:highlight w:val="none"/>
        </w:rPr>
        <w:t>诚信响应承诺书</w:t>
      </w:r>
    </w:p>
    <w:p w14:paraId="7A07E347">
      <w:pPr>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本人以企业法定代表人的身份郑重承诺：</w:t>
      </w:r>
    </w:p>
    <w:p w14:paraId="1D1F9C42">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一、将遵循公开、公正和诚实信用的原则自愿参加</w:t>
      </w:r>
      <w:r>
        <w:rPr>
          <w:rFonts w:hint="eastAsia" w:ascii="宋体" w:hAnsi="宋体" w:eastAsia="宋体" w:cs="宋体"/>
          <w:color w:val="auto"/>
          <w:sz w:val="24"/>
          <w:szCs w:val="24"/>
          <w:highlight w:val="none"/>
          <w:u w:val="single" w:color="auto"/>
        </w:rPr>
        <w:t xml:space="preserve">       （项目名称）         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，所提供的一切材料都是真实、有效、合法的；</w:t>
      </w:r>
    </w:p>
    <w:p w14:paraId="11A74328">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477D71D2">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三、不出借、转让资质证书，不让他人挂靠，不以他人名义或者以其他方式弄虚作假，骗取成交；</w:t>
      </w:r>
    </w:p>
    <w:p w14:paraId="44898451">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四、不与其他供应商相互串通响应报价，不排挤其他供应商的公平竞争、损害采购人的合法权益；</w:t>
      </w:r>
    </w:p>
    <w:p w14:paraId="16E17C02">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五、不与采购人、采购代理机构或其他供应商串通响应，损害国家利益、社会公共利益或者他人的合法权益；</w:t>
      </w:r>
    </w:p>
    <w:p w14:paraId="4520F489">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六、我公司没有下列情形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52C2D314">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七、严格遵守</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开启现场纪律，服从监管人员管理；</w:t>
      </w:r>
    </w:p>
    <w:p w14:paraId="02915461">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八、保证成交后不转包，若有分包征得采购人同意；</w:t>
      </w:r>
    </w:p>
    <w:p w14:paraId="4AF2A7FE">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九、保证成交之后，按照采购文件要求提供相关后续服务；</w:t>
      </w:r>
    </w:p>
    <w:p w14:paraId="4A92E7D1">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十、保证企业及所属相关人员在本次响应中无行贿等犯罪行为；</w:t>
      </w:r>
    </w:p>
    <w:p w14:paraId="7AE28026">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如在采购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0A2D39E9">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以上内容我已仔细阅读，本公司若有违反承诺内容的行为，自愿接受取消响应或者成交资格、成交无效、记入不良行为记录等有关处理，愿意承担法律责任，给采购人造成损失的，依法承担赔偿责任。</w:t>
      </w:r>
    </w:p>
    <w:p w14:paraId="5FF2CEBB">
      <w:pPr>
        <w:spacing w:line="560" w:lineRule="exact"/>
        <w:ind w:firstLine="480" w:firstLineChars="200"/>
        <w:jc w:val="left"/>
        <w:rPr>
          <w:rFonts w:hint="eastAsia" w:ascii="宋体" w:hAnsi="宋体" w:eastAsia="宋体" w:cs="宋体"/>
          <w:color w:val="auto"/>
          <w:sz w:val="24"/>
          <w:szCs w:val="24"/>
          <w:highlight w:val="none"/>
        </w:rPr>
      </w:pPr>
    </w:p>
    <w:p w14:paraId="710D7F3C">
      <w:pPr>
        <w:spacing w:line="520" w:lineRule="exact"/>
        <w:jc w:val="left"/>
        <w:rPr>
          <w:rFonts w:hint="eastAsia" w:ascii="宋体" w:hAnsi="宋体" w:eastAsia="宋体" w:cs="宋体"/>
          <w:color w:val="auto"/>
          <w:sz w:val="24"/>
          <w:szCs w:val="24"/>
          <w:highlight w:val="none"/>
        </w:rPr>
      </w:pPr>
    </w:p>
    <w:p w14:paraId="7C6EE76C">
      <w:pPr>
        <w:spacing w:line="6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基本账户：</w:t>
      </w:r>
    </w:p>
    <w:p w14:paraId="483D413D">
      <w:pPr>
        <w:spacing w:line="6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供应商（签章）：             法定代表人（签章）：</w:t>
      </w:r>
    </w:p>
    <w:p w14:paraId="729A769E">
      <w:pPr>
        <w:spacing w:line="600" w:lineRule="exact"/>
        <w:ind w:firstLine="4095" w:firstLineChars="1950"/>
        <w:rPr>
          <w:rFonts w:hint="eastAsia" w:ascii="宋体" w:hAnsi="宋体"/>
          <w:color w:val="auto"/>
          <w:szCs w:val="21"/>
          <w:highlight w:val="none"/>
        </w:rPr>
      </w:pPr>
    </w:p>
    <w:p w14:paraId="00BE1A8C">
      <w:pPr>
        <w:spacing w:line="600" w:lineRule="exact"/>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0A8EA1E4">
      <w:pPr>
        <w:spacing w:line="360" w:lineRule="auto"/>
        <w:ind w:right="480" w:firstLine="4680" w:firstLineChars="1950"/>
        <w:rPr>
          <w:rFonts w:asciiTheme="minorEastAsia" w:hAnsiTheme="minorEastAsia" w:eastAsiaTheme="minorEastAsia"/>
          <w:color w:val="auto"/>
          <w:sz w:val="24"/>
          <w:highlight w:val="none"/>
        </w:rPr>
      </w:pPr>
    </w:p>
    <w:p w14:paraId="7FFC557A">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p w14:paraId="6CE9D839">
      <w:pPr>
        <w:spacing w:line="360" w:lineRule="auto"/>
        <w:jc w:val="center"/>
        <w:outlineLvl w:val="1"/>
        <w:rPr>
          <w:rFonts w:asciiTheme="minorEastAsia" w:hAnsiTheme="minorEastAsia" w:eastAsiaTheme="minorEastAsia"/>
          <w:b/>
          <w:color w:val="auto"/>
          <w:sz w:val="24"/>
          <w:highlight w:val="none"/>
        </w:rPr>
      </w:pPr>
      <w:bookmarkStart w:id="72" w:name="_Toc16514"/>
      <w:r>
        <w:rPr>
          <w:rFonts w:hint="eastAsia" w:asciiTheme="minorEastAsia" w:hAnsiTheme="minorEastAsia" w:eastAsiaTheme="minorEastAsia"/>
          <w:b/>
          <w:color w:val="auto"/>
          <w:sz w:val="24"/>
          <w:highlight w:val="none"/>
          <w:lang w:val="en-US" w:eastAsia="zh-CN"/>
        </w:rPr>
        <w:t>七．</w:t>
      </w:r>
      <w:bookmarkEnd w:id="72"/>
      <w:bookmarkStart w:id="73" w:name="_Toc27991"/>
      <w:bookmarkStart w:id="74" w:name="_Toc3004"/>
      <w:bookmarkStart w:id="75" w:name="_Hlk60606033"/>
      <w:r>
        <w:rPr>
          <w:rFonts w:hint="eastAsia" w:asciiTheme="minorEastAsia" w:hAnsiTheme="minorEastAsia" w:eastAsiaTheme="minorEastAsia"/>
          <w:b/>
          <w:color w:val="auto"/>
          <w:sz w:val="24"/>
          <w:highlight w:val="none"/>
        </w:rPr>
        <w:t>中小企业声明函</w:t>
      </w:r>
      <w:bookmarkEnd w:id="73"/>
      <w:bookmarkEnd w:id="74"/>
    </w:p>
    <w:p w14:paraId="7007CDAE">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w:t>
      </w:r>
      <w:r>
        <w:rPr>
          <w:rFonts w:hint="eastAsia" w:ascii="宋体" w:hAnsi="宋体" w:eastAsia="宋体"/>
          <w:b w:val="0"/>
          <w:i/>
          <w:color w:val="auto"/>
          <w:sz w:val="24"/>
          <w:highlight w:val="none"/>
          <w:lang w:val="en-US" w:eastAsia="zh-CN"/>
        </w:rPr>
        <w:t>询价，不需此件，请删去“中小企业声明函”）</w:t>
      </w:r>
    </w:p>
    <w:p w14:paraId="2B0E5EF9">
      <w:pPr>
        <w:pStyle w:val="23"/>
        <w:keepNext w:val="0"/>
        <w:keepLines w:val="0"/>
        <w:pageBreakBefore w:val="0"/>
        <w:widowControl/>
        <w:suppressLineNumbers w:val="0"/>
        <w:kinsoku/>
        <w:wordWrap/>
        <w:overflowPunct/>
        <w:topLinePunct w:val="0"/>
        <w:autoSpaceDE/>
        <w:autoSpaceDN/>
        <w:bidi w:val="0"/>
        <w:adjustRightInd/>
        <w:snapToGrid/>
        <w:ind w:firstLine="480" w:firstLineChars="200"/>
        <w:textAlignment w:val="auto"/>
        <w:rPr>
          <w:rFonts w:ascii="宋体" w:hAnsi="宋体" w:eastAsia="宋体"/>
          <w:color w:val="auto"/>
          <w:sz w:val="24"/>
          <w:szCs w:val="24"/>
          <w:highlight w:val="none"/>
          <w:lang w:val="zh-CN"/>
        </w:rPr>
      </w:pPr>
      <w:bookmarkStart w:id="76" w:name="OLE_LINK13"/>
      <w:bookmarkStart w:id="77" w:name="OLE_LINK14"/>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w:t>
      </w:r>
      <w:r>
        <w:rPr>
          <w:rFonts w:hint="default" w:ascii="宋体" w:hAnsi="宋体" w:eastAsia="宋体"/>
          <w:color w:val="auto"/>
          <w:sz w:val="24"/>
          <w:szCs w:val="24"/>
          <w:highlight w:val="none"/>
          <w:u w:val="single"/>
          <w:lang w:val="zh-CN"/>
        </w:rPr>
        <w:t>单位名称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7A0CD22D">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u w:val="single"/>
          <w:lang w:val="en-US" w:eastAsia="zh-CN"/>
        </w:rPr>
        <w:t>询价通知书</w:t>
      </w:r>
      <w:r>
        <w:rPr>
          <w:rFonts w:hint="eastAsia" w:ascii="宋体" w:hAnsi="宋体" w:eastAsia="宋体"/>
          <w:color w:val="auto"/>
          <w:sz w:val="24"/>
          <w:szCs w:val="24"/>
          <w:highlight w:val="none"/>
          <w:u w:val="single"/>
          <w:lang w:val="zh-CN"/>
        </w:rPr>
        <w:t>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74A9CA81">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u w:val="single"/>
          <w:lang w:val="en-US" w:eastAsia="zh-CN"/>
        </w:rPr>
        <w:t>询价通知书</w:t>
      </w:r>
      <w:r>
        <w:rPr>
          <w:rFonts w:hint="eastAsia" w:ascii="宋体" w:hAnsi="宋体" w:eastAsia="宋体"/>
          <w:color w:val="auto"/>
          <w:sz w:val="24"/>
          <w:szCs w:val="24"/>
          <w:highlight w:val="none"/>
          <w:u w:val="single"/>
          <w:lang w:val="zh-CN"/>
        </w:rPr>
        <w:t>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3455442D">
      <w:pPr>
        <w:pStyle w:val="23"/>
        <w:keepNext w:val="0"/>
        <w:keepLines w:val="0"/>
        <w:pageBreakBefore w:val="0"/>
        <w:widowControl/>
        <w:suppressLineNumbers w:val="0"/>
        <w:kinsoku/>
        <w:wordWrap/>
        <w:overflowPunct/>
        <w:topLinePunct w:val="0"/>
        <w:autoSpaceDE/>
        <w:autoSpaceDN/>
        <w:bidi w:val="0"/>
        <w:adjustRightInd/>
        <w:snapToGrid/>
        <w:ind w:firstLine="480" w:firstLineChars="200"/>
        <w:textAlignment w:val="auto"/>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422ED10F">
      <w:pPr>
        <w:pStyle w:val="23"/>
        <w:keepNext w:val="0"/>
        <w:keepLines w:val="0"/>
        <w:pageBreakBefore w:val="0"/>
        <w:widowControl/>
        <w:suppressLineNumbers w:val="0"/>
        <w:kinsoku/>
        <w:wordWrap/>
        <w:overflowPunct/>
        <w:topLinePunct w:val="0"/>
        <w:autoSpaceDE/>
        <w:autoSpaceDN/>
        <w:bidi w:val="0"/>
        <w:adjustRightInd/>
        <w:snapToGrid/>
        <w:ind w:firstLine="480" w:firstLineChars="200"/>
        <w:textAlignment w:val="auto"/>
        <w:rPr>
          <w:rFonts w:hint="eastAsia" w:ascii="宋体" w:hAnsi="宋体" w:eastAsia="宋体"/>
          <w:color w:val="auto"/>
          <w:sz w:val="24"/>
          <w:szCs w:val="24"/>
          <w:highlight w:val="none"/>
          <w:lang w:val="zh-CN" w:eastAsia="zh-CN"/>
        </w:rPr>
      </w:pPr>
      <w:r>
        <w:rPr>
          <w:rFonts w:hint="eastAsia" w:ascii="宋体" w:hAnsi="宋体" w:eastAsia="宋体"/>
          <w:color w:val="auto"/>
          <w:sz w:val="24"/>
          <w:szCs w:val="24"/>
          <w:highlight w:val="none"/>
          <w:lang w:val="zh-CN" w:eastAsia="zh-CN"/>
        </w:rPr>
        <w:t>以上企业，不属于大企业的分支机构，不存在控股股东为大企业的情形，也不存在与大企业的负责人为同一人的情形。</w:t>
      </w:r>
    </w:p>
    <w:p w14:paraId="62214005">
      <w:pPr>
        <w:pStyle w:val="23"/>
        <w:keepNext w:val="0"/>
        <w:keepLines w:val="0"/>
        <w:pageBreakBefore w:val="0"/>
        <w:widowControl/>
        <w:suppressLineNumbers w:val="0"/>
        <w:kinsoku/>
        <w:wordWrap/>
        <w:overflowPunct/>
        <w:topLinePunct w:val="0"/>
        <w:autoSpaceDE/>
        <w:autoSpaceDN/>
        <w:bidi w:val="0"/>
        <w:adjustRightInd/>
        <w:snapToGrid/>
        <w:ind w:firstLine="480" w:firstLineChars="200"/>
        <w:textAlignment w:val="auto"/>
        <w:rPr>
          <w:rFonts w:hint="eastAsia" w:ascii="宋体" w:hAnsi="宋体" w:eastAsia="宋体"/>
          <w:color w:val="auto"/>
          <w:sz w:val="24"/>
          <w:szCs w:val="24"/>
          <w:highlight w:val="none"/>
          <w:lang w:val="zh-CN" w:eastAsia="zh-CN"/>
        </w:rPr>
      </w:pPr>
      <w:r>
        <w:rPr>
          <w:rFonts w:hint="eastAsia" w:ascii="宋体" w:hAnsi="宋体" w:eastAsia="宋体"/>
          <w:color w:val="auto"/>
          <w:sz w:val="24"/>
          <w:szCs w:val="24"/>
          <w:highlight w:val="none"/>
          <w:lang w:val="zh-CN" w:eastAsia="zh-CN"/>
        </w:rPr>
        <w:t xml:space="preserve">本企业对上述声明内容的真实性负责。如有虚假，将依法承担相应责任。 </w:t>
      </w:r>
    </w:p>
    <w:p w14:paraId="3370863B">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116C0321">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bookmarkEnd w:id="75"/>
    <w:bookmarkEnd w:id="76"/>
    <w:bookmarkEnd w:id="77"/>
    <w:p w14:paraId="0D239B69">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1CB9BB52">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44869A91">
      <w:pPr>
        <w:keepNext w:val="0"/>
        <w:keepLines w:val="0"/>
        <w:pageBreakBefore w:val="0"/>
        <w:widowControl w:val="0"/>
        <w:tabs>
          <w:tab w:val="left" w:pos="4620"/>
        </w:tabs>
        <w:kinsoku/>
        <w:wordWrap/>
        <w:overflowPunct/>
        <w:topLinePunct w:val="0"/>
        <w:autoSpaceDE/>
        <w:autoSpaceDN/>
        <w:bidi w:val="0"/>
        <w:adjustRightInd/>
        <w:snapToGrid/>
        <w:spacing w:line="400" w:lineRule="exac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2.供应商应根据《政府采购促进中小企业发展管理办法》（财库﹝2020﹞46号）和《关于印发中小企业划型标准规定的通知》(工信部联企业〔2011〕300号)相关规定，如实填写中小企业声明函。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供应商自行登录工业和信息化部官网进行中小企业规模类型自测（查询网址https://www.miit.gov.cn/）。</w:t>
      </w:r>
    </w:p>
    <w:p w14:paraId="792AD654">
      <w:pPr>
        <w:keepNext w:val="0"/>
        <w:keepLines w:val="0"/>
        <w:pageBreakBefore w:val="0"/>
        <w:widowControl w:val="0"/>
        <w:tabs>
          <w:tab w:val="left" w:pos="4620"/>
        </w:tabs>
        <w:kinsoku/>
        <w:wordWrap/>
        <w:overflowPunct/>
        <w:topLinePunct w:val="0"/>
        <w:autoSpaceDE/>
        <w:autoSpaceDN/>
        <w:bidi w:val="0"/>
        <w:adjustRightInd/>
        <w:snapToGrid/>
        <w:spacing w:line="400" w:lineRule="exac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3B5CF8C0">
      <w:pPr>
        <w:keepNext w:val="0"/>
        <w:keepLines w:val="0"/>
        <w:pageBreakBefore w:val="0"/>
        <w:widowControl w:val="0"/>
        <w:tabs>
          <w:tab w:val="left" w:pos="4620"/>
        </w:tabs>
        <w:kinsoku/>
        <w:wordWrap/>
        <w:overflowPunct/>
        <w:topLinePunct w:val="0"/>
        <w:autoSpaceDE/>
        <w:autoSpaceDN/>
        <w:bidi w:val="0"/>
        <w:adjustRightInd/>
        <w:snapToGrid/>
        <w:spacing w:line="400" w:lineRule="exac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lang w:val="en-US" w:eastAsia="zh-CN"/>
        </w:rPr>
        <w:t>询价通知书</w:t>
      </w:r>
      <w:r>
        <w:rPr>
          <w:rFonts w:hint="eastAsia" w:ascii="宋体" w:hAnsi="宋体" w:eastAsia="宋体" w:cs="宋体"/>
          <w:b/>
          <w:bCs/>
          <w:color w:val="auto"/>
          <w:szCs w:val="21"/>
          <w:highlight w:val="none"/>
          <w:u w:val="single"/>
        </w:rPr>
        <w:t>中明确的所属行业</w:t>
      </w:r>
      <w:r>
        <w:rPr>
          <w:rFonts w:hint="eastAsia" w:ascii="宋体" w:hAnsi="宋体" w:eastAsia="宋体" w:cs="宋体"/>
          <w:b/>
          <w:bCs/>
          <w:color w:val="auto"/>
          <w:szCs w:val="21"/>
          <w:highlight w:val="none"/>
        </w:rPr>
        <w:t>”，详见第三章采购需求中明确的“所属行业”。</w:t>
      </w:r>
    </w:p>
    <w:p w14:paraId="7DC17809">
      <w:pPr>
        <w:keepNext w:val="0"/>
        <w:keepLines w:val="0"/>
        <w:pageBreakBefore w:val="0"/>
        <w:widowControl w:val="0"/>
        <w:tabs>
          <w:tab w:val="left" w:pos="4620"/>
        </w:tabs>
        <w:kinsoku/>
        <w:wordWrap/>
        <w:overflowPunct/>
        <w:topLinePunct w:val="0"/>
        <w:autoSpaceDE/>
        <w:autoSpaceDN/>
        <w:bidi w:val="0"/>
        <w:adjustRightInd/>
        <w:snapToGrid/>
        <w:spacing w:line="400" w:lineRule="exac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供应商</w:t>
      </w:r>
      <w:r>
        <w:rPr>
          <w:rFonts w:hint="eastAsia" w:ascii="宋体" w:hAnsi="宋体" w:eastAsia="宋体" w:cs="宋体"/>
          <w:b/>
          <w:bCs/>
          <w:color w:val="auto"/>
          <w:szCs w:val="21"/>
          <w:highlight w:val="none"/>
        </w:rPr>
        <w:t>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26820A7F">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4A6F405">
      <w:pPr>
        <w:spacing w:line="360" w:lineRule="auto"/>
        <w:jc w:val="center"/>
        <w:outlineLvl w:val="1"/>
        <w:rPr>
          <w:rFonts w:asciiTheme="minorEastAsia" w:hAnsiTheme="minorEastAsia" w:eastAsiaTheme="minorEastAsia"/>
          <w:b/>
          <w:color w:val="auto"/>
          <w:sz w:val="24"/>
          <w:highlight w:val="none"/>
        </w:rPr>
      </w:pPr>
      <w:bookmarkStart w:id="78" w:name="_Toc2147"/>
      <w:bookmarkStart w:id="79" w:name="_Toc29137"/>
      <w:bookmarkStart w:id="80" w:name="_Hlk60606117"/>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、残疾人福利性单位声明函</w:t>
      </w:r>
      <w:bookmarkEnd w:id="78"/>
      <w:bookmarkEnd w:id="79"/>
    </w:p>
    <w:p w14:paraId="35C4A3A9">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olor w:val="auto"/>
          <w:spacing w:val="6"/>
          <w:sz w:val="24"/>
          <w:szCs w:val="24"/>
          <w:highlight w:val="none"/>
        </w:rPr>
      </w:pPr>
      <w:r>
        <w:rPr>
          <w:rFonts w:hint="eastAsia" w:ascii="宋体" w:hAnsi="宋体" w:eastAsia="宋体"/>
          <w:b w:val="0"/>
          <w:i/>
          <w:color w:val="auto"/>
          <w:sz w:val="24"/>
          <w:highlight w:val="none"/>
          <w:lang w:val="en-US" w:eastAsia="zh-CN"/>
        </w:rPr>
        <w:t>（非残疾人福利性单位询价，请删去“残疾人福利性单位声明函”）</w:t>
      </w:r>
    </w:p>
    <w:p w14:paraId="5582EE9B">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19FC4657">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4635F7BC">
      <w:pPr>
        <w:spacing w:line="360" w:lineRule="auto"/>
        <w:ind w:firstLine="4228" w:firstLineChars="1762"/>
        <w:rPr>
          <w:rFonts w:asciiTheme="minorEastAsia" w:hAnsiTheme="minorEastAsia" w:eastAsiaTheme="minorEastAsia"/>
          <w:color w:val="auto"/>
          <w:sz w:val="24"/>
          <w:szCs w:val="24"/>
          <w:highlight w:val="none"/>
        </w:rPr>
      </w:pPr>
    </w:p>
    <w:p w14:paraId="73783268">
      <w:pPr>
        <w:spacing w:line="360" w:lineRule="auto"/>
        <w:ind w:firstLine="4228" w:firstLineChars="1762"/>
        <w:rPr>
          <w:rFonts w:asciiTheme="minorEastAsia" w:hAnsiTheme="minorEastAsia" w:eastAsiaTheme="minorEastAsia"/>
          <w:color w:val="auto"/>
          <w:sz w:val="24"/>
          <w:szCs w:val="24"/>
          <w:highlight w:val="none"/>
        </w:rPr>
      </w:pPr>
    </w:p>
    <w:p w14:paraId="797D5273">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25021818">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bookmarkEnd w:id="80"/>
    <w:p w14:paraId="4FA49144">
      <w:pPr>
        <w:spacing w:line="360" w:lineRule="auto"/>
        <w:ind w:firstLine="435"/>
        <w:rPr>
          <w:rFonts w:cs="Cambria Math" w:asciiTheme="minorEastAsia" w:hAnsiTheme="minorEastAsia" w:eastAsiaTheme="minorEastAsia"/>
          <w:b/>
          <w:color w:val="auto"/>
          <w:sz w:val="24"/>
          <w:szCs w:val="24"/>
          <w:highlight w:val="none"/>
        </w:rPr>
      </w:pPr>
    </w:p>
    <w:p w14:paraId="75AC4059">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83EEBDD">
      <w:pPr>
        <w:spacing w:line="360" w:lineRule="auto"/>
        <w:jc w:val="center"/>
        <w:outlineLvl w:val="1"/>
        <w:rPr>
          <w:rFonts w:asciiTheme="minorEastAsia" w:hAnsiTheme="minorEastAsia" w:eastAsiaTheme="minorEastAsia"/>
          <w:b/>
          <w:color w:val="auto"/>
          <w:sz w:val="24"/>
          <w:highlight w:val="none"/>
        </w:rPr>
      </w:pPr>
      <w:bookmarkStart w:id="81" w:name="_Toc1350"/>
      <w:bookmarkStart w:id="82" w:name="_Toc23417"/>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、诚信履约承诺函</w:t>
      </w:r>
      <w:bookmarkEnd w:id="81"/>
      <w:bookmarkEnd w:id="82"/>
    </w:p>
    <w:p w14:paraId="6E79EF99">
      <w:pPr>
        <w:spacing w:line="360" w:lineRule="auto"/>
        <w:rPr>
          <w:rFonts w:asciiTheme="minorEastAsia" w:hAnsiTheme="minorEastAsia" w:eastAsiaTheme="minorEastAsia"/>
          <w:b/>
          <w:bCs/>
          <w:color w:val="auto"/>
          <w:sz w:val="24"/>
          <w:highlight w:val="none"/>
        </w:rPr>
      </w:pPr>
    </w:p>
    <w:p w14:paraId="5C8E059C">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4F6C35EE">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w:t>
      </w:r>
      <w:r>
        <w:rPr>
          <w:rFonts w:hint="eastAsia" w:asciiTheme="minorEastAsia" w:hAnsiTheme="minorEastAsia" w:eastAsiaTheme="minorEastAsia"/>
          <w:bCs/>
          <w:color w:val="auto"/>
          <w:sz w:val="24"/>
          <w:highlight w:val="none"/>
          <w:lang w:val="en-US" w:eastAsia="zh-CN"/>
        </w:rPr>
        <w:t>询价通知书</w:t>
      </w:r>
      <w:r>
        <w:rPr>
          <w:rFonts w:hint="eastAsia" w:asciiTheme="minorEastAsia" w:hAnsiTheme="minorEastAsia" w:eastAsiaTheme="minorEastAsia"/>
          <w:bCs/>
          <w:color w:val="auto"/>
          <w:sz w:val="24"/>
          <w:highlight w:val="none"/>
        </w:rPr>
        <w:t>中关于合同签订及履约的相关规定，不出现以下情形：</w:t>
      </w:r>
    </w:p>
    <w:p w14:paraId="040B0D87">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（1）成交后无正当理由拒不与采购人签订政府采购合同；</w:t>
      </w:r>
    </w:p>
    <w:p w14:paraId="2D47494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w:t>
      </w:r>
      <w:r>
        <w:rPr>
          <w:rFonts w:hint="eastAsia" w:asciiTheme="minorEastAsia" w:hAnsiTheme="minorEastAsia" w:eastAsiaTheme="minorEastAsia"/>
          <w:bCs/>
          <w:color w:val="auto"/>
          <w:sz w:val="24"/>
          <w:highlight w:val="none"/>
          <w:lang w:val="en-US" w:eastAsia="zh-CN"/>
        </w:rPr>
        <w:t>询价通知书</w:t>
      </w:r>
      <w:r>
        <w:rPr>
          <w:rFonts w:hint="eastAsia" w:asciiTheme="minorEastAsia" w:hAnsiTheme="minorEastAsia" w:eastAsiaTheme="minorEastAsia"/>
          <w:bCs/>
          <w:color w:val="auto"/>
          <w:sz w:val="24"/>
          <w:highlight w:val="none"/>
        </w:rPr>
        <w:t>确定的事项签订政府采购合同；</w:t>
      </w:r>
    </w:p>
    <w:p w14:paraId="4CA3ABF7">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45F52F3C">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05EBA647">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0BC8795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164576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仿宋_GB2312"/>
          <w:bCs/>
          <w:color w:val="auto"/>
          <w:kern w:val="2"/>
          <w:sz w:val="24"/>
          <w:szCs w:val="24"/>
          <w:highlight w:val="none"/>
          <w:lang w:val="en-US" w:eastAsia="zh-CN" w:bidi="ar"/>
        </w:rPr>
        <w:t>本承诺声明：</w:t>
      </w:r>
      <w:r>
        <w:rPr>
          <w:rFonts w:hint="eastAsia" w:ascii="宋体" w:hAnsi="宋体" w:eastAsia="宋体" w:cs="@仿宋_GB2312"/>
          <w:bCs/>
          <w:color w:val="auto"/>
          <w:kern w:val="2"/>
          <w:sz w:val="24"/>
          <w:szCs w:val="24"/>
          <w:highlight w:val="none"/>
          <w:u w:val="single"/>
          <w:lang w:val="en-US" w:eastAsia="zh-CN" w:bidi="ar"/>
        </w:rPr>
        <w:t xml:space="preserve">                   （供应商名称）</w:t>
      </w:r>
      <w:r>
        <w:rPr>
          <w:rFonts w:hint="eastAsia" w:ascii="宋体" w:hAnsi="宋体" w:eastAsia="宋体" w:cs="@仿宋_GB2312"/>
          <w:bCs/>
          <w:color w:val="auto"/>
          <w:kern w:val="2"/>
          <w:sz w:val="24"/>
          <w:szCs w:val="24"/>
          <w:highlight w:val="none"/>
          <w:lang w:val="en-US" w:eastAsia="zh-CN" w:bidi="ar"/>
        </w:rPr>
        <w:t>对本询价通知书的相关要求完全响应。若有幸成交将严格按照询价通知书及采购人要求进行供货和服务。</w:t>
      </w:r>
    </w:p>
    <w:p w14:paraId="19C931A5">
      <w:pPr>
        <w:spacing w:line="360" w:lineRule="auto"/>
        <w:rPr>
          <w:rFonts w:asciiTheme="minorEastAsia" w:hAnsiTheme="minorEastAsia" w:eastAsiaTheme="minorEastAsia"/>
          <w:bCs/>
          <w:color w:val="auto"/>
          <w:sz w:val="24"/>
          <w:highlight w:val="none"/>
        </w:rPr>
      </w:pPr>
    </w:p>
    <w:p w14:paraId="29D40BC3">
      <w:pPr>
        <w:spacing w:line="360" w:lineRule="auto"/>
        <w:rPr>
          <w:rFonts w:asciiTheme="minorEastAsia" w:hAnsiTheme="minorEastAsia" w:eastAsiaTheme="minorEastAsia"/>
          <w:bCs/>
          <w:color w:val="auto"/>
          <w:sz w:val="24"/>
          <w:highlight w:val="none"/>
        </w:rPr>
      </w:pPr>
    </w:p>
    <w:p w14:paraId="2F09EBA6">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23802C4D">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29500013">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47F47B1E">
      <w:pPr>
        <w:widowControl/>
        <w:jc w:val="left"/>
        <w:rPr>
          <w:rFonts w:asciiTheme="minorEastAsia" w:hAnsiTheme="minorEastAsia" w:eastAsiaTheme="minorEastAsia"/>
          <w:color w:val="auto"/>
          <w:sz w:val="24"/>
          <w:highlight w:val="none"/>
        </w:rPr>
      </w:pPr>
    </w:p>
    <w:p w14:paraId="0AE1866D">
      <w:pPr>
        <w:spacing w:line="360" w:lineRule="auto"/>
        <w:jc w:val="center"/>
        <w:outlineLvl w:val="1"/>
        <w:rPr>
          <w:rFonts w:asciiTheme="minorEastAsia" w:hAnsiTheme="minorEastAsia" w:eastAsiaTheme="minorEastAsia"/>
          <w:b/>
          <w:color w:val="auto"/>
          <w:sz w:val="24"/>
          <w:highlight w:val="none"/>
        </w:rPr>
      </w:pPr>
      <w:bookmarkStart w:id="83" w:name="_Toc19513"/>
      <w:bookmarkStart w:id="84" w:name="_Toc12602"/>
      <w:r>
        <w:rPr>
          <w:rFonts w:hint="eastAsia" w:asciiTheme="minorEastAsia" w:hAnsiTheme="minorEastAsia" w:eastAsiaTheme="minorEastAsia"/>
          <w:b/>
          <w:color w:val="auto"/>
          <w:sz w:val="24"/>
          <w:highlight w:val="none"/>
        </w:rPr>
        <w:t>十、其他相关证明材料</w:t>
      </w:r>
      <w:bookmarkEnd w:id="83"/>
      <w:bookmarkEnd w:id="84"/>
    </w:p>
    <w:p w14:paraId="5ADA69C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提供符合询价邀请、采购需求及评审方法规定的相关证明文件。</w:t>
      </w:r>
    </w:p>
    <w:p w14:paraId="6F8D63DE">
      <w:pPr>
        <w:spacing w:line="360" w:lineRule="auto"/>
        <w:ind w:firstLine="480" w:firstLineChars="200"/>
        <w:rPr>
          <w:rFonts w:asciiTheme="minorEastAsia" w:hAnsiTheme="minorEastAsia" w:eastAsiaTheme="minorEastAsia"/>
          <w:color w:val="auto"/>
          <w:sz w:val="24"/>
          <w:highlight w:val="none"/>
        </w:rPr>
      </w:pPr>
    </w:p>
    <w:p w14:paraId="4EF81DD2">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6A0E722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w:t>
      </w:r>
      <w:r>
        <w:rPr>
          <w:rFonts w:asciiTheme="minorEastAsia" w:hAnsiTheme="minorEastAsia" w:eastAsiaTheme="minorEastAsia"/>
          <w:color w:val="auto"/>
          <w:sz w:val="24"/>
          <w:highlight w:val="none"/>
        </w:rPr>
        <w:t>询价通知书要求上传的证明资料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bookmarkEnd w:id="62"/>
    <w:p w14:paraId="3CC739E8">
      <w:pPr>
        <w:rPr>
          <w:rFonts w:hint="eastAsia" w:ascii="宋体" w:hAnsi="宋体" w:eastAsia="宋体" w:cs="宋体"/>
          <w:b/>
          <w:bCs/>
          <w:color w:val="auto"/>
          <w:kern w:val="0"/>
          <w:sz w:val="24"/>
          <w:szCs w:val="24"/>
          <w:highlight w:val="none"/>
          <w:vertAlign w:val="baseline"/>
          <w:lang w:val="en-US" w:eastAsia="zh-CN" w:bidi="ar"/>
        </w:rPr>
      </w:pPr>
      <w:bookmarkStart w:id="85" w:name="_Toc60608832"/>
      <w:bookmarkStart w:id="86" w:name="_Toc1141"/>
      <w:bookmarkStart w:id="87" w:name="_Toc11711"/>
      <w:r>
        <w:rPr>
          <w:rFonts w:hint="eastAsia" w:ascii="宋体" w:hAnsi="宋体" w:eastAsia="宋体" w:cs="宋体"/>
          <w:b/>
          <w:bCs/>
          <w:color w:val="auto"/>
          <w:kern w:val="0"/>
          <w:sz w:val="24"/>
          <w:szCs w:val="24"/>
          <w:highlight w:val="none"/>
          <w:vertAlign w:val="baseline"/>
          <w:lang w:val="en-US" w:eastAsia="zh-CN" w:bidi="ar"/>
        </w:rPr>
        <w:br w:type="page"/>
      </w:r>
    </w:p>
    <w:p w14:paraId="103ADE5A">
      <w:pPr>
        <w:spacing w:line="360" w:lineRule="auto"/>
        <w:jc w:val="center"/>
        <w:outlineLvl w:val="0"/>
        <w:rPr>
          <w:rFonts w:ascii="宋体" w:hAnsi="宋体" w:eastAsia="宋体"/>
          <w:b/>
          <w:bCs/>
          <w:color w:val="auto"/>
          <w:sz w:val="28"/>
          <w:highlight w:val="none"/>
        </w:rPr>
      </w:pPr>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eastAsia="zh-CN"/>
        </w:rPr>
        <w:t>七</w:t>
      </w:r>
      <w:r>
        <w:rPr>
          <w:rFonts w:hint="eastAsia" w:asciiTheme="minorEastAsia" w:hAnsiTheme="minorEastAsia" w:eastAsiaTheme="minorEastAsia"/>
          <w:b/>
          <w:color w:val="auto"/>
          <w:sz w:val="28"/>
          <w:highlight w:val="none"/>
        </w:rPr>
        <w:t>章</w:t>
      </w:r>
      <w:r>
        <w:rPr>
          <w:rFonts w:hint="eastAsia"/>
          <w:b/>
          <w:bCs/>
          <w:color w:val="auto"/>
          <w:sz w:val="28"/>
          <w:highlight w:val="none"/>
        </w:rPr>
        <w:t xml:space="preserve">  </w:t>
      </w:r>
      <w:bookmarkEnd w:id="85"/>
      <w:r>
        <w:rPr>
          <w:rFonts w:hint="eastAsia" w:ascii="宋体" w:hAnsi="宋体" w:eastAsia="宋体"/>
          <w:b/>
          <w:bCs/>
          <w:color w:val="auto"/>
          <w:sz w:val="28"/>
          <w:highlight w:val="none"/>
        </w:rPr>
        <w:t>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86"/>
      <w:bookmarkEnd w:id="87"/>
    </w:p>
    <w:p w14:paraId="1F70A200">
      <w:pPr>
        <w:spacing w:line="360" w:lineRule="auto"/>
        <w:jc w:val="center"/>
        <w:outlineLvl w:val="1"/>
        <w:rPr>
          <w:rFonts w:ascii="仿宋" w:hAnsi="仿宋" w:eastAsia="仿宋" w:cs="仿宋"/>
          <w:b/>
          <w:bCs/>
          <w:color w:val="auto"/>
          <w:sz w:val="32"/>
          <w:szCs w:val="44"/>
          <w:highlight w:val="none"/>
        </w:rPr>
      </w:pPr>
      <w:bookmarkStart w:id="88" w:name="_Toc29389"/>
      <w:bookmarkStart w:id="89" w:name="_Toc10045"/>
      <w:r>
        <w:rPr>
          <w:rFonts w:hint="eastAsia" w:ascii="仿宋" w:hAnsi="仿宋" w:eastAsia="仿宋" w:cs="仿宋"/>
          <w:b/>
          <w:bCs/>
          <w:color w:val="auto"/>
          <w:sz w:val="32"/>
          <w:szCs w:val="44"/>
          <w:highlight w:val="none"/>
        </w:rPr>
        <w:t>询问函范本</w:t>
      </w:r>
      <w:bookmarkEnd w:id="88"/>
      <w:bookmarkEnd w:id="89"/>
    </w:p>
    <w:p w14:paraId="548BBE62">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w:t>
      </w:r>
      <w:r>
        <w:rPr>
          <w:rFonts w:hint="eastAsia" w:cs="仿宋" w:asciiTheme="minorEastAsia" w:hAnsiTheme="minorEastAsia" w:eastAsiaTheme="minorEastAsia"/>
          <w:i/>
          <w:iCs/>
          <w:color w:val="auto"/>
          <w:sz w:val="24"/>
          <w:szCs w:val="24"/>
          <w:highlight w:val="none"/>
          <w:lang w:val="en-US" w:eastAsia="zh-CN"/>
        </w:rPr>
        <w:t>询价通知书</w:t>
      </w:r>
      <w:r>
        <w:rPr>
          <w:rFonts w:hint="eastAsia" w:cs="仿宋" w:asciiTheme="minorEastAsia" w:hAnsiTheme="minorEastAsia" w:eastAsiaTheme="minorEastAsia"/>
          <w:i/>
          <w:iCs/>
          <w:color w:val="auto"/>
          <w:sz w:val="24"/>
          <w:szCs w:val="24"/>
          <w:highlight w:val="none"/>
        </w:rPr>
        <w:t>或采购程序的询问或疑问，请按询问函范本或电子交易系统中网上询问格式附件进行提交）</w:t>
      </w:r>
    </w:p>
    <w:p w14:paraId="6AB6A19D">
      <w:pPr>
        <w:adjustRightInd w:val="0"/>
        <w:snapToGrid w:val="0"/>
        <w:spacing w:line="360" w:lineRule="auto"/>
        <w:rPr>
          <w:rFonts w:hint="eastAsia" w:cs="仿宋" w:asciiTheme="minorEastAsia" w:hAnsiTheme="minorEastAsia" w:eastAsiaTheme="minorEastAsia"/>
          <w:b/>
          <w:bCs/>
          <w:color w:val="auto"/>
          <w:sz w:val="24"/>
          <w:szCs w:val="24"/>
          <w:highlight w:val="non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lang w:eastAsia="zh-CN"/>
        </w:rPr>
        <w:t>采购人</w:t>
      </w:r>
    </w:p>
    <w:p w14:paraId="3DDC826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lang w:val="en-US" w:eastAsia="zh-CN"/>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color w:val="auto"/>
          <w:sz w:val="24"/>
          <w:szCs w:val="24"/>
          <w:highlight w:val="none"/>
          <w:lang w:val="en-US" w:eastAsia="zh-CN"/>
        </w:rPr>
        <w:t>项目名称、</w:t>
      </w:r>
      <w:r>
        <w:rPr>
          <w:rFonts w:hint="eastAsia" w:cs="仿宋" w:asciiTheme="minorEastAsia" w:hAnsiTheme="minorEastAsia" w:eastAsiaTheme="minorEastAsia"/>
          <w:color w:val="auto"/>
          <w:sz w:val="24"/>
          <w:szCs w:val="24"/>
          <w:highlight w:val="none"/>
        </w:rPr>
        <w:t>编号)的采购活动，现有以下内容(或条款)存在疑问(或无法理解)，特提出询问。</w:t>
      </w:r>
    </w:p>
    <w:p w14:paraId="251BA51F">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90" w:name="_Toc29678"/>
      <w:bookmarkStart w:id="91" w:name="_Toc23472"/>
      <w:r>
        <w:rPr>
          <w:rFonts w:hint="eastAsia" w:cs="仿宋" w:asciiTheme="minorEastAsia" w:hAnsiTheme="minorEastAsia" w:eastAsiaTheme="minorEastAsia"/>
          <w:color w:val="auto"/>
          <w:sz w:val="24"/>
          <w:szCs w:val="24"/>
          <w:highlight w:val="none"/>
        </w:rPr>
        <w:t>一、(事项一)</w:t>
      </w:r>
      <w:bookmarkEnd w:id="90"/>
      <w:bookmarkEnd w:id="91"/>
    </w:p>
    <w:p w14:paraId="4C9F2D6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52E4C98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5485321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7D0C36D3">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92" w:name="_Toc22463"/>
      <w:bookmarkStart w:id="93" w:name="_Toc20836"/>
      <w:r>
        <w:rPr>
          <w:rFonts w:hint="eastAsia" w:cs="仿宋" w:asciiTheme="minorEastAsia" w:hAnsiTheme="minorEastAsia" w:eastAsiaTheme="minorEastAsia"/>
          <w:color w:val="auto"/>
          <w:sz w:val="24"/>
          <w:szCs w:val="24"/>
          <w:highlight w:val="none"/>
        </w:rPr>
        <w:t>二、(事项二)</w:t>
      </w:r>
      <w:bookmarkEnd w:id="92"/>
      <w:bookmarkEnd w:id="93"/>
    </w:p>
    <w:p w14:paraId="561A150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368F54CB">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02E45759">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41A2D4D8">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6C69FD8E">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3686EF64">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049F27FE">
      <w:pPr>
        <w:jc w:val="center"/>
        <w:outlineLvl w:val="1"/>
        <w:rPr>
          <w:rFonts w:cs="仿宋" w:asciiTheme="minorEastAsia" w:hAnsiTheme="minorEastAsia" w:eastAsiaTheme="minorEastAsia"/>
          <w:b/>
          <w:bCs/>
          <w:color w:val="auto"/>
          <w:sz w:val="32"/>
          <w:szCs w:val="44"/>
          <w:highlight w:val="none"/>
        </w:rPr>
      </w:pPr>
      <w:bookmarkStart w:id="94" w:name="_Toc31458"/>
      <w:bookmarkStart w:id="95" w:name="_Toc15057"/>
      <w:r>
        <w:rPr>
          <w:rFonts w:hint="eastAsia" w:cs="仿宋" w:asciiTheme="minorEastAsia" w:hAnsiTheme="minorEastAsia" w:eastAsiaTheme="minorEastAsia"/>
          <w:b/>
          <w:bCs/>
          <w:color w:val="auto"/>
          <w:sz w:val="32"/>
          <w:szCs w:val="44"/>
          <w:highlight w:val="none"/>
        </w:rPr>
        <w:t>质疑函范本</w:t>
      </w:r>
      <w:bookmarkEnd w:id="94"/>
      <w:bookmarkEnd w:id="95"/>
    </w:p>
    <w:p w14:paraId="54C7EF45">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96" w:name="_Toc22823"/>
      <w:bookmarkStart w:id="97" w:name="_Toc21471"/>
      <w:r>
        <w:rPr>
          <w:rFonts w:hint="eastAsia" w:cs="仿宋" w:asciiTheme="minorEastAsia" w:hAnsiTheme="minorEastAsia" w:eastAsiaTheme="minorEastAsia"/>
          <w:b/>
          <w:bCs/>
          <w:color w:val="auto"/>
          <w:sz w:val="24"/>
          <w:szCs w:val="24"/>
          <w:highlight w:val="none"/>
        </w:rPr>
        <w:t>一、质疑供应商基本信息</w:t>
      </w:r>
      <w:bookmarkEnd w:id="96"/>
      <w:bookmarkEnd w:id="97"/>
    </w:p>
    <w:p w14:paraId="791B4F9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526044C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875D7E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63A86A9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60954EC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0DFCE09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36CCD21">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98" w:name="_Toc3326"/>
      <w:bookmarkStart w:id="99" w:name="_Toc10721"/>
      <w:r>
        <w:rPr>
          <w:rFonts w:hint="eastAsia" w:cs="仿宋" w:asciiTheme="minorEastAsia" w:hAnsiTheme="minorEastAsia" w:eastAsiaTheme="minorEastAsia"/>
          <w:b/>
          <w:bCs/>
          <w:color w:val="auto"/>
          <w:sz w:val="24"/>
          <w:szCs w:val="24"/>
          <w:highlight w:val="none"/>
        </w:rPr>
        <w:t>二、质疑项目基本情况</w:t>
      </w:r>
      <w:bookmarkEnd w:id="98"/>
      <w:bookmarkEnd w:id="99"/>
    </w:p>
    <w:p w14:paraId="6384278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032AE35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4C64C0EC">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72BE61E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63B2C10">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00" w:name="_Toc8391"/>
      <w:bookmarkStart w:id="101" w:name="_Toc21619"/>
      <w:r>
        <w:rPr>
          <w:rFonts w:hint="eastAsia" w:cs="仿宋" w:asciiTheme="minorEastAsia" w:hAnsiTheme="minorEastAsia" w:eastAsiaTheme="minorEastAsia"/>
          <w:b/>
          <w:bCs/>
          <w:color w:val="auto"/>
          <w:sz w:val="24"/>
          <w:szCs w:val="24"/>
          <w:highlight w:val="none"/>
        </w:rPr>
        <w:t>三、质疑事项具体内容</w:t>
      </w:r>
      <w:bookmarkEnd w:id="100"/>
      <w:bookmarkEnd w:id="101"/>
    </w:p>
    <w:p w14:paraId="0EA7505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41BCDA9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CB3CC8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53B282F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4CBF85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67A1E56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6754FB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3148C81">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02" w:name="_Toc10324"/>
      <w:bookmarkStart w:id="103" w:name="_Toc31747"/>
      <w:r>
        <w:rPr>
          <w:rFonts w:hint="eastAsia" w:cs="仿宋" w:asciiTheme="minorEastAsia" w:hAnsiTheme="minorEastAsia" w:eastAsiaTheme="minorEastAsia"/>
          <w:b/>
          <w:bCs/>
          <w:color w:val="auto"/>
          <w:sz w:val="24"/>
          <w:szCs w:val="24"/>
          <w:highlight w:val="none"/>
        </w:rPr>
        <w:t>四、与质疑事项相关的质疑请求</w:t>
      </w:r>
      <w:bookmarkEnd w:id="102"/>
      <w:bookmarkEnd w:id="103"/>
    </w:p>
    <w:p w14:paraId="13CA55F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2B3AC545">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549944DA">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747A29E0">
      <w:pPr>
        <w:widowControl/>
        <w:jc w:val="left"/>
        <w:rPr>
          <w:rFonts w:cs="仿宋" w:asciiTheme="minorEastAsia" w:hAnsiTheme="minorEastAsia" w:eastAsiaTheme="minorEastAsia"/>
          <w:color w:val="auto"/>
          <w:sz w:val="32"/>
          <w:szCs w:val="32"/>
          <w:highlight w:val="none"/>
        </w:rPr>
      </w:pPr>
      <w:r>
        <w:rPr>
          <w:rFonts w:cs="仿宋" w:asciiTheme="minorEastAsia" w:hAnsiTheme="minorEastAsia" w:eastAsiaTheme="minorEastAsia"/>
          <w:color w:val="auto"/>
          <w:sz w:val="32"/>
          <w:szCs w:val="32"/>
          <w:highlight w:val="none"/>
        </w:rPr>
        <w:br w:type="page"/>
      </w:r>
    </w:p>
    <w:p w14:paraId="5EDA44DC">
      <w:pPr>
        <w:outlineLvl w:val="0"/>
        <w:rPr>
          <w:rFonts w:asciiTheme="minorEastAsia" w:hAnsiTheme="minorEastAsia" w:eastAsiaTheme="minorEastAsia"/>
          <w:b/>
          <w:color w:val="auto"/>
          <w:sz w:val="28"/>
          <w:szCs w:val="32"/>
          <w:highlight w:val="none"/>
        </w:rPr>
      </w:pPr>
      <w:bookmarkStart w:id="104" w:name="_Toc29795"/>
      <w:bookmarkStart w:id="105" w:name="_Toc27249"/>
      <w:r>
        <w:rPr>
          <w:rFonts w:hint="eastAsia" w:asciiTheme="minorEastAsia" w:hAnsiTheme="minorEastAsia" w:eastAsiaTheme="minorEastAsia"/>
          <w:b/>
          <w:color w:val="auto"/>
          <w:sz w:val="28"/>
          <w:szCs w:val="32"/>
          <w:highlight w:val="none"/>
        </w:rPr>
        <w:t>质疑函制作说明：</w:t>
      </w:r>
      <w:bookmarkEnd w:id="104"/>
      <w:bookmarkEnd w:id="105"/>
    </w:p>
    <w:p w14:paraId="47428EA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5EDBF74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F37A97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C53914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6DE2E39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580FDDE8">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r>
        <w:rPr>
          <w:rFonts w:hint="eastAsia" w:asciiTheme="minorEastAsia" w:hAnsiTheme="minorEastAsia" w:eastAsiaTheme="minorEastAsia"/>
          <w:color w:val="auto"/>
          <w:sz w:val="24"/>
          <w:highlight w:val="none"/>
          <w:lang w:eastAsia="zh-CN"/>
        </w:rPr>
        <w:t>。</w:t>
      </w:r>
    </w:p>
    <w:p w14:paraId="106530CE">
      <w:pPr>
        <w:spacing w:line="360" w:lineRule="auto"/>
        <w:ind w:firstLine="435"/>
        <w:rPr>
          <w:rFonts w:hint="eastAsia" w:asciiTheme="minorEastAsia" w:hAnsiTheme="minorEastAsia" w:eastAsiaTheme="minorEastAsia"/>
          <w:color w:val="auto"/>
          <w:sz w:val="24"/>
          <w:highlight w:val="none"/>
          <w:lang w:eastAsia="zh-CN"/>
        </w:rPr>
      </w:pPr>
    </w:p>
    <w:p w14:paraId="6CC93ACE">
      <w:pPr>
        <w:spacing w:line="360" w:lineRule="auto"/>
        <w:ind w:firstLine="435"/>
        <w:rPr>
          <w:rFonts w:hint="eastAsia" w:asciiTheme="minorEastAsia" w:hAnsiTheme="minorEastAsia" w:eastAsiaTheme="minorEastAsia"/>
          <w:color w:val="auto"/>
          <w:sz w:val="24"/>
          <w:highlight w:val="none"/>
          <w:lang w:eastAsia="zh-CN"/>
        </w:rPr>
      </w:pPr>
    </w:p>
    <w:p w14:paraId="0C3ECBE8">
      <w:pPr>
        <w:rPr>
          <w:rFonts w:hint="eastAsia" w:ascii="宋体" w:hAnsi="宋体" w:eastAsia="宋体" w:cs="宋体"/>
          <w:b/>
          <w:bCs w:val="0"/>
          <w:color w:val="auto"/>
          <w:kern w:val="2"/>
          <w:sz w:val="28"/>
          <w:szCs w:val="28"/>
          <w:highlight w:val="none"/>
          <w:lang w:val="en-US" w:eastAsia="zh-CN" w:bidi="ar"/>
        </w:rPr>
      </w:pPr>
      <w:bookmarkStart w:id="106" w:name="_Toc11016"/>
      <w:bookmarkEnd w:id="106"/>
      <w:r>
        <w:rPr>
          <w:rFonts w:hint="eastAsia" w:ascii="宋体" w:hAnsi="宋体" w:eastAsia="宋体" w:cs="宋体"/>
          <w:b/>
          <w:bCs w:val="0"/>
          <w:color w:val="auto"/>
          <w:kern w:val="2"/>
          <w:sz w:val="28"/>
          <w:szCs w:val="28"/>
          <w:highlight w:val="none"/>
          <w:lang w:val="en-US" w:eastAsia="zh-CN" w:bidi="ar"/>
        </w:rPr>
        <w:br w:type="page"/>
      </w:r>
    </w:p>
    <w:p w14:paraId="13DA126E">
      <w:pPr>
        <w:keepNext w:val="0"/>
        <w:keepLines w:val="0"/>
        <w:widowControl w:val="0"/>
        <w:suppressLineNumbers w:val="0"/>
        <w:spacing w:before="0" w:beforeAutospacing="0" w:after="0" w:afterAutospacing="0"/>
        <w:ind w:left="0" w:right="0"/>
        <w:jc w:val="both"/>
        <w:outlineLvl w:val="0"/>
        <w:rPr>
          <w:rFonts w:hint="eastAsia" w:ascii="宋体" w:hAnsi="宋体" w:eastAsia="宋体" w:cs="宋体"/>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附件1</w:t>
      </w:r>
    </w:p>
    <w:p w14:paraId="2AB17354">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val="0"/>
          <w:color w:val="auto"/>
          <w:kern w:val="2"/>
          <w:sz w:val="30"/>
          <w:szCs w:val="30"/>
          <w:highlight w:val="none"/>
        </w:rPr>
      </w:pPr>
      <w:r>
        <w:rPr>
          <w:rFonts w:hint="eastAsia" w:ascii="宋体" w:hAnsi="宋体" w:eastAsia="宋体" w:cs="宋体"/>
          <w:b/>
          <w:bCs w:val="0"/>
          <w:color w:val="auto"/>
          <w:kern w:val="2"/>
          <w:sz w:val="30"/>
          <w:szCs w:val="30"/>
          <w:highlight w:val="none"/>
          <w:lang w:val="en-US" w:eastAsia="zh-CN" w:bidi="ar"/>
        </w:rPr>
        <w:t>关于联合惩戒失信行为 加强信用查询管理的通知</w:t>
      </w:r>
    </w:p>
    <w:p w14:paraId="5AA2B7CB">
      <w:pPr>
        <w:keepNext w:val="0"/>
        <w:keepLines w:val="0"/>
        <w:widowControl w:val="0"/>
        <w:suppressLineNumbers w:val="0"/>
        <w:spacing w:before="0" w:beforeAutospacing="0" w:after="0" w:afterAutospacing="0" w:line="4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一、失信行为联合惩戒的范围和查询渠道</w:t>
      </w:r>
    </w:p>
    <w:p w14:paraId="3EE1DB86">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2"/>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在我市公共资源交易活动中对存在下列失信行为的投标人、法定代表人及其项目经理（建造师）实施联合惩戒，禁止参与我市公共资源交易活动。</w:t>
      </w:r>
    </w:p>
    <w:p w14:paraId="37614913">
      <w:pPr>
        <w:keepNext w:val="0"/>
        <w:keepLines w:val="0"/>
        <w:widowControl/>
        <w:suppressLineNumbers w:val="0"/>
        <w:spacing w:before="0" w:beforeAutospacing="0" w:after="0" w:afterAutospacing="0" w:line="480" w:lineRule="exact"/>
        <w:ind w:left="0" w:right="0" w:firstLine="482" w:firstLineChars="200"/>
        <w:jc w:val="both"/>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（一）工程建设项目</w:t>
      </w:r>
    </w:p>
    <w:p w14:paraId="5C6051F0">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1、“信用中国”网站（www.creditchina.gov.cn）查询投标人、法定代表人及其项目经理(建造师)以下失信行为：</w:t>
      </w:r>
    </w:p>
    <w:p w14:paraId="012A99D3">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①被列入“失信被执行人”的;</w:t>
      </w:r>
    </w:p>
    <w:p w14:paraId="3D352D30">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②被列入“重大税收违法失信主体”的；</w:t>
      </w:r>
    </w:p>
    <w:p w14:paraId="3888BF15">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③被列入“拖欠农民工工资失信联合惩戒对象名单”的；</w:t>
      </w:r>
    </w:p>
    <w:p w14:paraId="7C0588B8">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④被列入 “严重失信主体名单”的；</w:t>
      </w:r>
    </w:p>
    <w:p w14:paraId="7B017438">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⑤在“信用中国”网站上披露的仍在公示期的严重失信行为(具体行为类别及判定依据见附件2)的。</w:t>
      </w:r>
    </w:p>
    <w:p w14:paraId="104418D0">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2、国家企业信用信息公示系统网站（www.gsxt.gov.cn）查询投标人以下失信行为：</w:t>
      </w:r>
    </w:p>
    <w:p w14:paraId="498EACF7">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①被列入“经营异常名录”或者“严重违法失信名单”的。</w:t>
      </w:r>
    </w:p>
    <w:p w14:paraId="26136294">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3、由投标人、法定代表人及其项目经理(建造师)进行承诺，不进行现场网上信用查询的失信行为：</w:t>
      </w:r>
    </w:p>
    <w:p w14:paraId="05822ABB">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①前三年有行贿犯罪行为的单位和个人；</w:t>
      </w:r>
    </w:p>
    <w:p w14:paraId="161AD727">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②被滁州市县两级公管部门取消在一定期限内的投标资格且在取消期限内的；</w:t>
      </w:r>
    </w:p>
    <w:p w14:paraId="503D08EC">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③被滁州市县两级各行业主管部门取消在一定期限内的投标资格且在取消期限内的；</w:t>
      </w:r>
    </w:p>
    <w:p w14:paraId="5C14DC88">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④因拖欠农民工工资被县级及以上有关行政主管部门限制投标资格且在限制期限内的；</w:t>
      </w:r>
    </w:p>
    <w:p w14:paraId="17E0106C">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2"/>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52EC8090">
      <w:pPr>
        <w:keepNext w:val="0"/>
        <w:keepLines w:val="0"/>
        <w:widowControl/>
        <w:suppressLineNumbers w:val="0"/>
        <w:spacing w:before="0" w:beforeAutospacing="0" w:after="0" w:afterAutospacing="0" w:line="480" w:lineRule="exact"/>
        <w:ind w:left="0" w:right="0" w:firstLine="482" w:firstLineChars="200"/>
        <w:jc w:val="both"/>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（二）政府采购项目</w:t>
      </w:r>
    </w:p>
    <w:p w14:paraId="67ADD868">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1、“信用中国”网站（www.creditchina.gov.cn）查询供应商、法定代表人及其项目负责人以下失信行为：</w:t>
      </w:r>
    </w:p>
    <w:p w14:paraId="4EC91788">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①被列入“失信被执行人”的;</w:t>
      </w:r>
    </w:p>
    <w:p w14:paraId="2D12B42A">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②被列入“重大税收违法失信主体”的；</w:t>
      </w:r>
    </w:p>
    <w:p w14:paraId="739511E8">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③被列入 “严重失信主体名单”的；</w:t>
      </w:r>
    </w:p>
    <w:p w14:paraId="519AE4AA">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④在“信用中国”网站上披露的仍在公示期的严重失信行为(具体行为类别及判定依据见附件2)的。</w:t>
      </w:r>
    </w:p>
    <w:p w14:paraId="672487A1">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2、国家企业信用信息公示系统网站（</w:t>
      </w:r>
      <w:r>
        <w:rPr>
          <w:rFonts w:hint="eastAsia" w:ascii="宋体" w:hAnsi="宋体" w:eastAsia="宋体" w:cs="宋体"/>
          <w:bCs/>
          <w:color w:val="auto"/>
          <w:kern w:val="0"/>
          <w:sz w:val="24"/>
          <w:szCs w:val="24"/>
          <w:highlight w:val="none"/>
          <w:u w:val="none"/>
          <w:vertAlign w:val="baseline"/>
        </w:rPr>
        <w:t>www.gsxt.gov.cn）</w:t>
      </w:r>
      <w:r>
        <w:rPr>
          <w:rFonts w:hint="eastAsia" w:ascii="宋体" w:hAnsi="宋体" w:eastAsia="宋体" w:cs="宋体"/>
          <w:bCs/>
          <w:color w:val="auto"/>
          <w:kern w:val="0"/>
          <w:sz w:val="24"/>
          <w:szCs w:val="24"/>
          <w:highlight w:val="none"/>
          <w:vertAlign w:val="baseline"/>
          <w:lang w:val="en-US" w:eastAsia="zh-CN" w:bidi="ar"/>
        </w:rPr>
        <w:t>查询供应商以下失信行为：</w:t>
      </w:r>
    </w:p>
    <w:p w14:paraId="41CD851B">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①</w:t>
      </w:r>
      <w:bookmarkStart w:id="107" w:name="OLE_LINK100"/>
      <w:bookmarkEnd w:id="107"/>
      <w:bookmarkStart w:id="108" w:name="OLE_LINK102"/>
      <w:bookmarkEnd w:id="108"/>
      <w:bookmarkStart w:id="109" w:name="OLE_LINK101"/>
      <w:r>
        <w:rPr>
          <w:rFonts w:hint="eastAsia" w:ascii="宋体" w:hAnsi="宋体" w:eastAsia="宋体" w:cs="宋体"/>
          <w:bCs/>
          <w:color w:val="auto"/>
          <w:kern w:val="0"/>
          <w:sz w:val="24"/>
          <w:szCs w:val="24"/>
          <w:highlight w:val="none"/>
          <w:vertAlign w:val="baseline"/>
          <w:lang w:val="en-US" w:eastAsia="zh-CN" w:bidi="ar"/>
        </w:rPr>
        <w:t>被列入“经营异常名录”或者“严重违法失信名单”的</w:t>
      </w:r>
      <w:bookmarkEnd w:id="109"/>
      <w:r>
        <w:rPr>
          <w:rFonts w:hint="eastAsia" w:ascii="宋体" w:hAnsi="宋体" w:eastAsia="宋体" w:cs="宋体"/>
          <w:bCs/>
          <w:color w:val="auto"/>
          <w:kern w:val="0"/>
          <w:sz w:val="24"/>
          <w:szCs w:val="24"/>
          <w:highlight w:val="none"/>
          <w:vertAlign w:val="baseline"/>
          <w:lang w:val="en-US" w:eastAsia="zh-CN" w:bidi="ar"/>
        </w:rPr>
        <w:t>。</w:t>
      </w:r>
    </w:p>
    <w:p w14:paraId="2152B6C4">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3、中国政府采购网站（</w:t>
      </w:r>
      <w:bookmarkStart w:id="110" w:name="OLE_LINK96"/>
      <w:bookmarkEnd w:id="110"/>
      <w:r>
        <w:rPr>
          <w:rFonts w:hint="eastAsia" w:ascii="宋体" w:hAnsi="宋体" w:eastAsia="宋体" w:cs="宋体"/>
          <w:bCs/>
          <w:color w:val="auto"/>
          <w:kern w:val="0"/>
          <w:sz w:val="24"/>
          <w:szCs w:val="24"/>
          <w:highlight w:val="none"/>
          <w:u w:val="none"/>
          <w:vertAlign w:val="baseline"/>
        </w:rPr>
        <w:t>www.ccgp.gov.cn</w:t>
      </w:r>
      <w:r>
        <w:rPr>
          <w:rFonts w:hint="eastAsia" w:ascii="宋体" w:hAnsi="宋体" w:eastAsia="宋体" w:cs="宋体"/>
          <w:bCs/>
          <w:color w:val="auto"/>
          <w:kern w:val="0"/>
          <w:sz w:val="24"/>
          <w:szCs w:val="24"/>
          <w:highlight w:val="none"/>
          <w:vertAlign w:val="baseline"/>
          <w:lang w:val="en-US" w:eastAsia="zh-CN" w:bidi="ar"/>
        </w:rPr>
        <w:t>）查询以下失信行为：</w:t>
      </w:r>
    </w:p>
    <w:p w14:paraId="296DAD29">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①</w:t>
      </w:r>
      <w:bookmarkStart w:id="111" w:name="OLE_LINK106"/>
      <w:bookmarkEnd w:id="111"/>
      <w:bookmarkStart w:id="112" w:name="OLE_LINK105"/>
      <w:bookmarkEnd w:id="112"/>
      <w:bookmarkStart w:id="113" w:name="OLE_LINK104"/>
      <w:r>
        <w:rPr>
          <w:rFonts w:hint="eastAsia" w:ascii="宋体" w:hAnsi="宋体" w:eastAsia="宋体" w:cs="宋体"/>
          <w:bCs/>
          <w:color w:val="auto"/>
          <w:kern w:val="0"/>
          <w:sz w:val="24"/>
          <w:szCs w:val="24"/>
          <w:highlight w:val="none"/>
          <w:vertAlign w:val="baseline"/>
          <w:lang w:val="en-US" w:eastAsia="zh-CN" w:bidi="ar"/>
        </w:rPr>
        <w:t>被列入“政府采购严重违法失信行为信息记录”的</w:t>
      </w:r>
      <w:bookmarkEnd w:id="113"/>
      <w:r>
        <w:rPr>
          <w:rFonts w:hint="eastAsia" w:ascii="宋体" w:hAnsi="宋体" w:eastAsia="宋体" w:cs="宋体"/>
          <w:bCs/>
          <w:color w:val="auto"/>
          <w:kern w:val="0"/>
          <w:sz w:val="24"/>
          <w:szCs w:val="24"/>
          <w:highlight w:val="none"/>
          <w:vertAlign w:val="baseline"/>
          <w:lang w:val="en-US" w:eastAsia="zh-CN" w:bidi="ar"/>
        </w:rPr>
        <w:t>。</w:t>
      </w:r>
    </w:p>
    <w:p w14:paraId="00C6F13B">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4、由竞争主体进行承诺，不进行现场网上信用查询的失信行为：</w:t>
      </w:r>
    </w:p>
    <w:p w14:paraId="04E095D8">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2"/>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①前三年有行贿犯罪行为的单位和个人。</w:t>
      </w:r>
    </w:p>
    <w:p w14:paraId="5C9BD8D7">
      <w:pPr>
        <w:keepNext w:val="0"/>
        <w:keepLines w:val="0"/>
        <w:widowControl/>
        <w:suppressLineNumbers w:val="0"/>
        <w:spacing w:before="0" w:beforeAutospacing="0" w:after="0" w:afterAutospacing="0" w:line="480" w:lineRule="exact"/>
        <w:ind w:left="0" w:right="0" w:firstLine="482" w:firstLineChars="200"/>
        <w:jc w:val="both"/>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二、在开评标活动中的查询程序</w:t>
      </w:r>
    </w:p>
    <w:p w14:paraId="73396B6D">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064FF641">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64508D42">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2"/>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3、项目单位及其委托的代理机构应当做好信用查询结果截图和记录留存。</w:t>
      </w:r>
    </w:p>
    <w:p w14:paraId="353B6B6B">
      <w:pPr>
        <w:keepNext w:val="0"/>
        <w:keepLines w:val="0"/>
        <w:widowControl/>
        <w:suppressLineNumbers w:val="0"/>
        <w:spacing w:before="0" w:beforeAutospacing="0" w:after="0" w:afterAutospacing="0" w:line="480" w:lineRule="exact"/>
        <w:ind w:left="0" w:right="0" w:firstLine="482" w:firstLineChars="200"/>
        <w:jc w:val="both"/>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三、相关要求</w:t>
      </w:r>
    </w:p>
    <w:p w14:paraId="5BB6592B">
      <w:pPr>
        <w:keepNext w:val="0"/>
        <w:keepLines w:val="0"/>
        <w:widowControl/>
        <w:suppressLineNumbers w:val="0"/>
        <w:wordWrap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1、参与公共资源交易活动的竞争主体根据上述范围查询的内容进行自查并承诺，出具《诚信投标承诺书》（诚信投标承诺书包括但不限于上述自查并承诺内容）并注明承诺日期（投标截止时间前5日内）。</w:t>
      </w:r>
    </w:p>
    <w:p w14:paraId="5E558BA4">
      <w:pPr>
        <w:keepNext w:val="0"/>
        <w:keepLines w:val="0"/>
        <w:widowControl/>
        <w:suppressLineNumbers w:val="0"/>
        <w:wordWrap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3C0EDF95">
      <w:pPr>
        <w:keepNext w:val="0"/>
        <w:keepLines w:val="0"/>
        <w:widowControl/>
        <w:suppressLineNumbers w:val="0"/>
        <w:wordWrap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2"/>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5A779B54">
      <w:pPr>
        <w:keepNext w:val="0"/>
        <w:keepLines w:val="0"/>
        <w:widowControl/>
        <w:suppressLineNumbers w:val="0"/>
        <w:spacing w:before="0" w:beforeAutospacing="0" w:after="0" w:afterAutospacing="0" w:line="480" w:lineRule="exact"/>
        <w:ind w:left="0" w:right="0" w:firstLine="482" w:firstLineChars="200"/>
        <w:jc w:val="both"/>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2、“信用中国”查询的严重失信行为判定依据为各行业主管部门下发的联合惩戒文件中规定的行为（按附件2执行）。</w:t>
      </w:r>
    </w:p>
    <w:p w14:paraId="40290D0F">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3、资格预审的项目以递交资格预审申请文件截止时间查询为准；资格后审的项目以递交投标文件截止时间查询为准。</w:t>
      </w:r>
    </w:p>
    <w:p w14:paraId="34EF1DDA">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 xml:space="preserve"> </w:t>
      </w:r>
    </w:p>
    <w:p w14:paraId="5F452BA9">
      <w:pPr>
        <w:pStyle w:val="23"/>
        <w:keepNext w:val="0"/>
        <w:keepLines w:val="0"/>
        <w:widowControl/>
        <w:suppressLineNumbers w:val="0"/>
        <w:spacing w:before="0" w:beforeAutospacing="0" w:after="120" w:afterAutospacing="0" w:line="360" w:lineRule="auto"/>
        <w:ind w:left="420" w:leftChars="20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4877F91D">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br w:type="page"/>
      </w:r>
      <w:r>
        <w:rPr>
          <w:rFonts w:hint="eastAsia" w:ascii="宋体" w:hAnsi="宋体" w:eastAsia="宋体" w:cs="宋体"/>
          <w:b/>
          <w:bCs w:val="0"/>
          <w:color w:val="auto"/>
          <w:kern w:val="2"/>
          <w:sz w:val="24"/>
          <w:szCs w:val="24"/>
          <w:highlight w:val="none"/>
          <w:lang w:val="en-US" w:eastAsia="zh-CN" w:bidi="ar"/>
        </w:rPr>
        <w:t>附件2</w:t>
      </w:r>
    </w:p>
    <w:p w14:paraId="00691CCB">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“信用中国”查询的严重失信行为类别及判定依据</w:t>
      </w:r>
    </w:p>
    <w:p w14:paraId="41D581A0">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 xml:space="preserve"> </w:t>
      </w:r>
    </w:p>
    <w:p w14:paraId="551AEEB3">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“信用中国”查询的严重失信行为判定依据为各行业主管部门下发的联合惩戒文件中规定的行为。下面将部分类别的严重失信行为列举如下：</w:t>
      </w:r>
    </w:p>
    <w:p w14:paraId="1817E3F2">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一、安全生产领域严重失信行为：</w:t>
      </w:r>
    </w:p>
    <w:p w14:paraId="553EF22D">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（一）下列发生生产安全事故的生产经营单位及其有关人员应当列入严重失信主体名单：</w:t>
      </w:r>
    </w:p>
    <w:p w14:paraId="6A853B7E">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1、发生特别重大、重大生产安全事故的生产经营单位及其主要负责人，以及经调查认定对该事故发生负有责任，应当列入名单的其他单位和人员；</w:t>
      </w:r>
    </w:p>
    <w:p w14:paraId="7ACD986E">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2、12个月内累计发生2起以上较大生产安全事故的生产经营单位及其主要负责人；</w:t>
      </w:r>
    </w:p>
    <w:p w14:paraId="080784E6">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3、发生生产安全事故，情节特别严重、影响特别恶劣，依照《中华人民共和国安全生产法》第一百一十四条的规定被处以罚款数额2倍以上5倍以下罚款的生产经营单位及其主要负责人；</w:t>
      </w:r>
    </w:p>
    <w:p w14:paraId="6BB04863">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4、瞒报、谎报生产安全事故的生产经营单位及其有关责任人员；</w:t>
      </w:r>
    </w:p>
    <w:p w14:paraId="40BC6AA3">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5、发生生产安全事故后，不立即组织抢救或者在事故调查处理期间擅离职守或者逃匿的生产经营单位主要负责人。</w:t>
      </w:r>
    </w:p>
    <w:p w14:paraId="616B3399">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（二）下列未发生生产安全事故，但因安全生产违法行为，受到行政处罚的生产经营单位或者机构及其有关人员，应当列入严重失信主体名单：</w:t>
      </w:r>
    </w:p>
    <w:p w14:paraId="1F37E076">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1、未依法取得安全生产相关许可或者许可被暂扣、吊销期间从事相关生产经营活动的生产经营单位及其主要负责人；</w:t>
      </w:r>
    </w:p>
    <w:p w14:paraId="22EC6E84">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2、承担安全评价、认证、检测、检验职责的机构及其直接责任人员租借资质、挂靠、出具虚假报告或者证书的；</w:t>
      </w:r>
    </w:p>
    <w:p w14:paraId="540D1E39">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3、在应急管理部门作出行政处罚后，有执行能力拒不执行或者逃避执行的生产经营单位及其主要负责人；</w:t>
      </w:r>
    </w:p>
    <w:p w14:paraId="6BF889CC">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4、其他违反安全生产法律法规受到行政处罚，且性质恶劣、情节严重的。</w:t>
      </w:r>
    </w:p>
    <w:p w14:paraId="0389688E">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依据：《安全生产严重失信主体名单管理办法》（2023年8月28日应急管理部令第11号）</w:t>
      </w:r>
    </w:p>
    <w:p w14:paraId="2A8121CD">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 xml:space="preserve"> </w:t>
      </w:r>
    </w:p>
    <w:p w14:paraId="3A3169EA">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二、环境保护领域严重失信行为：</w:t>
      </w:r>
    </w:p>
    <w:p w14:paraId="31C674FE">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（一）因为环境违法构成环境犯罪的；</w:t>
      </w:r>
    </w:p>
    <w:p w14:paraId="508AC811">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（二）建设项目环境影响评价文件未按规定通过审批，擅自开工建设的；</w:t>
      </w:r>
    </w:p>
    <w:p w14:paraId="0EEC7E08">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（三）建设项目环保设施未建成、环保措施未落实、未通过竣工环保验收或者验收不合格，主体工程正式投入生产或者使用的；</w:t>
      </w:r>
    </w:p>
    <w:p w14:paraId="5FF0D8B7">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（四）建设项目性质、规模、地点、采用的生产工艺或者防治污染、防止生态破坏的措施发生重大变动，未重新报批环境影响评价文件，擅自投入生产或者使用的；</w:t>
      </w:r>
    </w:p>
    <w:p w14:paraId="0C65F86D">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（五）主要污染物排放总量超过控制指标的；</w:t>
      </w:r>
    </w:p>
    <w:p w14:paraId="41F26B5F">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（六）私设暗管或者利用渗井、渗坑、裂隙、溶洞等排放、倾倒、处置水污染物，或者通过私设旁路排放大气污染物的；</w:t>
      </w:r>
    </w:p>
    <w:p w14:paraId="1A88749E">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（七）非法排放、倾倒、处置危险废物，或者向无经营许可证或者超出经营许可范围的单位或个人提供或者委托其收集、贮存、利用、处置危险废物的；</w:t>
      </w:r>
    </w:p>
    <w:p w14:paraId="36CED886">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（八）环境违法行为造成集中式生活饮用水水源取水中断的；</w:t>
      </w:r>
    </w:p>
    <w:p w14:paraId="1525C40F">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（九）环境违法行为对生活饮用水水源保护区、自然保护区、国家重点生态功能区、风景名胜区、居住功能区、基本农田保护区等环境敏感区造成重大不利影响的；</w:t>
      </w:r>
    </w:p>
    <w:p w14:paraId="23202EE0">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（十）违法从事自然资源开发、交通基础设施建设，以及其他开发建设活动，造成严重生态破坏的；</w:t>
      </w:r>
    </w:p>
    <w:p w14:paraId="6D796A45">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（十一）发生较大及以上突发环境事件的；</w:t>
      </w:r>
    </w:p>
    <w:p w14:paraId="57870245">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（十二）被环保部门挂牌督办，整改逾期未完成的；</w:t>
      </w:r>
    </w:p>
    <w:p w14:paraId="79E5037D">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（十三）以暴力、威胁等方式拒绝、阻挠环保部门工作人员现场检查的；</w:t>
      </w:r>
    </w:p>
    <w:p w14:paraId="7370BEE7">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（十四）违反重污染天气应急预案有关规定，对重污染天气响应不力的。</w:t>
      </w:r>
    </w:p>
    <w:p w14:paraId="1D9B49B8">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依据：《关于对环境保护领域失信生产经营单位及其有关人员开展联合惩戒的合作备忘录》、《企业环境信用评价办法（试行）》（环发〔2013〕150号）</w:t>
      </w:r>
    </w:p>
    <w:p w14:paraId="301918B4">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 xml:space="preserve"> </w:t>
      </w:r>
    </w:p>
    <w:p w14:paraId="26DE217E">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三、公共资源交易领域严重失信行为</w:t>
      </w:r>
    </w:p>
    <w:p w14:paraId="1DE37E38">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（一）违反法律规定，必须进行招标的项目而不招标的，将必须进行招标的项目化整为零或者以其他任何方式规避招标的； </w:t>
      </w:r>
    </w:p>
    <w:p w14:paraId="38945E41">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（二）招标代理机构违反法律规定，泄露应当保密的与招标投标活动有关的情况和资料的，或者与招标人、投标人串通损害 国家利益、社会公共利益或者他人合法权益的；</w:t>
      </w:r>
    </w:p>
    <w:p w14:paraId="185298AC">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（三）招标人以不合理的条件限制或者排斥潜在投标人的，对潜在投标人实行歧视待遇的，强制要求投标人组成联合体共同 投标的，或者限制投标人之间竞争的；</w:t>
      </w:r>
    </w:p>
    <w:p w14:paraId="4CB6B24F">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（四）依法必须进行招标的项目的招标人向他人透露已获取招标文件的潜在投标人的名称、数量或者可能影响公平竞争的有 关招标投标的其他情况的，或者泄露标底的；</w:t>
      </w:r>
    </w:p>
    <w:p w14:paraId="54B5AAA9">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（五）投标人相互串通投标或者与招标人串通投标的，投标人以向招标人或者评标委员会成员行贿的手段谋取中标的； </w:t>
      </w:r>
    </w:p>
    <w:p w14:paraId="53332DB9">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（六）投标人以他人名义投标或者以其他方式弄虚作假，骗取中标的；</w:t>
      </w:r>
    </w:p>
    <w:p w14:paraId="438BF000">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（七）依法必须进行招标的项目，招标人违反法律规定，与投标人就投标价格、投标方案等实质性内容进行谈判的；</w:t>
      </w:r>
    </w:p>
    <w:p w14:paraId="10671443">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5AABC7E1">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（九）招标人在评标委员会依法推荐的中标候选人以外确定中标人的，依法必须进行招标的项目在所有投标被评标委员会否 决后自行确定中标人的； </w:t>
      </w:r>
    </w:p>
    <w:p w14:paraId="2D7A80DC">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（十）中标人将中标项目转让给他人的，将中标项目肢解后分别转让给他人的，违反法律规定将中标项目的部分主体、关键 性工作分包给他人的，或者分包人再次分包的； </w:t>
      </w:r>
    </w:p>
    <w:p w14:paraId="466F2016">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（十一）招标人与中标人不按照招标文件和中标人的投标文件订立合同的，或者招标人、中标人订立背离合同实质性内容的 协议的； </w:t>
      </w:r>
    </w:p>
    <w:p w14:paraId="61F9DC8E">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（十二）中标人不按照与招标人订立的合同履行义务，情节严重的； </w:t>
      </w:r>
    </w:p>
    <w:p w14:paraId="419ADCDE">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33E55DC6">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4788700C">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（十五）采购人对应当实行集中采购的政府采购项目，不委托集中采购机构实行集中采购的； </w:t>
      </w:r>
    </w:p>
    <w:p w14:paraId="7949EC8F">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（十六）采购人、采购代理机构违反法律规定隐匿、销毁应当保存的采购文件或者伪造、变造采购文件的； </w:t>
      </w:r>
    </w:p>
    <w:p w14:paraId="583B38AB">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3B8F9D97">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（十八）疫苗生产企业向县级疾病预防控制机构以外的单位或者个人销售第二类疫苗的； </w:t>
      </w:r>
    </w:p>
    <w:p w14:paraId="20117284">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（十九）存在其他违反公共资源交易法律法规行为的。</w:t>
      </w:r>
    </w:p>
    <w:p w14:paraId="7A56F296">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依据：《关于对公共资源交易领域严重失信主体开展联合惩戒的备忘录》（发改法规〔2018〕457号）</w:t>
      </w:r>
    </w:p>
    <w:p w14:paraId="5A21AA72">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 xml:space="preserve"> </w:t>
      </w:r>
    </w:p>
    <w:p w14:paraId="0E153229">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四、社会保险领域严重失信行为</w:t>
      </w:r>
    </w:p>
    <w:p w14:paraId="28E6E5F5">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（一）用人单位未按相关规定参加社会保险且拒不整改的； </w:t>
      </w:r>
    </w:p>
    <w:p w14:paraId="64E13FB2">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（二）用人单位未如实申报社会保险缴费基数且拒不整改的； </w:t>
      </w:r>
    </w:p>
    <w:p w14:paraId="302506F2">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（三）应缴纳社会保险费却拒不缴纳的； </w:t>
      </w:r>
    </w:p>
    <w:p w14:paraId="24E60EBC">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（四）隐匿、转移、侵占、挪用社会保险费款、基金或者违规投资运营的；</w:t>
      </w:r>
    </w:p>
    <w:p w14:paraId="5453C6C5">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（五）以欺诈、伪造证明材料或者其他手段参加、申报社会保险和骗取社会保险基金支出或社会保险待遇的； </w:t>
      </w:r>
    </w:p>
    <w:p w14:paraId="216BD09E">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（六）非法获取、出售或变相交易社会保险个人权益数据的； </w:t>
      </w:r>
    </w:p>
    <w:p w14:paraId="54622228">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（七）社会保险服务机构违反服务协议或相关规定的； </w:t>
      </w:r>
    </w:p>
    <w:p w14:paraId="75C58FF9">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（八）拒绝协助社会保险行政部门、经办机构对事故和问题进 行调查核实的；拒绝接受或协助税务部门对社会保险实施监督检查， 不如实提供与社会保险相关各项资料的； </w:t>
      </w:r>
    </w:p>
    <w:p w14:paraId="67593CD8">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（九）其他违反法律法规规定的。</w:t>
      </w:r>
    </w:p>
    <w:p w14:paraId="3A7DAC05">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依据：《关于对社会保险领域严重失信企业及其有关人员实施联合惩戒的合作备忘录》（发改财金〔2018〕1704号）</w:t>
      </w:r>
    </w:p>
    <w:p w14:paraId="4F9652BE">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 xml:space="preserve"> </w:t>
      </w:r>
    </w:p>
    <w:p w14:paraId="16541A0A">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五、建筑市场领域严重失信行为</w:t>
      </w:r>
    </w:p>
    <w:p w14:paraId="6DD270AF">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（一）利用虚假材料、以欺骗手段取得企业资质的；</w:t>
      </w:r>
    </w:p>
    <w:p w14:paraId="2CF52253">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（二）发生转包、出借资质，受到行政处罚的；</w:t>
      </w:r>
    </w:p>
    <w:p w14:paraId="0E2B28A4">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（三）发生重大及以上工程质量安全事故，或1年内累计发生2次及以上较大工程质量安全事故，或发生性质恶劣、危害性严重、社会影响大的较大工程质量安全事故，受到行政处罚的；</w:t>
      </w:r>
    </w:p>
    <w:p w14:paraId="4CC90D1F">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（四）经法院判决或仲裁机构裁决，认定为拖欠工程款,且拒不履行生效法律文书确定的义务的。</w:t>
      </w:r>
    </w:p>
    <w:p w14:paraId="00309468">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各级住房城乡建设主管部门应当参照建筑市场主体“黑名单”，对被人力资源社会保障行政部门列入拖欠农民工工资“黑名单”的建筑市场各方主体加强监管。</w:t>
      </w:r>
    </w:p>
    <w:p w14:paraId="4F67E947">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依据：《建筑市场信用管理暂行办法》（建市〔2017〕241号）</w:t>
      </w:r>
    </w:p>
    <w:p w14:paraId="3B28CE38">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 xml:space="preserve"> </w:t>
      </w:r>
    </w:p>
    <w:p w14:paraId="29336A51">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六、政府采购严重失信行为</w:t>
      </w:r>
    </w:p>
    <w:p w14:paraId="0D92184D">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供应商、采购代理机构在三年内受到财政部门作出下列情形之一的行政处罚，列入政府采购严重违法失信行为记录名单。</w:t>
      </w:r>
    </w:p>
    <w:p w14:paraId="79BFC568">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（一）三万元以上罚款；</w:t>
      </w:r>
    </w:p>
    <w:p w14:paraId="3B40B58A">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（二）在一至三年内禁止参加政府采购活动（处罚期限届满的除外）；</w:t>
      </w:r>
    </w:p>
    <w:p w14:paraId="5EF17412">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（三）在一至三年内禁止代理政府采购业务（处罚期限届满的除外）；</w:t>
      </w:r>
    </w:p>
    <w:p w14:paraId="433DD2A4">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（四）撤销政府采购代理机构资格（仅针对《政府采购法》第78条修改前作出的处罚决定）。</w:t>
      </w:r>
    </w:p>
    <w:p w14:paraId="3155E8BD">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依据：《关于报送政府采购严重违法失信行为信息记录的通知》（财办库〔2014〕526号）</w:t>
      </w:r>
    </w:p>
    <w:p w14:paraId="12194DB5">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 </w:t>
      </w:r>
    </w:p>
    <w:p w14:paraId="78B45170">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未列出的其他类别严重失信行为，由招标人（代理机构）根据各类别行业主管部门下发的联合惩戒文件进行判断</w:t>
      </w:r>
      <w:r>
        <w:rPr>
          <w:rFonts w:hint="eastAsia" w:ascii="宋体" w:hAnsi="宋体" w:eastAsia="宋体" w:cs="宋体"/>
          <w:b/>
          <w:bCs/>
          <w:color w:val="auto"/>
          <w:kern w:val="0"/>
          <w:sz w:val="24"/>
          <w:szCs w:val="24"/>
          <w:highlight w:val="none"/>
          <w:vertAlign w:val="baseline"/>
          <w:lang w:val="en-US" w:eastAsia="zh-CN" w:bidi="ar"/>
        </w:rPr>
        <w:t>。</w:t>
      </w:r>
    </w:p>
    <w:p w14:paraId="15ACF8A9">
      <w:pPr>
        <w:pStyle w:val="16"/>
        <w:widowControl/>
        <w:rPr>
          <w:rFonts w:hAnsi="MS Sans Serif" w:cs="Times New Roman"/>
          <w:bCs/>
          <w:color w:val="auto"/>
          <w:spacing w:val="12"/>
          <w:kern w:val="2"/>
          <w:sz w:val="24"/>
          <w:szCs w:val="24"/>
          <w:highlight w:val="none"/>
        </w:rPr>
      </w:pPr>
    </w:p>
    <w:p w14:paraId="45C1981C">
      <w:pPr>
        <w:spacing w:line="360" w:lineRule="auto"/>
        <w:ind w:firstLine="435"/>
        <w:rPr>
          <w:rFonts w:hint="eastAsia" w:asciiTheme="minorEastAsia" w:hAnsiTheme="minorEastAsia" w:eastAsiaTheme="minorEastAsia"/>
          <w:color w:val="auto"/>
          <w:sz w:val="24"/>
          <w:highlight w:val="none"/>
          <w:lang w:eastAsia="zh-CN"/>
        </w:rPr>
      </w:pPr>
    </w:p>
    <w:p w14:paraId="5F29AFB8">
      <w:pPr>
        <w:spacing w:line="360" w:lineRule="auto"/>
        <w:ind w:firstLine="435"/>
        <w:rPr>
          <w:rFonts w:hint="eastAsia" w:asciiTheme="minorEastAsia" w:hAnsiTheme="minorEastAsia" w:eastAsiaTheme="minorEastAsia"/>
          <w:color w:val="auto"/>
          <w:sz w:val="24"/>
          <w:highlight w:val="none"/>
          <w:lang w:eastAsia="zh-CN"/>
        </w:rPr>
      </w:pPr>
    </w:p>
    <w:p w14:paraId="19D6461C">
      <w:pPr>
        <w:spacing w:line="360" w:lineRule="auto"/>
        <w:ind w:firstLine="435"/>
        <w:rPr>
          <w:rFonts w:hint="eastAsia" w:asciiTheme="minorEastAsia" w:hAnsiTheme="minorEastAsia" w:eastAsiaTheme="minorEastAsia"/>
          <w:color w:val="auto"/>
          <w:sz w:val="24"/>
          <w:highlight w:val="none"/>
          <w:lang w:eastAsia="zh-CN"/>
        </w:rPr>
      </w:pPr>
    </w:p>
    <w:p w14:paraId="0EA9E37B">
      <w:pPr>
        <w:rPr>
          <w:rFonts w:hint="eastAsia" w:asciiTheme="minorEastAsia" w:hAnsiTheme="minorEastAsia" w:eastAsiaTheme="minorEastAsia"/>
          <w:color w:val="auto"/>
          <w:sz w:val="24"/>
          <w:highlight w:val="none"/>
        </w:rPr>
      </w:pPr>
    </w:p>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S San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97D86">
    <w:pPr>
      <w:pStyle w:val="18"/>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D9298">
    <w:pPr>
      <w:pStyle w:val="18"/>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F35F83">
                          <w:pPr>
                            <w:pStyle w:val="1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F35F83">
                    <w:pPr>
                      <w:pStyle w:val="1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BA6A6">
    <w:pPr>
      <w:pStyle w:val="19"/>
      <w:pBdr>
        <w:bottom w:val="none" w:color="auto" w:sz="0" w:space="1"/>
      </w:pBdr>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726B2">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962C9F"/>
    <w:multiLevelType w:val="singleLevel"/>
    <w:tmpl w:val="1D962C9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276BA1"/>
    <w:rsid w:val="0000043F"/>
    <w:rsid w:val="000016BE"/>
    <w:rsid w:val="000020D0"/>
    <w:rsid w:val="00002178"/>
    <w:rsid w:val="00003B1C"/>
    <w:rsid w:val="000049DA"/>
    <w:rsid w:val="000056B7"/>
    <w:rsid w:val="000131F7"/>
    <w:rsid w:val="0001462A"/>
    <w:rsid w:val="00016B6C"/>
    <w:rsid w:val="00020B57"/>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70E0E"/>
    <w:rsid w:val="00073C57"/>
    <w:rsid w:val="00076DB7"/>
    <w:rsid w:val="00080FEB"/>
    <w:rsid w:val="000871CC"/>
    <w:rsid w:val="00094D41"/>
    <w:rsid w:val="00097CB9"/>
    <w:rsid w:val="000A6693"/>
    <w:rsid w:val="000A6B73"/>
    <w:rsid w:val="000A7D94"/>
    <w:rsid w:val="000B1511"/>
    <w:rsid w:val="000B474F"/>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3A8"/>
    <w:rsid w:val="0012143A"/>
    <w:rsid w:val="001222C6"/>
    <w:rsid w:val="00132A16"/>
    <w:rsid w:val="00136D80"/>
    <w:rsid w:val="00137C7C"/>
    <w:rsid w:val="00140687"/>
    <w:rsid w:val="00144D72"/>
    <w:rsid w:val="00146421"/>
    <w:rsid w:val="001479CF"/>
    <w:rsid w:val="00155F64"/>
    <w:rsid w:val="00157856"/>
    <w:rsid w:val="00160198"/>
    <w:rsid w:val="00160729"/>
    <w:rsid w:val="00166ED8"/>
    <w:rsid w:val="001714C9"/>
    <w:rsid w:val="001770B6"/>
    <w:rsid w:val="00180C48"/>
    <w:rsid w:val="0018119B"/>
    <w:rsid w:val="001844AB"/>
    <w:rsid w:val="00187282"/>
    <w:rsid w:val="00191C9B"/>
    <w:rsid w:val="001944B8"/>
    <w:rsid w:val="00196DA3"/>
    <w:rsid w:val="00197AC4"/>
    <w:rsid w:val="001A5D34"/>
    <w:rsid w:val="001A68E5"/>
    <w:rsid w:val="001B1A1E"/>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232A"/>
    <w:rsid w:val="00223CF4"/>
    <w:rsid w:val="00224C4A"/>
    <w:rsid w:val="0023407E"/>
    <w:rsid w:val="00240278"/>
    <w:rsid w:val="00240B40"/>
    <w:rsid w:val="002440D8"/>
    <w:rsid w:val="00244182"/>
    <w:rsid w:val="00260B94"/>
    <w:rsid w:val="00264F2E"/>
    <w:rsid w:val="00271245"/>
    <w:rsid w:val="00274A9E"/>
    <w:rsid w:val="00276292"/>
    <w:rsid w:val="00276BA1"/>
    <w:rsid w:val="00277094"/>
    <w:rsid w:val="00277264"/>
    <w:rsid w:val="00286D62"/>
    <w:rsid w:val="00287EF5"/>
    <w:rsid w:val="002927A3"/>
    <w:rsid w:val="00293DB3"/>
    <w:rsid w:val="002A1A1D"/>
    <w:rsid w:val="002A210D"/>
    <w:rsid w:val="002A28AD"/>
    <w:rsid w:val="002B1828"/>
    <w:rsid w:val="002B5318"/>
    <w:rsid w:val="002B6D27"/>
    <w:rsid w:val="002C3887"/>
    <w:rsid w:val="002D2965"/>
    <w:rsid w:val="002D3D02"/>
    <w:rsid w:val="002D4CB5"/>
    <w:rsid w:val="002D684B"/>
    <w:rsid w:val="002E3B26"/>
    <w:rsid w:val="002E4AB8"/>
    <w:rsid w:val="00300733"/>
    <w:rsid w:val="00310070"/>
    <w:rsid w:val="003110EC"/>
    <w:rsid w:val="00312317"/>
    <w:rsid w:val="00315CFF"/>
    <w:rsid w:val="00327C92"/>
    <w:rsid w:val="00333292"/>
    <w:rsid w:val="003344E7"/>
    <w:rsid w:val="0033580B"/>
    <w:rsid w:val="003365E7"/>
    <w:rsid w:val="003378D5"/>
    <w:rsid w:val="003405C8"/>
    <w:rsid w:val="003473D7"/>
    <w:rsid w:val="00351AC8"/>
    <w:rsid w:val="00353075"/>
    <w:rsid w:val="00356E10"/>
    <w:rsid w:val="00360BB3"/>
    <w:rsid w:val="00362A66"/>
    <w:rsid w:val="00363E02"/>
    <w:rsid w:val="00364500"/>
    <w:rsid w:val="00373A96"/>
    <w:rsid w:val="003826C2"/>
    <w:rsid w:val="00383728"/>
    <w:rsid w:val="0038382B"/>
    <w:rsid w:val="00391586"/>
    <w:rsid w:val="00394128"/>
    <w:rsid w:val="003947A4"/>
    <w:rsid w:val="00395235"/>
    <w:rsid w:val="0039561A"/>
    <w:rsid w:val="00397C7D"/>
    <w:rsid w:val="003A004F"/>
    <w:rsid w:val="003B3120"/>
    <w:rsid w:val="003B4130"/>
    <w:rsid w:val="003B67D3"/>
    <w:rsid w:val="003B715B"/>
    <w:rsid w:val="003C090D"/>
    <w:rsid w:val="003C230C"/>
    <w:rsid w:val="003D1D14"/>
    <w:rsid w:val="003D596D"/>
    <w:rsid w:val="003D6C7C"/>
    <w:rsid w:val="003D6EFB"/>
    <w:rsid w:val="003D7E52"/>
    <w:rsid w:val="003E25C6"/>
    <w:rsid w:val="003F145B"/>
    <w:rsid w:val="004011AA"/>
    <w:rsid w:val="0040202C"/>
    <w:rsid w:val="00405168"/>
    <w:rsid w:val="00406454"/>
    <w:rsid w:val="00406508"/>
    <w:rsid w:val="0041456E"/>
    <w:rsid w:val="00414DBE"/>
    <w:rsid w:val="00414F7E"/>
    <w:rsid w:val="004164F8"/>
    <w:rsid w:val="00416800"/>
    <w:rsid w:val="00416808"/>
    <w:rsid w:val="004259B5"/>
    <w:rsid w:val="004316E6"/>
    <w:rsid w:val="004427B7"/>
    <w:rsid w:val="0044349F"/>
    <w:rsid w:val="00445F1F"/>
    <w:rsid w:val="00451F60"/>
    <w:rsid w:val="00452BB2"/>
    <w:rsid w:val="0045656D"/>
    <w:rsid w:val="00462D98"/>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08A8"/>
    <w:rsid w:val="00524168"/>
    <w:rsid w:val="00524A11"/>
    <w:rsid w:val="00527768"/>
    <w:rsid w:val="005310A0"/>
    <w:rsid w:val="005327FB"/>
    <w:rsid w:val="00533FCA"/>
    <w:rsid w:val="00546D49"/>
    <w:rsid w:val="005521FF"/>
    <w:rsid w:val="005522FC"/>
    <w:rsid w:val="005535FD"/>
    <w:rsid w:val="00555596"/>
    <w:rsid w:val="005616B5"/>
    <w:rsid w:val="00561C68"/>
    <w:rsid w:val="005716D3"/>
    <w:rsid w:val="00574E6F"/>
    <w:rsid w:val="00581E19"/>
    <w:rsid w:val="00582882"/>
    <w:rsid w:val="00590CA2"/>
    <w:rsid w:val="00591629"/>
    <w:rsid w:val="00597B15"/>
    <w:rsid w:val="005A044C"/>
    <w:rsid w:val="005B06FD"/>
    <w:rsid w:val="005B5C95"/>
    <w:rsid w:val="005B7713"/>
    <w:rsid w:val="005D0200"/>
    <w:rsid w:val="005D0D6E"/>
    <w:rsid w:val="005D2A35"/>
    <w:rsid w:val="005D44EF"/>
    <w:rsid w:val="005D4814"/>
    <w:rsid w:val="005D5112"/>
    <w:rsid w:val="005E39CC"/>
    <w:rsid w:val="005F2CD1"/>
    <w:rsid w:val="005F3914"/>
    <w:rsid w:val="005F3B5A"/>
    <w:rsid w:val="005F6AB4"/>
    <w:rsid w:val="006006F5"/>
    <w:rsid w:val="00601585"/>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5716"/>
    <w:rsid w:val="006C74A9"/>
    <w:rsid w:val="006D07DE"/>
    <w:rsid w:val="006D2222"/>
    <w:rsid w:val="006E06D9"/>
    <w:rsid w:val="006E1D40"/>
    <w:rsid w:val="006E2E1F"/>
    <w:rsid w:val="006E7016"/>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0D7F"/>
    <w:rsid w:val="007414E0"/>
    <w:rsid w:val="00745C94"/>
    <w:rsid w:val="00755D75"/>
    <w:rsid w:val="00756245"/>
    <w:rsid w:val="00760A01"/>
    <w:rsid w:val="00761662"/>
    <w:rsid w:val="00762106"/>
    <w:rsid w:val="00764043"/>
    <w:rsid w:val="00766B9C"/>
    <w:rsid w:val="007757CF"/>
    <w:rsid w:val="007772F4"/>
    <w:rsid w:val="0078128F"/>
    <w:rsid w:val="0078683C"/>
    <w:rsid w:val="00790EDB"/>
    <w:rsid w:val="00791538"/>
    <w:rsid w:val="0079326E"/>
    <w:rsid w:val="00796292"/>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295A"/>
    <w:rsid w:val="007E3921"/>
    <w:rsid w:val="00801028"/>
    <w:rsid w:val="00803793"/>
    <w:rsid w:val="00807493"/>
    <w:rsid w:val="008149FD"/>
    <w:rsid w:val="00817A01"/>
    <w:rsid w:val="00825E35"/>
    <w:rsid w:val="00825E64"/>
    <w:rsid w:val="00826194"/>
    <w:rsid w:val="008334F8"/>
    <w:rsid w:val="008341AA"/>
    <w:rsid w:val="00845490"/>
    <w:rsid w:val="00847E67"/>
    <w:rsid w:val="00847ED2"/>
    <w:rsid w:val="00854042"/>
    <w:rsid w:val="00863FDD"/>
    <w:rsid w:val="00871F99"/>
    <w:rsid w:val="00876461"/>
    <w:rsid w:val="00876659"/>
    <w:rsid w:val="0087734C"/>
    <w:rsid w:val="00882141"/>
    <w:rsid w:val="008826D0"/>
    <w:rsid w:val="008922A8"/>
    <w:rsid w:val="00895BD5"/>
    <w:rsid w:val="008969F1"/>
    <w:rsid w:val="0089773E"/>
    <w:rsid w:val="008A1587"/>
    <w:rsid w:val="008A16C4"/>
    <w:rsid w:val="008A6589"/>
    <w:rsid w:val="008A6FED"/>
    <w:rsid w:val="008B39C5"/>
    <w:rsid w:val="008B4793"/>
    <w:rsid w:val="008B51AA"/>
    <w:rsid w:val="008B67A6"/>
    <w:rsid w:val="008C0F31"/>
    <w:rsid w:val="008C67F2"/>
    <w:rsid w:val="008D064A"/>
    <w:rsid w:val="008D2B0F"/>
    <w:rsid w:val="008D6228"/>
    <w:rsid w:val="008E2AFD"/>
    <w:rsid w:val="008E449E"/>
    <w:rsid w:val="008F187F"/>
    <w:rsid w:val="008F402F"/>
    <w:rsid w:val="008F76E8"/>
    <w:rsid w:val="008F7CD0"/>
    <w:rsid w:val="009078A1"/>
    <w:rsid w:val="00911E9C"/>
    <w:rsid w:val="00917405"/>
    <w:rsid w:val="00920F7C"/>
    <w:rsid w:val="00934CAE"/>
    <w:rsid w:val="0094257D"/>
    <w:rsid w:val="009435AB"/>
    <w:rsid w:val="0095467C"/>
    <w:rsid w:val="00954A61"/>
    <w:rsid w:val="00955C6F"/>
    <w:rsid w:val="00966C7B"/>
    <w:rsid w:val="009701DC"/>
    <w:rsid w:val="009715D8"/>
    <w:rsid w:val="00972D10"/>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74F6"/>
    <w:rsid w:val="009E0512"/>
    <w:rsid w:val="009E3A0A"/>
    <w:rsid w:val="009F174D"/>
    <w:rsid w:val="009F3E91"/>
    <w:rsid w:val="00A05068"/>
    <w:rsid w:val="00A13861"/>
    <w:rsid w:val="00A1499B"/>
    <w:rsid w:val="00A1537A"/>
    <w:rsid w:val="00A27403"/>
    <w:rsid w:val="00A314C2"/>
    <w:rsid w:val="00A572DB"/>
    <w:rsid w:val="00A6163A"/>
    <w:rsid w:val="00A63E86"/>
    <w:rsid w:val="00A63EE7"/>
    <w:rsid w:val="00A65A1C"/>
    <w:rsid w:val="00A757C3"/>
    <w:rsid w:val="00A75E5B"/>
    <w:rsid w:val="00A763E4"/>
    <w:rsid w:val="00A7684A"/>
    <w:rsid w:val="00A83B69"/>
    <w:rsid w:val="00A86533"/>
    <w:rsid w:val="00A91CA2"/>
    <w:rsid w:val="00A92FB8"/>
    <w:rsid w:val="00A948F1"/>
    <w:rsid w:val="00AA1D7D"/>
    <w:rsid w:val="00AB139D"/>
    <w:rsid w:val="00AB3EFB"/>
    <w:rsid w:val="00AB4A98"/>
    <w:rsid w:val="00AC0574"/>
    <w:rsid w:val="00AC0B05"/>
    <w:rsid w:val="00AC3CEB"/>
    <w:rsid w:val="00AD079A"/>
    <w:rsid w:val="00AD1890"/>
    <w:rsid w:val="00AE0687"/>
    <w:rsid w:val="00AE2149"/>
    <w:rsid w:val="00AE33AE"/>
    <w:rsid w:val="00AE3785"/>
    <w:rsid w:val="00AE3F91"/>
    <w:rsid w:val="00AE452F"/>
    <w:rsid w:val="00AE76E6"/>
    <w:rsid w:val="00AF2B21"/>
    <w:rsid w:val="00B00983"/>
    <w:rsid w:val="00B0267C"/>
    <w:rsid w:val="00B039E3"/>
    <w:rsid w:val="00B22838"/>
    <w:rsid w:val="00B33E95"/>
    <w:rsid w:val="00B351F2"/>
    <w:rsid w:val="00B3720B"/>
    <w:rsid w:val="00B37358"/>
    <w:rsid w:val="00B43A6D"/>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79F5"/>
    <w:rsid w:val="00BB1F0D"/>
    <w:rsid w:val="00BB3AB6"/>
    <w:rsid w:val="00BB766D"/>
    <w:rsid w:val="00BC007B"/>
    <w:rsid w:val="00BC26BA"/>
    <w:rsid w:val="00BC35F8"/>
    <w:rsid w:val="00BD65C6"/>
    <w:rsid w:val="00BE481D"/>
    <w:rsid w:val="00BF06B9"/>
    <w:rsid w:val="00BF3696"/>
    <w:rsid w:val="00BF376F"/>
    <w:rsid w:val="00BF46A6"/>
    <w:rsid w:val="00C002C8"/>
    <w:rsid w:val="00C007CF"/>
    <w:rsid w:val="00C0634C"/>
    <w:rsid w:val="00C06545"/>
    <w:rsid w:val="00C06BA4"/>
    <w:rsid w:val="00C1161C"/>
    <w:rsid w:val="00C172D1"/>
    <w:rsid w:val="00C220FC"/>
    <w:rsid w:val="00C24DFA"/>
    <w:rsid w:val="00C46399"/>
    <w:rsid w:val="00C46A36"/>
    <w:rsid w:val="00C47037"/>
    <w:rsid w:val="00C474A2"/>
    <w:rsid w:val="00C53625"/>
    <w:rsid w:val="00C602C1"/>
    <w:rsid w:val="00C60EC3"/>
    <w:rsid w:val="00C61AFE"/>
    <w:rsid w:val="00C62248"/>
    <w:rsid w:val="00C63FC0"/>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A66F0"/>
    <w:rsid w:val="00CB5797"/>
    <w:rsid w:val="00CC1202"/>
    <w:rsid w:val="00CC7D56"/>
    <w:rsid w:val="00CD09E1"/>
    <w:rsid w:val="00CD6202"/>
    <w:rsid w:val="00CE1E40"/>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2B2D"/>
    <w:rsid w:val="00DE4A3F"/>
    <w:rsid w:val="00DE6121"/>
    <w:rsid w:val="00DF4367"/>
    <w:rsid w:val="00E0574A"/>
    <w:rsid w:val="00E07412"/>
    <w:rsid w:val="00E11F17"/>
    <w:rsid w:val="00E1243D"/>
    <w:rsid w:val="00E12742"/>
    <w:rsid w:val="00E13A25"/>
    <w:rsid w:val="00E146D4"/>
    <w:rsid w:val="00E20976"/>
    <w:rsid w:val="00E22B44"/>
    <w:rsid w:val="00E30ACD"/>
    <w:rsid w:val="00E32735"/>
    <w:rsid w:val="00E450C0"/>
    <w:rsid w:val="00E662C9"/>
    <w:rsid w:val="00E667C6"/>
    <w:rsid w:val="00E66E36"/>
    <w:rsid w:val="00E66FE7"/>
    <w:rsid w:val="00E702ED"/>
    <w:rsid w:val="00E709A4"/>
    <w:rsid w:val="00E726ED"/>
    <w:rsid w:val="00E73822"/>
    <w:rsid w:val="00E772DB"/>
    <w:rsid w:val="00E81B8B"/>
    <w:rsid w:val="00E86012"/>
    <w:rsid w:val="00E86BAB"/>
    <w:rsid w:val="00E918F7"/>
    <w:rsid w:val="00E91B84"/>
    <w:rsid w:val="00E94E10"/>
    <w:rsid w:val="00E9502E"/>
    <w:rsid w:val="00E96743"/>
    <w:rsid w:val="00E96A42"/>
    <w:rsid w:val="00EA0A36"/>
    <w:rsid w:val="00EA49C5"/>
    <w:rsid w:val="00EA5107"/>
    <w:rsid w:val="00EA5D8A"/>
    <w:rsid w:val="00EB0C34"/>
    <w:rsid w:val="00EB5027"/>
    <w:rsid w:val="00EC1836"/>
    <w:rsid w:val="00EC3990"/>
    <w:rsid w:val="00EC484B"/>
    <w:rsid w:val="00EC65B0"/>
    <w:rsid w:val="00ED15FA"/>
    <w:rsid w:val="00ED45E5"/>
    <w:rsid w:val="00EE275B"/>
    <w:rsid w:val="00EE6E9A"/>
    <w:rsid w:val="00EF0BF1"/>
    <w:rsid w:val="00EF2AC4"/>
    <w:rsid w:val="00EF38E4"/>
    <w:rsid w:val="00EF397E"/>
    <w:rsid w:val="00EF5FC8"/>
    <w:rsid w:val="00F06F68"/>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1D8D"/>
    <w:rsid w:val="00F634AD"/>
    <w:rsid w:val="00F63677"/>
    <w:rsid w:val="00F75B81"/>
    <w:rsid w:val="00F75D8A"/>
    <w:rsid w:val="00F804C4"/>
    <w:rsid w:val="00F82F83"/>
    <w:rsid w:val="00F82FED"/>
    <w:rsid w:val="00F832E5"/>
    <w:rsid w:val="00F87D65"/>
    <w:rsid w:val="00F92B30"/>
    <w:rsid w:val="00F933B9"/>
    <w:rsid w:val="00F94674"/>
    <w:rsid w:val="00F94919"/>
    <w:rsid w:val="00F94A59"/>
    <w:rsid w:val="00FA25B6"/>
    <w:rsid w:val="00FA2FAF"/>
    <w:rsid w:val="00FA573B"/>
    <w:rsid w:val="00FA64B1"/>
    <w:rsid w:val="00FA70F3"/>
    <w:rsid w:val="00FA71CD"/>
    <w:rsid w:val="00FB0453"/>
    <w:rsid w:val="00FB0C07"/>
    <w:rsid w:val="00FB298D"/>
    <w:rsid w:val="00FC1439"/>
    <w:rsid w:val="00FC724B"/>
    <w:rsid w:val="00FC7910"/>
    <w:rsid w:val="00FF0DA7"/>
    <w:rsid w:val="00FF1022"/>
    <w:rsid w:val="00FF44E0"/>
    <w:rsid w:val="00FF6C72"/>
    <w:rsid w:val="00FF783A"/>
    <w:rsid w:val="01621FDB"/>
    <w:rsid w:val="01E73C46"/>
    <w:rsid w:val="02BF6C59"/>
    <w:rsid w:val="030E7E36"/>
    <w:rsid w:val="04B765A2"/>
    <w:rsid w:val="059321F1"/>
    <w:rsid w:val="05AF72A0"/>
    <w:rsid w:val="05EE32AE"/>
    <w:rsid w:val="061E4FDD"/>
    <w:rsid w:val="07477E68"/>
    <w:rsid w:val="07CF463F"/>
    <w:rsid w:val="08591B53"/>
    <w:rsid w:val="086A1DB6"/>
    <w:rsid w:val="0954653B"/>
    <w:rsid w:val="0A0236B4"/>
    <w:rsid w:val="0A0A1357"/>
    <w:rsid w:val="0A5C407D"/>
    <w:rsid w:val="0C0E0A28"/>
    <w:rsid w:val="0C5C2F82"/>
    <w:rsid w:val="0CBD02ED"/>
    <w:rsid w:val="0CD13237"/>
    <w:rsid w:val="0CD8573D"/>
    <w:rsid w:val="0D262A20"/>
    <w:rsid w:val="0EE859DF"/>
    <w:rsid w:val="0F8347BD"/>
    <w:rsid w:val="0FD91EF8"/>
    <w:rsid w:val="104135F9"/>
    <w:rsid w:val="11E76EF7"/>
    <w:rsid w:val="125E1788"/>
    <w:rsid w:val="145C4675"/>
    <w:rsid w:val="1475265D"/>
    <w:rsid w:val="14D2451C"/>
    <w:rsid w:val="14F926F4"/>
    <w:rsid w:val="157B6A2B"/>
    <w:rsid w:val="15D65C30"/>
    <w:rsid w:val="16557DFE"/>
    <w:rsid w:val="1663076D"/>
    <w:rsid w:val="16CF07A1"/>
    <w:rsid w:val="17AB528F"/>
    <w:rsid w:val="17BD726C"/>
    <w:rsid w:val="17E91507"/>
    <w:rsid w:val="18031DFC"/>
    <w:rsid w:val="180F1FC9"/>
    <w:rsid w:val="18633FE4"/>
    <w:rsid w:val="192B28DA"/>
    <w:rsid w:val="19A32436"/>
    <w:rsid w:val="1A18186E"/>
    <w:rsid w:val="1A7B316A"/>
    <w:rsid w:val="1B475782"/>
    <w:rsid w:val="1B4F41A6"/>
    <w:rsid w:val="1BCC2910"/>
    <w:rsid w:val="1CD93E41"/>
    <w:rsid w:val="1D03782A"/>
    <w:rsid w:val="1DA11B7B"/>
    <w:rsid w:val="1E8A0F92"/>
    <w:rsid w:val="1F0048D9"/>
    <w:rsid w:val="1F04109E"/>
    <w:rsid w:val="1F536EA5"/>
    <w:rsid w:val="21030661"/>
    <w:rsid w:val="211654D1"/>
    <w:rsid w:val="214D4F9D"/>
    <w:rsid w:val="2177635F"/>
    <w:rsid w:val="218D5DCC"/>
    <w:rsid w:val="21A00E17"/>
    <w:rsid w:val="226326A4"/>
    <w:rsid w:val="229B1EF2"/>
    <w:rsid w:val="232F19D7"/>
    <w:rsid w:val="23576714"/>
    <w:rsid w:val="23663C2F"/>
    <w:rsid w:val="245943B5"/>
    <w:rsid w:val="247C1540"/>
    <w:rsid w:val="25377290"/>
    <w:rsid w:val="25A02B7F"/>
    <w:rsid w:val="25CD7E2E"/>
    <w:rsid w:val="25F3318F"/>
    <w:rsid w:val="278B4F71"/>
    <w:rsid w:val="28251390"/>
    <w:rsid w:val="28CE2356"/>
    <w:rsid w:val="295A2A3F"/>
    <w:rsid w:val="29F63606"/>
    <w:rsid w:val="2A1B7069"/>
    <w:rsid w:val="2A2A21AD"/>
    <w:rsid w:val="2B193698"/>
    <w:rsid w:val="2B365FF8"/>
    <w:rsid w:val="2C7C57CA"/>
    <w:rsid w:val="2E141EF5"/>
    <w:rsid w:val="2E1A575D"/>
    <w:rsid w:val="2E36227F"/>
    <w:rsid w:val="2EB82F9F"/>
    <w:rsid w:val="2F3C3432"/>
    <w:rsid w:val="30A754DF"/>
    <w:rsid w:val="31D67BED"/>
    <w:rsid w:val="337E5DD0"/>
    <w:rsid w:val="33D161E8"/>
    <w:rsid w:val="345E036E"/>
    <w:rsid w:val="346223EA"/>
    <w:rsid w:val="34B2511B"/>
    <w:rsid w:val="351153E0"/>
    <w:rsid w:val="352C2916"/>
    <w:rsid w:val="366C1077"/>
    <w:rsid w:val="36A06A1C"/>
    <w:rsid w:val="371847E2"/>
    <w:rsid w:val="37BF2AC2"/>
    <w:rsid w:val="39185E60"/>
    <w:rsid w:val="3A4536E5"/>
    <w:rsid w:val="3A766411"/>
    <w:rsid w:val="3B214C05"/>
    <w:rsid w:val="3B6732A7"/>
    <w:rsid w:val="3B796242"/>
    <w:rsid w:val="3CEF068E"/>
    <w:rsid w:val="3D6E29D8"/>
    <w:rsid w:val="3DAC0EE9"/>
    <w:rsid w:val="3E5E39A4"/>
    <w:rsid w:val="3E9512FD"/>
    <w:rsid w:val="3F42428E"/>
    <w:rsid w:val="402F520E"/>
    <w:rsid w:val="40D93256"/>
    <w:rsid w:val="41377F7D"/>
    <w:rsid w:val="413A09E6"/>
    <w:rsid w:val="41676AB4"/>
    <w:rsid w:val="42472441"/>
    <w:rsid w:val="424D7C76"/>
    <w:rsid w:val="424E1A22"/>
    <w:rsid w:val="44046D3B"/>
    <w:rsid w:val="45D715E1"/>
    <w:rsid w:val="48934632"/>
    <w:rsid w:val="4A6D07B9"/>
    <w:rsid w:val="4BD9233D"/>
    <w:rsid w:val="4BE12910"/>
    <w:rsid w:val="4BE331DB"/>
    <w:rsid w:val="4CDC7AA1"/>
    <w:rsid w:val="4E9E5ADF"/>
    <w:rsid w:val="51233DD7"/>
    <w:rsid w:val="51E9259B"/>
    <w:rsid w:val="52377F97"/>
    <w:rsid w:val="53110BF4"/>
    <w:rsid w:val="53E775E0"/>
    <w:rsid w:val="543C1CC1"/>
    <w:rsid w:val="5607799E"/>
    <w:rsid w:val="5785759A"/>
    <w:rsid w:val="58F509F1"/>
    <w:rsid w:val="59C4319E"/>
    <w:rsid w:val="59D03840"/>
    <w:rsid w:val="59E4582B"/>
    <w:rsid w:val="59FC4F8A"/>
    <w:rsid w:val="5A022021"/>
    <w:rsid w:val="5A6804AB"/>
    <w:rsid w:val="5B6C36DD"/>
    <w:rsid w:val="5C372975"/>
    <w:rsid w:val="5C740423"/>
    <w:rsid w:val="5C7F166A"/>
    <w:rsid w:val="5D323FC2"/>
    <w:rsid w:val="5E554AD3"/>
    <w:rsid w:val="5FDF6AB4"/>
    <w:rsid w:val="604D40FC"/>
    <w:rsid w:val="610C68D8"/>
    <w:rsid w:val="62000643"/>
    <w:rsid w:val="629D2560"/>
    <w:rsid w:val="64416899"/>
    <w:rsid w:val="644E6FB5"/>
    <w:rsid w:val="644F31D5"/>
    <w:rsid w:val="64EC6D10"/>
    <w:rsid w:val="65C14E04"/>
    <w:rsid w:val="67126006"/>
    <w:rsid w:val="674A241E"/>
    <w:rsid w:val="67BB0B3F"/>
    <w:rsid w:val="682F07AA"/>
    <w:rsid w:val="68807C64"/>
    <w:rsid w:val="68CD5DAB"/>
    <w:rsid w:val="69C21C42"/>
    <w:rsid w:val="6A570167"/>
    <w:rsid w:val="6AC61574"/>
    <w:rsid w:val="6B3C57C9"/>
    <w:rsid w:val="6B3E7572"/>
    <w:rsid w:val="6BE2044C"/>
    <w:rsid w:val="6C4D70C0"/>
    <w:rsid w:val="6C621AA2"/>
    <w:rsid w:val="6EBE3907"/>
    <w:rsid w:val="6FBC2114"/>
    <w:rsid w:val="705F607C"/>
    <w:rsid w:val="70902932"/>
    <w:rsid w:val="71755DD4"/>
    <w:rsid w:val="71946328"/>
    <w:rsid w:val="71DC5E53"/>
    <w:rsid w:val="735D4003"/>
    <w:rsid w:val="73FA265E"/>
    <w:rsid w:val="74563EFA"/>
    <w:rsid w:val="748C2191"/>
    <w:rsid w:val="74D745B8"/>
    <w:rsid w:val="74F764D9"/>
    <w:rsid w:val="7535244A"/>
    <w:rsid w:val="75976C60"/>
    <w:rsid w:val="75C537CD"/>
    <w:rsid w:val="766377D4"/>
    <w:rsid w:val="76726D86"/>
    <w:rsid w:val="76746FA2"/>
    <w:rsid w:val="76E73479"/>
    <w:rsid w:val="771D30BE"/>
    <w:rsid w:val="77FD363B"/>
    <w:rsid w:val="784E1FE2"/>
    <w:rsid w:val="78803D6C"/>
    <w:rsid w:val="7A111395"/>
    <w:rsid w:val="7B0809BE"/>
    <w:rsid w:val="7D0A17FB"/>
    <w:rsid w:val="7DB52BB3"/>
    <w:rsid w:val="7DDC0B9A"/>
    <w:rsid w:val="7E490EF5"/>
    <w:rsid w:val="7E6E4733"/>
    <w:rsid w:val="7F7E6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6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63"/>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8"/>
    <w:autoRedefine/>
    <w:qFormat/>
    <w:uiPriority w:val="0"/>
    <w:pPr>
      <w:keepNext/>
      <w:keepLines/>
      <w:spacing w:before="280" w:after="290" w:line="376" w:lineRule="auto"/>
      <w:outlineLvl w:val="3"/>
    </w:pPr>
    <w:rPr>
      <w:b/>
      <w:bCs/>
      <w:sz w:val="28"/>
      <w:szCs w:val="28"/>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customStyle="1" w:styleId="2">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styleId="7">
    <w:name w:val="toc 7"/>
    <w:basedOn w:val="1"/>
    <w:next w:val="1"/>
    <w:unhideWhenUsed/>
    <w:qFormat/>
    <w:uiPriority w:val="39"/>
    <w:pPr>
      <w:ind w:left="1260"/>
      <w:jc w:val="left"/>
    </w:pPr>
    <w:rPr>
      <w:sz w:val="18"/>
      <w:szCs w:val="18"/>
    </w:rPr>
  </w:style>
  <w:style w:type="paragraph" w:styleId="8">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60"/>
    <w:autoRedefine/>
    <w:qFormat/>
    <w:uiPriority w:val="0"/>
    <w:pPr>
      <w:jc w:val="left"/>
    </w:pPr>
    <w:rPr>
      <w:rFonts w:ascii="Arial" w:hAnsi="Arial" w:eastAsia="黑体" w:cs="Arial"/>
    </w:rPr>
  </w:style>
  <w:style w:type="paragraph" w:styleId="10">
    <w:name w:val="Body Text"/>
    <w:basedOn w:val="1"/>
    <w:autoRedefine/>
    <w:qFormat/>
    <w:uiPriority w:val="0"/>
    <w:pPr>
      <w:spacing w:after="120"/>
    </w:pPr>
    <w:rPr>
      <w:rFonts w:ascii="@微软简标宋" w:hAnsi="@微软简标宋" w:eastAsia="@微软简标宋" w:cs="@微软简标宋"/>
      <w:szCs w:val="24"/>
      <w:lang w:val="zh-CN"/>
    </w:rPr>
  </w:style>
  <w:style w:type="paragraph" w:styleId="11">
    <w:name w:val="Body Text Indent"/>
    <w:basedOn w:val="1"/>
    <w:next w:val="12"/>
    <w:autoRedefine/>
    <w:qFormat/>
    <w:uiPriority w:val="0"/>
    <w:pPr>
      <w:spacing w:after="120"/>
      <w:ind w:left="420" w:leftChars="200"/>
    </w:pPr>
  </w:style>
  <w:style w:type="paragraph" w:styleId="12">
    <w:name w:val="envelope return"/>
    <w:basedOn w:val="1"/>
    <w:next w:val="7"/>
    <w:qFormat/>
    <w:uiPriority w:val="0"/>
    <w:pPr>
      <w:snapToGrid w:val="0"/>
    </w:pPr>
    <w:rPr>
      <w:rFonts w:ascii="Arial" w:hAnsi="Arial"/>
    </w:rPr>
  </w:style>
  <w:style w:type="paragraph" w:styleId="13">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49"/>
    <w:autoRedefine/>
    <w:qFormat/>
    <w:uiPriority w:val="99"/>
    <w:rPr>
      <w:rFonts w:ascii="宋体" w:hAnsi="Courier New" w:eastAsiaTheme="minorEastAsia" w:cstheme="minorBidi"/>
      <w:szCs w:val="22"/>
    </w:rPr>
  </w:style>
  <w:style w:type="paragraph" w:styleId="15">
    <w:name w:val="Date"/>
    <w:basedOn w:val="1"/>
    <w:next w:val="1"/>
    <w:link w:val="56"/>
    <w:autoRedefine/>
    <w:qFormat/>
    <w:uiPriority w:val="0"/>
    <w:rPr>
      <w:rFonts w:ascii="Arial" w:hAnsi="Arial" w:eastAsia="宋体" w:cs="Arial"/>
      <w:b/>
      <w:sz w:val="28"/>
    </w:rPr>
  </w:style>
  <w:style w:type="paragraph" w:styleId="16">
    <w:name w:val="Body Text Indent 2"/>
    <w:basedOn w:val="1"/>
    <w:semiHidden/>
    <w:unhideWhenUsed/>
    <w:qFormat/>
    <w:uiPriority w:val="99"/>
    <w:pPr>
      <w:keepNext w:val="0"/>
      <w:keepLines w:val="0"/>
      <w:widowControl/>
      <w:suppressLineNumbers w:val="0"/>
      <w:overflowPunct w:val="0"/>
      <w:autoSpaceDE w:val="0"/>
      <w:autoSpaceDN w:val="0"/>
      <w:adjustRightInd w:val="0"/>
      <w:spacing w:before="0" w:beforeAutospacing="0" w:after="0" w:afterAutospacing="0" w:line="360" w:lineRule="auto"/>
      <w:ind w:left="0" w:right="0" w:firstLine="555"/>
      <w:jc w:val="both"/>
      <w:textAlignment w:val="baseline"/>
    </w:pPr>
    <w:rPr>
      <w:rFonts w:hAnsi="MS Sans Serif" w:cs="Times New Roman"/>
      <w:bCs/>
      <w:spacing w:val="12"/>
      <w:kern w:val="2"/>
      <w:sz w:val="24"/>
      <w:szCs w:val="24"/>
      <w:lang w:val="en-US" w:eastAsia="zh-CN" w:bidi="ar"/>
    </w:rPr>
  </w:style>
  <w:style w:type="paragraph" w:styleId="17">
    <w:name w:val="Balloon Text"/>
    <w:basedOn w:val="1"/>
    <w:link w:val="43"/>
    <w:autoRedefine/>
    <w:semiHidden/>
    <w:unhideWhenUsed/>
    <w:qFormat/>
    <w:uiPriority w:val="99"/>
    <w:rPr>
      <w:sz w:val="18"/>
      <w:szCs w:val="18"/>
    </w:rPr>
  </w:style>
  <w:style w:type="paragraph" w:styleId="18">
    <w:name w:val="footer"/>
    <w:basedOn w:val="1"/>
    <w:link w:val="48"/>
    <w:autoRedefine/>
    <w:unhideWhenUsed/>
    <w:qFormat/>
    <w:uiPriority w:val="99"/>
    <w:pPr>
      <w:tabs>
        <w:tab w:val="center" w:pos="4153"/>
        <w:tab w:val="right" w:pos="8306"/>
      </w:tabs>
      <w:snapToGrid w:val="0"/>
      <w:jc w:val="left"/>
    </w:pPr>
    <w:rPr>
      <w:sz w:val="18"/>
      <w:szCs w:val="18"/>
    </w:rPr>
  </w:style>
  <w:style w:type="paragraph" w:styleId="19">
    <w:name w:val="header"/>
    <w:basedOn w:val="1"/>
    <w:link w:val="4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1">
    <w:name w:val="List"/>
    <w:basedOn w:val="1"/>
    <w:next w:val="1"/>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22">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3">
    <w:name w:val="Normal (Web)"/>
    <w:basedOn w:val="1"/>
    <w:next w:val="24"/>
    <w:autoRedefine/>
    <w:qFormat/>
    <w:uiPriority w:val="0"/>
    <w:pPr>
      <w:spacing w:before="100" w:beforeAutospacing="1" w:after="100" w:afterAutospacing="1"/>
      <w:jc w:val="left"/>
    </w:pPr>
    <w:rPr>
      <w:rFonts w:cs="Times New Roman"/>
      <w:kern w:val="0"/>
      <w:sz w:val="24"/>
    </w:rPr>
  </w:style>
  <w:style w:type="paragraph" w:customStyle="1" w:styleId="24">
    <w:name w:val="正文文字 8"/>
    <w:basedOn w:val="1"/>
    <w:next w:val="1"/>
    <w:qFormat/>
    <w:uiPriority w:val="0"/>
    <w:pPr>
      <w:ind w:left="240"/>
    </w:pPr>
    <w:rPr>
      <w:sz w:val="16"/>
    </w:rPr>
  </w:style>
  <w:style w:type="paragraph" w:styleId="25">
    <w:name w:val="index 1"/>
    <w:basedOn w:val="1"/>
    <w:next w:val="1"/>
    <w:autoRedefine/>
    <w:qFormat/>
    <w:uiPriority w:val="0"/>
    <w:pPr>
      <w:jc w:val="center"/>
    </w:pPr>
    <w:rPr>
      <w:rFonts w:ascii="Arial" w:hAnsi="Arial" w:eastAsia="Arial" w:cs="Arial"/>
      <w:b/>
      <w:bCs/>
      <w:sz w:val="28"/>
    </w:rPr>
  </w:style>
  <w:style w:type="paragraph" w:styleId="26">
    <w:name w:val="Body Text First Indent"/>
    <w:basedOn w:val="10"/>
    <w:autoRedefine/>
    <w:unhideWhenUsed/>
    <w:qFormat/>
    <w:uiPriority w:val="99"/>
    <w:pPr>
      <w:ind w:firstLine="420" w:firstLineChars="100"/>
    </w:pPr>
  </w:style>
  <w:style w:type="paragraph" w:styleId="27">
    <w:name w:val="Body Text First Indent 2"/>
    <w:basedOn w:val="1"/>
    <w:next w:val="1"/>
    <w:qFormat/>
    <w:uiPriority w:val="0"/>
    <w:pPr>
      <w:spacing w:line="360" w:lineRule="auto"/>
      <w:ind w:firstLine="200" w:firstLineChars="200"/>
    </w:pPr>
    <w:rPr>
      <w:rFonts w:ascii="宋体"/>
      <w:szCs w:val="20"/>
    </w:rPr>
  </w:style>
  <w:style w:type="table" w:styleId="29">
    <w:name w:val="Table Grid"/>
    <w:basedOn w:val="28"/>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autoRedefine/>
    <w:qFormat/>
    <w:uiPriority w:val="0"/>
    <w:rPr>
      <w:b/>
      <w:bCs/>
    </w:rPr>
  </w:style>
  <w:style w:type="character" w:styleId="32">
    <w:name w:val="FollowedHyperlink"/>
    <w:basedOn w:val="30"/>
    <w:semiHidden/>
    <w:unhideWhenUsed/>
    <w:qFormat/>
    <w:uiPriority w:val="99"/>
    <w:rPr>
      <w:color w:val="5C5C5C"/>
      <w:u w:val="none"/>
    </w:rPr>
  </w:style>
  <w:style w:type="character" w:styleId="33">
    <w:name w:val="Emphasis"/>
    <w:basedOn w:val="30"/>
    <w:qFormat/>
    <w:uiPriority w:val="20"/>
    <w:rPr>
      <w:b/>
      <w:bCs/>
    </w:rPr>
  </w:style>
  <w:style w:type="character" w:styleId="34">
    <w:name w:val="HTML Definition"/>
    <w:basedOn w:val="30"/>
    <w:semiHidden/>
    <w:unhideWhenUsed/>
    <w:qFormat/>
    <w:uiPriority w:val="99"/>
  </w:style>
  <w:style w:type="character" w:styleId="35">
    <w:name w:val="HTML Typewriter"/>
    <w:basedOn w:val="30"/>
    <w:semiHidden/>
    <w:unhideWhenUsed/>
    <w:qFormat/>
    <w:uiPriority w:val="99"/>
    <w:rPr>
      <w:rFonts w:hint="default" w:ascii="monospace" w:hAnsi="monospace" w:eastAsia="monospace" w:cs="monospace"/>
      <w:sz w:val="20"/>
    </w:rPr>
  </w:style>
  <w:style w:type="character" w:styleId="36">
    <w:name w:val="HTML Acronym"/>
    <w:basedOn w:val="30"/>
    <w:semiHidden/>
    <w:unhideWhenUsed/>
    <w:qFormat/>
    <w:uiPriority w:val="99"/>
  </w:style>
  <w:style w:type="character" w:styleId="37">
    <w:name w:val="HTML Variable"/>
    <w:basedOn w:val="30"/>
    <w:semiHidden/>
    <w:unhideWhenUsed/>
    <w:qFormat/>
    <w:uiPriority w:val="99"/>
  </w:style>
  <w:style w:type="character" w:styleId="38">
    <w:name w:val="Hyperlink"/>
    <w:basedOn w:val="30"/>
    <w:autoRedefine/>
    <w:unhideWhenUsed/>
    <w:qFormat/>
    <w:uiPriority w:val="99"/>
    <w:rPr>
      <w:color w:val="0000FF" w:themeColor="hyperlink"/>
      <w:u w:val="single"/>
      <w14:textFill>
        <w14:solidFill>
          <w14:schemeClr w14:val="hlink"/>
        </w14:solidFill>
      </w14:textFill>
    </w:rPr>
  </w:style>
  <w:style w:type="character" w:styleId="39">
    <w:name w:val="HTML Code"/>
    <w:basedOn w:val="30"/>
    <w:semiHidden/>
    <w:unhideWhenUsed/>
    <w:qFormat/>
    <w:uiPriority w:val="99"/>
    <w:rPr>
      <w:rFonts w:hint="default" w:ascii="monospace" w:hAnsi="monospace" w:eastAsia="monospace" w:cs="monospace"/>
      <w:sz w:val="20"/>
    </w:rPr>
  </w:style>
  <w:style w:type="character" w:styleId="40">
    <w:name w:val="HTML Cite"/>
    <w:basedOn w:val="30"/>
    <w:semiHidden/>
    <w:unhideWhenUsed/>
    <w:qFormat/>
    <w:uiPriority w:val="99"/>
  </w:style>
  <w:style w:type="character" w:styleId="41">
    <w:name w:val="HTML Keyboard"/>
    <w:basedOn w:val="30"/>
    <w:semiHidden/>
    <w:unhideWhenUsed/>
    <w:qFormat/>
    <w:uiPriority w:val="99"/>
    <w:rPr>
      <w:rFonts w:hint="default" w:ascii="monospace" w:hAnsi="monospace" w:eastAsia="monospace" w:cs="monospace"/>
      <w:sz w:val="20"/>
    </w:rPr>
  </w:style>
  <w:style w:type="character" w:styleId="42">
    <w:name w:val="HTML Sample"/>
    <w:basedOn w:val="30"/>
    <w:semiHidden/>
    <w:unhideWhenUsed/>
    <w:qFormat/>
    <w:uiPriority w:val="99"/>
    <w:rPr>
      <w:rFonts w:ascii="monospace" w:hAnsi="monospace" w:eastAsia="monospace" w:cs="monospace"/>
    </w:rPr>
  </w:style>
  <w:style w:type="character" w:customStyle="1" w:styleId="43">
    <w:name w:val="批注框文本 Char"/>
    <w:basedOn w:val="30"/>
    <w:link w:val="17"/>
    <w:autoRedefine/>
    <w:semiHidden/>
    <w:qFormat/>
    <w:uiPriority w:val="99"/>
    <w:rPr>
      <w:rFonts w:ascii="@仿宋_GB2312" w:hAnsi="@仿宋_GB2312" w:eastAsia="@仿宋_GB2312" w:cs="@仿宋_GB2312"/>
      <w:sz w:val="18"/>
      <w:szCs w:val="18"/>
    </w:rPr>
  </w:style>
  <w:style w:type="paragraph" w:customStyle="1" w:styleId="44">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6">
    <w:name w:val="D&amp;L"/>
    <w:basedOn w:val="19"/>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Char"/>
    <w:basedOn w:val="30"/>
    <w:link w:val="19"/>
    <w:autoRedefine/>
    <w:qFormat/>
    <w:uiPriority w:val="0"/>
    <w:rPr>
      <w:rFonts w:ascii="@仿宋_GB2312" w:hAnsi="@仿宋_GB2312" w:eastAsia="@仿宋_GB2312" w:cs="@仿宋_GB2312"/>
      <w:sz w:val="18"/>
      <w:szCs w:val="18"/>
    </w:rPr>
  </w:style>
  <w:style w:type="character" w:customStyle="1" w:styleId="48">
    <w:name w:val="页脚 Char"/>
    <w:basedOn w:val="30"/>
    <w:link w:val="18"/>
    <w:autoRedefine/>
    <w:qFormat/>
    <w:uiPriority w:val="99"/>
    <w:rPr>
      <w:rFonts w:ascii="@仿宋_GB2312" w:hAnsi="@仿宋_GB2312" w:eastAsia="@仿宋_GB2312" w:cs="@仿宋_GB2312"/>
      <w:sz w:val="18"/>
      <w:szCs w:val="18"/>
    </w:rPr>
  </w:style>
  <w:style w:type="character" w:customStyle="1" w:styleId="49">
    <w:name w:val="纯文本 Char"/>
    <w:link w:val="14"/>
    <w:autoRedefine/>
    <w:qFormat/>
    <w:uiPriority w:val="0"/>
    <w:rPr>
      <w:rFonts w:ascii="宋体" w:hAnsi="Courier New"/>
    </w:rPr>
  </w:style>
  <w:style w:type="character" w:customStyle="1" w:styleId="50">
    <w:name w:val="纯文本 字符1"/>
    <w:basedOn w:val="30"/>
    <w:autoRedefine/>
    <w:semiHidden/>
    <w:qFormat/>
    <w:uiPriority w:val="99"/>
    <w:rPr>
      <w:rFonts w:hAnsi="Courier New" w:cs="Courier New" w:asciiTheme="minorEastAsia"/>
      <w:szCs w:val="20"/>
    </w:rPr>
  </w:style>
  <w:style w:type="character" w:customStyle="1" w:styleId="51">
    <w:name w:val="未处理的提及1"/>
    <w:basedOn w:val="30"/>
    <w:autoRedefine/>
    <w:semiHidden/>
    <w:unhideWhenUsed/>
    <w:qFormat/>
    <w:uiPriority w:val="99"/>
    <w:rPr>
      <w:color w:val="605E5C"/>
      <w:shd w:val="clear" w:color="auto" w:fill="E1DFDD"/>
    </w:rPr>
  </w:style>
  <w:style w:type="paragraph" w:styleId="52">
    <w:name w:val="List Paragraph"/>
    <w:basedOn w:val="1"/>
    <w:autoRedefine/>
    <w:qFormat/>
    <w:uiPriority w:val="34"/>
    <w:pPr>
      <w:ind w:firstLine="420" w:firstLineChars="200"/>
    </w:pPr>
  </w:style>
  <w:style w:type="paragraph" w:customStyle="1" w:styleId="53">
    <w:name w:val="Char Char Char Char Char Char Char1 Char"/>
    <w:basedOn w:val="1"/>
    <w:autoRedefine/>
    <w:qFormat/>
    <w:uiPriority w:val="0"/>
    <w:rPr>
      <w:rFonts w:ascii="Arial" w:hAnsi="Arial" w:eastAsia="宋体" w:cs="Arial"/>
      <w:sz w:val="24"/>
    </w:rPr>
  </w:style>
  <w:style w:type="table" w:customStyle="1" w:styleId="54">
    <w:name w:val="网格表 1 浅色1"/>
    <w:basedOn w:val="28"/>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5">
    <w:name w:val="日期 字符"/>
    <w:basedOn w:val="30"/>
    <w:autoRedefine/>
    <w:semiHidden/>
    <w:qFormat/>
    <w:uiPriority w:val="99"/>
    <w:rPr>
      <w:rFonts w:ascii="@仿宋_GB2312" w:hAnsi="@仿宋_GB2312" w:eastAsia="@仿宋_GB2312" w:cs="@仿宋_GB2312"/>
      <w:szCs w:val="20"/>
    </w:rPr>
  </w:style>
  <w:style w:type="character" w:customStyle="1" w:styleId="56">
    <w:name w:val="日期 Char"/>
    <w:link w:val="15"/>
    <w:autoRedefine/>
    <w:qFormat/>
    <w:uiPriority w:val="0"/>
    <w:rPr>
      <w:rFonts w:ascii="Arial" w:hAnsi="Arial" w:eastAsia="宋体" w:cs="Arial"/>
      <w:b/>
      <w:sz w:val="28"/>
      <w:szCs w:val="20"/>
    </w:rPr>
  </w:style>
  <w:style w:type="character" w:customStyle="1" w:styleId="57">
    <w:name w:val="纯文本 Char1"/>
    <w:link w:val="58"/>
    <w:autoRedefine/>
    <w:qFormat/>
    <w:locked/>
    <w:uiPriority w:val="0"/>
    <w:rPr>
      <w:rFonts w:ascii="Arial" w:hAnsi="Arial" w:eastAsia="Arial"/>
      <w:kern w:val="2"/>
      <w:sz w:val="21"/>
      <w:lang w:val="en-US" w:eastAsia="zh-CN" w:bidi="ar-SA"/>
    </w:rPr>
  </w:style>
  <w:style w:type="paragraph" w:customStyle="1" w:styleId="58">
    <w:name w:val="纯文本1"/>
    <w:basedOn w:val="1"/>
    <w:link w:val="57"/>
    <w:autoRedefine/>
    <w:qFormat/>
    <w:uiPriority w:val="0"/>
    <w:rPr>
      <w:rFonts w:ascii="Arial" w:hAnsi="Arial" w:eastAsia="Arial" w:cstheme="minorBidi"/>
      <w:szCs w:val="22"/>
    </w:rPr>
  </w:style>
  <w:style w:type="character" w:customStyle="1" w:styleId="59">
    <w:name w:val="批注文字 Char"/>
    <w:basedOn w:val="30"/>
    <w:autoRedefine/>
    <w:semiHidden/>
    <w:qFormat/>
    <w:uiPriority w:val="99"/>
    <w:rPr>
      <w:rFonts w:ascii="@仿宋_GB2312" w:hAnsi="@仿宋_GB2312" w:eastAsia="@仿宋_GB2312" w:cs="@仿宋_GB2312"/>
      <w:szCs w:val="20"/>
    </w:rPr>
  </w:style>
  <w:style w:type="character" w:customStyle="1" w:styleId="60">
    <w:name w:val="批注文字 Char1"/>
    <w:link w:val="9"/>
    <w:autoRedefine/>
    <w:qFormat/>
    <w:uiPriority w:val="0"/>
    <w:rPr>
      <w:rFonts w:ascii="Arial" w:hAnsi="Arial" w:eastAsia="黑体" w:cs="Arial"/>
      <w:szCs w:val="20"/>
    </w:rPr>
  </w:style>
  <w:style w:type="character" w:customStyle="1" w:styleId="61">
    <w:name w:val="标题 1 Char"/>
    <w:basedOn w:val="30"/>
    <w:link w:val="3"/>
    <w:autoRedefine/>
    <w:qFormat/>
    <w:uiPriority w:val="9"/>
    <w:rPr>
      <w:rFonts w:ascii="@仿宋_GB2312" w:hAnsi="@仿宋_GB2312" w:eastAsia="@仿宋_GB2312" w:cs="@仿宋_GB2312"/>
      <w:b/>
      <w:bCs/>
      <w:kern w:val="44"/>
      <w:sz w:val="44"/>
      <w:szCs w:val="44"/>
    </w:rPr>
  </w:style>
  <w:style w:type="paragraph" w:customStyle="1" w:styleId="62">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3">
    <w:name w:val="标题 3 Char"/>
    <w:basedOn w:val="30"/>
    <w:link w:val="5"/>
    <w:autoRedefine/>
    <w:semiHidden/>
    <w:qFormat/>
    <w:uiPriority w:val="9"/>
    <w:rPr>
      <w:rFonts w:ascii="@仿宋_GB2312" w:hAnsi="@仿宋_GB2312" w:eastAsia="@仿宋_GB2312" w:cs="@仿宋_GB2312"/>
      <w:b/>
      <w:bCs/>
      <w:sz w:val="32"/>
      <w:szCs w:val="32"/>
    </w:rPr>
  </w:style>
  <w:style w:type="character" w:customStyle="1" w:styleId="64">
    <w:name w:val="fontstyle01"/>
    <w:basedOn w:val="30"/>
    <w:autoRedefine/>
    <w:qFormat/>
    <w:uiPriority w:val="0"/>
    <w:rPr>
      <w:rFonts w:hint="eastAsia" w:ascii="宋体" w:hAnsi="宋体" w:eastAsia="宋体"/>
      <w:color w:val="000000"/>
      <w:sz w:val="22"/>
      <w:szCs w:val="22"/>
    </w:rPr>
  </w:style>
  <w:style w:type="character" w:customStyle="1" w:styleId="65">
    <w:name w:val="fontstyle21"/>
    <w:basedOn w:val="30"/>
    <w:autoRedefine/>
    <w:qFormat/>
    <w:uiPriority w:val="0"/>
    <w:rPr>
      <w:rFonts w:hint="default" w:ascii="TimesNewRomanPSMT" w:hAnsi="TimesNewRomanPSMT"/>
      <w:color w:val="000000"/>
      <w:sz w:val="22"/>
      <w:szCs w:val="22"/>
    </w:rPr>
  </w:style>
  <w:style w:type="character" w:customStyle="1" w:styleId="66">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7">
    <w:name w:val="标题 4 字符"/>
    <w:basedOn w:val="30"/>
    <w:autoRedefine/>
    <w:semiHidden/>
    <w:qFormat/>
    <w:uiPriority w:val="9"/>
    <w:rPr>
      <w:rFonts w:asciiTheme="majorHAnsi" w:hAnsiTheme="majorHAnsi" w:eastAsiaTheme="majorEastAsia" w:cstheme="majorBidi"/>
      <w:b/>
      <w:bCs/>
      <w:sz w:val="28"/>
      <w:szCs w:val="28"/>
    </w:rPr>
  </w:style>
  <w:style w:type="character" w:customStyle="1" w:styleId="68">
    <w:name w:val="标题 4 Char"/>
    <w:link w:val="6"/>
    <w:autoRedefine/>
    <w:qFormat/>
    <w:uiPriority w:val="0"/>
    <w:rPr>
      <w:rFonts w:ascii="@仿宋_GB2312" w:hAnsi="@仿宋_GB2312" w:eastAsia="@仿宋_GB2312" w:cs="@仿宋_GB2312"/>
      <w:b/>
      <w:bCs/>
      <w:sz w:val="28"/>
      <w:szCs w:val="28"/>
    </w:rPr>
  </w:style>
  <w:style w:type="table" w:customStyle="1" w:styleId="69">
    <w:name w:val="Table Normal"/>
    <w:autoRedefine/>
    <w:semiHidden/>
    <w:unhideWhenUsed/>
    <w:qFormat/>
    <w:uiPriority w:val="0"/>
    <w:tblPr>
      <w:tblCellMar>
        <w:top w:w="0" w:type="dxa"/>
        <w:left w:w="0" w:type="dxa"/>
        <w:bottom w:w="0" w:type="dxa"/>
        <w:right w:w="0" w:type="dxa"/>
      </w:tblCellMar>
    </w:tblPr>
  </w:style>
  <w:style w:type="paragraph" w:customStyle="1" w:styleId="70">
    <w:name w:val="Table Text"/>
    <w:basedOn w:val="1"/>
    <w:autoRedefine/>
    <w:semiHidden/>
    <w:qFormat/>
    <w:uiPriority w:val="0"/>
    <w:rPr>
      <w:rFonts w:ascii="Arial" w:hAnsi="Arial" w:eastAsia="Arial" w:cs="Arial"/>
      <w:sz w:val="21"/>
      <w:szCs w:val="21"/>
      <w:lang w:val="en-US" w:eastAsia="en-US" w:bidi="ar-SA"/>
    </w:rPr>
  </w:style>
  <w:style w:type="paragraph" w:customStyle="1" w:styleId="7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autoRedefine/>
    <w:qFormat/>
    <w:uiPriority w:val="0"/>
    <w:pPr>
      <w:ind w:firstLine="420" w:firstLineChars="200"/>
    </w:pPr>
    <w:rPr>
      <w:szCs w:val="21"/>
    </w:rPr>
  </w:style>
  <w:style w:type="character" w:customStyle="1" w:styleId="73">
    <w:name w:val="hover1"/>
    <w:basedOn w:val="30"/>
    <w:qFormat/>
    <w:uiPriority w:val="0"/>
    <w:rPr>
      <w:color w:val="2590EB"/>
    </w:rPr>
  </w:style>
  <w:style w:type="character" w:customStyle="1" w:styleId="74">
    <w:name w:val="hover2"/>
    <w:basedOn w:val="30"/>
    <w:qFormat/>
    <w:uiPriority w:val="0"/>
    <w:rPr>
      <w:color w:val="2590EB"/>
    </w:rPr>
  </w:style>
  <w:style w:type="character" w:customStyle="1" w:styleId="75">
    <w:name w:val="hover3"/>
    <w:basedOn w:val="30"/>
    <w:qFormat/>
    <w:uiPriority w:val="0"/>
  </w:style>
  <w:style w:type="character" w:customStyle="1" w:styleId="76">
    <w:name w:val="hover4"/>
    <w:basedOn w:val="30"/>
    <w:qFormat/>
    <w:uiPriority w:val="0"/>
    <w:rPr>
      <w:color w:val="2590EB"/>
      <w:shd w:val="clear" w:fill="E9F4FD"/>
    </w:rPr>
  </w:style>
  <w:style w:type="character" w:customStyle="1" w:styleId="77">
    <w:name w:val="hover"/>
    <w:basedOn w:val="30"/>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C43401-81E2-418A-B418-7EF80B2E4932}">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65</Pages>
  <Words>2449</Words>
  <Characters>2810</Characters>
  <Lines>1</Lines>
  <Paragraphs>1</Paragraphs>
  <TotalTime>90</TotalTime>
  <ScaleCrop>false</ScaleCrop>
  <LinksUpToDate>false</LinksUpToDate>
  <CharactersWithSpaces>2904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这不科学</cp:lastModifiedBy>
  <cp:lastPrinted>2019-12-07T15:22:00Z</cp:lastPrinted>
  <dcterms:modified xsi:type="dcterms:W3CDTF">2025-10-23T07:28:53Z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E651678D5E974D438EA281DD20D2C37B_13</vt:lpwstr>
  </property>
  <property fmtid="{D5CDD505-2E9C-101B-9397-08002B2CF9AE}" pid="4" name="KSOTemplateDocerSaveRecord">
    <vt:lpwstr>eyJoZGlkIjoiZmI5ZDY5ZDNjMmE2ZDcxYTFkMDY0Zjg5Mjg3YTE0YTgiLCJ1c2VySWQiOiI1MDM3MjkwOTMifQ==</vt:lpwstr>
  </property>
</Properties>
</file>