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A56B3">
      <w:pPr>
        <w:pStyle w:val="12"/>
        <w:ind w:left="0" w:leftChars="0" w:firstLineChars="0"/>
        <w:jc w:val="center"/>
        <w:rPr>
          <w:rFonts w:hint="eastAsia" w:ascii="新宋体" w:hAnsi="新宋体" w:eastAsia="新宋体"/>
          <w:b/>
          <w:color w:val="auto"/>
          <w:sz w:val="44"/>
          <w:szCs w:val="44"/>
          <w:highlight w:val="none"/>
        </w:rPr>
      </w:pPr>
      <w:bookmarkStart w:id="0" w:name="OLE_LINK1"/>
    </w:p>
    <w:p w14:paraId="16F2DDA8">
      <w:pPr>
        <w:keepNext w:val="0"/>
        <w:keepLines w:val="0"/>
        <w:pageBreakBefore w:val="0"/>
        <w:widowControl w:val="0"/>
        <w:kinsoku/>
        <w:wordWrap/>
        <w:overflowPunct/>
        <w:topLinePunct w:val="0"/>
        <w:autoSpaceDE/>
        <w:autoSpaceDN/>
        <w:bidi w:val="0"/>
        <w:adjustRightInd/>
        <w:snapToGrid/>
        <w:spacing w:before="313" w:beforeLines="100" w:after="313" w:afterLines="100" w:line="840" w:lineRule="exact"/>
        <w:jc w:val="center"/>
        <w:textAlignment w:val="auto"/>
        <w:rPr>
          <w:rFonts w:hint="eastAsia" w:eastAsia="宋体"/>
          <w:color w:val="auto"/>
          <w:highlight w:val="none"/>
          <w:lang w:eastAsia="zh-CN"/>
        </w:rPr>
      </w:pPr>
      <w:r>
        <w:rPr>
          <w:rFonts w:hint="eastAsia" w:ascii="新宋体" w:hAnsi="新宋体" w:eastAsia="新宋体"/>
          <w:b/>
          <w:color w:val="auto"/>
          <w:sz w:val="44"/>
          <w:szCs w:val="44"/>
          <w:highlight w:val="none"/>
          <w:lang w:eastAsia="zh-CN"/>
        </w:rPr>
        <w:t>高庄花园安置小区前期物业服务项目</w:t>
      </w:r>
    </w:p>
    <w:p w14:paraId="662E7BC5">
      <w:pPr>
        <w:spacing w:before="156" w:beforeLines="50" w:after="156" w:afterLines="50"/>
        <w:ind w:left="-850" w:leftChars="-405" w:right="-625"/>
        <w:jc w:val="center"/>
        <w:rPr>
          <w:rFonts w:hint="eastAsia" w:ascii="宋体" w:hAnsi="宋体"/>
          <w:color w:val="auto"/>
          <w:sz w:val="40"/>
          <w:szCs w:val="36"/>
          <w:highlight w:val="none"/>
        </w:rPr>
      </w:pPr>
      <w:r>
        <w:rPr>
          <w:rFonts w:hint="eastAsia" w:ascii="宋体" w:hAnsi="宋体"/>
          <w:color w:val="auto"/>
          <w:sz w:val="40"/>
          <w:szCs w:val="36"/>
          <w:highlight w:val="none"/>
        </w:rPr>
        <w:t>（电子招标投标）</w:t>
      </w:r>
    </w:p>
    <w:p w14:paraId="155DEABD">
      <w:pPr>
        <w:pStyle w:val="12"/>
        <w:ind w:left="0" w:leftChars="0" w:firstLine="2880" w:firstLineChars="1200"/>
        <w:rPr>
          <w:rFonts w:hint="default" w:eastAsia="宋体"/>
          <w:color w:val="auto"/>
          <w:sz w:val="24"/>
          <w:highlight w:val="none"/>
          <w:lang w:val="en-US" w:eastAsia="zh-CN"/>
        </w:rPr>
      </w:pPr>
      <w:r>
        <w:rPr>
          <w:rFonts w:hint="eastAsia"/>
          <w:color w:val="auto"/>
          <w:sz w:val="24"/>
          <w:highlight w:val="none"/>
        </w:rPr>
        <w:t>项目编号：czsjqt202509-006</w:t>
      </w:r>
    </w:p>
    <w:p w14:paraId="580777CD">
      <w:pPr>
        <w:pStyle w:val="52"/>
        <w:ind w:firstLine="0" w:firstLineChars="0"/>
        <w:rPr>
          <w:rFonts w:hint="eastAsia"/>
          <w:color w:val="auto"/>
          <w:highlight w:val="none"/>
        </w:rPr>
      </w:pPr>
    </w:p>
    <w:p w14:paraId="52DA62A8">
      <w:pPr>
        <w:pStyle w:val="52"/>
        <w:ind w:firstLine="480"/>
        <w:rPr>
          <w:rFonts w:hint="eastAsia"/>
          <w:color w:val="auto"/>
          <w:highlight w:val="none"/>
        </w:rPr>
      </w:pPr>
    </w:p>
    <w:p w14:paraId="0212BD87">
      <w:pPr>
        <w:rPr>
          <w:rFonts w:hint="eastAsia" w:ascii="宋体"/>
          <w:bCs/>
          <w:color w:val="auto"/>
          <w:szCs w:val="21"/>
          <w:highlight w:val="none"/>
        </w:rPr>
      </w:pPr>
    </w:p>
    <w:p w14:paraId="092EA4EB">
      <w:pPr>
        <w:spacing w:line="312" w:lineRule="auto"/>
        <w:jc w:val="center"/>
        <w:rPr>
          <w:rFonts w:ascii="宋体" w:hAnsi="宋体"/>
          <w:b/>
          <w:color w:val="auto"/>
          <w:sz w:val="84"/>
          <w:szCs w:val="84"/>
          <w:highlight w:val="none"/>
        </w:rPr>
      </w:pPr>
      <w:r>
        <w:rPr>
          <w:rFonts w:hint="eastAsia" w:ascii="宋体" w:hAnsi="宋体"/>
          <w:b/>
          <w:color w:val="auto"/>
          <w:sz w:val="84"/>
          <w:szCs w:val="84"/>
          <w:highlight w:val="none"/>
        </w:rPr>
        <w:t>招 标 文 件</w:t>
      </w:r>
    </w:p>
    <w:p w14:paraId="3A1D72BE">
      <w:pPr>
        <w:rPr>
          <w:rFonts w:hint="eastAsia" w:ascii="宋体"/>
          <w:bCs/>
          <w:color w:val="auto"/>
          <w:szCs w:val="21"/>
          <w:highlight w:val="none"/>
        </w:rPr>
      </w:pPr>
    </w:p>
    <w:p w14:paraId="5A12BF2B">
      <w:pPr>
        <w:rPr>
          <w:rFonts w:hint="eastAsia" w:ascii="宋体" w:hAnsi="宋体" w:eastAsia="宋体"/>
          <w:b/>
          <w:color w:val="auto"/>
          <w:sz w:val="84"/>
          <w:szCs w:val="84"/>
          <w:highlight w:val="none"/>
          <w:lang w:val="en-US" w:eastAsia="zh-CN"/>
        </w:rPr>
      </w:pPr>
      <w:r>
        <w:rPr>
          <w:rFonts w:hint="eastAsia" w:ascii="宋体" w:hAnsi="宋体"/>
          <w:b/>
          <w:color w:val="auto"/>
          <w:sz w:val="84"/>
          <w:szCs w:val="84"/>
          <w:highlight w:val="none"/>
          <w:lang w:val="en-US" w:eastAsia="zh-CN"/>
        </w:rPr>
        <w:t xml:space="preserve"> </w:t>
      </w:r>
    </w:p>
    <w:p w14:paraId="4D44ED68">
      <w:pPr>
        <w:pStyle w:val="13"/>
        <w:ind w:left="420"/>
        <w:rPr>
          <w:rFonts w:hint="eastAsia"/>
          <w:color w:val="auto"/>
          <w:highlight w:val="none"/>
        </w:rPr>
      </w:pPr>
    </w:p>
    <w:p w14:paraId="0FB80A96">
      <w:pPr>
        <w:rPr>
          <w:rFonts w:hint="eastAsia"/>
          <w:color w:val="auto"/>
          <w:highlight w:val="none"/>
        </w:rPr>
      </w:pPr>
    </w:p>
    <w:p w14:paraId="15A5F14C">
      <w:pPr>
        <w:pStyle w:val="12"/>
        <w:ind w:firstLine="400"/>
        <w:rPr>
          <w:rFonts w:hint="eastAsia"/>
          <w:color w:val="auto"/>
          <w:highlight w:val="none"/>
        </w:rPr>
      </w:pPr>
    </w:p>
    <w:p w14:paraId="0881C835">
      <w:pPr>
        <w:spacing w:before="312" w:beforeLines="100" w:after="312" w:afterLines="100" w:line="360" w:lineRule="auto"/>
        <w:jc w:val="left"/>
        <w:rPr>
          <w:rFonts w:hint="eastAsia" w:ascii="宋体"/>
          <w:b/>
          <w:color w:val="auto"/>
          <w:sz w:val="32"/>
          <w:szCs w:val="32"/>
          <w:highlight w:val="none"/>
        </w:rPr>
      </w:pPr>
    </w:p>
    <w:p w14:paraId="757D3391">
      <w:pPr>
        <w:pStyle w:val="12"/>
        <w:rPr>
          <w:rFonts w:hint="eastAsia"/>
          <w:color w:val="auto"/>
          <w:highlight w:val="none"/>
        </w:rPr>
      </w:pPr>
    </w:p>
    <w:p w14:paraId="04F09E12">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32"/>
          <w:szCs w:val="32"/>
          <w:highlight w:val="none"/>
        </w:rPr>
      </w:pPr>
      <w:r>
        <w:rPr>
          <w:rFonts w:hint="eastAsia" w:ascii="宋体"/>
          <w:b/>
          <w:color w:val="auto"/>
          <w:sz w:val="32"/>
          <w:szCs w:val="32"/>
          <w:highlight w:val="none"/>
        </w:rPr>
        <w:t>招标人：</w:t>
      </w:r>
      <w:r>
        <w:rPr>
          <w:rFonts w:hint="eastAsia" w:ascii="宋体" w:hAnsi="宋体" w:cs="宋体"/>
          <w:b/>
          <w:bCs/>
          <w:color w:val="auto"/>
          <w:sz w:val="32"/>
          <w:szCs w:val="32"/>
          <w:highlight w:val="none"/>
          <w:u w:val="single"/>
          <w:lang w:val="en-US" w:eastAsia="zh-CN"/>
        </w:rPr>
        <w:t xml:space="preserve">滁州市同创建设投资有限责任公司 </w:t>
      </w:r>
      <w:r>
        <w:rPr>
          <w:rFonts w:hint="eastAsia" w:ascii="宋体" w:hAnsi="宋体" w:cs="宋体"/>
          <w:b/>
          <w:bCs/>
          <w:color w:val="auto"/>
          <w:sz w:val="32"/>
          <w:szCs w:val="32"/>
          <w:highlight w:val="none"/>
        </w:rPr>
        <w:t>（盖章）</w:t>
      </w:r>
    </w:p>
    <w:p w14:paraId="61093FDB">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b/>
          <w:color w:val="auto"/>
          <w:sz w:val="32"/>
          <w:szCs w:val="32"/>
          <w:highlight w:val="none"/>
        </w:rPr>
      </w:pPr>
      <w:r>
        <w:rPr>
          <w:rFonts w:hint="eastAsia" w:ascii="宋体" w:hAnsi="宋体" w:cs="宋体"/>
          <w:b/>
          <w:bCs/>
          <w:color w:val="auto"/>
          <w:sz w:val="32"/>
          <w:szCs w:val="32"/>
          <w:highlight w:val="none"/>
          <w:lang w:eastAsia="zh-CN"/>
        </w:rPr>
        <w:t>（隶属于国家级经济技术开发区的国有企业）</w:t>
      </w:r>
    </w:p>
    <w:p w14:paraId="655D5659">
      <w:pPr>
        <w:spacing w:before="312" w:beforeLines="100" w:after="312" w:afterLines="100" w:line="480" w:lineRule="auto"/>
        <w:ind w:firstLine="964" w:firstLineChars="300"/>
        <w:rPr>
          <w:rFonts w:hint="eastAsia" w:ascii="宋体"/>
          <w:b/>
          <w:color w:val="auto"/>
          <w:sz w:val="32"/>
          <w:szCs w:val="32"/>
          <w:highlight w:val="none"/>
          <w:u w:val="single"/>
        </w:rPr>
      </w:pPr>
      <w:r>
        <w:rPr>
          <w:rFonts w:hint="eastAsia" w:ascii="宋体"/>
          <w:b/>
          <w:color w:val="auto"/>
          <w:sz w:val="32"/>
          <w:szCs w:val="32"/>
          <w:highlight w:val="none"/>
        </w:rPr>
        <w:t>代理机构：</w:t>
      </w:r>
      <w:r>
        <w:rPr>
          <w:rFonts w:hint="eastAsia" w:ascii="宋体"/>
          <w:b/>
          <w:color w:val="auto"/>
          <w:sz w:val="32"/>
          <w:szCs w:val="32"/>
          <w:highlight w:val="none"/>
          <w:u w:val="single"/>
        </w:rPr>
        <w:t>滁州市城投工程咨询管理有限公司</w:t>
      </w:r>
      <w:r>
        <w:rPr>
          <w:rFonts w:hint="eastAsia" w:ascii="宋体"/>
          <w:b/>
          <w:color w:val="auto"/>
          <w:sz w:val="32"/>
          <w:szCs w:val="32"/>
          <w:highlight w:val="none"/>
        </w:rPr>
        <w:t>（盖章）</w:t>
      </w:r>
    </w:p>
    <w:p w14:paraId="390E8A92">
      <w:pPr>
        <w:spacing w:before="312" w:beforeLines="100" w:after="312" w:afterLines="100" w:line="480" w:lineRule="auto"/>
        <w:jc w:val="center"/>
        <w:rPr>
          <w:rFonts w:hint="eastAsia" w:ascii="宋体"/>
          <w:b/>
          <w:color w:val="auto"/>
          <w:sz w:val="32"/>
          <w:szCs w:val="32"/>
          <w:highlight w:val="none"/>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9</w:t>
      </w:r>
      <w:r>
        <w:rPr>
          <w:rFonts w:hint="eastAsia" w:ascii="宋体"/>
          <w:b/>
          <w:color w:val="auto"/>
          <w:sz w:val="32"/>
          <w:szCs w:val="32"/>
          <w:highlight w:val="none"/>
        </w:rPr>
        <w:t>月</w:t>
      </w:r>
    </w:p>
    <w:p w14:paraId="753335E2">
      <w:pPr>
        <w:spacing w:line="360" w:lineRule="exact"/>
        <w:rPr>
          <w:rFonts w:hint="eastAsia"/>
          <w:b/>
          <w:color w:val="auto"/>
          <w:sz w:val="36"/>
          <w:highlight w:val="none"/>
        </w:rPr>
      </w:pPr>
    </w:p>
    <w:p w14:paraId="6B929E4A">
      <w:pPr>
        <w:pStyle w:val="13"/>
        <w:ind w:left="0" w:leftChars="0" w:firstLine="0" w:firstLineChars="0"/>
        <w:rPr>
          <w:rFonts w:hint="eastAsia"/>
          <w:color w:val="auto"/>
          <w:highlight w:val="none"/>
        </w:rPr>
      </w:pPr>
    </w:p>
    <w:p w14:paraId="67EB57CC">
      <w:pPr>
        <w:pStyle w:val="14"/>
        <w:rPr>
          <w:rFonts w:hint="eastAsia"/>
          <w:color w:val="auto"/>
          <w:highlight w:val="none"/>
        </w:rPr>
      </w:pPr>
    </w:p>
    <w:p w14:paraId="4F9925DC">
      <w:pPr>
        <w:spacing w:line="360" w:lineRule="exact"/>
        <w:jc w:val="center"/>
        <w:rPr>
          <w:rFonts w:hint="eastAsia"/>
          <w:b/>
          <w:color w:val="auto"/>
          <w:sz w:val="36"/>
          <w:highlight w:val="none"/>
        </w:rPr>
      </w:pPr>
    </w:p>
    <w:p w14:paraId="222CBD87">
      <w:pPr>
        <w:spacing w:line="360" w:lineRule="auto"/>
        <w:jc w:val="center"/>
        <w:rPr>
          <w:rFonts w:hint="eastAsia"/>
          <w:b/>
          <w:color w:val="auto"/>
          <w:sz w:val="44"/>
          <w:szCs w:val="32"/>
          <w:highlight w:val="none"/>
        </w:rPr>
      </w:pPr>
      <w:r>
        <w:rPr>
          <w:rFonts w:hint="eastAsia"/>
          <w:b/>
          <w:color w:val="auto"/>
          <w:sz w:val="44"/>
          <w:szCs w:val="32"/>
          <w:highlight w:val="none"/>
        </w:rPr>
        <w:t>目  录</w:t>
      </w:r>
    </w:p>
    <w:p w14:paraId="23964D9A">
      <w:pPr>
        <w:spacing w:line="720" w:lineRule="auto"/>
        <w:jc w:val="center"/>
        <w:rPr>
          <w:rFonts w:hint="eastAsia"/>
          <w:b/>
          <w:color w:val="auto"/>
          <w:sz w:val="36"/>
          <w:highlight w:val="none"/>
        </w:rPr>
      </w:pPr>
    </w:p>
    <w:p w14:paraId="2A83D7AC">
      <w:pPr>
        <w:pStyle w:val="25"/>
        <w:tabs>
          <w:tab w:val="right" w:leader="dot" w:pos="9072"/>
        </w:tabs>
        <w:spacing w:line="7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\u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_Toc17328 </w:instrText>
      </w:r>
      <w:r>
        <w:rPr>
          <w:rFonts w:hint="eastAsia" w:ascii="宋体" w:hAnsi="宋体" w:cs="宋体"/>
          <w:color w:val="auto"/>
          <w:sz w:val="30"/>
          <w:szCs w:val="30"/>
          <w:highlight w:val="none"/>
        </w:rPr>
        <w:fldChar w:fldCharType="separate"/>
      </w:r>
      <w:r>
        <w:rPr>
          <w:rFonts w:hint="eastAsia" w:ascii="宋体" w:hAnsi="宋体" w:cs="宋体"/>
          <w:bCs/>
          <w:color w:val="auto"/>
          <w:sz w:val="30"/>
          <w:szCs w:val="30"/>
          <w:highlight w:val="none"/>
        </w:rPr>
        <w:t>第一章 招标公告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t>1</w:t>
      </w:r>
      <w:r>
        <w:rPr>
          <w:rFonts w:hint="eastAsia" w:ascii="宋体" w:hAnsi="宋体" w:cs="宋体"/>
          <w:color w:val="auto"/>
          <w:sz w:val="30"/>
          <w:szCs w:val="30"/>
          <w:highlight w:val="none"/>
        </w:rPr>
        <w:fldChar w:fldCharType="end"/>
      </w:r>
    </w:p>
    <w:p w14:paraId="6E63B63D">
      <w:pPr>
        <w:pStyle w:val="25"/>
        <w:tabs>
          <w:tab w:val="right" w:leader="dot" w:pos="9072"/>
        </w:tabs>
        <w:spacing w:line="7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_Toc20364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第二章 投标人须知</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7</w:t>
      </w:r>
      <w:r>
        <w:rPr>
          <w:rFonts w:hint="eastAsia" w:ascii="宋体" w:hAnsi="宋体" w:cs="宋体"/>
          <w:color w:val="auto"/>
          <w:sz w:val="30"/>
          <w:szCs w:val="30"/>
          <w:highlight w:val="none"/>
        </w:rPr>
        <w:fldChar w:fldCharType="end"/>
      </w:r>
    </w:p>
    <w:p w14:paraId="06AFF556">
      <w:pPr>
        <w:pStyle w:val="25"/>
        <w:tabs>
          <w:tab w:val="right" w:leader="dot" w:pos="9072"/>
        </w:tabs>
        <w:spacing w:line="70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_Toc28871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第三章 评标办法（综合评分法）</w:t>
      </w:r>
      <w:r>
        <w:rPr>
          <w:rFonts w:hint="eastAsia" w:ascii="宋体" w:hAnsi="宋体" w:cs="宋体"/>
          <w:color w:val="auto"/>
          <w:sz w:val="30"/>
          <w:szCs w:val="30"/>
          <w:highlight w:val="none"/>
        </w:rPr>
        <w:tab/>
      </w:r>
      <w:r>
        <w:rPr>
          <w:rFonts w:hint="eastAsia" w:ascii="宋体" w:hAnsi="宋体" w:cs="宋体"/>
          <w:color w:val="auto"/>
          <w:sz w:val="30"/>
          <w:szCs w:val="30"/>
          <w:highlight w:val="none"/>
        </w:rPr>
        <w:t>2</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7</w:t>
      </w:r>
    </w:p>
    <w:p w14:paraId="0FFABA35">
      <w:pPr>
        <w:pStyle w:val="25"/>
        <w:tabs>
          <w:tab w:val="right" w:leader="dot" w:pos="9072"/>
        </w:tabs>
        <w:spacing w:line="70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_Toc28444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 xml:space="preserve">第四章 </w:t>
      </w:r>
      <w:r>
        <w:rPr>
          <w:rFonts w:hint="eastAsia" w:ascii="宋体" w:hAnsi="宋体" w:cs="宋体"/>
          <w:color w:val="auto"/>
          <w:sz w:val="30"/>
          <w:szCs w:val="30"/>
          <w:highlight w:val="none"/>
          <w:lang w:val="en-US" w:eastAsia="zh-CN"/>
        </w:rPr>
        <w:t>服务需求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t>3</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7</w:t>
      </w:r>
    </w:p>
    <w:p w14:paraId="0B674F87">
      <w:pPr>
        <w:pStyle w:val="25"/>
        <w:tabs>
          <w:tab w:val="right" w:leader="dot" w:pos="9072"/>
        </w:tabs>
        <w:spacing w:line="700" w:lineRule="exact"/>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_Toc22340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第五章 合同条款及格式</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1</w:t>
      </w:r>
    </w:p>
    <w:p w14:paraId="6AAF69E2">
      <w:pPr>
        <w:pStyle w:val="25"/>
        <w:tabs>
          <w:tab w:val="right" w:leader="dot" w:pos="9072"/>
        </w:tabs>
        <w:spacing w:line="700" w:lineRule="exact"/>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_Toc8628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第六章 投标文件格式</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50</w:t>
      </w:r>
    </w:p>
    <w:p w14:paraId="124DEC53">
      <w:pPr>
        <w:pStyle w:val="25"/>
        <w:tabs>
          <w:tab w:val="right" w:leader="dot" w:pos="9072"/>
        </w:tabs>
        <w:spacing w:line="700" w:lineRule="exact"/>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 xml:space="preserve">第七章 </w:t>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_Toc25631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招标人、招标代理机构对本招标文件的确认</w:t>
      </w:r>
      <w:r>
        <w:rPr>
          <w:rFonts w:hint="eastAsia" w:ascii="宋体" w:hAnsi="宋体" w:cs="宋体"/>
          <w:color w:val="auto"/>
          <w:sz w:val="30"/>
          <w:szCs w:val="30"/>
          <w:highlight w:val="none"/>
        </w:rPr>
        <w:tab/>
      </w:r>
      <w:r>
        <w:rPr>
          <w:rFonts w:hint="eastAsia" w:ascii="宋体" w:hAnsi="宋体" w:cs="宋体"/>
          <w:color w:val="auto"/>
          <w:sz w:val="30"/>
          <w:szCs w:val="30"/>
          <w:highlight w:val="none"/>
          <w:lang w:val="en-US" w:eastAsia="zh-CN"/>
        </w:rPr>
        <w:t>7</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val="en-US" w:eastAsia="zh-CN"/>
        </w:rPr>
        <w:t>1</w:t>
      </w:r>
    </w:p>
    <w:p w14:paraId="711B7E7D">
      <w:pPr>
        <w:pStyle w:val="25"/>
        <w:tabs>
          <w:tab w:val="right" w:leader="dot" w:pos="8296"/>
        </w:tabs>
        <w:adjustRightInd w:val="0"/>
        <w:snapToGrid w:val="0"/>
        <w:spacing w:line="700" w:lineRule="exact"/>
        <w:ind w:left="150" w:hanging="150" w:hangingChars="50"/>
        <w:jc w:val="center"/>
        <w:rPr>
          <w:rFonts w:hint="eastAsia" w:ascii="宋体" w:hAnsi="宋体" w:cs="宋体"/>
          <w:b/>
          <w:bCs/>
          <w:color w:val="auto"/>
          <w:sz w:val="30"/>
          <w:szCs w:val="30"/>
          <w:highlight w:val="none"/>
        </w:rPr>
        <w:sectPr>
          <w:headerReference r:id="rId3" w:type="default"/>
          <w:footerReference r:id="rId4" w:type="default"/>
          <w:pgSz w:w="11906" w:h="16838"/>
          <w:pgMar w:top="1440" w:right="1417" w:bottom="1417" w:left="141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color w:val="auto"/>
          <w:sz w:val="30"/>
          <w:szCs w:val="30"/>
          <w:highlight w:val="none"/>
        </w:rPr>
        <w:fldChar w:fldCharType="end"/>
      </w:r>
    </w:p>
    <w:p w14:paraId="2ED27604">
      <w:pPr>
        <w:pStyle w:val="2"/>
        <w:tabs>
          <w:tab w:val="left" w:pos="0"/>
          <w:tab w:val="left" w:pos="3165"/>
          <w:tab w:val="center" w:pos="4153"/>
        </w:tabs>
        <w:autoSpaceDE w:val="0"/>
        <w:autoSpaceDN w:val="0"/>
        <w:adjustRightInd w:val="0"/>
        <w:spacing w:before="0" w:after="0" w:line="240" w:lineRule="auto"/>
        <w:rPr>
          <w:rFonts w:hint="eastAsia" w:ascii="黑体" w:hAnsi="黑体" w:cs="宋体"/>
          <w:b w:val="0"/>
          <w:color w:val="auto"/>
          <w:sz w:val="28"/>
          <w:szCs w:val="28"/>
          <w:highlight w:val="none"/>
        </w:rPr>
      </w:pPr>
      <w:bookmarkStart w:id="1" w:name="_Toc17328"/>
      <w:r>
        <w:rPr>
          <w:rFonts w:hint="eastAsia" w:ascii="华文中宋" w:hAnsi="华文中宋" w:eastAsia="华文中宋"/>
          <w:color w:val="auto"/>
          <w:highlight w:val="none"/>
        </w:rPr>
        <w:t xml:space="preserve">第一章 </w:t>
      </w:r>
      <w:bookmarkEnd w:id="1"/>
      <w:r>
        <w:rPr>
          <w:rFonts w:hint="eastAsia" w:ascii="华文中宋" w:hAnsi="华文中宋" w:eastAsia="华文中宋"/>
          <w:color w:val="auto"/>
          <w:highlight w:val="none"/>
        </w:rPr>
        <w:t>招标公告</w:t>
      </w:r>
      <w:bookmarkStart w:id="2" w:name="_Toc28359079"/>
      <w:bookmarkStart w:id="3" w:name="_Toc28359002"/>
      <w:bookmarkStart w:id="4" w:name="_Toc35393621"/>
      <w:bookmarkStart w:id="5" w:name="_Toc35393790"/>
      <w:bookmarkStart w:id="6" w:name="_Hlk24379207"/>
    </w:p>
    <w:p w14:paraId="615B56C4">
      <w:pPr>
        <w:keepNext/>
        <w:keepLines/>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0AF1B44C">
      <w:pPr>
        <w:keepNext/>
        <w:keepLines/>
        <w:ind w:firstLine="560" w:firstLineChars="200"/>
        <w:rPr>
          <w:rFonts w:hint="eastAsia" w:ascii="黑体" w:hAnsi="黑体" w:cs="宋体"/>
          <w:color w:val="auto"/>
          <w:sz w:val="28"/>
          <w:szCs w:val="28"/>
          <w:highlight w:val="none"/>
        </w:rPr>
      </w:pPr>
      <w:r>
        <w:rPr>
          <w:rFonts w:hint="eastAsia" w:ascii="仿宋" w:hAnsi="仿宋" w:eastAsia="仿宋" w:cs="仿宋"/>
          <w:color w:val="auto"/>
          <w:sz w:val="28"/>
          <w:szCs w:val="28"/>
          <w:highlight w:val="none"/>
          <w:u w:val="single"/>
          <w:lang w:eastAsia="zh-CN"/>
        </w:rPr>
        <w:t>高庄花园安置小区前期物业服务项目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26</w:t>
      </w:r>
      <w:r>
        <w:rPr>
          <w:rFonts w:hint="eastAsia" w:ascii="仿宋" w:hAnsi="仿宋" w:eastAsia="仿宋" w:cs="仿宋"/>
          <w:color w:val="auto"/>
          <w:sz w:val="28"/>
          <w:szCs w:val="28"/>
          <w:highlight w:val="none"/>
          <w:u w:val="single"/>
        </w:rPr>
        <w:t>日08点00分</w:t>
      </w:r>
      <w:r>
        <w:rPr>
          <w:rFonts w:hint="eastAsia" w:ascii="仿宋" w:hAnsi="仿宋" w:eastAsia="仿宋" w:cs="仿宋"/>
          <w:color w:val="auto"/>
          <w:sz w:val="28"/>
          <w:szCs w:val="28"/>
          <w:highlight w:val="none"/>
        </w:rPr>
        <w:t>（北京时间）前递交投标文件。</w:t>
      </w:r>
    </w:p>
    <w:p w14:paraId="7D3A2A5D">
      <w:pPr>
        <w:keepNext/>
        <w:keepLines/>
        <w:spacing w:before="260" w:after="26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bookmarkEnd w:id="2"/>
      <w:bookmarkEnd w:id="3"/>
      <w:bookmarkEnd w:id="4"/>
      <w:bookmarkEnd w:id="5"/>
    </w:p>
    <w:p w14:paraId="57B8CA65">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项目编号：czsjqt202509-006</w:t>
      </w:r>
    </w:p>
    <w:p w14:paraId="55677964">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项目名称：</w:t>
      </w:r>
      <w:bookmarkEnd w:id="6"/>
      <w:r>
        <w:rPr>
          <w:rFonts w:hint="eastAsia" w:ascii="仿宋" w:hAnsi="仿宋" w:eastAsia="仿宋"/>
          <w:color w:val="auto"/>
          <w:sz w:val="28"/>
          <w:szCs w:val="28"/>
          <w:highlight w:val="none"/>
          <w:lang w:eastAsia="zh-CN"/>
        </w:rPr>
        <w:t>高庄花园安置小区前期物业服务项目</w:t>
      </w:r>
    </w:p>
    <w:p w14:paraId="744CAD95">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预算金额：</w:t>
      </w:r>
      <w:r>
        <w:rPr>
          <w:rFonts w:hint="eastAsia" w:ascii="仿宋" w:hAnsi="仿宋" w:eastAsia="仿宋"/>
          <w:color w:val="auto"/>
          <w:sz w:val="28"/>
          <w:szCs w:val="28"/>
          <w:highlight w:val="none"/>
          <w:lang w:val="en-US" w:eastAsia="zh-CN"/>
        </w:rPr>
        <w:t>797330.4元/一年，2391991.2元/三年</w:t>
      </w:r>
    </w:p>
    <w:p w14:paraId="5B97C25E">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最高限价：</w:t>
      </w:r>
      <w:r>
        <w:rPr>
          <w:rFonts w:hint="eastAsia" w:ascii="仿宋" w:hAnsi="仿宋" w:eastAsia="仿宋"/>
          <w:color w:val="auto"/>
          <w:sz w:val="28"/>
          <w:szCs w:val="28"/>
          <w:highlight w:val="none"/>
          <w:lang w:val="en-US" w:eastAsia="zh-CN"/>
        </w:rPr>
        <w:t xml:space="preserve">797330.4元/一年，2391991.2元/三年  </w:t>
      </w:r>
      <w:r>
        <w:rPr>
          <w:rFonts w:hint="eastAsia" w:ascii="仿宋" w:hAnsi="仿宋" w:eastAsia="仿宋"/>
          <w:color w:val="auto"/>
          <w:sz w:val="28"/>
          <w:szCs w:val="28"/>
          <w:highlight w:val="none"/>
          <w:lang w:val="en-US" w:eastAsia="zh-CN"/>
        </w:rPr>
        <w:t xml:space="preserve"> </w:t>
      </w:r>
    </w:p>
    <w:p w14:paraId="74209875">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高庄花园安置小区前期物业服务</w:t>
      </w:r>
    </w:p>
    <w:p w14:paraId="7472B66D">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rPr>
        <w:t>自合同签订之日起三年服务期（不超过三年，至业主委员会成立选聘新的物业公司进场止，合同一年一签，每年合同期满后，由招标人配合辖区政府街道和物业主管部门对其考核（依据招标文件考核评分标准进行考核打分），考核合格，继续服务；考核不合格的，终止服务，不再续签合同。因考核不合格终止服务，不再 续签合同的，中标人自行承担责任。</w:t>
      </w:r>
    </w:p>
    <w:p w14:paraId="6D4F8BCE">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本项目不接受联合体投标。</w:t>
      </w:r>
    </w:p>
    <w:p w14:paraId="3EAF7214">
      <w:pPr>
        <w:keepNext/>
        <w:keepLines/>
        <w:spacing w:before="260" w:after="260"/>
        <w:rPr>
          <w:rFonts w:hint="eastAsia" w:ascii="黑体" w:hAnsi="黑体" w:eastAsia="黑体" w:cs="黑体"/>
          <w:color w:val="auto"/>
          <w:sz w:val="28"/>
          <w:szCs w:val="28"/>
          <w:highlight w:val="none"/>
        </w:rPr>
      </w:pPr>
      <w:bookmarkStart w:id="7" w:name="_Toc35393622"/>
      <w:bookmarkStart w:id="8" w:name="_Toc35393791"/>
      <w:bookmarkStart w:id="9" w:name="_Toc28359003"/>
      <w:bookmarkStart w:id="10" w:name="_Toc28359080"/>
      <w:r>
        <w:rPr>
          <w:rFonts w:hint="eastAsia" w:ascii="黑体" w:hAnsi="黑体" w:eastAsia="黑体" w:cs="黑体"/>
          <w:color w:val="auto"/>
          <w:sz w:val="28"/>
          <w:szCs w:val="28"/>
          <w:highlight w:val="none"/>
        </w:rPr>
        <w:t>二、申请人的资格要求</w:t>
      </w:r>
      <w:bookmarkEnd w:id="7"/>
      <w:bookmarkEnd w:id="8"/>
      <w:bookmarkEnd w:id="9"/>
      <w:bookmarkEnd w:id="10"/>
    </w:p>
    <w:p w14:paraId="4D0D7877">
      <w:pPr>
        <w:ind w:firstLine="560" w:firstLineChars="200"/>
        <w:rPr>
          <w:rFonts w:hint="default" w:ascii="仿宋" w:hAnsi="仿宋" w:eastAsia="仿宋" w:cs="Times New Roman"/>
          <w:color w:val="auto"/>
          <w:sz w:val="28"/>
          <w:szCs w:val="28"/>
          <w:highlight w:val="none"/>
          <w:lang w:val="en-US" w:eastAsia="zh-CN"/>
        </w:rPr>
      </w:pPr>
      <w:bookmarkStart w:id="11" w:name="_Toc28359081"/>
      <w:bookmarkStart w:id="12" w:name="_Toc28359004"/>
      <w:bookmarkStart w:id="13" w:name="_Toc35393623"/>
      <w:bookmarkStart w:id="14" w:name="_Toc35393792"/>
      <w:r>
        <w:rPr>
          <w:rFonts w:hint="eastAsia" w:ascii="仿宋" w:hAnsi="仿宋" w:eastAsia="仿宋"/>
          <w:color w:val="auto"/>
          <w:sz w:val="28"/>
          <w:szCs w:val="28"/>
          <w:highlight w:val="none"/>
        </w:rPr>
        <w:t>1.企业</w:t>
      </w:r>
      <w:r>
        <w:rPr>
          <w:rFonts w:hint="eastAsia" w:ascii="仿宋" w:hAnsi="仿宋" w:eastAsia="仿宋"/>
          <w:color w:val="auto"/>
          <w:sz w:val="28"/>
          <w:szCs w:val="28"/>
          <w:highlight w:val="none"/>
          <w:lang w:val="en-US" w:eastAsia="zh-CN"/>
        </w:rPr>
        <w:t>资格</w:t>
      </w:r>
      <w:r>
        <w:rPr>
          <w:rFonts w:hint="eastAsia" w:ascii="仿宋" w:hAnsi="仿宋" w:eastAsia="仿宋"/>
          <w:color w:val="auto"/>
          <w:sz w:val="28"/>
          <w:szCs w:val="28"/>
          <w:highlight w:val="none"/>
        </w:rPr>
        <w:t>要求：</w:t>
      </w:r>
      <w:r>
        <w:rPr>
          <w:rFonts w:hint="eastAsia" w:ascii="仿宋" w:hAnsi="仿宋" w:eastAsia="仿宋" w:cs="Times New Roman"/>
          <w:color w:val="auto"/>
          <w:sz w:val="28"/>
          <w:szCs w:val="28"/>
          <w:highlight w:val="none"/>
          <w:lang w:val="en-US" w:eastAsia="zh-CN"/>
        </w:rPr>
        <w:t>具有独立承担民事责任能力及相应服务能力的企业。</w:t>
      </w:r>
    </w:p>
    <w:p w14:paraId="47905E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2.信誉要求：投标人不得存在以下情形：</w:t>
      </w:r>
    </w:p>
    <w:p w14:paraId="3AA5B30E">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①被列入“信用中国”网站“失信被执行人”的；</w:t>
      </w:r>
    </w:p>
    <w:p w14:paraId="654C7F4C">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②被列入“信用中国”网站“重大税收违法失信主体”的；</w:t>
      </w:r>
    </w:p>
    <w:p w14:paraId="5C5EBDD5">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③被列入“信用中国”网站“拖欠农民工工资失信联合惩戒对象名单”的；</w:t>
      </w:r>
    </w:p>
    <w:p w14:paraId="6166A287">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④被列入“信用中国”网站 “严重失信主体名单”的；</w:t>
      </w:r>
    </w:p>
    <w:p w14:paraId="1B0F361F">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⑤在“信用中国”网站上披露的仍在公示期的严重失信行为(具体行为类别及判定依据见附件2)的；</w:t>
      </w:r>
    </w:p>
    <w:p w14:paraId="5EAC3708">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⑥被列入国家企业信用信息公示系统网站“经营异常名录”或者“严重违法失信名单”的；</w:t>
      </w:r>
    </w:p>
    <w:p w14:paraId="43D98680">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⑦前三年有行贿犯罪行为的单位和个人；</w:t>
      </w:r>
    </w:p>
    <w:p w14:paraId="2E4D9067">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⑧被滁州市县两级公管部门及各行业主管部门取消在一定期限内的投标资格且在取消期限内的；</w:t>
      </w:r>
    </w:p>
    <w:p w14:paraId="1E32E1C3">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⑨因拖欠农民工工资被县级及以上有关行政主管部门限制投标资格且在限制期限内的；</w:t>
      </w:r>
    </w:p>
    <w:p w14:paraId="78857366">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1FE49665">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3.投标人所属分公司、办事处等分支机构存在第2款信誉要求①-</w:t>
      </w:r>
      <w:r>
        <w:rPr>
          <w:rFonts w:hint="eastAsia" w:ascii="仿宋" w:hAnsi="仿宋" w:eastAsia="仿宋" w:cs="仿宋"/>
          <w:color w:val="auto"/>
          <w:sz w:val="28"/>
          <w:szCs w:val="28"/>
          <w:highlight w:val="none"/>
          <w:shd w:val="clear" w:fill="auto"/>
          <w:lang w:val="en-US" w:eastAsia="zh-CN"/>
        </w:rPr>
        <w:t>⑩</w:t>
      </w:r>
      <w:r>
        <w:rPr>
          <w:rFonts w:hint="eastAsia" w:ascii="仿宋" w:hAnsi="仿宋" w:eastAsia="仿宋"/>
          <w:color w:val="auto"/>
          <w:sz w:val="28"/>
          <w:szCs w:val="28"/>
          <w:highlight w:val="none"/>
        </w:rPr>
        <w:t>项情形之一的，接受投标人参加本项目。</w:t>
      </w:r>
    </w:p>
    <w:p w14:paraId="261B6296">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备注：第2、3条按照“关于联合惩戒失信行为加强信用查询管理的通知”查询或承诺。</w:t>
      </w:r>
    </w:p>
    <w:p w14:paraId="56529FC6">
      <w:pPr>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11"/>
      <w:bookmarkEnd w:id="12"/>
      <w:bookmarkEnd w:id="13"/>
      <w:bookmarkEnd w:id="14"/>
    </w:p>
    <w:p w14:paraId="7BE61F8A">
      <w:pPr>
        <w:ind w:firstLine="540"/>
        <w:rPr>
          <w:rFonts w:hint="eastAsia"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26</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（提供期限自本公告发布之日起不得少于5个工作日）</w:t>
      </w:r>
    </w:p>
    <w:p w14:paraId="63B6F291">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地点：滁州市公共资源交易中心网</w:t>
      </w:r>
    </w:p>
    <w:p w14:paraId="1323C52D">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方式：网上下载</w:t>
      </w:r>
    </w:p>
    <w:p w14:paraId="6144E2F4">
      <w:pPr>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2E9BC5AD">
      <w:pPr>
        <w:pStyle w:val="3"/>
        <w:numPr>
          <w:ilvl w:val="0"/>
          <w:numId w:val="0"/>
        </w:numPr>
        <w:spacing w:line="240" w:lineRule="auto"/>
        <w:rPr>
          <w:rFonts w:hint="eastAsia" w:ascii="黑体" w:hAnsi="黑体" w:eastAsia="黑体" w:cs="黑体"/>
          <w:color w:val="auto"/>
          <w:kern w:val="2"/>
          <w:sz w:val="28"/>
          <w:szCs w:val="28"/>
          <w:highlight w:val="none"/>
        </w:rPr>
      </w:pPr>
      <w:bookmarkStart w:id="15" w:name="_Toc28359005"/>
      <w:bookmarkStart w:id="16" w:name="_Toc28359082"/>
      <w:bookmarkStart w:id="17" w:name="_Toc35393624"/>
      <w:bookmarkStart w:id="18" w:name="_Toc35393793"/>
      <w:r>
        <w:rPr>
          <w:rFonts w:hint="eastAsia" w:ascii="黑体" w:hAnsi="黑体" w:eastAsia="黑体" w:cs="黑体"/>
          <w:color w:val="auto"/>
          <w:kern w:val="2"/>
          <w:sz w:val="28"/>
          <w:szCs w:val="28"/>
          <w:highlight w:val="none"/>
        </w:rPr>
        <w:t>四、提交投标文件</w:t>
      </w:r>
      <w:bookmarkEnd w:id="15"/>
      <w:bookmarkEnd w:id="16"/>
      <w:r>
        <w:rPr>
          <w:rFonts w:hint="eastAsia" w:ascii="黑体" w:hAnsi="黑体" w:eastAsia="黑体" w:cs="黑体"/>
          <w:color w:val="auto"/>
          <w:kern w:val="2"/>
          <w:sz w:val="28"/>
          <w:szCs w:val="28"/>
          <w:highlight w:val="none"/>
        </w:rPr>
        <w:t>截止时间、开标时间和地点</w:t>
      </w:r>
      <w:bookmarkEnd w:id="17"/>
      <w:bookmarkEnd w:id="18"/>
    </w:p>
    <w:p w14:paraId="7F353932">
      <w:pPr>
        <w:ind w:firstLine="560" w:firstLineChars="200"/>
        <w:rPr>
          <w:rFonts w:ascii="仿宋" w:hAnsi="仿宋" w:eastAsia="仿宋"/>
          <w:bCs/>
          <w:iCs/>
          <w:color w:val="auto"/>
          <w:sz w:val="28"/>
          <w:szCs w:val="28"/>
          <w:highlight w:val="none"/>
        </w:rPr>
      </w:pP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26</w:t>
      </w:r>
      <w:r>
        <w:rPr>
          <w:rFonts w:hint="eastAsia" w:ascii="仿宋" w:hAnsi="仿宋" w:eastAsia="仿宋" w:cs="宋体"/>
          <w:color w:val="auto"/>
          <w:sz w:val="28"/>
          <w:szCs w:val="28"/>
          <w:highlight w:val="none"/>
          <w:u w:val="single"/>
        </w:rPr>
        <w:t>日</w:t>
      </w:r>
      <w:r>
        <w:rPr>
          <w:rFonts w:hint="eastAsia" w:ascii="仿宋" w:hAnsi="仿宋" w:eastAsia="仿宋"/>
          <w:bCs/>
          <w:color w:val="auto"/>
          <w:sz w:val="28"/>
          <w:szCs w:val="28"/>
          <w:highlight w:val="none"/>
          <w:u w:val="single"/>
        </w:rPr>
        <w:t>8点00分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（自招标文件开始发出之日起至投标人提交投标文件截止之日止，不得少于20日）</w:t>
      </w:r>
    </w:p>
    <w:p w14:paraId="63B98CC5">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地点：滁州市公共资源交易中心(滁州市龙蟠大道109号房产商务大厦二楼)。</w:t>
      </w:r>
    </w:p>
    <w:p w14:paraId="199E57B2">
      <w:pPr>
        <w:keepNext/>
        <w:keepLines/>
        <w:spacing w:before="260" w:after="260"/>
        <w:rPr>
          <w:rFonts w:hint="eastAsia" w:ascii="黑体" w:hAnsi="黑体" w:eastAsia="黑体" w:cs="黑体"/>
          <w:color w:val="auto"/>
          <w:sz w:val="28"/>
          <w:szCs w:val="28"/>
          <w:highlight w:val="none"/>
        </w:rPr>
      </w:pPr>
      <w:bookmarkStart w:id="19" w:name="_Toc28359007"/>
      <w:bookmarkStart w:id="20" w:name="_Toc35393794"/>
      <w:bookmarkStart w:id="21" w:name="_Toc35393625"/>
      <w:bookmarkStart w:id="22" w:name="_Toc28359084"/>
      <w:r>
        <w:rPr>
          <w:rFonts w:hint="eastAsia" w:ascii="黑体" w:hAnsi="黑体" w:eastAsia="黑体" w:cs="黑体"/>
          <w:color w:val="auto"/>
          <w:sz w:val="28"/>
          <w:szCs w:val="28"/>
          <w:highlight w:val="none"/>
        </w:rPr>
        <w:t>五、公告期限</w:t>
      </w:r>
      <w:bookmarkEnd w:id="19"/>
      <w:bookmarkEnd w:id="20"/>
      <w:bookmarkEnd w:id="21"/>
      <w:bookmarkEnd w:id="22"/>
    </w:p>
    <w:p w14:paraId="3707A35F">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32B40A1D">
      <w:pPr>
        <w:keepNext/>
        <w:keepLines/>
        <w:spacing w:before="260" w:after="26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六、投标保证金金额及缴纳账户</w:t>
      </w:r>
    </w:p>
    <w:p w14:paraId="53F14375">
      <w:pPr>
        <w:pStyle w:val="119"/>
        <w:rPr>
          <w:color w:val="auto"/>
          <w:highlight w:val="none"/>
        </w:rPr>
      </w:pPr>
      <w:bookmarkStart w:id="23" w:name="_Toc35393795"/>
      <w:bookmarkStart w:id="24" w:name="_Toc35393626"/>
      <w:r>
        <w:rPr>
          <w:color w:val="auto"/>
          <w:highlight w:val="none"/>
        </w:rPr>
        <w:t>窗体顶端</w:t>
      </w:r>
    </w:p>
    <w:p w14:paraId="30442459">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投标保证金的金额：</w:t>
      </w:r>
      <w:r>
        <w:rPr>
          <w:rFonts w:hint="eastAsia" w:ascii="仿宋" w:hAnsi="仿宋" w:eastAsia="仿宋" w:cs="Times New Roman"/>
          <w:color w:val="auto"/>
          <w:sz w:val="28"/>
          <w:szCs w:val="28"/>
          <w:highlight w:val="none"/>
          <w:lang w:val="en-US" w:eastAsia="zh-CN"/>
        </w:rPr>
        <w:t>4.5万</w:t>
      </w:r>
      <w:r>
        <w:rPr>
          <w:rFonts w:hint="eastAsia" w:ascii="仿宋" w:hAnsi="仿宋" w:eastAsia="仿宋" w:cs="Times New Roman"/>
          <w:color w:val="auto"/>
          <w:sz w:val="28"/>
          <w:szCs w:val="28"/>
          <w:highlight w:val="none"/>
        </w:rPr>
        <w:t>元。不要求投标人提交投标保证金。</w:t>
      </w:r>
    </w:p>
    <w:p w14:paraId="21420522">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本项目不缴纳投标保证金条款仅针对在投标过程中未违反本招标文件第二章“投标人须知”中第</w:t>
      </w:r>
      <w:r>
        <w:rPr>
          <w:rFonts w:hint="eastAsia" w:ascii="仿宋" w:hAnsi="仿宋" w:eastAsia="仿宋" w:cs="Times New Roman"/>
          <w:color w:val="auto"/>
          <w:sz w:val="28"/>
          <w:szCs w:val="28"/>
          <w:highlight w:val="none"/>
          <w:lang w:val="en-US" w:eastAsia="zh-CN"/>
        </w:rPr>
        <w:t>24.4</w:t>
      </w:r>
      <w:r>
        <w:rPr>
          <w:rFonts w:hint="eastAsia" w:ascii="仿宋" w:hAnsi="仿宋" w:eastAsia="仿宋" w:cs="Times New Roman"/>
          <w:color w:val="auto"/>
          <w:sz w:val="28"/>
          <w:szCs w:val="28"/>
          <w:highlight w:val="none"/>
        </w:rPr>
        <w:t>项约定的投标人。如在投标过程中投标人存在本招标文件第二章“投标人须知”中第</w:t>
      </w:r>
      <w:r>
        <w:rPr>
          <w:rFonts w:hint="eastAsia" w:ascii="仿宋" w:hAnsi="仿宋" w:eastAsia="仿宋" w:cs="Times New Roman"/>
          <w:color w:val="auto"/>
          <w:sz w:val="28"/>
          <w:szCs w:val="28"/>
          <w:highlight w:val="none"/>
          <w:lang w:val="en-US" w:eastAsia="zh-CN"/>
        </w:rPr>
        <w:t>24</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项约定情形，则无条件按招标人要求的金额、时间、账号缴纳投标保证金。</w:t>
      </w:r>
    </w:p>
    <w:p w14:paraId="5919BCC0">
      <w:pPr>
        <w:pStyle w:val="120"/>
        <w:rPr>
          <w:color w:val="auto"/>
          <w:highlight w:val="none"/>
        </w:rPr>
      </w:pPr>
      <w:r>
        <w:rPr>
          <w:rFonts w:hint="eastAsia" w:ascii="仿宋" w:hAnsi="仿宋" w:eastAsia="仿宋" w:cs="Times New Roman"/>
          <w:color w:val="auto"/>
          <w:sz w:val="28"/>
          <w:szCs w:val="28"/>
          <w:highlight w:val="none"/>
        </w:rPr>
        <w:t>本项目不缴纳投标保证金条款仅针对在投标过程中未违反本招标文件第二章“投标人须知”中第</w:t>
      </w:r>
      <w:r>
        <w:rPr>
          <w:rFonts w:hint="eastAsia" w:ascii="仿宋" w:hAnsi="仿宋" w:eastAsia="仿宋" w:cs="Times New Roman"/>
          <w:color w:val="auto"/>
          <w:sz w:val="28"/>
          <w:szCs w:val="28"/>
          <w:highlight w:val="none"/>
          <w:lang w:val="en-US" w:eastAsia="zh-CN"/>
        </w:rPr>
        <w:t>23.4</w:t>
      </w:r>
      <w:r>
        <w:rPr>
          <w:rFonts w:hint="eastAsia" w:ascii="仿宋" w:hAnsi="仿宋" w:eastAsia="仿宋" w:cs="Times New Roman"/>
          <w:color w:val="auto"/>
          <w:sz w:val="28"/>
          <w:szCs w:val="28"/>
          <w:highlight w:val="none"/>
        </w:rPr>
        <w:t>项约定的投标人。如在投标过程中投标人存在本招标文件第二章“投标人须知”中第</w:t>
      </w:r>
      <w:r>
        <w:rPr>
          <w:rFonts w:hint="eastAsia" w:ascii="仿宋" w:hAnsi="仿宋" w:eastAsia="仿宋" w:cs="Times New Roman"/>
          <w:color w:val="auto"/>
          <w:sz w:val="28"/>
          <w:szCs w:val="28"/>
          <w:highlight w:val="none"/>
          <w:lang w:val="en-US" w:eastAsia="zh-CN"/>
        </w:rPr>
        <w:t>23</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项约定情形，则无条件按招标人要求的金额、时间、账号缴纳投标保证金。</w:t>
      </w:r>
      <w:r>
        <w:rPr>
          <w:color w:val="auto"/>
          <w:highlight w:val="none"/>
        </w:rPr>
        <w:t>窗体底端</w:t>
      </w:r>
    </w:p>
    <w:p w14:paraId="33D473CA">
      <w:pPr>
        <w:keepNext/>
        <w:keepLines/>
        <w:spacing w:before="260" w:after="26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23"/>
      <w:bookmarkEnd w:id="24"/>
    </w:p>
    <w:p w14:paraId="26F7BBC3">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C415385">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2.请投标人登录滁州市公共资源交易中心网站查看参加本项目的程序（具体操作步骤和程序请参见服务指南&gt;交易须知&gt;投标人填写投标信息、下载文件及网上提问操作手册）。</w:t>
      </w:r>
    </w:p>
    <w:p w14:paraId="00216D0D">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1D70D86B">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4.投标文件格式、内容和制作要求以招标文件为准，投标文件制作工具中提供的相关格式及内容仅供参考，投标企业可根据招标文件要求自行调整。</w:t>
      </w:r>
    </w:p>
    <w:p w14:paraId="2CD8EB3A">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投标人提出异议的截止时间及方式：如投标人对招标文件有异议，请于2025年9月16日08时（投标截止10日）前在滁州市公共资源交易中心网电子交易系统中进行异议，具体操作步骤和程序请参见服务指南&gt;交易须知&gt;在线异议、质疑和投诉操作手册。</w:t>
      </w:r>
    </w:p>
    <w:p w14:paraId="5E74273B">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6.受理异议的联系人及联系方式：欧明郁0550-3062913、杨韦0550-3519590。</w:t>
      </w:r>
    </w:p>
    <w:p w14:paraId="6F802789">
      <w:pPr>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28F63BDA">
      <w:pPr>
        <w:pStyle w:val="3"/>
        <w:numPr>
          <w:ilvl w:val="0"/>
          <w:numId w:val="0"/>
        </w:numPr>
        <w:adjustRightInd/>
        <w:spacing w:line="240" w:lineRule="auto"/>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2AD086E5">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滁州市同创建设投资有限责任公司</w:t>
      </w:r>
      <w:r>
        <w:rPr>
          <w:rFonts w:hint="eastAsia" w:ascii="仿宋" w:hAnsi="仿宋" w:eastAsia="仿宋" w:cs="仿宋"/>
          <w:color w:val="auto"/>
          <w:sz w:val="28"/>
          <w:szCs w:val="28"/>
          <w:highlight w:val="none"/>
          <w:u w:val="single"/>
        </w:rPr>
        <w:t xml:space="preserve">  </w:t>
      </w:r>
    </w:p>
    <w:p w14:paraId="6C47238B">
      <w:pPr>
        <w:ind w:left="-199" w:leftChars="-95" w:firstLine="840" w:firstLineChars="3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滁州市全椒路155号</w:t>
      </w:r>
    </w:p>
    <w:p w14:paraId="5B78CFF1">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0550-3219389、0550-3702981</w:t>
      </w:r>
      <w:r>
        <w:rPr>
          <w:rFonts w:hint="eastAsia" w:ascii="仿宋" w:hAnsi="仿宋" w:eastAsia="仿宋" w:cs="仿宋"/>
          <w:color w:val="auto"/>
          <w:sz w:val="28"/>
          <w:szCs w:val="28"/>
          <w:highlight w:val="none"/>
          <w:u w:val="single"/>
        </w:rPr>
        <w:t xml:space="preserve">                </w:t>
      </w:r>
    </w:p>
    <w:p w14:paraId="070E6B45">
      <w:pPr>
        <w:pStyle w:val="3"/>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09499B9E">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345FFB09">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681642E6">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0550-3519590、18005501210</w:t>
      </w:r>
    </w:p>
    <w:p w14:paraId="4A8762F9">
      <w:pPr>
        <w:pStyle w:val="3"/>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61D0F1E7">
      <w:pPr>
        <w:pStyle w:val="19"/>
        <w:ind w:left="-199" w:leftChars="-95" w:firstLine="840" w:firstLineChars="300"/>
        <w:jc w:val="left"/>
        <w:rPr>
          <w:rFonts w:hint="eastAsia"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none" w:color="auto"/>
        </w:rPr>
        <w:t>：</w:t>
      </w:r>
      <w:r>
        <w:rPr>
          <w:rFonts w:hint="eastAsia" w:ascii="仿宋" w:hAnsi="仿宋" w:eastAsia="仿宋" w:cs="仿宋"/>
          <w:color w:val="auto"/>
          <w:sz w:val="28"/>
          <w:szCs w:val="28"/>
          <w:highlight w:val="none"/>
          <w:u w:val="single" w:color="auto"/>
        </w:rPr>
        <w:t>欧明郁、许</w:t>
      </w:r>
      <w:r>
        <w:rPr>
          <w:rFonts w:hint="eastAsia" w:ascii="仿宋" w:hAnsi="仿宋" w:eastAsia="仿宋" w:cs="仿宋"/>
          <w:color w:val="auto"/>
          <w:sz w:val="28"/>
          <w:szCs w:val="28"/>
          <w:highlight w:val="none"/>
          <w:u w:val="single" w:color="auto"/>
          <w:lang w:val="en-US" w:eastAsia="zh-CN"/>
        </w:rPr>
        <w:t>工</w:t>
      </w:r>
      <w:r>
        <w:rPr>
          <w:rFonts w:hint="eastAsia" w:ascii="仿宋" w:hAnsi="仿宋" w:eastAsia="仿宋" w:cs="仿宋"/>
          <w:color w:val="auto"/>
          <w:sz w:val="28"/>
          <w:szCs w:val="28"/>
          <w:highlight w:val="none"/>
          <w:u w:val="single" w:color="auto"/>
        </w:rPr>
        <w:t xml:space="preserve">、杨韦   </w:t>
      </w:r>
      <w:r>
        <w:rPr>
          <w:rFonts w:hint="eastAsia" w:ascii="仿宋" w:hAnsi="仿宋" w:eastAsia="仿宋" w:cs="仿宋"/>
          <w:color w:val="auto"/>
          <w:sz w:val="28"/>
          <w:szCs w:val="28"/>
          <w:highlight w:val="none"/>
          <w:u w:val="none" w:color="auto"/>
        </w:rPr>
        <w:t xml:space="preserve">  </w:t>
      </w:r>
      <w:r>
        <w:rPr>
          <w:rFonts w:hint="eastAsia" w:ascii="仿宋" w:hAnsi="仿宋" w:eastAsia="仿宋" w:cs="仿宋"/>
          <w:color w:val="auto"/>
          <w:sz w:val="28"/>
          <w:szCs w:val="28"/>
          <w:highlight w:val="none"/>
          <w:u w:val="single" w:color="auto"/>
        </w:rPr>
        <w:t xml:space="preserve">    </w:t>
      </w:r>
    </w:p>
    <w:p w14:paraId="5B4E2935">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0550-3219389、0550-3702981</w:t>
      </w:r>
      <w:r>
        <w:rPr>
          <w:rFonts w:hint="eastAsia" w:ascii="仿宋" w:hAnsi="仿宋" w:eastAsia="仿宋" w:cs="仿宋"/>
          <w:color w:val="auto"/>
          <w:sz w:val="28"/>
          <w:szCs w:val="28"/>
          <w:highlight w:val="none"/>
          <w:u w:val="single"/>
        </w:rPr>
        <w:t xml:space="preserve">、0550-3519590 </w:t>
      </w:r>
    </w:p>
    <w:p w14:paraId="1B2D4F55">
      <w:pPr>
        <w:pStyle w:val="52"/>
        <w:ind w:firstLine="560"/>
        <w:rPr>
          <w:rFonts w:ascii="仿宋" w:hAnsi="仿宋" w:eastAsia="仿宋"/>
          <w:color w:val="auto"/>
          <w:sz w:val="28"/>
          <w:szCs w:val="28"/>
          <w:highlight w:val="none"/>
          <w:u w:val="single"/>
        </w:rPr>
      </w:pPr>
    </w:p>
    <w:p w14:paraId="4E046589">
      <w:pPr>
        <w:pStyle w:val="52"/>
        <w:ind w:firstLine="560"/>
        <w:rPr>
          <w:rFonts w:ascii="仿宋" w:hAnsi="仿宋" w:eastAsia="仿宋"/>
          <w:color w:val="auto"/>
          <w:sz w:val="28"/>
          <w:szCs w:val="28"/>
          <w:highlight w:val="none"/>
          <w:u w:val="single"/>
        </w:rPr>
      </w:pPr>
    </w:p>
    <w:p w14:paraId="2CB8BDBA">
      <w:pPr>
        <w:pStyle w:val="52"/>
        <w:ind w:firstLine="0" w:firstLineChars="0"/>
        <w:rPr>
          <w:rFonts w:ascii="仿宋" w:hAnsi="仿宋" w:eastAsia="仿宋"/>
          <w:color w:val="auto"/>
          <w:sz w:val="28"/>
          <w:szCs w:val="28"/>
          <w:highlight w:val="none"/>
          <w:u w:val="single"/>
        </w:rPr>
      </w:pPr>
    </w:p>
    <w:p w14:paraId="4D0D173C">
      <w:pPr>
        <w:pStyle w:val="2"/>
        <w:spacing w:before="156" w:beforeLines="50" w:after="156" w:afterLines="50" w:line="579" w:lineRule="auto"/>
        <w:rPr>
          <w:rFonts w:hint="eastAsia" w:ascii="宋体"/>
          <w:b w:val="0"/>
          <w:color w:val="auto"/>
          <w:szCs w:val="32"/>
          <w:highlight w:val="none"/>
        </w:rPr>
      </w:pPr>
      <w:bookmarkStart w:id="25" w:name="_Toc20364"/>
      <w:r>
        <w:rPr>
          <w:rFonts w:hint="eastAsia"/>
          <w:color w:val="auto"/>
          <w:highlight w:val="none"/>
        </w:rPr>
        <w:br w:type="page"/>
      </w:r>
      <w:r>
        <w:rPr>
          <w:rFonts w:hint="eastAsia"/>
          <w:color w:val="auto"/>
          <w:highlight w:val="none"/>
        </w:rPr>
        <w:t>第二章 投标人须知</w:t>
      </w:r>
      <w:bookmarkEnd w:id="25"/>
    </w:p>
    <w:p w14:paraId="3B6C2E83">
      <w:pPr>
        <w:snapToGrid w:val="0"/>
        <w:spacing w:line="440" w:lineRule="exact"/>
        <w:jc w:val="center"/>
        <w:outlineLvl w:val="1"/>
        <w:rPr>
          <w:rFonts w:hint="eastAsia" w:ascii="宋体"/>
          <w:b/>
          <w:color w:val="auto"/>
          <w:sz w:val="28"/>
          <w:szCs w:val="28"/>
          <w:highlight w:val="none"/>
        </w:rPr>
      </w:pPr>
      <w:bookmarkStart w:id="26" w:name="_Toc1019"/>
      <w:bookmarkStart w:id="27" w:name="_Toc449028865"/>
      <w:bookmarkStart w:id="28" w:name="_Toc58430314"/>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26"/>
      <w:bookmarkEnd w:id="27"/>
      <w:bookmarkEnd w:id="28"/>
    </w:p>
    <w:tbl>
      <w:tblPr>
        <w:tblStyle w:val="35"/>
        <w:tblW w:w="9798"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48"/>
        <w:gridCol w:w="878"/>
        <w:gridCol w:w="1262"/>
        <w:gridCol w:w="6610"/>
      </w:tblGrid>
      <w:tr w14:paraId="7A931D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1048" w:type="dxa"/>
            <w:noWrap w:val="0"/>
            <w:vAlign w:val="center"/>
          </w:tcPr>
          <w:p w14:paraId="439A6923">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140" w:type="dxa"/>
            <w:gridSpan w:val="2"/>
            <w:noWrap w:val="0"/>
            <w:vAlign w:val="center"/>
          </w:tcPr>
          <w:p w14:paraId="3CE366CE">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610" w:type="dxa"/>
            <w:noWrap w:val="0"/>
            <w:vAlign w:val="center"/>
          </w:tcPr>
          <w:p w14:paraId="1AFE0456">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14:paraId="6F41F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9" w:hRule="atLeast"/>
        </w:trPr>
        <w:tc>
          <w:tcPr>
            <w:tcW w:w="1048" w:type="dxa"/>
            <w:noWrap w:val="0"/>
            <w:vAlign w:val="center"/>
          </w:tcPr>
          <w:p w14:paraId="510B374F">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40" w:type="dxa"/>
            <w:gridSpan w:val="2"/>
            <w:noWrap w:val="0"/>
            <w:vAlign w:val="center"/>
          </w:tcPr>
          <w:p w14:paraId="14B8EE37">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10" w:type="dxa"/>
            <w:noWrap w:val="0"/>
            <w:vAlign w:val="center"/>
          </w:tcPr>
          <w:p w14:paraId="26F6CE38">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高庄花园安置小区前期物业服务项目</w:t>
            </w:r>
          </w:p>
        </w:tc>
      </w:tr>
      <w:tr w14:paraId="67A039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048" w:type="dxa"/>
            <w:noWrap w:val="0"/>
            <w:vAlign w:val="center"/>
          </w:tcPr>
          <w:p w14:paraId="2C3BED80">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40" w:type="dxa"/>
            <w:gridSpan w:val="2"/>
            <w:noWrap w:val="0"/>
            <w:vAlign w:val="center"/>
          </w:tcPr>
          <w:p w14:paraId="48DB3FE2">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6610" w:type="dxa"/>
            <w:noWrap w:val="0"/>
            <w:vAlign w:val="center"/>
          </w:tcPr>
          <w:p w14:paraId="7873879C">
            <w:pPr>
              <w:pStyle w:val="19"/>
              <w:keepNext w:val="0"/>
              <w:keepLines w:val="0"/>
              <w:pageBreakBefore w:val="0"/>
              <w:kinsoku/>
              <w:overflowPunct/>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czsjqt202509-006</w:t>
            </w:r>
          </w:p>
        </w:tc>
      </w:tr>
      <w:tr w14:paraId="619EDC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048" w:type="dxa"/>
            <w:noWrap w:val="0"/>
            <w:vAlign w:val="center"/>
          </w:tcPr>
          <w:p w14:paraId="6D7FB14C">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40" w:type="dxa"/>
            <w:gridSpan w:val="2"/>
            <w:noWrap w:val="0"/>
            <w:vAlign w:val="center"/>
          </w:tcPr>
          <w:p w14:paraId="398D3AFB">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6610" w:type="dxa"/>
            <w:noWrap w:val="0"/>
            <w:vAlign w:val="center"/>
          </w:tcPr>
          <w:p w14:paraId="166DD2A1">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之日起三年服务期（不超过三年，至业主委员会成立选聘新的物业公司进场止，合同一年一签，每年合同期满后，由招标人配合辖区政府街道和物业主管部门对其考核（依据招标文件考核评分标准进行考核打分），考核合格，继续服务；考核不合格的，终止服务，不再续签合同。因考核不合格终止服务，不再 续签合同的，中标人自行承担责任。</w:t>
            </w:r>
          </w:p>
        </w:tc>
      </w:tr>
      <w:tr w14:paraId="749E04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9" w:hRule="atLeast"/>
        </w:trPr>
        <w:tc>
          <w:tcPr>
            <w:tcW w:w="1048" w:type="dxa"/>
            <w:noWrap w:val="0"/>
            <w:vAlign w:val="center"/>
          </w:tcPr>
          <w:p w14:paraId="5E744BD3">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40" w:type="dxa"/>
            <w:gridSpan w:val="2"/>
            <w:noWrap w:val="0"/>
            <w:vAlign w:val="center"/>
          </w:tcPr>
          <w:p w14:paraId="54149064">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610" w:type="dxa"/>
            <w:noWrap w:val="0"/>
            <w:vAlign w:val="center"/>
          </w:tcPr>
          <w:p w14:paraId="56EE7D50">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滁州市内</w:t>
            </w:r>
          </w:p>
        </w:tc>
      </w:tr>
      <w:tr w14:paraId="1D7B5E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 w:hRule="atLeast"/>
        </w:trPr>
        <w:tc>
          <w:tcPr>
            <w:tcW w:w="1048" w:type="dxa"/>
            <w:noWrap w:val="0"/>
            <w:vAlign w:val="center"/>
          </w:tcPr>
          <w:p w14:paraId="7F958910">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40" w:type="dxa"/>
            <w:gridSpan w:val="2"/>
            <w:noWrap w:val="0"/>
            <w:vAlign w:val="center"/>
          </w:tcPr>
          <w:p w14:paraId="4CDA3F0B">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招标人联系人及电话</w:t>
            </w:r>
          </w:p>
        </w:tc>
        <w:tc>
          <w:tcPr>
            <w:tcW w:w="6610" w:type="dxa"/>
            <w:noWrap w:val="0"/>
            <w:vAlign w:val="center"/>
          </w:tcPr>
          <w:p w14:paraId="14885630">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欧明郁、许工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lang w:val="en-US" w:eastAsia="zh-CN"/>
              </w:rPr>
              <w:t>0550-3219389、0550-3702981</w:t>
            </w:r>
          </w:p>
        </w:tc>
      </w:tr>
      <w:tr w14:paraId="76680F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trPr>
        <w:tc>
          <w:tcPr>
            <w:tcW w:w="1048" w:type="dxa"/>
            <w:noWrap w:val="0"/>
            <w:vAlign w:val="center"/>
          </w:tcPr>
          <w:p w14:paraId="419195FC">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40" w:type="dxa"/>
            <w:gridSpan w:val="2"/>
            <w:noWrap w:val="0"/>
            <w:vAlign w:val="center"/>
          </w:tcPr>
          <w:p w14:paraId="720F0007">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采购代理机构联系人及电话</w:t>
            </w:r>
          </w:p>
        </w:tc>
        <w:tc>
          <w:tcPr>
            <w:tcW w:w="6610" w:type="dxa"/>
            <w:noWrap w:val="0"/>
            <w:vAlign w:val="center"/>
          </w:tcPr>
          <w:p w14:paraId="3CCF1C55">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联系人：杨韦                电话0550-3519590   18005501210</w:t>
            </w:r>
          </w:p>
        </w:tc>
      </w:tr>
      <w:tr w14:paraId="2C377B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 w:hRule="atLeast"/>
        </w:trPr>
        <w:tc>
          <w:tcPr>
            <w:tcW w:w="1048" w:type="dxa"/>
            <w:noWrap w:val="0"/>
            <w:vAlign w:val="center"/>
          </w:tcPr>
          <w:p w14:paraId="4E24AD34">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40" w:type="dxa"/>
            <w:gridSpan w:val="2"/>
            <w:noWrap w:val="0"/>
            <w:vAlign w:val="center"/>
          </w:tcPr>
          <w:p w14:paraId="6147162A">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资金来源                                                                                                                                                                 </w:t>
            </w:r>
          </w:p>
        </w:tc>
        <w:tc>
          <w:tcPr>
            <w:tcW w:w="6610" w:type="dxa"/>
            <w:noWrap w:val="0"/>
            <w:vAlign w:val="center"/>
          </w:tcPr>
          <w:p w14:paraId="56ECDEBD">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自筹资金，物业管理费的中标总价不作为中标单位向招标人收取的物 业管理费的依据，其物业管理费由中标单位向业主自行收取。</w:t>
            </w:r>
          </w:p>
        </w:tc>
      </w:tr>
      <w:tr w14:paraId="1F1BE0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2" w:hRule="atLeast"/>
        </w:trPr>
        <w:tc>
          <w:tcPr>
            <w:tcW w:w="1048" w:type="dxa"/>
            <w:noWrap w:val="0"/>
            <w:vAlign w:val="center"/>
          </w:tcPr>
          <w:p w14:paraId="09F559AC">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40" w:type="dxa"/>
            <w:gridSpan w:val="2"/>
            <w:noWrap w:val="0"/>
            <w:vAlign w:val="center"/>
          </w:tcPr>
          <w:p w14:paraId="122131FC">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610" w:type="dxa"/>
            <w:noWrap w:val="0"/>
            <w:vAlign w:val="center"/>
          </w:tcPr>
          <w:p w14:paraId="50800332">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cs="宋体"/>
                <w:color w:val="auto"/>
                <w:kern w:val="2"/>
                <w:sz w:val="21"/>
                <w:szCs w:val="21"/>
                <w:highlight w:val="none"/>
                <w:u w:val="none" w:color="000000"/>
                <w:lang w:val="en-US" w:eastAsia="zh-CN" w:bidi="ar-SA"/>
              </w:rPr>
              <w:t>797330.4</w:t>
            </w:r>
            <w:r>
              <w:rPr>
                <w:rFonts w:hint="eastAsia" w:ascii="宋体" w:hAnsi="宋体" w:eastAsia="宋体" w:cs="宋体"/>
                <w:color w:val="auto"/>
                <w:kern w:val="2"/>
                <w:sz w:val="21"/>
                <w:szCs w:val="21"/>
                <w:highlight w:val="none"/>
                <w:u w:val="none" w:color="000000"/>
                <w:lang w:val="en-US" w:eastAsia="zh-CN" w:bidi="ar-SA"/>
              </w:rPr>
              <w:t>元/一年</w:t>
            </w:r>
            <w:r>
              <w:rPr>
                <w:rFonts w:hint="eastAsia" w:ascii="宋体" w:hAnsi="宋体" w:eastAsia="宋体" w:cs="宋体"/>
                <w:color w:val="auto"/>
                <w:kern w:val="2"/>
                <w:sz w:val="21"/>
                <w:szCs w:val="21"/>
                <w:highlight w:val="none"/>
                <w:u w:val="none" w:color="000000"/>
                <w:lang w:val="en-US" w:eastAsia="zh-CN" w:bidi="ar-SA"/>
              </w:rPr>
              <w:t>，</w:t>
            </w:r>
            <w:r>
              <w:rPr>
                <w:rFonts w:hint="eastAsia" w:ascii="宋体" w:hAnsi="宋体" w:cs="宋体"/>
                <w:color w:val="auto"/>
                <w:kern w:val="2"/>
                <w:sz w:val="21"/>
                <w:szCs w:val="21"/>
                <w:highlight w:val="none"/>
                <w:u w:val="none" w:color="000000"/>
                <w:lang w:val="en-US" w:eastAsia="zh-CN" w:bidi="ar-SA"/>
              </w:rPr>
              <w:t>2391991.2</w:t>
            </w:r>
            <w:r>
              <w:rPr>
                <w:rFonts w:hint="eastAsia" w:ascii="宋体" w:hAnsi="宋体" w:eastAsia="宋体" w:cs="宋体"/>
                <w:color w:val="auto"/>
                <w:kern w:val="2"/>
                <w:sz w:val="21"/>
                <w:szCs w:val="21"/>
                <w:highlight w:val="none"/>
                <w:u w:val="none" w:color="000000"/>
                <w:lang w:val="en-US" w:eastAsia="zh-CN" w:bidi="ar-SA"/>
              </w:rPr>
              <w:t>元/三年</w:t>
            </w:r>
          </w:p>
        </w:tc>
      </w:tr>
      <w:tr w14:paraId="6E853E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noWrap w:val="0"/>
            <w:vAlign w:val="center"/>
          </w:tcPr>
          <w:p w14:paraId="54ACA067">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40" w:type="dxa"/>
            <w:gridSpan w:val="2"/>
            <w:noWrap w:val="0"/>
            <w:vAlign w:val="center"/>
          </w:tcPr>
          <w:p w14:paraId="168EF0D8">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6610" w:type="dxa"/>
            <w:noWrap w:val="0"/>
            <w:vAlign w:val="center"/>
          </w:tcPr>
          <w:p w14:paraId="620CE292">
            <w:pPr>
              <w:keepNext w:val="0"/>
              <w:keepLines w:val="0"/>
              <w:pageBreakBefore w:val="0"/>
              <w:kinsoku/>
              <w:overflowPunct/>
              <w:autoSpaceDE/>
              <w:autoSpaceDN/>
              <w:bidi w:val="0"/>
              <w:spacing w:line="50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为了满足物业管理服务，本项目设置最高限价：</w:t>
            </w:r>
          </w:p>
          <w:p w14:paraId="6B718DD6">
            <w:pPr>
              <w:keepNext w:val="0"/>
              <w:keepLines w:val="0"/>
              <w:pageBreakBefore w:val="0"/>
              <w:kinsoku/>
              <w:overflowPunct/>
              <w:autoSpaceDE/>
              <w:autoSpaceDN/>
              <w:bidi w:val="0"/>
              <w:spacing w:line="50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1.本项目报价设置单价最高限价：</w:t>
            </w:r>
          </w:p>
          <w:p w14:paraId="500BF73F">
            <w:pPr>
              <w:keepNext w:val="0"/>
              <w:keepLines w:val="0"/>
              <w:pageBreakBefore w:val="0"/>
              <w:kinsoku/>
              <w:overflowPunct/>
              <w:autoSpaceDE/>
              <w:autoSpaceDN/>
              <w:bidi w:val="0"/>
              <w:spacing w:line="50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住宅部分：单价最高限价0.5元/月·平方米</w:t>
            </w:r>
            <w:r>
              <w:rPr>
                <w:rFonts w:hint="eastAsia" w:ascii="宋体" w:hAnsi="宋体" w:cs="宋体"/>
                <w:color w:val="auto"/>
                <w:kern w:val="2"/>
                <w:sz w:val="21"/>
                <w:szCs w:val="21"/>
                <w:highlight w:val="none"/>
                <w:u w:val="none" w:color="000000"/>
                <w:lang w:val="en-US" w:eastAsia="zh-CN" w:bidi="ar-SA"/>
              </w:rPr>
              <w:t>（其中含政府补贴0.35元/月·平方米，此部分不参与竞争；收取住户单价为0.15元/月·平方米）</w:t>
            </w:r>
            <w:r>
              <w:rPr>
                <w:rFonts w:hint="eastAsia" w:ascii="宋体" w:hAnsi="宋体" w:eastAsia="宋体" w:cs="宋体"/>
                <w:color w:val="auto"/>
                <w:kern w:val="2"/>
                <w:sz w:val="21"/>
                <w:szCs w:val="21"/>
                <w:highlight w:val="none"/>
                <w:u w:val="none" w:color="000000"/>
                <w:lang w:val="en-US" w:eastAsia="zh-CN" w:bidi="ar-SA"/>
              </w:rPr>
              <w:t>；</w:t>
            </w:r>
          </w:p>
          <w:p w14:paraId="1D848EA0">
            <w:pPr>
              <w:keepNext w:val="0"/>
              <w:keepLines w:val="0"/>
              <w:pageBreakBefore w:val="0"/>
              <w:kinsoku/>
              <w:overflowPunct/>
              <w:autoSpaceDE/>
              <w:autoSpaceDN/>
              <w:bidi w:val="0"/>
              <w:spacing w:line="50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127450平方米*0.5元/月·平方米*12月=764700元 </w:t>
            </w:r>
          </w:p>
          <w:p w14:paraId="63415E2C">
            <w:pPr>
              <w:keepNext w:val="0"/>
              <w:keepLines w:val="0"/>
              <w:pageBreakBefore w:val="0"/>
              <w:kinsoku/>
              <w:overflowPunct/>
              <w:autoSpaceDE/>
              <w:autoSpaceDN/>
              <w:bidi w:val="0"/>
              <w:spacing w:line="50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商业部分：单价最高限价</w:t>
            </w:r>
            <w:r>
              <w:rPr>
                <w:rFonts w:hint="eastAsia" w:ascii="宋体" w:hAnsi="宋体" w:eastAsia="宋体" w:cs="宋体"/>
                <w:color w:val="auto"/>
                <w:kern w:val="2"/>
                <w:sz w:val="21"/>
                <w:szCs w:val="21"/>
                <w:highlight w:val="none"/>
                <w:u w:val="none" w:color="000000"/>
                <w:lang w:val="en-US" w:eastAsia="zh-CN" w:bidi="ar-SA"/>
              </w:rPr>
              <w:t>1</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元/月·</w:t>
            </w:r>
            <w:r>
              <w:rPr>
                <w:rFonts w:hint="eastAsia" w:ascii="宋体" w:hAnsi="宋体" w:eastAsia="宋体" w:cs="宋体"/>
                <w:color w:val="auto"/>
                <w:kern w:val="2"/>
                <w:sz w:val="21"/>
                <w:szCs w:val="21"/>
                <w:highlight w:val="none"/>
                <w:u w:val="none" w:color="000000"/>
                <w:lang w:val="en-US" w:eastAsia="zh-CN" w:bidi="ar-SA"/>
              </w:rPr>
              <w:t>平方米；</w:t>
            </w:r>
          </w:p>
          <w:p w14:paraId="348D89D3">
            <w:pPr>
              <w:keepNext w:val="0"/>
              <w:keepLines w:val="0"/>
              <w:pageBreakBefore w:val="0"/>
              <w:kinsoku/>
              <w:overflowPunct/>
              <w:autoSpaceDE/>
              <w:autoSpaceDN/>
              <w:bidi w:val="0"/>
              <w:spacing w:line="50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2719.2平方米</w:t>
            </w:r>
            <w:r>
              <w:rPr>
                <w:rFonts w:hint="eastAsia" w:ascii="宋体" w:hAnsi="宋体" w:eastAsia="宋体" w:cs="宋体"/>
                <w:color w:val="auto"/>
                <w:kern w:val="2"/>
                <w:sz w:val="21"/>
                <w:szCs w:val="21"/>
                <w:highlight w:val="none"/>
                <w:u w:val="none" w:color="000000"/>
                <w:lang w:val="en-US" w:eastAsia="zh-CN" w:bidi="ar-SA"/>
              </w:rPr>
              <w:t>*1</w:t>
            </w:r>
            <w:r>
              <w:rPr>
                <w:rFonts w:hint="eastAsia" w:ascii="宋体" w:hAnsi="宋体" w:cs="宋体"/>
                <w:color w:val="auto"/>
                <w:kern w:val="2"/>
                <w:sz w:val="21"/>
                <w:szCs w:val="21"/>
                <w:highlight w:val="none"/>
                <w:u w:val="none" w:color="000000"/>
                <w:lang w:val="en-US" w:eastAsia="zh-CN" w:bidi="ar-SA"/>
              </w:rPr>
              <w:t>.0</w:t>
            </w:r>
            <w:r>
              <w:rPr>
                <w:rFonts w:hint="eastAsia" w:ascii="宋体" w:hAnsi="宋体" w:eastAsia="宋体" w:cs="宋体"/>
                <w:color w:val="auto"/>
                <w:kern w:val="2"/>
                <w:sz w:val="21"/>
                <w:szCs w:val="21"/>
                <w:highlight w:val="none"/>
                <w:u w:val="none" w:color="000000"/>
                <w:lang w:val="en-US" w:eastAsia="zh-CN" w:bidi="ar-SA"/>
              </w:rPr>
              <w:t>元/月·平方米</w:t>
            </w:r>
            <w:r>
              <w:rPr>
                <w:rFonts w:hint="eastAsia" w:ascii="宋体" w:hAnsi="宋体" w:eastAsia="宋体" w:cs="宋体"/>
                <w:color w:val="auto"/>
                <w:kern w:val="2"/>
                <w:sz w:val="21"/>
                <w:szCs w:val="21"/>
                <w:highlight w:val="none"/>
                <w:u w:val="none" w:color="000000"/>
                <w:lang w:val="en-US" w:eastAsia="zh-CN" w:bidi="ar-SA"/>
              </w:rPr>
              <w:t>*12月=</w:t>
            </w:r>
            <w:r>
              <w:rPr>
                <w:rFonts w:hint="eastAsia" w:ascii="宋体" w:hAnsi="宋体" w:cs="宋体"/>
                <w:color w:val="auto"/>
                <w:kern w:val="2"/>
                <w:sz w:val="21"/>
                <w:szCs w:val="21"/>
                <w:highlight w:val="none"/>
                <w:u w:val="none" w:color="000000"/>
                <w:lang w:val="en-US" w:eastAsia="zh-CN" w:bidi="ar-SA"/>
              </w:rPr>
              <w:t>32630.4</w:t>
            </w:r>
            <w:r>
              <w:rPr>
                <w:rFonts w:hint="eastAsia" w:ascii="宋体" w:hAnsi="宋体" w:eastAsia="宋体" w:cs="宋体"/>
                <w:color w:val="auto"/>
                <w:kern w:val="2"/>
                <w:sz w:val="21"/>
                <w:szCs w:val="21"/>
                <w:highlight w:val="none"/>
                <w:u w:val="none" w:color="000000"/>
                <w:lang w:val="en-US" w:eastAsia="zh-CN" w:bidi="ar-SA"/>
              </w:rPr>
              <w:t>元</w:t>
            </w:r>
          </w:p>
          <w:p w14:paraId="738E4DA4">
            <w:pPr>
              <w:keepNext w:val="0"/>
              <w:keepLines w:val="0"/>
              <w:pageBreakBefore w:val="0"/>
              <w:kinsoku/>
              <w:overflowPunct/>
              <w:autoSpaceDE/>
              <w:autoSpaceDN/>
              <w:bidi w:val="0"/>
              <w:spacing w:line="50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投标单位所报单价高于以上对应单价最高限价的，其投 标文件按无效标处理。</w:t>
            </w:r>
          </w:p>
          <w:p w14:paraId="0FC58FFD">
            <w:pPr>
              <w:keepNext w:val="0"/>
              <w:keepLines w:val="0"/>
              <w:pageBreakBefore w:val="0"/>
              <w:kinsoku/>
              <w:overflowPunct/>
              <w:autoSpaceDE/>
              <w:autoSpaceDN/>
              <w:bidi w:val="0"/>
              <w:spacing w:line="50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2.本项目报价设置总价最高限价：</w:t>
            </w:r>
            <w:r>
              <w:rPr>
                <w:rFonts w:hint="eastAsia" w:ascii="宋体" w:hAnsi="宋体" w:cs="宋体"/>
                <w:color w:val="auto"/>
                <w:kern w:val="2"/>
                <w:sz w:val="21"/>
                <w:szCs w:val="21"/>
                <w:highlight w:val="none"/>
                <w:u w:val="none" w:color="000000"/>
                <w:lang w:val="en-US" w:eastAsia="zh-CN" w:bidi="ar-SA"/>
              </w:rPr>
              <w:t>797330.4</w:t>
            </w:r>
            <w:r>
              <w:rPr>
                <w:rFonts w:hint="eastAsia" w:ascii="宋体" w:hAnsi="宋体" w:eastAsia="宋体" w:cs="宋体"/>
                <w:color w:val="auto"/>
                <w:kern w:val="2"/>
                <w:sz w:val="21"/>
                <w:szCs w:val="21"/>
                <w:highlight w:val="none"/>
                <w:u w:val="none" w:color="000000"/>
                <w:lang w:val="en-US" w:eastAsia="zh-CN" w:bidi="ar-SA"/>
              </w:rPr>
              <w:t>元/一年</w:t>
            </w:r>
            <w:r>
              <w:rPr>
                <w:rFonts w:hint="eastAsia" w:ascii="宋体" w:hAnsi="宋体" w:eastAsia="宋体" w:cs="宋体"/>
                <w:color w:val="auto"/>
                <w:kern w:val="2"/>
                <w:sz w:val="21"/>
                <w:szCs w:val="21"/>
                <w:highlight w:val="none"/>
                <w:u w:val="none" w:color="000000"/>
                <w:lang w:val="en-US" w:eastAsia="zh-CN" w:bidi="ar-SA"/>
              </w:rPr>
              <w:t>，</w:t>
            </w:r>
            <w:r>
              <w:rPr>
                <w:rFonts w:hint="eastAsia" w:ascii="宋体" w:hAnsi="宋体" w:cs="宋体"/>
                <w:color w:val="auto"/>
                <w:kern w:val="2"/>
                <w:sz w:val="21"/>
                <w:szCs w:val="21"/>
                <w:highlight w:val="none"/>
                <w:u w:val="none" w:color="000000"/>
                <w:lang w:val="en-US" w:eastAsia="zh-CN" w:bidi="ar-SA"/>
              </w:rPr>
              <w:t>2391991.2</w:t>
            </w:r>
            <w:r>
              <w:rPr>
                <w:rFonts w:hint="eastAsia" w:ascii="宋体" w:hAnsi="宋体" w:eastAsia="宋体" w:cs="宋体"/>
                <w:color w:val="auto"/>
                <w:kern w:val="2"/>
                <w:sz w:val="21"/>
                <w:szCs w:val="21"/>
                <w:highlight w:val="none"/>
                <w:u w:val="none" w:color="000000"/>
                <w:lang w:val="en-US" w:eastAsia="zh-CN" w:bidi="ar-SA"/>
              </w:rPr>
              <w:t>元/三年</w:t>
            </w:r>
            <w:r>
              <w:rPr>
                <w:rFonts w:hint="eastAsia" w:ascii="宋体" w:hAnsi="宋体" w:eastAsia="宋体" w:cs="宋体"/>
                <w:color w:val="auto"/>
                <w:kern w:val="2"/>
                <w:sz w:val="21"/>
                <w:szCs w:val="21"/>
                <w:highlight w:val="none"/>
                <w:u w:val="none" w:color="000000"/>
                <w:lang w:val="en-US" w:eastAsia="zh-CN" w:bidi="ar-SA"/>
              </w:rPr>
              <w:t>，投标总报价高于（不含等于）总价最高限价的，按无效投标处理。以上报价不包含二次供水、电梯的公共能耗费用及电梯年检费用。 备注：业主或物业使用人未能按时足额交纳物业服务费用（物业服务 资金）或因房屋安置或暂未安置）无法收取物业服务费用（物业服务资金）的， 由中标人自行承担；物业用房为毛胚房，后期装饰装修由 中标人自理；物业开办费由中标人自理。</w:t>
            </w:r>
          </w:p>
        </w:tc>
      </w:tr>
      <w:tr w14:paraId="175330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048" w:type="dxa"/>
            <w:noWrap w:val="0"/>
            <w:vAlign w:val="center"/>
          </w:tcPr>
          <w:p w14:paraId="2B01FAB4">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40" w:type="dxa"/>
            <w:gridSpan w:val="2"/>
            <w:noWrap w:val="0"/>
            <w:vAlign w:val="center"/>
          </w:tcPr>
          <w:p w14:paraId="423591B8">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6610" w:type="dxa"/>
            <w:noWrap w:val="0"/>
            <w:vAlign w:val="center"/>
          </w:tcPr>
          <w:p w14:paraId="6B4A91C4">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具体详见《</w:t>
            </w:r>
            <w:r>
              <w:rPr>
                <w:rFonts w:hint="eastAsia" w:hAnsi="宋体" w:cs="宋体"/>
                <w:b/>
                <w:color w:val="auto"/>
                <w:kern w:val="0"/>
                <w:sz w:val="21"/>
                <w:szCs w:val="21"/>
                <w:highlight w:val="none"/>
                <w:lang w:val="en-US" w:eastAsia="zh-CN"/>
              </w:rPr>
              <w:t>服务需求</w:t>
            </w:r>
            <w:r>
              <w:rPr>
                <w:rFonts w:hint="eastAsia" w:ascii="宋体" w:hAnsi="宋体" w:eastAsia="宋体" w:cs="宋体"/>
                <w:b/>
                <w:color w:val="auto"/>
                <w:kern w:val="0"/>
                <w:sz w:val="21"/>
                <w:szCs w:val="21"/>
                <w:highlight w:val="none"/>
              </w:rPr>
              <w:t>》</w:t>
            </w:r>
          </w:p>
        </w:tc>
      </w:tr>
      <w:tr w14:paraId="538127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noWrap w:val="0"/>
            <w:vAlign w:val="center"/>
          </w:tcPr>
          <w:p w14:paraId="7520C83B">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140" w:type="dxa"/>
            <w:gridSpan w:val="2"/>
            <w:noWrap w:val="0"/>
            <w:vAlign w:val="center"/>
          </w:tcPr>
          <w:p w14:paraId="6CA7B7B1">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标包划分</w:t>
            </w:r>
          </w:p>
        </w:tc>
        <w:tc>
          <w:tcPr>
            <w:tcW w:w="6610" w:type="dxa"/>
            <w:noWrap w:val="0"/>
            <w:vAlign w:val="center"/>
          </w:tcPr>
          <w:p w14:paraId="06B247EB">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本项目划分为</w:t>
            </w:r>
            <w:r>
              <w:rPr>
                <w:rFonts w:hint="eastAsia" w:ascii="宋体" w:hAnsi="宋体" w:eastAsia="宋体" w:cs="宋体"/>
                <w:color w:val="auto"/>
                <w:sz w:val="21"/>
                <w:szCs w:val="21"/>
                <w:highlight w:val="none"/>
                <w:u w:val="single"/>
              </w:rPr>
              <w:t xml:space="preserve"> 1</w:t>
            </w:r>
            <w:r>
              <w:rPr>
                <w:rFonts w:hint="eastAsia" w:ascii="宋体" w:hAnsi="宋体" w:eastAsia="宋体" w:cs="宋体"/>
                <w:color w:val="auto"/>
                <w:sz w:val="21"/>
                <w:szCs w:val="21"/>
                <w:highlight w:val="none"/>
              </w:rPr>
              <w:t>个标包</w:t>
            </w:r>
          </w:p>
        </w:tc>
      </w:tr>
      <w:tr w14:paraId="73965C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048" w:type="dxa"/>
            <w:noWrap w:val="0"/>
            <w:vAlign w:val="center"/>
          </w:tcPr>
          <w:p w14:paraId="28405C8A">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140" w:type="dxa"/>
            <w:gridSpan w:val="2"/>
            <w:noWrap w:val="0"/>
            <w:vAlign w:val="center"/>
          </w:tcPr>
          <w:p w14:paraId="50319184">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tc>
        <w:tc>
          <w:tcPr>
            <w:tcW w:w="6610" w:type="dxa"/>
            <w:noWrap w:val="0"/>
            <w:vAlign w:val="center"/>
          </w:tcPr>
          <w:p w14:paraId="257B5CCB">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w:t>
            </w:r>
          </w:p>
        </w:tc>
      </w:tr>
      <w:tr w14:paraId="1DAC17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1048" w:type="dxa"/>
            <w:noWrap w:val="0"/>
            <w:vAlign w:val="center"/>
          </w:tcPr>
          <w:p w14:paraId="201669F1">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140" w:type="dxa"/>
            <w:gridSpan w:val="2"/>
            <w:noWrap w:val="0"/>
            <w:vAlign w:val="center"/>
          </w:tcPr>
          <w:p w14:paraId="45C32CA0">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投标人资格条件及其他要求</w:t>
            </w:r>
          </w:p>
        </w:tc>
        <w:tc>
          <w:tcPr>
            <w:tcW w:w="6610" w:type="dxa"/>
            <w:noWrap w:val="0"/>
            <w:vAlign w:val="center"/>
          </w:tcPr>
          <w:p w14:paraId="0CA9B502">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5699A9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2E08E36B">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140" w:type="dxa"/>
            <w:gridSpan w:val="2"/>
            <w:noWrap w:val="0"/>
            <w:vAlign w:val="center"/>
          </w:tcPr>
          <w:p w14:paraId="49CB7A87">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610" w:type="dxa"/>
            <w:noWrap w:val="0"/>
            <w:vAlign w:val="center"/>
          </w:tcPr>
          <w:p w14:paraId="187EFF5C">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不组织,投标人自行踏勘。</w:t>
            </w:r>
          </w:p>
        </w:tc>
      </w:tr>
      <w:tr w14:paraId="63137F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3C89A1A4">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140" w:type="dxa"/>
            <w:gridSpan w:val="2"/>
            <w:noWrap w:val="0"/>
            <w:vAlign w:val="center"/>
          </w:tcPr>
          <w:p w14:paraId="7F7334AC">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610" w:type="dxa"/>
            <w:noWrap w:val="0"/>
            <w:vAlign w:val="center"/>
          </w:tcPr>
          <w:p w14:paraId="20B36F63">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6556FD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53362ADE">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2140" w:type="dxa"/>
            <w:gridSpan w:val="2"/>
            <w:noWrap w:val="0"/>
            <w:vAlign w:val="center"/>
          </w:tcPr>
          <w:p w14:paraId="15A8664A">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w:t>
            </w:r>
            <w:r>
              <w:rPr>
                <w:rFonts w:hint="eastAsia" w:ascii="宋体" w:hAnsi="宋体" w:eastAsia="宋体" w:cs="宋体"/>
                <w:color w:val="auto"/>
                <w:sz w:val="21"/>
                <w:szCs w:val="21"/>
                <w:highlight w:val="none"/>
                <w:u w:val="none" w:color="auto"/>
              </w:rPr>
              <w:t>疑问</w:t>
            </w:r>
            <w:r>
              <w:rPr>
                <w:rFonts w:hint="eastAsia" w:ascii="宋体" w:hAnsi="宋体" w:eastAsia="宋体" w:cs="宋体"/>
                <w:color w:val="auto"/>
                <w:sz w:val="21"/>
                <w:szCs w:val="21"/>
                <w:highlight w:val="none"/>
              </w:rPr>
              <w:t>的截止时间及方式</w:t>
            </w:r>
          </w:p>
        </w:tc>
        <w:tc>
          <w:tcPr>
            <w:tcW w:w="6610" w:type="dxa"/>
            <w:noWrap w:val="0"/>
            <w:vAlign w:val="center"/>
          </w:tcPr>
          <w:p w14:paraId="2DE2BE69">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color="auto"/>
              </w:rPr>
              <w:t>如投标人对招标文件有疑问，请于</w:t>
            </w:r>
            <w:r>
              <w:rPr>
                <w:rFonts w:hint="eastAsia" w:ascii="宋体" w:hAnsi="宋体" w:eastAsia="宋体" w:cs="宋体"/>
                <w:b/>
                <w:bCs/>
                <w:color w:val="auto"/>
                <w:sz w:val="21"/>
                <w:szCs w:val="21"/>
                <w:highlight w:val="none"/>
                <w:u w:val="none" w:color="auto"/>
              </w:rPr>
              <w:t>202</w:t>
            </w:r>
            <w:r>
              <w:rPr>
                <w:rFonts w:hint="eastAsia" w:ascii="宋体" w:hAnsi="宋体" w:eastAsia="宋体" w:cs="宋体"/>
                <w:b/>
                <w:bCs/>
                <w:color w:val="auto"/>
                <w:sz w:val="21"/>
                <w:szCs w:val="21"/>
                <w:highlight w:val="none"/>
                <w:u w:val="none" w:color="auto"/>
                <w:lang w:val="en-US" w:eastAsia="zh-CN"/>
              </w:rPr>
              <w:t>5</w:t>
            </w:r>
            <w:r>
              <w:rPr>
                <w:rFonts w:hint="eastAsia" w:ascii="宋体" w:hAnsi="宋体" w:eastAsia="宋体" w:cs="宋体"/>
                <w:b/>
                <w:bCs/>
                <w:color w:val="auto"/>
                <w:sz w:val="21"/>
                <w:szCs w:val="21"/>
                <w:highlight w:val="none"/>
                <w:u w:val="none" w:color="auto"/>
              </w:rPr>
              <w:t>年</w:t>
            </w:r>
            <w:r>
              <w:rPr>
                <w:rFonts w:hint="eastAsia" w:hAnsi="宋体" w:cs="宋体"/>
                <w:b/>
                <w:bCs/>
                <w:color w:val="auto"/>
                <w:sz w:val="21"/>
                <w:szCs w:val="21"/>
                <w:highlight w:val="none"/>
                <w:u w:val="none" w:color="auto"/>
                <w:lang w:val="en-US" w:eastAsia="zh-CN"/>
              </w:rPr>
              <w:t>9</w:t>
            </w:r>
            <w:r>
              <w:rPr>
                <w:rFonts w:hint="eastAsia" w:ascii="宋体" w:hAnsi="宋体" w:eastAsia="宋体" w:cs="宋体"/>
                <w:b/>
                <w:bCs/>
                <w:color w:val="auto"/>
                <w:sz w:val="21"/>
                <w:szCs w:val="21"/>
                <w:highlight w:val="none"/>
                <w:u w:val="none" w:color="auto"/>
              </w:rPr>
              <w:t>月</w:t>
            </w:r>
            <w:r>
              <w:rPr>
                <w:rFonts w:hint="eastAsia" w:hAnsi="宋体" w:cs="宋体"/>
                <w:b/>
                <w:bCs/>
                <w:color w:val="auto"/>
                <w:sz w:val="21"/>
                <w:szCs w:val="21"/>
                <w:highlight w:val="none"/>
                <w:u w:val="none" w:color="auto"/>
                <w:lang w:val="en-US" w:eastAsia="zh-CN"/>
              </w:rPr>
              <w:t>16</w:t>
            </w:r>
            <w:r>
              <w:rPr>
                <w:rFonts w:hint="eastAsia" w:ascii="宋体" w:hAnsi="宋体" w:eastAsia="宋体" w:cs="宋体"/>
                <w:b/>
                <w:bCs/>
                <w:color w:val="auto"/>
                <w:sz w:val="21"/>
                <w:szCs w:val="21"/>
                <w:highlight w:val="none"/>
                <w:u w:val="none" w:color="auto"/>
              </w:rPr>
              <w:t>日</w:t>
            </w:r>
            <w:r>
              <w:rPr>
                <w:rFonts w:hint="eastAsia" w:ascii="宋体" w:hAnsi="宋体" w:eastAsia="宋体" w:cs="宋体"/>
                <w:b/>
                <w:bCs/>
                <w:color w:val="auto"/>
                <w:sz w:val="21"/>
                <w:szCs w:val="21"/>
                <w:highlight w:val="none"/>
                <w:u w:val="none" w:color="auto"/>
                <w:lang w:val="en-US" w:eastAsia="zh-CN"/>
              </w:rPr>
              <w:t>8</w:t>
            </w:r>
            <w:r>
              <w:rPr>
                <w:rFonts w:hint="eastAsia" w:ascii="宋体" w:hAnsi="宋体" w:eastAsia="宋体" w:cs="宋体"/>
                <w:b/>
                <w:bCs/>
                <w:color w:val="auto"/>
                <w:sz w:val="21"/>
                <w:szCs w:val="21"/>
                <w:highlight w:val="none"/>
                <w:u w:val="none" w:color="auto"/>
              </w:rPr>
              <w:t>时</w:t>
            </w:r>
            <w:r>
              <w:rPr>
                <w:rFonts w:hint="eastAsia" w:ascii="宋体" w:hAnsi="宋体" w:eastAsia="宋体" w:cs="宋体"/>
                <w:color w:val="auto"/>
                <w:sz w:val="21"/>
                <w:szCs w:val="21"/>
                <w:highlight w:val="none"/>
                <w:u w:val="none" w:color="auto"/>
              </w:rPr>
              <w:t>（投标截止10日）前</w:t>
            </w:r>
            <w:bookmarkStart w:id="29" w:name="_Hlk61815279"/>
            <w:r>
              <w:rPr>
                <w:rFonts w:hint="eastAsia" w:ascii="宋体" w:hAnsi="宋体" w:eastAsia="宋体" w:cs="宋体"/>
                <w:color w:val="auto"/>
                <w:sz w:val="21"/>
                <w:szCs w:val="21"/>
                <w:highlight w:val="none"/>
                <w:u w:val="none" w:color="auto"/>
              </w:rPr>
              <w:t xml:space="preserve">在滁州市公共资源交易中心网电子交易系统中进行异议（质疑），具体操作步骤和程序请参见服务指南&gt;交易须知&gt;在线异议、质疑和投诉操作手册。 </w:t>
            </w:r>
            <w:bookmarkEnd w:id="29"/>
          </w:p>
        </w:tc>
      </w:tr>
      <w:tr w14:paraId="5F4C21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3D01E530">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2140" w:type="dxa"/>
            <w:gridSpan w:val="2"/>
            <w:noWrap w:val="0"/>
            <w:vAlign w:val="center"/>
          </w:tcPr>
          <w:p w14:paraId="397E8085">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招标人澄清的时间及方式</w:t>
            </w:r>
          </w:p>
        </w:tc>
        <w:tc>
          <w:tcPr>
            <w:tcW w:w="6610" w:type="dxa"/>
            <w:noWrap w:val="0"/>
            <w:vAlign w:val="center"/>
          </w:tcPr>
          <w:p w14:paraId="638E7494">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color="000000"/>
              </w:rPr>
              <w:t>202</w:t>
            </w:r>
            <w:r>
              <w:rPr>
                <w:rFonts w:hint="eastAsia" w:ascii="宋体" w:hAnsi="宋体" w:eastAsia="宋体" w:cs="宋体"/>
                <w:b/>
                <w:bCs/>
                <w:color w:val="auto"/>
                <w:sz w:val="21"/>
                <w:szCs w:val="21"/>
                <w:highlight w:val="none"/>
                <w:u w:val="none" w:color="000000"/>
                <w:lang w:val="en-US" w:eastAsia="zh-CN"/>
              </w:rPr>
              <w:t>5</w:t>
            </w:r>
            <w:r>
              <w:rPr>
                <w:rFonts w:hint="eastAsia" w:ascii="宋体" w:hAnsi="宋体" w:eastAsia="宋体" w:cs="宋体"/>
                <w:b/>
                <w:bCs/>
                <w:color w:val="auto"/>
                <w:sz w:val="21"/>
                <w:szCs w:val="21"/>
                <w:highlight w:val="none"/>
                <w:u w:val="none" w:color="000000"/>
              </w:rPr>
              <w:t>年</w:t>
            </w:r>
            <w:r>
              <w:rPr>
                <w:rFonts w:hint="eastAsia" w:ascii="宋体" w:hAnsi="宋体" w:cs="宋体"/>
                <w:b/>
                <w:bCs/>
                <w:color w:val="auto"/>
                <w:sz w:val="21"/>
                <w:szCs w:val="21"/>
                <w:highlight w:val="none"/>
                <w:u w:val="none" w:color="000000"/>
                <w:lang w:val="en-US" w:eastAsia="zh-CN"/>
              </w:rPr>
              <w:t>9</w:t>
            </w:r>
            <w:r>
              <w:rPr>
                <w:rFonts w:hint="eastAsia" w:ascii="宋体" w:hAnsi="宋体" w:eastAsia="宋体" w:cs="宋体"/>
                <w:b/>
                <w:bCs/>
                <w:color w:val="auto"/>
                <w:sz w:val="21"/>
                <w:szCs w:val="21"/>
                <w:highlight w:val="none"/>
                <w:u w:val="none" w:color="000000"/>
              </w:rPr>
              <w:t>月</w:t>
            </w:r>
            <w:r>
              <w:rPr>
                <w:rFonts w:hint="eastAsia" w:ascii="宋体" w:hAnsi="宋体" w:cs="宋体"/>
                <w:b/>
                <w:bCs/>
                <w:color w:val="auto"/>
                <w:sz w:val="21"/>
                <w:szCs w:val="21"/>
                <w:highlight w:val="none"/>
                <w:u w:val="none" w:color="000000"/>
                <w:lang w:val="en-US" w:eastAsia="zh-CN"/>
              </w:rPr>
              <w:t>19</w:t>
            </w:r>
            <w:r>
              <w:rPr>
                <w:rFonts w:hint="eastAsia" w:ascii="宋体" w:hAnsi="宋体" w:eastAsia="宋体" w:cs="宋体"/>
                <w:b/>
                <w:bCs/>
                <w:color w:val="auto"/>
                <w:sz w:val="21"/>
                <w:szCs w:val="21"/>
                <w:highlight w:val="none"/>
                <w:u w:val="none" w:color="000000"/>
              </w:rPr>
              <w:t>日17时</w:t>
            </w:r>
            <w:r>
              <w:rPr>
                <w:rFonts w:hint="eastAsia" w:ascii="宋体" w:hAnsi="宋体" w:eastAsia="宋体" w:cs="宋体"/>
                <w:b/>
                <w:bCs/>
                <w:color w:val="auto"/>
                <w:sz w:val="21"/>
                <w:szCs w:val="21"/>
                <w:highlight w:val="none"/>
              </w:rPr>
              <w:t>前</w:t>
            </w:r>
            <w:r>
              <w:rPr>
                <w:rFonts w:hint="eastAsia" w:ascii="宋体" w:hAnsi="宋体" w:eastAsia="宋体" w:cs="宋体"/>
                <w:color w:val="auto"/>
                <w:sz w:val="21"/>
                <w:szCs w:val="21"/>
                <w:highlight w:val="none"/>
              </w:rPr>
              <w:t>以澄清公告形式在滁州市公共资源交易网（http://ggzy.chuzhou.gov.cn /）“答疑澄清文件”栏目予以公告。</w:t>
            </w:r>
          </w:p>
        </w:tc>
      </w:tr>
      <w:tr w14:paraId="112329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1048" w:type="dxa"/>
            <w:noWrap w:val="0"/>
            <w:vAlign w:val="center"/>
          </w:tcPr>
          <w:p w14:paraId="7FEE135B">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140" w:type="dxa"/>
            <w:gridSpan w:val="2"/>
            <w:noWrap w:val="0"/>
            <w:vAlign w:val="center"/>
          </w:tcPr>
          <w:p w14:paraId="5929038A">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6610" w:type="dxa"/>
            <w:noWrap w:val="0"/>
            <w:vAlign w:val="center"/>
          </w:tcPr>
          <w:p w14:paraId="740A901B">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w:t>
            </w:r>
            <w:r>
              <w:rPr>
                <w:rFonts w:hint="eastAsia" w:ascii="宋体" w:hAnsi="宋体" w:eastAsia="宋体" w:cs="宋体"/>
                <w:color w:val="auto"/>
                <w:sz w:val="21"/>
                <w:szCs w:val="21"/>
                <w:highlight w:val="none"/>
                <w:u w:val="none" w:color="auto"/>
              </w:rPr>
              <w:t>不接受</w:t>
            </w:r>
            <w:r>
              <w:rPr>
                <w:rFonts w:hint="eastAsia" w:ascii="宋体" w:hAnsi="宋体" w:eastAsia="宋体" w:cs="宋体"/>
                <w:color w:val="auto"/>
                <w:sz w:val="21"/>
                <w:szCs w:val="21"/>
                <w:highlight w:val="none"/>
              </w:rPr>
              <w:t>联合体投标</w:t>
            </w:r>
          </w:p>
        </w:tc>
      </w:tr>
      <w:tr w14:paraId="512DBB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noWrap w:val="0"/>
            <w:vAlign w:val="center"/>
          </w:tcPr>
          <w:p w14:paraId="0FC7881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140" w:type="dxa"/>
            <w:gridSpan w:val="2"/>
            <w:noWrap w:val="0"/>
            <w:vAlign w:val="center"/>
          </w:tcPr>
          <w:p w14:paraId="528036E9">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w:t>
            </w:r>
          </w:p>
        </w:tc>
        <w:tc>
          <w:tcPr>
            <w:tcW w:w="6610" w:type="dxa"/>
            <w:noWrap w:val="0"/>
            <w:vAlign w:val="center"/>
          </w:tcPr>
          <w:p w14:paraId="4BEBF7E6">
            <w:pPr>
              <w:keepNext w:val="0"/>
              <w:keepLines w:val="0"/>
              <w:pageBreakBefore w:val="0"/>
              <w:suppressLineNumbers w:val="0"/>
              <w:kinsoku/>
              <w:overflowPunct/>
              <w:autoSpaceDE/>
              <w:autoSpaceDN/>
              <w:bidi w:val="0"/>
              <w:adjustRightInd/>
              <w:spacing w:before="0" w:beforeAutospacing="0" w:afterAutospacing="0" w:line="500" w:lineRule="exact"/>
              <w:ind w:left="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代理服务费金额：</w:t>
            </w:r>
            <w:r>
              <w:rPr>
                <w:rFonts w:hint="eastAsia" w:ascii="宋体" w:hAnsi="宋体" w:cs="宋体"/>
                <w:color w:val="auto"/>
                <w:sz w:val="21"/>
                <w:szCs w:val="21"/>
                <w:highlight w:val="none"/>
                <w:lang w:val="en-US" w:eastAsia="zh-CN"/>
              </w:rPr>
              <w:t>19500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p w14:paraId="3AA5DB60">
            <w:pPr>
              <w:keepNext w:val="0"/>
              <w:keepLines w:val="0"/>
              <w:pageBreakBefore w:val="0"/>
              <w:suppressLineNumbers w:val="0"/>
              <w:kinsoku/>
              <w:overflowPunct/>
              <w:autoSpaceDE/>
              <w:autoSpaceDN/>
              <w:bidi w:val="0"/>
              <w:adjustRightInd/>
              <w:spacing w:before="0" w:beforeAutospacing="0" w:afterAutospacing="0" w:line="5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w:t>
            </w:r>
            <w:r>
              <w:rPr>
                <w:rFonts w:hint="eastAsia" w:ascii="宋体" w:hAnsi="宋体" w:eastAsia="宋体" w:cs="宋体"/>
                <w:color w:val="auto"/>
                <w:sz w:val="21"/>
                <w:szCs w:val="21"/>
                <w:highlight w:val="none"/>
                <w:lang w:val="en-US" w:eastAsia="zh-CN"/>
              </w:rPr>
              <w:t>支付主体</w:t>
            </w:r>
            <w:r>
              <w:rPr>
                <w:rFonts w:hint="eastAsia" w:ascii="宋体" w:hAnsi="宋体" w:eastAsia="宋体" w:cs="宋体"/>
                <w:color w:val="auto"/>
                <w:sz w:val="21"/>
                <w:szCs w:val="21"/>
                <w:highlight w:val="none"/>
              </w:rPr>
              <w:t>：中标单位</w:t>
            </w:r>
            <w:r>
              <w:rPr>
                <w:rFonts w:hint="eastAsia" w:ascii="宋体" w:hAnsi="宋体" w:cs="宋体"/>
                <w:color w:val="auto"/>
                <w:sz w:val="21"/>
                <w:szCs w:val="21"/>
                <w:highlight w:val="none"/>
                <w:lang w:eastAsia="zh-CN"/>
              </w:rPr>
              <w:t>，</w:t>
            </w:r>
            <w:r>
              <w:rPr>
                <w:rFonts w:hint="eastAsia" w:ascii="宋体" w:hAnsi="宋体" w:eastAsia="宋体" w:cs="宋体"/>
                <w:color w:val="auto"/>
                <w:highlight w:val="none"/>
              </w:rPr>
              <w:t>中标单位在获取中标通知书时一次性支付给代理机构。</w:t>
            </w:r>
          </w:p>
          <w:p w14:paraId="301CCFE0">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专家评审费支付主体：</w:t>
            </w:r>
            <w:r>
              <w:rPr>
                <w:rFonts w:hint="eastAsia" w:ascii="宋体" w:hAnsi="宋体" w:eastAsia="宋体" w:cs="宋体"/>
                <w:color w:val="auto"/>
                <w:sz w:val="21"/>
                <w:szCs w:val="21"/>
                <w:highlight w:val="none"/>
                <w:lang w:val="en-US" w:eastAsia="zh-CN"/>
              </w:rPr>
              <w:t>代理机构</w:t>
            </w:r>
            <w:r>
              <w:rPr>
                <w:rFonts w:hint="eastAsia" w:ascii="宋体" w:hAnsi="宋体" w:eastAsia="宋体" w:cs="宋体"/>
                <w:color w:val="auto"/>
                <w:sz w:val="21"/>
                <w:szCs w:val="21"/>
                <w:highlight w:val="none"/>
              </w:rPr>
              <w:t>。</w:t>
            </w:r>
          </w:p>
        </w:tc>
      </w:tr>
      <w:tr w14:paraId="2D7EAA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5" w:hRule="atLeast"/>
        </w:trPr>
        <w:tc>
          <w:tcPr>
            <w:tcW w:w="1048" w:type="dxa"/>
            <w:noWrap w:val="0"/>
            <w:vAlign w:val="center"/>
          </w:tcPr>
          <w:p w14:paraId="18429C74">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2140" w:type="dxa"/>
            <w:gridSpan w:val="2"/>
            <w:noWrap w:val="0"/>
            <w:vAlign w:val="center"/>
          </w:tcPr>
          <w:p w14:paraId="5546193D">
            <w:pPr>
              <w:keepNext w:val="0"/>
              <w:keepLines w:val="0"/>
              <w:pageBreakBefore w:val="0"/>
              <w:kinsoku/>
              <w:overflowPunct/>
              <w:autoSpaceDE/>
              <w:autoSpaceDN/>
              <w:bidi w:val="0"/>
              <w:spacing w:line="500" w:lineRule="exact"/>
              <w:ind w:right="-27" w:rightChars="-1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投标人要求澄清招标文件的截止时间及方式</w:t>
            </w:r>
          </w:p>
        </w:tc>
        <w:tc>
          <w:tcPr>
            <w:tcW w:w="6610" w:type="dxa"/>
            <w:noWrap w:val="0"/>
            <w:vAlign w:val="center"/>
          </w:tcPr>
          <w:p w14:paraId="3D5FD52D">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同表10.2款</w:t>
            </w:r>
          </w:p>
        </w:tc>
      </w:tr>
      <w:tr w14:paraId="581073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029D830E">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140" w:type="dxa"/>
            <w:gridSpan w:val="2"/>
            <w:noWrap w:val="0"/>
            <w:vAlign w:val="center"/>
          </w:tcPr>
          <w:p w14:paraId="054BFF00">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10" w:type="dxa"/>
            <w:noWrap w:val="0"/>
            <w:vAlign w:val="center"/>
          </w:tcPr>
          <w:p w14:paraId="3BB39A4E">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593A55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48" w:type="dxa"/>
            <w:noWrap w:val="0"/>
            <w:vAlign w:val="center"/>
          </w:tcPr>
          <w:p w14:paraId="60468D4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140" w:type="dxa"/>
            <w:gridSpan w:val="2"/>
            <w:noWrap w:val="0"/>
            <w:vAlign w:val="center"/>
          </w:tcPr>
          <w:p w14:paraId="2C73F96F">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10" w:type="dxa"/>
            <w:noWrap w:val="0"/>
            <w:vAlign w:val="top"/>
          </w:tcPr>
          <w:p w14:paraId="1946FB82">
            <w:pPr>
              <w:keepNext w:val="0"/>
              <w:keepLines w:val="0"/>
              <w:pageBreakBefore w:val="0"/>
              <w:widowControl/>
              <w:shd w:val="clear" w:color="auto" w:fill="FFFFFF"/>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color="000000"/>
              </w:rPr>
              <w:t>详见第一章“招标公告”</w:t>
            </w:r>
          </w:p>
        </w:tc>
      </w:tr>
      <w:tr w14:paraId="6662CA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noWrap w:val="0"/>
            <w:vAlign w:val="center"/>
          </w:tcPr>
          <w:p w14:paraId="28EE98F6">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140" w:type="dxa"/>
            <w:gridSpan w:val="2"/>
            <w:noWrap w:val="0"/>
            <w:vAlign w:val="center"/>
          </w:tcPr>
          <w:p w14:paraId="084002F6">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投标文件数量</w:t>
            </w:r>
          </w:p>
        </w:tc>
        <w:tc>
          <w:tcPr>
            <w:tcW w:w="6610" w:type="dxa"/>
            <w:noWrap w:val="0"/>
            <w:vAlign w:val="center"/>
          </w:tcPr>
          <w:p w14:paraId="2B45760D">
            <w:pPr>
              <w:keepNext w:val="0"/>
              <w:keepLines w:val="0"/>
              <w:pageBreakBefore w:val="0"/>
              <w:widowControl/>
              <w:kinsoku/>
              <w:overflowPunct/>
              <w:autoSpaceDE/>
              <w:autoSpaceDN/>
              <w:bidi w:val="0"/>
              <w:spacing w:line="500" w:lineRule="exact"/>
              <w:ind w:firstLine="88" w:firstLineChars="42"/>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网上递交的电子投标文件：一份。以投标人在投标截止时间前网上递交的电子投标文件为准，逾期提交的，投标文件将被拒绝。</w:t>
            </w:r>
          </w:p>
          <w:p w14:paraId="4944381C">
            <w:pPr>
              <w:keepNext w:val="0"/>
              <w:keepLines w:val="0"/>
              <w:pageBreakBefore w:val="0"/>
              <w:widowControl/>
              <w:kinsoku/>
              <w:overflowPunct/>
              <w:autoSpaceDE/>
              <w:autoSpaceDN/>
              <w:bidi w:val="0"/>
              <w:spacing w:line="500" w:lineRule="exact"/>
              <w:ind w:firstLine="88" w:firstLineChars="42"/>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（投标单位中标后须递交与网上电子投标文件完全一致的纸质版投标文件，并按要求加盖公章；份数：正本1份，副本2份；中标单位领取中标通知书时，一并递交给代理机构）</w:t>
            </w:r>
          </w:p>
        </w:tc>
      </w:tr>
      <w:tr w14:paraId="21CF27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6F3BC8C0">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w:t>
            </w:r>
          </w:p>
        </w:tc>
        <w:tc>
          <w:tcPr>
            <w:tcW w:w="2140" w:type="dxa"/>
            <w:gridSpan w:val="2"/>
            <w:noWrap w:val="0"/>
            <w:vAlign w:val="center"/>
          </w:tcPr>
          <w:p w14:paraId="7998FEBD">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610" w:type="dxa"/>
            <w:noWrap w:val="0"/>
            <w:vAlign w:val="center"/>
          </w:tcPr>
          <w:p w14:paraId="614F4A61">
            <w:pPr>
              <w:keepNext w:val="0"/>
              <w:keepLines w:val="0"/>
              <w:pageBreakBefore w:val="0"/>
              <w:widowControl/>
              <w:kinsoku/>
              <w:overflowPunct/>
              <w:autoSpaceDE/>
              <w:autoSpaceDN/>
              <w:bidi w:val="0"/>
              <w:spacing w:line="5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电子投标文件须按格式文件要求签字或盖章（电子签章），招标文件格式中要求“签章”部位，指电子签章或盖章后扫描上传均可。</w:t>
            </w:r>
          </w:p>
          <w:p w14:paraId="3BECCA43">
            <w:pPr>
              <w:keepNext w:val="0"/>
              <w:keepLines w:val="0"/>
              <w:pageBreakBefore w:val="0"/>
              <w:widowControl/>
              <w:kinsoku/>
              <w:overflowPunct/>
              <w:autoSpaceDE/>
              <w:autoSpaceDN/>
              <w:bidi w:val="0"/>
              <w:spacing w:line="500" w:lineRule="exact"/>
              <w:ind w:firstLine="88" w:firstLineChars="42"/>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否则经评委会一致认定且经过招投标监管部门批准后，按照无效投标处理。</w:t>
            </w:r>
          </w:p>
        </w:tc>
      </w:tr>
      <w:tr w14:paraId="6AC73A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3" w:hRule="atLeast"/>
        </w:trPr>
        <w:tc>
          <w:tcPr>
            <w:tcW w:w="1048" w:type="dxa"/>
            <w:noWrap w:val="0"/>
            <w:vAlign w:val="center"/>
          </w:tcPr>
          <w:p w14:paraId="77F5D70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2140" w:type="dxa"/>
            <w:gridSpan w:val="2"/>
            <w:noWrap w:val="0"/>
            <w:vAlign w:val="center"/>
          </w:tcPr>
          <w:p w14:paraId="2F949773">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投标文件提交截止时间</w:t>
            </w:r>
          </w:p>
        </w:tc>
        <w:tc>
          <w:tcPr>
            <w:tcW w:w="6610" w:type="dxa"/>
            <w:noWrap w:val="0"/>
            <w:vAlign w:val="center"/>
          </w:tcPr>
          <w:p w14:paraId="6AA1483B">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网上递交投标文件截止时间：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rPr>
              <w:t>日8点00分（北京时间）</w:t>
            </w:r>
          </w:p>
          <w:p w14:paraId="23539483">
            <w:pPr>
              <w:keepNext w:val="0"/>
              <w:keepLines w:val="0"/>
              <w:pageBreakBefore w:val="0"/>
              <w:kinsoku/>
              <w:overflowPunct/>
              <w:autoSpaceDE/>
              <w:autoSpaceDN/>
              <w:bidi w:val="0"/>
              <w:spacing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注：以投标人在投标截止时间前网上递交的电子投标文件为准，逾期提交的，投标文件将被拒绝。</w:t>
            </w:r>
          </w:p>
          <w:p w14:paraId="7A5DAAC4">
            <w:pPr>
              <w:keepNext w:val="0"/>
              <w:keepLines w:val="0"/>
              <w:pageBreakBefore w:val="0"/>
              <w:kinsoku/>
              <w:wordWrap w:val="0"/>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1.解密程序开始后60分钟内（以本项目网上招投标系统解密倒计时为准）。</w:t>
            </w:r>
          </w:p>
          <w:p w14:paraId="09751674">
            <w:pPr>
              <w:keepNext w:val="0"/>
              <w:keepLines w:val="0"/>
              <w:pageBreakBefore w:val="0"/>
              <w:kinsoku/>
              <w:wordWrap w:val="0"/>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2.解密时间为202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rPr>
              <w:t>日08点00分至202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rPr>
              <w:t>日09点00分。</w:t>
            </w:r>
          </w:p>
        </w:tc>
      </w:tr>
      <w:tr w14:paraId="1D7EAE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048" w:type="dxa"/>
            <w:noWrap w:val="0"/>
            <w:vAlign w:val="center"/>
          </w:tcPr>
          <w:p w14:paraId="1FF3FEC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2140" w:type="dxa"/>
            <w:gridSpan w:val="2"/>
            <w:noWrap w:val="0"/>
            <w:vAlign w:val="center"/>
          </w:tcPr>
          <w:p w14:paraId="742AB237">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610" w:type="dxa"/>
            <w:noWrap w:val="0"/>
            <w:vAlign w:val="center"/>
          </w:tcPr>
          <w:p w14:paraId="6268A014">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13BD3F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noWrap w:val="0"/>
            <w:vAlign w:val="center"/>
          </w:tcPr>
          <w:p w14:paraId="59BB842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2140" w:type="dxa"/>
            <w:gridSpan w:val="2"/>
            <w:noWrap w:val="0"/>
            <w:vAlign w:val="center"/>
          </w:tcPr>
          <w:p w14:paraId="33F4194D">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10" w:type="dxa"/>
            <w:noWrap w:val="0"/>
            <w:vAlign w:val="center"/>
          </w:tcPr>
          <w:p w14:paraId="24CD9874">
            <w:pPr>
              <w:keepNext w:val="0"/>
              <w:keepLines w:val="0"/>
              <w:pageBreakBefore w:val="0"/>
              <w:kinsoku/>
              <w:overflowPunct/>
              <w:autoSpaceDE/>
              <w:autoSpaceDN/>
              <w:bidi w:val="0"/>
              <w:spacing w:line="5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rPr>
              <w:t>日08点00分（北京时间）</w:t>
            </w:r>
          </w:p>
          <w:p w14:paraId="24E2AF3A">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开标地点：滁州市公共资源交易中心(滁州市龙蟠大道109号房产商务大厦二楼)</w:t>
            </w:r>
          </w:p>
        </w:tc>
      </w:tr>
      <w:tr w14:paraId="246F90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48" w:type="dxa"/>
            <w:noWrap w:val="0"/>
            <w:vAlign w:val="center"/>
          </w:tcPr>
          <w:p w14:paraId="392DB2AA">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w:t>
            </w:r>
          </w:p>
        </w:tc>
        <w:tc>
          <w:tcPr>
            <w:tcW w:w="2140" w:type="dxa"/>
            <w:gridSpan w:val="2"/>
            <w:noWrap w:val="0"/>
            <w:vAlign w:val="center"/>
          </w:tcPr>
          <w:p w14:paraId="4CB755DE">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610" w:type="dxa"/>
            <w:noWrap w:val="0"/>
            <w:vAlign w:val="center"/>
          </w:tcPr>
          <w:p w14:paraId="31147C88">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43FDD0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4" w:hRule="atLeast"/>
        </w:trPr>
        <w:tc>
          <w:tcPr>
            <w:tcW w:w="1048" w:type="dxa"/>
            <w:noWrap w:val="0"/>
            <w:vAlign w:val="center"/>
          </w:tcPr>
          <w:p w14:paraId="0ABA4D9C">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140" w:type="dxa"/>
            <w:gridSpan w:val="2"/>
            <w:noWrap w:val="0"/>
            <w:vAlign w:val="center"/>
          </w:tcPr>
          <w:p w14:paraId="3CB6581F">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610" w:type="dxa"/>
            <w:noWrap w:val="0"/>
            <w:vAlign w:val="top"/>
          </w:tcPr>
          <w:p w14:paraId="7299DA1A">
            <w:pPr>
              <w:keepNext w:val="0"/>
              <w:keepLines w:val="0"/>
              <w:pageBreakBefore w:val="0"/>
              <w:suppressLineNumbers w:val="0"/>
              <w:kinsoku/>
              <w:overflowPunct/>
              <w:topLinePunct w:val="0"/>
              <w:autoSpaceDE/>
              <w:autoSpaceDN/>
              <w:bidi w:val="0"/>
              <w:adjustRightInd/>
              <w:spacing w:before="0" w:beforeAutospacing="0" w:afterAutospacing="0" w:line="5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w:t>
            </w:r>
            <w:r>
              <w:rPr>
                <w:rFonts w:hint="eastAsia" w:ascii="宋体" w:hAnsi="宋体" w:eastAsia="宋体" w:cs="宋体"/>
                <w:color w:val="auto"/>
                <w:sz w:val="21"/>
                <w:szCs w:val="21"/>
                <w:highlight w:val="none"/>
              </w:rPr>
              <w:t>成：</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人，其中招标人代表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人，评标专家</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人。</w:t>
            </w:r>
          </w:p>
          <w:p w14:paraId="23AD6224">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评标专家确定方式：专家评委由招标人在开标前从专家库中随机抽取。</w:t>
            </w:r>
          </w:p>
        </w:tc>
      </w:tr>
      <w:tr w14:paraId="19F1D5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48" w:type="dxa"/>
            <w:noWrap w:val="0"/>
            <w:vAlign w:val="center"/>
          </w:tcPr>
          <w:p w14:paraId="1962ADBC">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32.1.1</w:t>
            </w:r>
          </w:p>
        </w:tc>
        <w:tc>
          <w:tcPr>
            <w:tcW w:w="2140" w:type="dxa"/>
            <w:gridSpan w:val="2"/>
            <w:noWrap w:val="0"/>
            <w:vAlign w:val="center"/>
          </w:tcPr>
          <w:p w14:paraId="5925772E">
            <w:pPr>
              <w:pStyle w:val="19"/>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6610" w:type="dxa"/>
            <w:noWrap w:val="0"/>
            <w:vAlign w:val="center"/>
          </w:tcPr>
          <w:p w14:paraId="1180185D">
            <w:pPr>
              <w:pStyle w:val="19"/>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是，评标委员会推荐3名中标候选人。</w:t>
            </w:r>
          </w:p>
        </w:tc>
      </w:tr>
      <w:tr w14:paraId="315F6B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5" w:hRule="atLeast"/>
        </w:trPr>
        <w:tc>
          <w:tcPr>
            <w:tcW w:w="1048" w:type="dxa"/>
            <w:noWrap w:val="0"/>
            <w:vAlign w:val="center"/>
          </w:tcPr>
          <w:p w14:paraId="5F16B73A">
            <w:pPr>
              <w:pStyle w:val="19"/>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32.1.2</w:t>
            </w:r>
          </w:p>
        </w:tc>
        <w:tc>
          <w:tcPr>
            <w:tcW w:w="2140" w:type="dxa"/>
            <w:gridSpan w:val="2"/>
            <w:noWrap w:val="0"/>
            <w:vAlign w:val="center"/>
          </w:tcPr>
          <w:p w14:paraId="68DC5CC6">
            <w:pPr>
              <w:pStyle w:val="19"/>
              <w:keepNext w:val="0"/>
              <w:keepLines w:val="0"/>
              <w:pageBreakBefore w:val="0"/>
              <w:suppressLineNumbers w:val="0"/>
              <w:kinsoku/>
              <w:overflowPunct/>
              <w:topLinePunct w:val="0"/>
              <w:autoSpaceDE/>
              <w:autoSpaceDN/>
              <w:bidi w:val="0"/>
              <w:adjustRightInd/>
              <w:spacing w:before="0" w:beforeAutospacing="0" w:afterAutospacing="0" w:line="5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中标结果公告媒介</w:t>
            </w:r>
            <w:r>
              <w:rPr>
                <w:rFonts w:hint="eastAsia" w:ascii="宋体" w:hAnsi="宋体" w:eastAsia="宋体" w:cs="宋体"/>
                <w:color w:val="auto"/>
                <w:sz w:val="21"/>
                <w:szCs w:val="21"/>
                <w:highlight w:val="none"/>
                <w:lang w:val="en-US" w:eastAsia="zh-CN"/>
              </w:rPr>
              <w:t>及期限</w:t>
            </w:r>
          </w:p>
        </w:tc>
        <w:tc>
          <w:tcPr>
            <w:tcW w:w="6610" w:type="dxa"/>
            <w:noWrap w:val="0"/>
            <w:vAlign w:val="top"/>
          </w:tcPr>
          <w:p w14:paraId="5EBB9A76">
            <w:pPr>
              <w:pStyle w:val="19"/>
              <w:keepNext w:val="0"/>
              <w:keepLines w:val="0"/>
              <w:pageBreakBefore w:val="0"/>
              <w:suppressLineNumbers w:val="0"/>
              <w:kinsoku/>
              <w:overflowPunct/>
              <w:topLinePunct w:val="0"/>
              <w:autoSpaceDE/>
              <w:autoSpaceDN/>
              <w:bidi w:val="0"/>
              <w:adjustRightInd/>
              <w:spacing w:before="0" w:beforeAutospacing="0" w:afterAutospacing="0" w:line="5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公示媒介：同招标公告发布媒介</w:t>
            </w:r>
          </w:p>
          <w:p w14:paraId="36721155">
            <w:pPr>
              <w:pStyle w:val="19"/>
              <w:keepNext w:val="0"/>
              <w:keepLines w:val="0"/>
              <w:pageBreakBefore w:val="0"/>
              <w:suppressLineNumbers w:val="0"/>
              <w:kinsoku/>
              <w:overflowPunct/>
              <w:topLinePunct w:val="0"/>
              <w:autoSpaceDE/>
              <w:autoSpaceDN/>
              <w:bidi w:val="0"/>
              <w:adjustRightInd/>
              <w:spacing w:before="0" w:beforeAutospacing="0" w:afterAutospacing="0" w:line="500" w:lineRule="exact"/>
              <w:ind w:left="0" w:leftChars="0" w:right="0" w:rightChars="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公示期限：公示发布次日起3日（如公示第三日为休息日或节假日，则顺延至休息日或节假日后第一个工作日）</w:t>
            </w:r>
          </w:p>
        </w:tc>
      </w:tr>
      <w:tr w14:paraId="57BE24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048" w:type="dxa"/>
            <w:vMerge w:val="restart"/>
            <w:noWrap w:val="0"/>
            <w:vAlign w:val="center"/>
          </w:tcPr>
          <w:p w14:paraId="27EDE105">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w:t>
            </w:r>
          </w:p>
        </w:tc>
        <w:tc>
          <w:tcPr>
            <w:tcW w:w="2140" w:type="dxa"/>
            <w:gridSpan w:val="2"/>
            <w:noWrap w:val="0"/>
            <w:vAlign w:val="center"/>
          </w:tcPr>
          <w:p w14:paraId="52B5CB9F">
            <w:pPr>
              <w:keepNext w:val="0"/>
              <w:keepLines w:val="0"/>
              <w:pageBreakBefore w:val="0"/>
              <w:suppressLineNumbers w:val="0"/>
              <w:kinsoku/>
              <w:overflowPunct/>
              <w:autoSpaceDE/>
              <w:autoSpaceDN/>
              <w:bidi w:val="0"/>
              <w:spacing w:before="0" w:beforeAutospacing="0" w:afterAutospacing="0" w:line="5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tc>
        <w:tc>
          <w:tcPr>
            <w:tcW w:w="6610" w:type="dxa"/>
            <w:noWrap w:val="0"/>
            <w:vAlign w:val="center"/>
          </w:tcPr>
          <w:p w14:paraId="4E077667">
            <w:pPr>
              <w:keepNext w:val="0"/>
              <w:keepLines w:val="0"/>
              <w:pageBreakBefore w:val="0"/>
              <w:suppressLineNumbers w:val="0"/>
              <w:kinsoku/>
              <w:overflowPunct/>
              <w:autoSpaceDE/>
              <w:autoSpaceDN/>
              <w:bidi w:val="0"/>
              <w:spacing w:before="0" w:beforeAutospacing="0" w:afterAutospacing="0" w:line="50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中标通知书须加盖公共资源交易中心见证章后方可发出。</w:t>
            </w:r>
          </w:p>
        </w:tc>
      </w:tr>
      <w:tr w14:paraId="5EF47A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048" w:type="dxa"/>
            <w:vMerge w:val="continue"/>
            <w:noWrap w:val="0"/>
            <w:vAlign w:val="center"/>
          </w:tcPr>
          <w:p w14:paraId="7F3E995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p>
        </w:tc>
        <w:tc>
          <w:tcPr>
            <w:tcW w:w="2140" w:type="dxa"/>
            <w:gridSpan w:val="2"/>
            <w:noWrap w:val="0"/>
            <w:vAlign w:val="center"/>
          </w:tcPr>
          <w:p w14:paraId="51E466AA">
            <w:pPr>
              <w:keepNext w:val="0"/>
              <w:keepLines w:val="0"/>
              <w:pageBreakBefore w:val="0"/>
              <w:suppressLineNumbers w:val="0"/>
              <w:kinsoku/>
              <w:overflowPunct/>
              <w:autoSpaceDE/>
              <w:autoSpaceDN/>
              <w:bidi w:val="0"/>
              <w:spacing w:before="0" w:beforeAutospacing="0" w:afterAutospacing="0" w:line="5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中标通知书发出形式</w:t>
            </w:r>
          </w:p>
        </w:tc>
        <w:tc>
          <w:tcPr>
            <w:tcW w:w="6610" w:type="dxa"/>
            <w:noWrap w:val="0"/>
            <w:vAlign w:val="center"/>
          </w:tcPr>
          <w:p w14:paraId="30DCF61E">
            <w:pPr>
              <w:keepNext w:val="0"/>
              <w:keepLines w:val="0"/>
              <w:pageBreakBefore w:val="0"/>
              <w:suppressLineNumbers w:val="0"/>
              <w:kinsoku/>
              <w:overflowPunct/>
              <w:autoSpaceDE/>
              <w:autoSpaceDN/>
              <w:bidi w:val="0"/>
              <w:spacing w:before="0" w:beforeAutospacing="0" w:afterAutospacing="0" w:line="50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数据电文</w:t>
            </w:r>
          </w:p>
        </w:tc>
      </w:tr>
      <w:tr w14:paraId="6D4352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4" w:hRule="atLeast"/>
        </w:trPr>
        <w:tc>
          <w:tcPr>
            <w:tcW w:w="1048" w:type="dxa"/>
            <w:noWrap w:val="0"/>
            <w:vAlign w:val="center"/>
          </w:tcPr>
          <w:p w14:paraId="5212893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140" w:type="dxa"/>
            <w:gridSpan w:val="2"/>
            <w:noWrap w:val="0"/>
            <w:vAlign w:val="center"/>
          </w:tcPr>
          <w:p w14:paraId="7670181C">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10" w:type="dxa"/>
            <w:noWrap w:val="0"/>
            <w:vAlign w:val="center"/>
          </w:tcPr>
          <w:p w14:paraId="0F6C75AA">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不收取</w:t>
            </w:r>
          </w:p>
        </w:tc>
      </w:tr>
      <w:tr w14:paraId="3958BE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8" w:hRule="atLeast"/>
        </w:trPr>
        <w:tc>
          <w:tcPr>
            <w:tcW w:w="1926" w:type="dxa"/>
            <w:gridSpan w:val="2"/>
            <w:noWrap w:val="0"/>
            <w:vAlign w:val="center"/>
          </w:tcPr>
          <w:p w14:paraId="133ECF04">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付款方式、时间、条件</w:t>
            </w:r>
          </w:p>
        </w:tc>
        <w:tc>
          <w:tcPr>
            <w:tcW w:w="7872" w:type="dxa"/>
            <w:gridSpan w:val="2"/>
            <w:noWrap w:val="0"/>
            <w:vAlign w:val="center"/>
          </w:tcPr>
          <w:p w14:paraId="63051DD3">
            <w:pPr>
              <w:keepNext w:val="0"/>
              <w:keepLines w:val="0"/>
              <w:pageBreakBefore w:val="0"/>
              <w:kinsoku/>
              <w:overflowPunct/>
              <w:autoSpaceDE/>
              <w:autoSpaceDN/>
              <w:bidi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物业服务费按中标价由中标人向房屋业主或物业使用人按实收取，财政补贴按实发放。如遇政策变化，取消补贴费用，中标人向房屋业主或物业使用人按实收取。</w:t>
            </w:r>
          </w:p>
        </w:tc>
      </w:tr>
      <w:tr w14:paraId="06743F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noWrap w:val="0"/>
            <w:vAlign w:val="center"/>
          </w:tcPr>
          <w:p w14:paraId="4F274776">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招标文件获取方式和时间</w:t>
            </w:r>
          </w:p>
        </w:tc>
        <w:tc>
          <w:tcPr>
            <w:tcW w:w="7872" w:type="dxa"/>
            <w:gridSpan w:val="2"/>
            <w:noWrap w:val="0"/>
            <w:vAlign w:val="top"/>
          </w:tcPr>
          <w:p w14:paraId="1E299A61">
            <w:pPr>
              <w:keepNext w:val="0"/>
              <w:keepLines w:val="0"/>
              <w:pageBreakBefore w:val="0"/>
              <w:kinsoku/>
              <w:overflowPunct/>
              <w:topLine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招标文件获取方式：网上下载；</w:t>
            </w:r>
          </w:p>
          <w:p w14:paraId="24DCD72C">
            <w:pPr>
              <w:keepNext w:val="0"/>
              <w:keepLines w:val="0"/>
              <w:pageBreakBefore w:val="0"/>
              <w:kinsoku/>
              <w:overflowPunct/>
              <w:topLine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获取时间：招标文件发布至投标截止时间。</w:t>
            </w:r>
          </w:p>
        </w:tc>
      </w:tr>
      <w:tr w14:paraId="3BBAA3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noWrap w:val="0"/>
            <w:vAlign w:val="center"/>
          </w:tcPr>
          <w:p w14:paraId="6BA63DFA">
            <w:pPr>
              <w:keepNext w:val="0"/>
              <w:keepLines w:val="0"/>
              <w:pageBreakBefore w:val="0"/>
              <w:suppressLineNumbers w:val="0"/>
              <w:kinsoku/>
              <w:overflowPunct/>
              <w:autoSpaceDE/>
              <w:autoSpaceDN/>
              <w:bidi w:val="0"/>
              <w:adjustRightInd w:val="0"/>
              <w:snapToGrid w:val="0"/>
              <w:spacing w:before="0" w:beforeAutospacing="0" w:afterAutospacing="0" w:line="50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投诉</w:t>
            </w:r>
          </w:p>
        </w:tc>
        <w:tc>
          <w:tcPr>
            <w:tcW w:w="7872" w:type="dxa"/>
            <w:gridSpan w:val="2"/>
            <w:shd w:val="clear" w:color="auto" w:fill="auto"/>
            <w:noWrap w:val="0"/>
            <w:vAlign w:val="top"/>
          </w:tcPr>
          <w:p w14:paraId="4DB4FCB5">
            <w:pPr>
              <w:keepNext w:val="0"/>
              <w:keepLines w:val="0"/>
              <w:pageBreakBefore w:val="0"/>
              <w:suppressLineNumbers w:val="0"/>
              <w:kinsoku/>
              <w:overflowPunct/>
              <w:autoSpaceDE/>
              <w:autoSpaceDN/>
              <w:bidi w:val="0"/>
              <w:adjustRightInd w:val="0"/>
              <w:snapToGrid w:val="0"/>
              <w:spacing w:before="0" w:beforeAutospacing="0" w:afterAutospacing="0" w:line="5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投标人或者其他利害关系人认为招标投标活动违反法律、法规和规章规定的，有权向相关行政监督部门投诉。在线投诉具体步骤和程序请参照服务指南&gt;投诉渠道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"https://ggzy.chuzhou.gov.cn/fwzn/011001/serviceGuide.html"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https://ggzy.chuzhou.gov.cn/fwzn/011001/serviceGuide.html</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；投诉书格式等内容参见服务指南&gt;办事指南&gt;投标人服务&gt;投诉受理一次告知书https://ggzy.chuzhou.gov.cn/fwzn/011001/011001001/011001001003/20211022/4b7d87ec-2c58-49b0-b76c-3a6277377930.html。</w:t>
            </w:r>
          </w:p>
        </w:tc>
      </w:tr>
      <w:tr w14:paraId="5A8C8F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noWrap w:val="0"/>
            <w:vAlign w:val="center"/>
          </w:tcPr>
          <w:p w14:paraId="1F90E9F0">
            <w:pPr>
              <w:keepNext w:val="0"/>
              <w:keepLines w:val="0"/>
              <w:pageBreakBefore w:val="0"/>
              <w:widowControl/>
              <w:suppressLineNumbers w:val="0"/>
              <w:kinsoku/>
              <w:overflowPunct/>
              <w:autoSpaceDE/>
              <w:autoSpaceDN/>
              <w:bidi w:val="0"/>
              <w:spacing w:before="0" w:beforeAutospacing="0" w:afterAutospacing="0" w:line="500" w:lineRule="exact"/>
              <w:ind w:left="0" w:leftChars="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特别提示</w:t>
            </w:r>
          </w:p>
        </w:tc>
        <w:tc>
          <w:tcPr>
            <w:tcW w:w="7872" w:type="dxa"/>
            <w:gridSpan w:val="2"/>
            <w:shd w:val="clear" w:color="auto" w:fill="auto"/>
            <w:noWrap w:val="0"/>
            <w:vAlign w:val="top"/>
          </w:tcPr>
          <w:p w14:paraId="593BE588">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1.本项目投标保证金、履约保证金、工程质量保证金、农民工工资保证金均支持保函使用。以现金形式提交保证金的，应当同时退还保证金本金和银行同期存款利息。</w:t>
            </w:r>
          </w:p>
          <w:p w14:paraId="2B3E8161">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2.投标人应填写投标信息并下载招标文件，否则无法上传投标文件。</w:t>
            </w:r>
          </w:p>
          <w:p w14:paraId="12B6749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787DE0CA">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4.如果过程中出现招标文件更改，应以最后发布的招标答疑澄清文件中的模板制作本项目最新投标文件。</w:t>
            </w:r>
          </w:p>
          <w:p w14:paraId="684953D7">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5.投标人应当用本单位CA数字证书制作投标文件，制作成功后进行投标文件上传。 </w:t>
            </w:r>
          </w:p>
          <w:p w14:paraId="48958FD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64EDF5CC">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7.请投标人注意加密投标文件CA数字证书的有效期，不在有效期的CA数字证书无法解密投标文件。</w:t>
            </w:r>
          </w:p>
          <w:p w14:paraId="78E87551">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8.投标人投标MAC地址一致或申请开具电子保函MAC地址一致的，由评标委员会否决其投标。</w:t>
            </w:r>
          </w:p>
          <w:p w14:paraId="4F37A5AF">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9.投标人投标文件中单方面出现其他投标人材料的（依法组成联合体投标的除外），由评标委员会否决其投标。</w:t>
            </w:r>
          </w:p>
          <w:p w14:paraId="67C8BC64">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668AA0B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11.若存在不予退还投标人投标保证金的情形，银行转账的，由市公共资源交易中心代为收缴，递交保函的，由招标人予以追缴。</w:t>
            </w:r>
          </w:p>
          <w:p w14:paraId="0812D2C2">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1107D207">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13.投标人联系人或联系电话相同的，由评标委员会否决其投标，并报告监管部门作不良行为处理和进一步调查。</w:t>
            </w:r>
          </w:p>
          <w:p w14:paraId="13BC410F">
            <w:pPr>
              <w:keepNext w:val="0"/>
              <w:keepLines w:val="0"/>
              <w:pageBreakBefore w:val="0"/>
              <w:suppressLineNumbers w:val="0"/>
              <w:kinsoku/>
              <w:overflowPunct/>
              <w:autoSpaceDE/>
              <w:autoSpaceDN/>
              <w:bidi w:val="0"/>
              <w:spacing w:before="0" w:beforeAutospacing="0" w:afterAutospacing="0" w:line="500" w:lineRule="exact"/>
              <w:ind w:left="0" w:leftChars="0" w:right="0" w:rightChars="0"/>
              <w:jc w:val="left"/>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val="0"/>
                <w:bCs w:val="0"/>
                <w:color w:val="auto"/>
                <w:sz w:val="21"/>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4F9EC7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noWrap w:val="0"/>
            <w:vAlign w:val="center"/>
          </w:tcPr>
          <w:p w14:paraId="263EB553">
            <w:pPr>
              <w:keepNext w:val="0"/>
              <w:keepLines w:val="0"/>
              <w:pageBreakBefore w:val="0"/>
              <w:suppressLineNumbers w:val="0"/>
              <w:kinsoku/>
              <w:overflowPunct/>
              <w:topLinePunct w:val="0"/>
              <w:autoSpaceDE/>
              <w:autoSpaceDN/>
              <w:bidi w:val="0"/>
              <w:adjustRightInd/>
              <w:spacing w:before="0" w:beforeAutospacing="0" w:afterAutospacing="0" w:line="500" w:lineRule="exact"/>
              <w:ind w:left="0" w:leftChars="0" w:right="0" w:rightChars="0"/>
              <w:jc w:val="center"/>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其他</w:t>
            </w:r>
          </w:p>
        </w:tc>
        <w:tc>
          <w:tcPr>
            <w:tcW w:w="7872" w:type="dxa"/>
            <w:gridSpan w:val="2"/>
            <w:shd w:val="clear" w:color="auto" w:fill="auto"/>
            <w:noWrap w:val="0"/>
            <w:vAlign w:val="top"/>
          </w:tcPr>
          <w:p w14:paraId="58EC14D6">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负责人必须是投标人本单位工作人员，提供虚假资料谋取中标将被依法处罚。投标人对所提交的投标人或拟派项目负责人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滁州市公共资源交易监督管理局）依法处理。</w:t>
            </w:r>
          </w:p>
          <w:p w14:paraId="7E0B417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2.中标人未履行下述义务的，滁州市公共资源交易监督管理局将依法对中标人进行处理，追究相关责任：</w:t>
            </w:r>
          </w:p>
          <w:p w14:paraId="381D1685">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①中标人无正当理由不与招标人订立合同，在签订合同时向招标人提出附加条件，或者不按照招标文件要求提交履约保证金的，招标人有权取消中标人中标资格，并将相关违约行为报送监管部门处理；</w:t>
            </w:r>
          </w:p>
          <w:p w14:paraId="44849410">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②合同签订后，中标人存在规定时间内不组织人员进场开工、不履行供货安装义务等情况，招标人有权解除合同，并追究违约责任，同时将相关违约行为报送监管部门，记不良行为记录， 实施信用惩戒。</w:t>
            </w:r>
          </w:p>
        </w:tc>
      </w:tr>
      <w:tr w14:paraId="1C6EF8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noWrap w:val="0"/>
            <w:vAlign w:val="center"/>
          </w:tcPr>
          <w:p w14:paraId="7FE31AE2">
            <w:pPr>
              <w:keepNext w:val="0"/>
              <w:keepLines w:val="0"/>
              <w:pageBreakBefore w:val="0"/>
              <w:suppressLineNumbers w:val="0"/>
              <w:kinsoku/>
              <w:overflowPunct/>
              <w:topLinePunct w:val="0"/>
              <w:autoSpaceDE/>
              <w:autoSpaceDN/>
              <w:bidi w:val="0"/>
              <w:adjustRightInd w:val="0"/>
              <w:snapToGrid w:val="0"/>
              <w:spacing w:before="0" w:beforeAutospacing="0" w:afterAutospacing="0" w:line="500" w:lineRule="exact"/>
              <w:ind w:left="0" w:leftChars="0" w:right="0" w:rightChars="0"/>
              <w:jc w:val="center"/>
              <w:textAlignment w:val="auto"/>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变更招标方式</w:t>
            </w:r>
          </w:p>
        </w:tc>
        <w:tc>
          <w:tcPr>
            <w:tcW w:w="7872" w:type="dxa"/>
            <w:gridSpan w:val="2"/>
            <w:shd w:val="clear" w:color="auto" w:fill="auto"/>
            <w:noWrap w:val="0"/>
            <w:vAlign w:val="center"/>
          </w:tcPr>
          <w:p w14:paraId="05D8DF0F">
            <w:pPr>
              <w:pStyle w:val="17"/>
              <w:keepNext w:val="0"/>
              <w:keepLines w:val="0"/>
              <w:pageBreakBefore w:val="0"/>
              <w:suppressLineNumbers w:val="0"/>
              <w:kinsoku/>
              <w:overflowPunct/>
              <w:topLinePunct w:val="0"/>
              <w:autoSpaceDE/>
              <w:autoSpaceDN/>
              <w:bidi w:val="0"/>
              <w:adjustRightInd w:val="0"/>
              <w:snapToGrid w:val="0"/>
              <w:spacing w:before="0" w:beforeAutospacing="0" w:after="0" w:afterLines="0" w:afterAutospacing="0" w:line="500" w:lineRule="exact"/>
              <w:ind w:left="0" w:leftChars="0" w:right="0" w:right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按照滁州市公共资源交易监督管理局现行规定执行。</w:t>
            </w:r>
          </w:p>
        </w:tc>
      </w:tr>
    </w:tbl>
    <w:p w14:paraId="6EAE9FE2">
      <w:pPr>
        <w:keepNext w:val="0"/>
        <w:keepLines w:val="0"/>
        <w:pageBreakBefore/>
        <w:widowControl w:val="0"/>
        <w:kinsoku/>
        <w:wordWrap/>
        <w:overflowPunct/>
        <w:topLinePunct w:val="0"/>
        <w:autoSpaceDE/>
        <w:autoSpaceDN/>
        <w:bidi w:val="0"/>
        <w:spacing w:before="312" w:beforeLines="100" w:after="312" w:afterLines="100" w:line="500" w:lineRule="exact"/>
        <w:jc w:val="center"/>
        <w:textAlignment w:val="auto"/>
        <w:outlineLvl w:val="1"/>
        <w:rPr>
          <w:rFonts w:hint="eastAsia" w:ascii="宋体"/>
          <w:b/>
          <w:color w:val="auto"/>
          <w:sz w:val="28"/>
          <w:szCs w:val="32"/>
          <w:highlight w:val="none"/>
        </w:rPr>
      </w:pPr>
      <w:bookmarkStart w:id="30" w:name="_Toc28397"/>
      <w:bookmarkStart w:id="31" w:name="_Toc58430315"/>
      <w:bookmarkStart w:id="32" w:name="_Toc449028866"/>
      <w:r>
        <w:rPr>
          <w:rFonts w:hint="eastAsia" w:ascii="宋体"/>
          <w:b/>
          <w:color w:val="auto"/>
          <w:sz w:val="28"/>
          <w:szCs w:val="28"/>
          <w:highlight w:val="none"/>
        </w:rPr>
        <w:t>二、投标人须知</w:t>
      </w:r>
      <w:bookmarkEnd w:id="30"/>
      <w:bookmarkEnd w:id="31"/>
      <w:bookmarkEnd w:id="32"/>
    </w:p>
    <w:p w14:paraId="2AEFE877">
      <w:pPr>
        <w:keepNext w:val="0"/>
        <w:keepLines w:val="0"/>
        <w:widowControl w:val="0"/>
        <w:kinsoku/>
        <w:wordWrap/>
        <w:overflowPunct/>
        <w:topLinePunct w:val="0"/>
        <w:autoSpaceDE/>
        <w:autoSpaceDN/>
        <w:bidi w:val="0"/>
        <w:spacing w:before="156" w:beforeLines="50" w:after="156" w:afterLines="50" w:line="500" w:lineRule="exact"/>
        <w:jc w:val="center"/>
        <w:textAlignment w:val="auto"/>
        <w:rPr>
          <w:rFonts w:hint="eastAsia" w:ascii="宋体" w:hAnsi="宋体" w:cs="宋体"/>
          <w:color w:val="auto"/>
          <w:sz w:val="28"/>
          <w:szCs w:val="28"/>
          <w:highlight w:val="none"/>
        </w:rPr>
      </w:pPr>
      <w:bookmarkStart w:id="33" w:name="_Toc449028867"/>
      <w:r>
        <w:rPr>
          <w:rFonts w:hint="eastAsia" w:ascii="宋体" w:hAnsi="宋体" w:cs="宋体"/>
          <w:b/>
          <w:color w:val="auto"/>
          <w:sz w:val="28"/>
          <w:szCs w:val="28"/>
          <w:highlight w:val="none"/>
        </w:rPr>
        <w:t>（一）总  则</w:t>
      </w:r>
      <w:bookmarkEnd w:id="33"/>
    </w:p>
    <w:p w14:paraId="2EB194C8">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6532C0A8">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1.1本次招标采购项目名称：见投标人须知前附表。</w:t>
      </w:r>
    </w:p>
    <w:p w14:paraId="3EE7D1FC">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项目编号：见投标人须知前附表。</w:t>
      </w:r>
    </w:p>
    <w:p w14:paraId="2A0CE815">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招 标 人：见投标人须知前附表。</w:t>
      </w:r>
    </w:p>
    <w:p w14:paraId="7B1F417D">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供货期：见投标人须知前附表。</w:t>
      </w:r>
    </w:p>
    <w:p w14:paraId="0377E9E7">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供货地点：见投标人须知前附表。</w:t>
      </w:r>
    </w:p>
    <w:p w14:paraId="5ADE9C19">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1.2招标人及联系人: 见投标人须知前附表。</w:t>
      </w:r>
    </w:p>
    <w:p w14:paraId="6825FDB5">
      <w:pPr>
        <w:keepNext w:val="0"/>
        <w:keepLines w:val="0"/>
        <w:widowControl w:val="0"/>
        <w:kinsoku/>
        <w:wordWrap/>
        <w:overflowPunct/>
        <w:topLinePunct w:val="0"/>
        <w:autoSpaceDE/>
        <w:autoSpaceDN/>
        <w:bidi w:val="0"/>
        <w:snapToGrid w:val="0"/>
        <w:spacing w:line="500" w:lineRule="exact"/>
        <w:ind w:firstLine="525" w:firstLineChars="25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采购代理机构及联系人: 见投标人须知前附表。</w:t>
      </w:r>
    </w:p>
    <w:p w14:paraId="7F79B2FF">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1.3资金来源：见投标人须知前附表。</w:t>
      </w:r>
    </w:p>
    <w:p w14:paraId="46591EB5">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1.4本项目预算：见投标人须知前附表。</w:t>
      </w:r>
    </w:p>
    <w:p w14:paraId="46B12CA4">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1.5本项目最高限价：见投标人须知前附表。</w:t>
      </w:r>
    </w:p>
    <w:p w14:paraId="2759F607">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2.招标范围：</w:t>
      </w:r>
      <w:bookmarkStart w:id="107" w:name="_GoBack"/>
      <w:bookmarkEnd w:id="107"/>
    </w:p>
    <w:p w14:paraId="5F2FD75E">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2.1 采购内容：详见《</w:t>
      </w:r>
      <w:r>
        <w:rPr>
          <w:rFonts w:hint="eastAsia" w:ascii="宋体" w:hAnsi="宋体" w:cs="宋体"/>
          <w:color w:val="auto"/>
          <w:szCs w:val="21"/>
          <w:highlight w:val="none"/>
          <w:lang w:val="en-US" w:eastAsia="zh-CN"/>
        </w:rPr>
        <w:t>服务需求</w:t>
      </w:r>
      <w:r>
        <w:rPr>
          <w:rFonts w:hint="eastAsia" w:ascii="宋体" w:hAnsi="宋体" w:cs="宋体"/>
          <w:color w:val="auto"/>
          <w:szCs w:val="21"/>
          <w:highlight w:val="none"/>
        </w:rPr>
        <w:t>》。</w:t>
      </w:r>
    </w:p>
    <w:p w14:paraId="28AE32A6">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 技术要求：详见《</w:t>
      </w:r>
      <w:r>
        <w:rPr>
          <w:rFonts w:hint="eastAsia" w:ascii="宋体" w:hAnsi="宋体" w:cs="宋体"/>
          <w:color w:val="auto"/>
          <w:szCs w:val="21"/>
          <w:highlight w:val="none"/>
          <w:lang w:val="en-US" w:eastAsia="zh-CN"/>
        </w:rPr>
        <w:t>服务需求</w:t>
      </w:r>
      <w:r>
        <w:rPr>
          <w:rFonts w:hint="eastAsia" w:ascii="宋体" w:hAnsi="宋体" w:cs="宋体"/>
          <w:color w:val="auto"/>
          <w:szCs w:val="21"/>
          <w:highlight w:val="none"/>
        </w:rPr>
        <w:t>》。</w:t>
      </w:r>
    </w:p>
    <w:p w14:paraId="414610A2">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3.标包划分：</w:t>
      </w:r>
    </w:p>
    <w:p w14:paraId="7B057EC7">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212173CA">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4.招标方式：</w:t>
      </w:r>
    </w:p>
    <w:p w14:paraId="797F6AC7">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63BCFE87">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5.计价方式：</w:t>
      </w:r>
    </w:p>
    <w:p w14:paraId="113A249B">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固定单价</w:t>
      </w:r>
      <w:r>
        <w:rPr>
          <w:rFonts w:hint="eastAsia" w:ascii="宋体" w:hAnsi="宋体" w:cs="宋体"/>
          <w:color w:val="auto"/>
          <w:szCs w:val="21"/>
          <w:highlight w:val="none"/>
          <w:u w:val="single"/>
        </w:rPr>
        <w:t xml:space="preserve"> 。</w:t>
      </w:r>
    </w:p>
    <w:p w14:paraId="558FAB8D">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6.评标办法：</w:t>
      </w:r>
    </w:p>
    <w:p w14:paraId="10009C2A">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（详见第三章评标办法）</w:t>
      </w:r>
    </w:p>
    <w:p w14:paraId="6D943673">
      <w:pPr>
        <w:keepNext w:val="0"/>
        <w:keepLines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7.投标人资格：</w:t>
      </w:r>
    </w:p>
    <w:p w14:paraId="6B0BA156">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7.1</w:t>
      </w:r>
      <w:r>
        <w:rPr>
          <w:rFonts w:hint="eastAsia" w:ascii="宋体"/>
          <w:color w:val="auto"/>
          <w:szCs w:val="21"/>
          <w:highlight w:val="none"/>
        </w:rPr>
        <w:t>详见投标人须知前附表。</w:t>
      </w:r>
    </w:p>
    <w:p w14:paraId="34C2A5BE">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7.2根据电子化采购的特点，投标人参加本项目投标，投标人参加本项目投标，需在安徽省公共资源交易市场主体库（http://61.190.70.20/ahggfwpt-zhutiku）登记并进行信息确认提交。</w:t>
      </w:r>
    </w:p>
    <w:p w14:paraId="18507EE0">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7.3投标人必须确保自己在信息库中注册的信息真实、准确，并保证投标文件中的有关信息与库中的信息相一致。否则，投标人因此蒙受损失，招标人概不负责。</w:t>
      </w:r>
    </w:p>
    <w:p w14:paraId="5700567C">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47004410">
      <w:pPr>
        <w:keepNext w:val="0"/>
        <w:keepLines w:val="0"/>
        <w:widowControl w:val="0"/>
        <w:kinsoku/>
        <w:wordWrap/>
        <w:overflowPunct/>
        <w:topLinePunct w:val="0"/>
        <w:autoSpaceDE/>
        <w:autoSpaceDN/>
        <w:bidi w:val="0"/>
        <w:snapToGrid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8.1投标人准备和参加投标活动发生的费用自理。</w:t>
      </w:r>
    </w:p>
    <w:p w14:paraId="32C4224D">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9.</w:t>
      </w:r>
      <w:bookmarkStart w:id="34" w:name="_Toc247527563"/>
      <w:bookmarkStart w:id="35" w:name="_Toc144974507"/>
      <w:bookmarkStart w:id="36" w:name="_Toc296602429"/>
      <w:bookmarkStart w:id="37" w:name="_Toc152042315"/>
      <w:bookmarkStart w:id="38" w:name="_Toc247592876"/>
      <w:bookmarkStart w:id="39" w:name="_Toc152045539"/>
      <w:bookmarkStart w:id="40" w:name="_Toc247513962"/>
      <w:r>
        <w:rPr>
          <w:rFonts w:hint="eastAsia" w:ascii="宋体" w:hAnsi="宋体" w:cs="宋体"/>
          <w:b/>
          <w:color w:val="auto"/>
          <w:szCs w:val="21"/>
          <w:highlight w:val="none"/>
        </w:rPr>
        <w:t xml:space="preserve"> 踏勘现场</w:t>
      </w:r>
      <w:bookmarkEnd w:id="34"/>
      <w:bookmarkEnd w:id="35"/>
      <w:bookmarkEnd w:id="36"/>
      <w:bookmarkEnd w:id="37"/>
      <w:bookmarkEnd w:id="38"/>
      <w:bookmarkEnd w:id="39"/>
      <w:bookmarkEnd w:id="40"/>
    </w:p>
    <w:p w14:paraId="52817E3C">
      <w:pPr>
        <w:keepNext w:val="0"/>
        <w:keepLines w:val="0"/>
        <w:widowControl w:val="0"/>
        <w:kinsoku/>
        <w:wordWrap/>
        <w:overflowPunct/>
        <w:topLinePunct w:val="0"/>
        <w:autoSpaceDE/>
        <w:autoSpaceDN/>
        <w:bidi w:val="0"/>
        <w:spacing w:line="500" w:lineRule="exact"/>
        <w:ind w:firstLine="409" w:firstLineChars="19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9.1 投标人须知前附表规定组织踏勘现场的，招标人按投标人须知前附表规定的时间、地点组织投标人踏勘项目现场。 </w:t>
      </w:r>
    </w:p>
    <w:p w14:paraId="19103AC2">
      <w:pPr>
        <w:keepNext w:val="0"/>
        <w:keepLines w:val="0"/>
        <w:widowControl w:val="0"/>
        <w:kinsoku/>
        <w:wordWrap/>
        <w:overflowPunct/>
        <w:topLinePunct w:val="0"/>
        <w:autoSpaceDE/>
        <w:autoSpaceDN/>
        <w:bidi w:val="0"/>
        <w:spacing w:line="500" w:lineRule="exact"/>
        <w:ind w:firstLine="409" w:firstLineChars="19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9.2 投标人踏勘现场发生的费用自理。</w:t>
      </w:r>
    </w:p>
    <w:p w14:paraId="51CBA139">
      <w:pPr>
        <w:keepNext w:val="0"/>
        <w:keepLines w:val="0"/>
        <w:widowControl w:val="0"/>
        <w:kinsoku/>
        <w:wordWrap/>
        <w:overflowPunct/>
        <w:topLinePunct w:val="0"/>
        <w:autoSpaceDE/>
        <w:autoSpaceDN/>
        <w:bidi w:val="0"/>
        <w:spacing w:line="500" w:lineRule="exact"/>
        <w:ind w:firstLine="409" w:firstLineChars="19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9.3 除招标人的原因外，投标人自行负责在踏勘现场中所发生的人员伤亡和财产损失。</w:t>
      </w:r>
    </w:p>
    <w:p w14:paraId="06AEAA9C">
      <w:pPr>
        <w:keepNext w:val="0"/>
        <w:keepLines w:val="0"/>
        <w:widowControl w:val="0"/>
        <w:kinsoku/>
        <w:wordWrap/>
        <w:overflowPunct/>
        <w:topLinePunct w:val="0"/>
        <w:autoSpaceDE/>
        <w:autoSpaceDN/>
        <w:bidi w:val="0"/>
        <w:spacing w:line="500" w:lineRule="exact"/>
        <w:ind w:firstLine="409" w:firstLineChars="19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9.4 招标人在踏勘现场中介绍的场地和相关的周边环境情况，供投标人在编制投标文件时参考，招标人不对投标人据此作出的判断和决策负责。</w:t>
      </w:r>
      <w:bookmarkStart w:id="41" w:name="_Toc296602430"/>
      <w:bookmarkStart w:id="42" w:name="_Toc144974508"/>
      <w:bookmarkStart w:id="43" w:name="_Toc247513963"/>
      <w:bookmarkStart w:id="44" w:name="_Toc152042316"/>
      <w:bookmarkStart w:id="45" w:name="_Toc247527564"/>
      <w:bookmarkStart w:id="46" w:name="_Toc247592877"/>
      <w:bookmarkStart w:id="47" w:name="_Toc152045540"/>
    </w:p>
    <w:p w14:paraId="141FB5ED">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41"/>
      <w:bookmarkEnd w:id="42"/>
      <w:bookmarkEnd w:id="43"/>
      <w:bookmarkEnd w:id="44"/>
      <w:bookmarkEnd w:id="45"/>
      <w:bookmarkEnd w:id="46"/>
      <w:bookmarkEnd w:id="47"/>
      <w:r>
        <w:rPr>
          <w:rFonts w:hint="eastAsia" w:ascii="宋体" w:hAnsi="宋体" w:cs="宋体"/>
          <w:b/>
          <w:color w:val="auto"/>
          <w:szCs w:val="21"/>
          <w:highlight w:val="none"/>
        </w:rPr>
        <w:t>（本项目不采用）</w:t>
      </w:r>
    </w:p>
    <w:p w14:paraId="1AFEC626">
      <w:pPr>
        <w:keepNext w:val="0"/>
        <w:keepLines w:val="0"/>
        <w:widowControl w:val="0"/>
        <w:kinsoku/>
        <w:wordWrap/>
        <w:overflowPunct/>
        <w:topLinePunct w:val="0"/>
        <w:autoSpaceDE/>
        <w:autoSpaceDN/>
        <w:bidi w:val="0"/>
        <w:spacing w:line="500" w:lineRule="exact"/>
        <w:ind w:firstLine="409" w:firstLineChars="195"/>
        <w:textAlignment w:val="auto"/>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78B726E2">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11. 联合投标(本项目不采用）</w:t>
      </w:r>
    </w:p>
    <w:p w14:paraId="56349AD5">
      <w:pPr>
        <w:keepNext w:val="0"/>
        <w:keepLines w:val="0"/>
        <w:widowControl w:val="0"/>
        <w:kinsoku/>
        <w:wordWrap/>
        <w:overflowPunct/>
        <w:topLinePunct w:val="0"/>
        <w:autoSpaceDE/>
        <w:autoSpaceDN/>
        <w:bidi w:val="0"/>
        <w:spacing w:line="500" w:lineRule="exact"/>
        <w:ind w:firstLine="409" w:firstLineChars="195"/>
        <w:textAlignment w:val="auto"/>
        <w:rPr>
          <w:rFonts w:hint="eastAsia" w:ascii="宋体"/>
          <w:color w:val="auto"/>
          <w:szCs w:val="21"/>
          <w:highlight w:val="none"/>
        </w:rPr>
      </w:pPr>
      <w:r>
        <w:rPr>
          <w:rFonts w:hint="eastAsia" w:ascii="宋体" w:hAnsi="宋体" w:cs="宋体"/>
          <w:color w:val="auto"/>
          <w:szCs w:val="21"/>
          <w:highlight w:val="none"/>
        </w:rPr>
        <w:t xml:space="preserve">11.1 </w:t>
      </w:r>
      <w:r>
        <w:rPr>
          <w:rFonts w:hint="eastAsia" w:ascii="宋体"/>
          <w:bCs/>
          <w:color w:val="auto"/>
          <w:szCs w:val="21"/>
          <w:highlight w:val="none"/>
        </w:rPr>
        <w:t>本项</w:t>
      </w:r>
      <w:r>
        <w:rPr>
          <w:rFonts w:hint="eastAsia"/>
          <w:bCs/>
          <w:color w:val="auto"/>
          <w:szCs w:val="21"/>
          <w:highlight w:val="none"/>
        </w:rPr>
        <w:t>目不接受联合体投标。</w:t>
      </w:r>
    </w:p>
    <w:p w14:paraId="3EBD5FA8">
      <w:pPr>
        <w:keepNext w:val="0"/>
        <w:keepLines w:val="0"/>
        <w:widowControl w:val="0"/>
        <w:kinsoku/>
        <w:wordWrap/>
        <w:overflowPunct/>
        <w:topLinePunct w:val="0"/>
        <w:autoSpaceDE/>
        <w:autoSpaceDN/>
        <w:bidi w:val="0"/>
        <w:spacing w:line="500" w:lineRule="exact"/>
        <w:ind w:firstLine="413" w:firstLineChars="196"/>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12.招标代理费</w:t>
      </w:r>
    </w:p>
    <w:p w14:paraId="0F0E86F4">
      <w:pPr>
        <w:keepNext w:val="0"/>
        <w:keepLines w:val="0"/>
        <w:widowControl w:val="0"/>
        <w:kinsoku/>
        <w:wordWrap/>
        <w:overflowPunct/>
        <w:topLinePunct w:val="0"/>
        <w:autoSpaceDE/>
        <w:autoSpaceDN/>
        <w:bidi w:val="0"/>
        <w:spacing w:line="500" w:lineRule="exact"/>
        <w:ind w:firstLine="210" w:firstLineChars="100"/>
        <w:jc w:val="left"/>
        <w:textAlignment w:val="auto"/>
        <w:rPr>
          <w:rFonts w:hint="eastAsia" w:ascii="宋体"/>
          <w:color w:val="auto"/>
          <w:szCs w:val="21"/>
          <w:highlight w:val="none"/>
        </w:rPr>
      </w:pPr>
      <w:r>
        <w:rPr>
          <w:rFonts w:hint="eastAsia" w:ascii="宋体"/>
          <w:bCs/>
          <w:color w:val="auto"/>
          <w:szCs w:val="21"/>
          <w:highlight w:val="none"/>
        </w:rPr>
        <w:t xml:space="preserve">  12.1</w:t>
      </w:r>
      <w:r>
        <w:rPr>
          <w:rFonts w:ascii="宋体"/>
          <w:bCs/>
          <w:color w:val="auto"/>
          <w:szCs w:val="21"/>
          <w:highlight w:val="none"/>
        </w:rPr>
        <w:t xml:space="preserve"> </w:t>
      </w:r>
      <w:r>
        <w:rPr>
          <w:rFonts w:hint="eastAsia" w:ascii="宋体"/>
          <w:bCs/>
          <w:color w:val="auto"/>
          <w:szCs w:val="21"/>
          <w:highlight w:val="none"/>
        </w:rPr>
        <w:t>招标代理费：</w:t>
      </w:r>
      <w:r>
        <w:rPr>
          <w:rFonts w:hint="eastAsia" w:ascii="宋体"/>
          <w:color w:val="auto"/>
          <w:szCs w:val="21"/>
          <w:highlight w:val="none"/>
        </w:rPr>
        <w:t>见投标人须知前附表。</w:t>
      </w:r>
    </w:p>
    <w:p w14:paraId="286EF835">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bCs/>
          <w:color w:val="auto"/>
          <w:szCs w:val="21"/>
          <w:highlight w:val="none"/>
        </w:rPr>
        <w:t>12.2</w:t>
      </w:r>
      <w:r>
        <w:rPr>
          <w:rFonts w:ascii="宋体"/>
          <w:bCs/>
          <w:color w:val="auto"/>
          <w:szCs w:val="21"/>
          <w:highlight w:val="none"/>
        </w:rPr>
        <w:t xml:space="preserve"> </w:t>
      </w:r>
      <w:r>
        <w:rPr>
          <w:rFonts w:hint="eastAsia" w:ascii="宋体"/>
          <w:bCs/>
          <w:color w:val="auto"/>
          <w:szCs w:val="21"/>
          <w:highlight w:val="none"/>
        </w:rPr>
        <w:t>专家评审劳务费：</w:t>
      </w:r>
      <w:r>
        <w:rPr>
          <w:rFonts w:hint="eastAsia" w:ascii="宋体"/>
          <w:color w:val="auto"/>
          <w:szCs w:val="21"/>
          <w:highlight w:val="none"/>
        </w:rPr>
        <w:t>见投标人须知前附表。</w:t>
      </w:r>
    </w:p>
    <w:p w14:paraId="1F65016C">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13.投标人应注意的事项</w:t>
      </w:r>
    </w:p>
    <w:p w14:paraId="2F766DCD">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41FD5543">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13.2投标人对采购内容中规定的技术参数、规格、数量和要求等必须最大限度的满足招标文件的相关要求。</w:t>
      </w:r>
    </w:p>
    <w:p w14:paraId="60D2F540">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13.3推荐品牌有助于投标人选择所投产品，仅供参考，并无限制性，可以选择性能不低于推荐品牌的产品，但所投产品的技术参数，要最大限度满足招标文件提供的详细参数。</w:t>
      </w:r>
    </w:p>
    <w:p w14:paraId="4634922E">
      <w:pPr>
        <w:keepNext w:val="0"/>
        <w:keepLines w:val="0"/>
        <w:widowControl w:val="0"/>
        <w:kinsoku/>
        <w:wordWrap/>
        <w:overflowPunct/>
        <w:topLinePunct w:val="0"/>
        <w:autoSpaceDE/>
        <w:autoSpaceDN/>
        <w:bidi w:val="0"/>
        <w:spacing w:line="500" w:lineRule="exact"/>
        <w:ind w:firstLine="411" w:firstLineChars="196"/>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13.4 所有投标人的投标保证金都应在投标文件规定的投标保证金缴纳截止时间前缴纳，以资金到账时间为准</w:t>
      </w:r>
      <w:r>
        <w:rPr>
          <w:rFonts w:hint="eastAsia" w:ascii="宋体" w:hAnsi="宋体" w:cs="宋体"/>
          <w:b/>
          <w:color w:val="auto"/>
          <w:szCs w:val="21"/>
          <w:highlight w:val="none"/>
        </w:rPr>
        <w:t>（采用支票、汇票、本票、保函等的，以支票、汇票、本票、保函等递交的时间为准）</w:t>
      </w:r>
      <w:r>
        <w:rPr>
          <w:rFonts w:hint="eastAsia" w:ascii="宋体" w:hAnsi="宋体" w:cs="宋体"/>
          <w:color w:val="auto"/>
          <w:szCs w:val="21"/>
          <w:highlight w:val="none"/>
        </w:rPr>
        <w:t>。</w:t>
      </w:r>
    </w:p>
    <w:p w14:paraId="2C5BDEF3">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13.5</w:t>
      </w:r>
      <w:r>
        <w:rPr>
          <w:rFonts w:hint="eastAsia" w:ascii="宋体" w:hAnsi="宋体" w:cs="宋体"/>
          <w:bCs/>
          <w:color w:val="auto"/>
          <w:szCs w:val="21"/>
          <w:highlight w:val="none"/>
        </w:rPr>
        <w:t>单位负责人为同一人或者存在直接控股、管理关系的不同投标人，不得参加同一合同项下的采购活动。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1BDD25FB">
      <w:pPr>
        <w:keepNext w:val="0"/>
        <w:keepLines w:val="0"/>
        <w:widowControl w:val="0"/>
        <w:kinsoku/>
        <w:wordWrap/>
        <w:overflowPunct/>
        <w:topLinePunct w:val="0"/>
        <w:autoSpaceDE/>
        <w:autoSpaceDN/>
        <w:bidi w:val="0"/>
        <w:spacing w:line="500" w:lineRule="exact"/>
        <w:ind w:firstLine="417" w:firstLineChars="199"/>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13.6投标人被视为充分熟悉本招标项目所在地的与履行合同有关的各种情况，包括但不限于：</w:t>
      </w:r>
    </w:p>
    <w:p w14:paraId="067CC104">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（1）国家对本次投标货物和服务的生产、安装调试、验收、维修等有关法律、法规及行业管理标准；</w:t>
      </w:r>
    </w:p>
    <w:p w14:paraId="2024F0AF">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（2）安徽省及滁州市等有关管理部门的相关规定；</w:t>
      </w:r>
    </w:p>
    <w:p w14:paraId="421301EA">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（3）招标人的相关场地情况、基础建设、电力供应情况及相关设计标准。</w:t>
      </w:r>
    </w:p>
    <w:p w14:paraId="44137B2B">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本招标文件不再对上述情况进行描述。</w:t>
      </w:r>
    </w:p>
    <w:p w14:paraId="767E2029">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13.7凡投标人在我市公共资源交易活动中出现违法违规、破坏市场秩序等不良行为且被监管部门处罚的，一律在滁州市公共资源交易网等相关网站曝光。</w:t>
      </w:r>
    </w:p>
    <w:p w14:paraId="3EEABFAF">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13.8投标人的不良行为、失信行为及行政处罚等效力不因企业名称的变更而改变。</w:t>
      </w:r>
    </w:p>
    <w:p w14:paraId="4F95DD97">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13.9中标候选人无正当理由放弃中标候选人资格的，其保证金将不予退还，并被记不良信息记录。</w:t>
      </w:r>
    </w:p>
    <w:p w14:paraId="3302ED93">
      <w:pPr>
        <w:pStyle w:val="12"/>
        <w:keepNext w:val="0"/>
        <w:keepLines w:val="0"/>
        <w:widowControl w:val="0"/>
        <w:kinsoku/>
        <w:wordWrap/>
        <w:overflowPunct/>
        <w:topLinePunct w:val="0"/>
        <w:autoSpaceDE/>
        <w:autoSpaceDN/>
        <w:bidi w:val="0"/>
        <w:spacing w:after="0" w:line="500" w:lineRule="exact"/>
        <w:ind w:left="0" w:leftChars="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13.10若存在不予退还投标人投标保证金的情形，银行转账的，由市公共资源交易中心代为收缴，递交保函、支票、汇票、本票的，由招标人予以追缴。</w:t>
      </w:r>
    </w:p>
    <w:p w14:paraId="18424772">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14.保密</w:t>
      </w:r>
    </w:p>
    <w:p w14:paraId="4BCEDF4F">
      <w:pPr>
        <w:pStyle w:val="12"/>
        <w:keepNext w:val="0"/>
        <w:keepLines w:val="0"/>
        <w:widowControl w:val="0"/>
        <w:kinsoku/>
        <w:wordWrap/>
        <w:overflowPunct/>
        <w:topLinePunct w:val="0"/>
        <w:autoSpaceDE/>
        <w:autoSpaceDN/>
        <w:bidi w:val="0"/>
        <w:spacing w:after="0" w:line="500" w:lineRule="exact"/>
        <w:ind w:left="0" w:leftChars="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参与招标投标活动的各方应对招标文件和投标文件中的商业和技术等秘密保密，违者应对由此造成的后果承担法律责任。 </w:t>
      </w:r>
    </w:p>
    <w:p w14:paraId="6AEBFBD1">
      <w:pPr>
        <w:keepNext w:val="0"/>
        <w:keepLines w:val="0"/>
        <w:widowControl w:val="0"/>
        <w:kinsoku/>
        <w:wordWrap/>
        <w:overflowPunct/>
        <w:topLinePunct w:val="0"/>
        <w:autoSpaceDE/>
        <w:autoSpaceDN/>
        <w:bidi w:val="0"/>
        <w:spacing w:before="156" w:beforeLines="50" w:after="156" w:afterLines="50" w:line="500" w:lineRule="exact"/>
        <w:jc w:val="center"/>
        <w:textAlignment w:val="auto"/>
        <w:rPr>
          <w:rFonts w:hint="eastAsia" w:ascii="宋体" w:hAnsi="宋体" w:cs="宋体"/>
          <w:b/>
          <w:color w:val="auto"/>
          <w:sz w:val="28"/>
          <w:szCs w:val="28"/>
          <w:highlight w:val="none"/>
        </w:rPr>
      </w:pPr>
      <w:bookmarkStart w:id="48" w:name="_Toc449028868"/>
      <w:r>
        <w:rPr>
          <w:rFonts w:hint="eastAsia" w:ascii="宋体" w:hAnsi="宋体" w:cs="宋体"/>
          <w:b/>
          <w:color w:val="auto"/>
          <w:sz w:val="28"/>
          <w:szCs w:val="28"/>
          <w:highlight w:val="none"/>
        </w:rPr>
        <w:t>（二）</w:t>
      </w:r>
      <w:bookmarkEnd w:id="48"/>
      <w:r>
        <w:rPr>
          <w:rFonts w:hint="eastAsia" w:ascii="宋体" w:hAnsi="宋体" w:cs="宋体"/>
          <w:b/>
          <w:color w:val="auto"/>
          <w:sz w:val="28"/>
          <w:szCs w:val="28"/>
          <w:highlight w:val="none"/>
        </w:rPr>
        <w:t>招标文件</w:t>
      </w:r>
    </w:p>
    <w:p w14:paraId="01A588CD">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15. 招标文件的编制依据</w:t>
      </w:r>
    </w:p>
    <w:p w14:paraId="62159508">
      <w:pPr>
        <w:keepNext w:val="0"/>
        <w:keepLines w:val="0"/>
        <w:widowControl w:val="0"/>
        <w:kinsoku/>
        <w:wordWrap/>
        <w:overflowPunct/>
        <w:topLinePunct w:val="0"/>
        <w:autoSpaceDE/>
        <w:autoSpaceDN/>
        <w:bidi w:val="0"/>
        <w:spacing w:line="500" w:lineRule="exact"/>
        <w:ind w:firstLine="420" w:firstLineChars="200"/>
        <w:textAlignment w:val="auto"/>
        <w:rPr>
          <w:rFonts w:hint="eastAsia" w:ascii="宋体"/>
          <w:color w:val="auto"/>
          <w:szCs w:val="21"/>
          <w:highlight w:val="none"/>
        </w:rPr>
      </w:pPr>
      <w:r>
        <w:rPr>
          <w:rFonts w:hint="eastAsia" w:ascii="宋体"/>
          <w:color w:val="auto"/>
          <w:szCs w:val="21"/>
          <w:highlight w:val="none"/>
        </w:rPr>
        <w:t>根据</w:t>
      </w:r>
      <w:r>
        <w:rPr>
          <w:rFonts w:hint="eastAsia"/>
          <w:color w:val="auto"/>
          <w:highlight w:val="none"/>
        </w:rPr>
        <w:t>《中华人民共和国招标投标法》、《中华人民共和国招标投标法实施条例》</w:t>
      </w:r>
      <w:r>
        <w:rPr>
          <w:rFonts w:hint="eastAsia" w:ascii="宋体"/>
          <w:color w:val="auto"/>
          <w:szCs w:val="21"/>
          <w:highlight w:val="none"/>
        </w:rPr>
        <w:t>和</w:t>
      </w:r>
      <w:r>
        <w:rPr>
          <w:rFonts w:hint="eastAsia"/>
          <w:color w:val="auto"/>
          <w:highlight w:val="none"/>
        </w:rPr>
        <w:t>《中华人民共和国民法典》</w:t>
      </w:r>
      <w:r>
        <w:rPr>
          <w:rFonts w:hint="eastAsia" w:ascii="宋体"/>
          <w:color w:val="auto"/>
          <w:spacing w:val="-2"/>
          <w:szCs w:val="21"/>
          <w:highlight w:val="none"/>
        </w:rPr>
        <w:t>等相关法律法规和规章及部、省、市级规范性文件的规定，编制本招标文件。</w:t>
      </w:r>
    </w:p>
    <w:p w14:paraId="12EE68B0">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16. 招标文件的组成</w:t>
      </w:r>
    </w:p>
    <w:p w14:paraId="7469EAD5">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16.1 招标文件包括内容：</w:t>
      </w:r>
    </w:p>
    <w:p w14:paraId="519364AA">
      <w:pPr>
        <w:keepNext w:val="0"/>
        <w:keepLines w:val="0"/>
        <w:widowControl w:val="0"/>
        <w:kinsoku/>
        <w:wordWrap/>
        <w:overflowPunct/>
        <w:topLinePunct w:val="0"/>
        <w:autoSpaceDE/>
        <w:autoSpaceDN/>
        <w:bidi w:val="0"/>
        <w:spacing w:line="500" w:lineRule="exact"/>
        <w:ind w:firstLine="1470" w:firstLineChars="7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第一章  招标公告</w:t>
      </w:r>
    </w:p>
    <w:p w14:paraId="50BDA6B3">
      <w:pPr>
        <w:keepNext w:val="0"/>
        <w:keepLines w:val="0"/>
        <w:widowControl w:val="0"/>
        <w:kinsoku/>
        <w:wordWrap/>
        <w:overflowPunct/>
        <w:topLinePunct w:val="0"/>
        <w:autoSpaceDE/>
        <w:autoSpaceDN/>
        <w:bidi w:val="0"/>
        <w:spacing w:line="500" w:lineRule="exact"/>
        <w:ind w:firstLine="1470" w:firstLineChars="7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第二章  投标人须知</w:t>
      </w:r>
    </w:p>
    <w:p w14:paraId="4B791550">
      <w:pPr>
        <w:keepNext w:val="0"/>
        <w:keepLines w:val="0"/>
        <w:widowControl w:val="0"/>
        <w:kinsoku/>
        <w:wordWrap/>
        <w:overflowPunct/>
        <w:topLinePunct w:val="0"/>
        <w:autoSpaceDE/>
        <w:autoSpaceDN/>
        <w:bidi w:val="0"/>
        <w:spacing w:line="500" w:lineRule="exact"/>
        <w:ind w:firstLine="1470" w:firstLineChars="7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第三章  评标办法</w:t>
      </w:r>
    </w:p>
    <w:p w14:paraId="2DB49B45">
      <w:pPr>
        <w:keepNext w:val="0"/>
        <w:keepLines w:val="0"/>
        <w:widowControl w:val="0"/>
        <w:kinsoku/>
        <w:wordWrap/>
        <w:overflowPunct/>
        <w:topLinePunct w:val="0"/>
        <w:autoSpaceDE/>
        <w:autoSpaceDN/>
        <w:bidi w:val="0"/>
        <w:spacing w:line="500" w:lineRule="exact"/>
        <w:ind w:firstLine="1470" w:firstLineChars="7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第四章  </w:t>
      </w:r>
      <w:r>
        <w:rPr>
          <w:rFonts w:hint="eastAsia" w:ascii="宋体" w:hAnsi="宋体" w:cs="宋体"/>
          <w:color w:val="auto"/>
          <w:szCs w:val="21"/>
          <w:highlight w:val="none"/>
          <w:lang w:val="en-US" w:eastAsia="zh-CN"/>
        </w:rPr>
        <w:t>服务需求</w:t>
      </w:r>
    </w:p>
    <w:p w14:paraId="3890CA62">
      <w:pPr>
        <w:keepNext w:val="0"/>
        <w:keepLines w:val="0"/>
        <w:widowControl w:val="0"/>
        <w:kinsoku/>
        <w:wordWrap/>
        <w:overflowPunct/>
        <w:topLinePunct w:val="0"/>
        <w:autoSpaceDE/>
        <w:autoSpaceDN/>
        <w:bidi w:val="0"/>
        <w:spacing w:line="500" w:lineRule="exact"/>
        <w:ind w:firstLine="1470" w:firstLineChars="7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第五章  合同条款及格式</w:t>
      </w:r>
    </w:p>
    <w:p w14:paraId="187726B4">
      <w:pPr>
        <w:keepNext w:val="0"/>
        <w:keepLines w:val="0"/>
        <w:widowControl w:val="0"/>
        <w:kinsoku/>
        <w:wordWrap/>
        <w:overflowPunct/>
        <w:topLinePunct w:val="0"/>
        <w:autoSpaceDE/>
        <w:autoSpaceDN/>
        <w:bidi w:val="0"/>
        <w:spacing w:line="500" w:lineRule="exact"/>
        <w:ind w:firstLine="1470" w:firstLineChars="7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6F08ABBA">
      <w:pPr>
        <w:keepNext w:val="0"/>
        <w:keepLines w:val="0"/>
        <w:widowControl w:val="0"/>
        <w:kinsoku/>
        <w:wordWrap/>
        <w:overflowPunct/>
        <w:topLinePunct w:val="0"/>
        <w:autoSpaceDE/>
        <w:autoSpaceDN/>
        <w:bidi w:val="0"/>
        <w:spacing w:line="5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16.2 除16.1款内容外，招标答疑亦为招标文件的组成部分，对招标人和投标人起约束作用。</w:t>
      </w:r>
    </w:p>
    <w:p w14:paraId="0E732E46">
      <w:pPr>
        <w:keepNext w:val="0"/>
        <w:keepLines w:val="0"/>
        <w:widowControl w:val="0"/>
        <w:kinsoku/>
        <w:wordWrap/>
        <w:overflowPunct/>
        <w:topLinePunct w:val="0"/>
        <w:autoSpaceDE/>
        <w:autoSpaceDN/>
        <w:bidi w:val="0"/>
        <w:spacing w:line="5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16.3投标人应仔细阅读和检查招标文件的全部内容。如发现缺页或附件不全，应及时向招标人提出，以便补齐。</w:t>
      </w:r>
    </w:p>
    <w:p w14:paraId="37C9CBF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16.4 投标人可以通过电子交易系统对招标文件提出澄清（质疑）。招标文件的澄清将在滁州市公共资源交易中心（</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"qq://txfile/"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 ggzy.chuzhou.gov.cn/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）发布，但不指明澄清问题的来源。如果澄清内容影响投标文件编制的，将相应延长投标截止时间。</w:t>
      </w:r>
    </w:p>
    <w:p w14:paraId="1BD29D8B">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17. 招标文件的异议、澄清</w:t>
      </w:r>
    </w:p>
    <w:p w14:paraId="0B2A582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17.1 投标人或其他利害关系人投标人应仔细阅读和检查招标文件的全部内容，对招标文件有异议的，应在投标截止时间10日前以投标人须知前附表规定的网上留言或书面形式提出。招标人将在收到异议之日起3日内作出答复；作出答复前，将暂停招标投标活动。</w:t>
      </w:r>
    </w:p>
    <w:p w14:paraId="22C076C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17.2 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43D3165A">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招标文件的解释</w:t>
      </w:r>
    </w:p>
    <w:p w14:paraId="2F68CD2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43252A4D">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5A5F6AD3">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2DAB5F3E">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（4）系统中提供的表格（或格式文件）与招标文件中不一致时，以招标文件中提供的为准；</w:t>
      </w:r>
    </w:p>
    <w:p w14:paraId="5BCFBE2B">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（5）按本款前述规定仍不能形成结论的，由招标人（或其委托的采购代理机构）负责解释。</w:t>
      </w:r>
    </w:p>
    <w:p w14:paraId="721C3440">
      <w:pPr>
        <w:keepNext w:val="0"/>
        <w:keepLines w:val="0"/>
        <w:widowControl w:val="0"/>
        <w:kinsoku/>
        <w:wordWrap/>
        <w:overflowPunct/>
        <w:topLinePunct w:val="0"/>
        <w:autoSpaceDE/>
        <w:autoSpaceDN/>
        <w:bidi w:val="0"/>
        <w:spacing w:line="50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 xml:space="preserve">    1</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 招标文件的发出</w:t>
      </w:r>
    </w:p>
    <w:p w14:paraId="4C3904A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.1招标文件、招标文件的澄清、修改、补充及招标答疑等均应报公共资源交易监督管理机构备案后，方可发出。</w:t>
      </w:r>
    </w:p>
    <w:p w14:paraId="35DFBAD2">
      <w:pPr>
        <w:keepNext w:val="0"/>
        <w:keepLines w:val="0"/>
        <w:widowControl w:val="0"/>
        <w:kinsoku/>
        <w:wordWrap/>
        <w:overflowPunct/>
        <w:topLinePunct w:val="0"/>
        <w:autoSpaceDE/>
        <w:autoSpaceDN/>
        <w:bidi w:val="0"/>
        <w:spacing w:before="156" w:beforeLines="50" w:after="156" w:afterLines="50" w:line="500" w:lineRule="exact"/>
        <w:jc w:val="center"/>
        <w:textAlignment w:val="auto"/>
        <w:rPr>
          <w:rFonts w:hint="eastAsia" w:ascii="宋体" w:hAnsi="宋体" w:cs="宋体"/>
          <w:b/>
          <w:color w:val="auto"/>
          <w:sz w:val="28"/>
          <w:szCs w:val="28"/>
          <w:highlight w:val="none"/>
        </w:rPr>
      </w:pPr>
      <w:bookmarkStart w:id="49" w:name="_Toc449028869"/>
      <w:r>
        <w:rPr>
          <w:rFonts w:hint="eastAsia" w:ascii="宋体" w:hAnsi="宋体" w:cs="宋体"/>
          <w:b/>
          <w:color w:val="auto"/>
          <w:sz w:val="28"/>
          <w:szCs w:val="28"/>
          <w:highlight w:val="none"/>
        </w:rPr>
        <w:t>（三）投标文件的编制</w:t>
      </w:r>
      <w:bookmarkEnd w:id="49"/>
    </w:p>
    <w:p w14:paraId="6C9A1844">
      <w:pPr>
        <w:keepNext w:val="0"/>
        <w:keepLines w:val="0"/>
        <w:widowControl w:val="0"/>
        <w:kinsoku/>
        <w:wordWrap/>
        <w:overflowPunct/>
        <w:topLinePunct w:val="0"/>
        <w:autoSpaceDE/>
        <w:autoSpaceDN/>
        <w:bidi w:val="0"/>
        <w:spacing w:line="500" w:lineRule="exact"/>
        <w:ind w:firstLine="306" w:firstLineChars="145"/>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20. 投标的语言及度量衡单位</w:t>
      </w:r>
    </w:p>
    <w:p w14:paraId="063DEF2E">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20.1投标人的投标文件、以及投标人与招标人就投标的所有往来函电，均须使用简体中文。</w:t>
      </w:r>
    </w:p>
    <w:p w14:paraId="72BA7DE9">
      <w:pPr>
        <w:keepNext w:val="0"/>
        <w:keepLines w:val="0"/>
        <w:widowControl w:val="0"/>
        <w:kinsoku/>
        <w:wordWrap/>
        <w:overflowPunct/>
        <w:topLinePunct w:val="0"/>
        <w:autoSpaceDE/>
        <w:autoSpaceDN/>
        <w:bidi w:val="0"/>
        <w:spacing w:line="500" w:lineRule="exact"/>
        <w:ind w:firstLine="210" w:firstLineChars="1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20.2除招标文件中另有规定外，投标文件所使用的度量衡均须采用法定计量单位。</w:t>
      </w:r>
    </w:p>
    <w:p w14:paraId="64AC211E">
      <w:pPr>
        <w:keepNext w:val="0"/>
        <w:keepLines w:val="0"/>
        <w:widowControl w:val="0"/>
        <w:kinsoku/>
        <w:wordWrap/>
        <w:overflowPunct/>
        <w:topLinePunct w:val="0"/>
        <w:autoSpaceDE/>
        <w:autoSpaceDN/>
        <w:bidi w:val="0"/>
        <w:spacing w:line="500" w:lineRule="exact"/>
        <w:ind w:firstLine="211" w:firstLineChars="1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21. 投标文件的组成、上传说明</w:t>
      </w:r>
    </w:p>
    <w:p w14:paraId="43C840F8">
      <w:pPr>
        <w:keepNext w:val="0"/>
        <w:keepLines w:val="0"/>
        <w:widowControl w:val="0"/>
        <w:kinsoku/>
        <w:wordWrap/>
        <w:overflowPunct/>
        <w:topLinePunct w:val="0"/>
        <w:autoSpaceDE/>
        <w:autoSpaceDN/>
        <w:bidi w:val="0"/>
        <w:spacing w:line="500" w:lineRule="exact"/>
        <w:ind w:firstLine="211" w:firstLineChars="100"/>
        <w:jc w:val="left"/>
        <w:textAlignment w:val="auto"/>
        <w:rPr>
          <w:rFonts w:hint="eastAsia" w:ascii="宋体" w:hAnsi="宋体" w:cs="宋体"/>
          <w:color w:val="auto"/>
          <w:szCs w:val="21"/>
          <w:highlight w:val="none"/>
        </w:rPr>
      </w:pPr>
      <w:r>
        <w:rPr>
          <w:rFonts w:hint="eastAsia" w:ascii="宋体" w:hAnsi="宋体" w:cs="宋体"/>
          <w:b/>
          <w:color w:val="auto"/>
          <w:szCs w:val="21"/>
          <w:highlight w:val="none"/>
        </w:rPr>
        <w:t>21.1投标文件的组成</w:t>
      </w:r>
    </w:p>
    <w:p w14:paraId="50BCA3FE">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投标文件由投标文件一（资信证明文件）、投标文件二（技术标）和投标文件三（商务标）三部分组成。</w:t>
      </w:r>
      <w:r>
        <w:rPr>
          <w:rFonts w:hint="eastAsia" w:ascii="宋体" w:hAnsi="宋体" w:cs="宋体"/>
          <w:b/>
          <w:bCs/>
          <w:color w:val="auto"/>
          <w:szCs w:val="21"/>
          <w:highlight w:val="none"/>
        </w:rPr>
        <w:t>具体内容详见第六章投标文件格式内容。</w:t>
      </w:r>
    </w:p>
    <w:p w14:paraId="37C3E93B">
      <w:pPr>
        <w:keepNext w:val="0"/>
        <w:keepLines w:val="0"/>
        <w:widowControl w:val="0"/>
        <w:kinsoku/>
        <w:wordWrap/>
        <w:overflowPunct/>
        <w:topLinePunct w:val="0"/>
        <w:autoSpaceDE/>
        <w:autoSpaceDN/>
        <w:bidi w:val="0"/>
        <w:spacing w:line="500" w:lineRule="exact"/>
        <w:ind w:firstLine="211" w:firstLineChars="1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21.2投标文件的上传</w:t>
      </w:r>
    </w:p>
    <w:p w14:paraId="478E63D9">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投标人在滁州市公共资源交易中心网，利用用户名或CA数字证书登录下载招标文件(.czzf格式)后，在下载投标文件制作工具安装后，在线制作投标文件，制作好的投标文件格式有2种:第一种.cztf格式加密投标文件；第二种.ncztf格式是非加密投标文件。请投标人将第一种投标文件通过系统“上传投标文件”上传到系统中。</w:t>
      </w:r>
    </w:p>
    <w:p w14:paraId="67E13661">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（2）如果一个项目有多个标段，则需按标段下载对应标段招标文件分别生成对应的投标文件，通过系统“上传投标文件”按标段分别上传到系统中。</w:t>
      </w:r>
    </w:p>
    <w:p w14:paraId="29F82E12">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（3）请投标人通过系统下载投标工具制作投标文件，并利用CA数字证书进行上传投标文件，上传已加密的投标文件，务必通过此方式上传投标文件。</w:t>
      </w:r>
    </w:p>
    <w:p w14:paraId="5F6CBD6B">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（4）投标人在投标文件编制、签章、上传过程中如有任何操作的疑问请及时联系技术支持，电话：0550-3801701。</w:t>
      </w:r>
    </w:p>
    <w:p w14:paraId="1019CB42">
      <w:pPr>
        <w:keepNext w:val="0"/>
        <w:keepLines w:val="0"/>
        <w:widowControl w:val="0"/>
        <w:kinsoku/>
        <w:wordWrap/>
        <w:overflowPunct/>
        <w:topLinePunct w:val="0"/>
        <w:autoSpaceDE/>
        <w:autoSpaceDN/>
        <w:bidi w:val="0"/>
        <w:spacing w:line="5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如果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4B100C25">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21.3投标文件的编制</w:t>
      </w:r>
    </w:p>
    <w:p w14:paraId="331302FD">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（1）投标文件应按第六章“投标文件格式”进行编写，如有必要，可以增加附页，作为投标文件的组成部分。</w:t>
      </w:r>
    </w:p>
    <w:p w14:paraId="2FF84079">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（2）本次招标投标不需要提供纸质投标文件，投标人应按照电子招标投标的要求，在投标人的会员系统中制作、电子签章、上传投标文件。</w:t>
      </w:r>
    </w:p>
    <w:p w14:paraId="6966E0DA">
      <w:pPr>
        <w:keepNext w:val="0"/>
        <w:keepLines w:val="0"/>
        <w:widowControl w:val="0"/>
        <w:kinsoku/>
        <w:wordWrap/>
        <w:overflowPunct/>
        <w:topLinePunct w:val="0"/>
        <w:autoSpaceDE/>
        <w:autoSpaceDN/>
        <w:bidi w:val="0"/>
        <w:spacing w:line="500" w:lineRule="exact"/>
        <w:ind w:left="-9" w:right="-199" w:rightChars="-95"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（3）网上递交的电子投标文件制作工具等要求详见系统内帮助模块。</w:t>
      </w:r>
    </w:p>
    <w:p w14:paraId="70DC22ED">
      <w:pPr>
        <w:keepNext w:val="0"/>
        <w:keepLines w:val="0"/>
        <w:widowControl w:val="0"/>
        <w:kinsoku/>
        <w:wordWrap/>
        <w:overflowPunct/>
        <w:topLinePunct w:val="0"/>
        <w:autoSpaceDE/>
        <w:autoSpaceDN/>
        <w:bidi w:val="0"/>
        <w:spacing w:line="500" w:lineRule="exact"/>
        <w:ind w:firstLine="424" w:firstLineChars="20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（4）网上递交的电子投标文件应按招标文件规定的格式由投标人的法定代表人和投标人分别签章。</w:t>
      </w:r>
    </w:p>
    <w:p w14:paraId="556D1DC8">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color w:val="auto"/>
          <w:szCs w:val="21"/>
          <w:highlight w:val="none"/>
        </w:rPr>
      </w:pPr>
      <w:r>
        <w:rPr>
          <w:rFonts w:hint="eastAsia" w:ascii="宋体" w:hAnsi="宋体" w:cs="宋体"/>
          <w:b/>
          <w:color w:val="auto"/>
          <w:szCs w:val="21"/>
          <w:highlight w:val="none"/>
        </w:rPr>
        <w:t>22</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37E752C8">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22.1投标报价文件中的单价和总价全部采用人民币表示。投标人的报价应含有服务（货物）、利润、税金、政策性文件规定及合同包含的所有风险、责任、义务等，即为完成招标文件要求的服务（货物）内容所包含的一切应有费用，招标人后期不再追加费用，投标供应商自行考虑投标风险。</w:t>
      </w:r>
    </w:p>
    <w:p w14:paraId="2D9B0498">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投标人只允许有一个方案、一个报价。</w:t>
      </w:r>
    </w:p>
    <w:p w14:paraId="610F9ED0">
      <w:pPr>
        <w:spacing w:before="196" w:line="376" w:lineRule="auto"/>
        <w:ind w:left="23" w:firstLine="421"/>
        <w:rPr>
          <w:rFonts w:hint="eastAsia" w:ascii="宋体" w:hAnsi="宋体" w:eastAsia="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r>
        <w:rPr>
          <w:rFonts w:hint="eastAsia" w:ascii="宋体"/>
          <w:color w:val="auto"/>
          <w:szCs w:val="21"/>
          <w:highlight w:val="none"/>
        </w:rPr>
        <w:t>投标人应按</w:t>
      </w:r>
      <w:r>
        <w:rPr>
          <w:rFonts w:hint="eastAsia" w:ascii="宋体"/>
          <w:color w:val="auto"/>
          <w:szCs w:val="21"/>
          <w:highlight w:val="none"/>
          <w:lang w:val="en-US" w:eastAsia="zh-CN"/>
        </w:rPr>
        <w:t>第四章</w:t>
      </w:r>
      <w:r>
        <w:rPr>
          <w:rFonts w:hint="eastAsia" w:ascii="宋体"/>
          <w:color w:val="auto"/>
          <w:szCs w:val="21"/>
          <w:highlight w:val="none"/>
        </w:rPr>
        <w:t>“</w:t>
      </w:r>
      <w:r>
        <w:rPr>
          <w:rFonts w:hint="eastAsia" w:ascii="宋体"/>
          <w:color w:val="auto"/>
          <w:szCs w:val="21"/>
          <w:highlight w:val="none"/>
          <w:lang w:val="en-US" w:eastAsia="zh-CN"/>
        </w:rPr>
        <w:t>服务需求</w:t>
      </w:r>
      <w:r>
        <w:rPr>
          <w:rFonts w:hint="eastAsia" w:ascii="宋体"/>
          <w:color w:val="auto"/>
          <w:szCs w:val="21"/>
          <w:highlight w:val="none"/>
        </w:rPr>
        <w:t>”所列</w:t>
      </w:r>
      <w:r>
        <w:rPr>
          <w:rFonts w:hint="eastAsia" w:ascii="宋体"/>
          <w:color w:val="auto"/>
          <w:szCs w:val="21"/>
          <w:highlight w:val="none"/>
          <w:lang w:val="en-US" w:eastAsia="zh-CN"/>
        </w:rPr>
        <w:t>服务内容</w:t>
      </w:r>
      <w:r>
        <w:rPr>
          <w:rFonts w:hint="eastAsia" w:ascii="宋体"/>
          <w:color w:val="auto"/>
          <w:szCs w:val="21"/>
          <w:highlight w:val="none"/>
        </w:rPr>
        <w:t>进行单价</w:t>
      </w:r>
      <w:r>
        <w:rPr>
          <w:rFonts w:hint="eastAsia" w:ascii="宋体" w:hAnsi="宋体" w:eastAsia="宋体" w:cs="宋体"/>
          <w:color w:val="auto"/>
          <w:szCs w:val="21"/>
          <w:highlight w:val="none"/>
        </w:rPr>
        <w:t>报价，投标报价为完成本次招标项目的全费用价格，其组成包括国家对中标单位征收的各种税费等所有一切费用，综合单 价今后将不作任何调整。投标人应当保持单项价格的合理性，严禁出现不平衡报价的情况， 项目采购结束后，招标人有权对各单项价格进行核查，对于严重超过市场价格的单价，将在 正式合同中明确：对于认定为不平衡报价的单项，如果发生数量变动，将按照有利于采购方 的单价进行认价。</w:t>
      </w:r>
    </w:p>
    <w:p w14:paraId="365DCCF2">
      <w:pPr>
        <w:keepNext w:val="0"/>
        <w:keepLines w:val="0"/>
        <w:widowControl w:val="0"/>
        <w:kinsoku/>
        <w:wordWrap/>
        <w:overflowPunct/>
        <w:topLinePunct w:val="0"/>
        <w:autoSpaceDE/>
        <w:autoSpaceDN/>
        <w:bidi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22.4</w:t>
      </w:r>
      <w:r>
        <w:rPr>
          <w:rFonts w:hint="eastAsia" w:ascii="宋体" w:hAnsi="宋体" w:cs="宋体"/>
          <w:color w:val="auto"/>
          <w:szCs w:val="21"/>
          <w:highlight w:val="none"/>
        </w:rPr>
        <w:t>投标报价的价格是完成项目全部内容（包括后期的相关服务）交付验收的价格，其价格即为履行合同的固定价格。</w:t>
      </w:r>
    </w:p>
    <w:p w14:paraId="603486E2">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技术要求中规定的安装、调试和培训费用应包括在投标价格中。投标文件报价为含税价，采购人不再为此次招标支付任何费用。</w:t>
      </w:r>
    </w:p>
    <w:p w14:paraId="117440FC">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投标报价应由法定代表人或被授权人签署。</w:t>
      </w:r>
    </w:p>
    <w:p w14:paraId="18CEB252">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bCs/>
          <w:color w:val="auto"/>
          <w:szCs w:val="21"/>
          <w:highlight w:val="none"/>
        </w:rPr>
        <w:t>22.</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投标人的报价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或单价）</w:t>
      </w:r>
      <w:r>
        <w:rPr>
          <w:rFonts w:hint="eastAsia" w:ascii="宋体" w:hAnsi="宋体" w:cs="宋体"/>
          <w:bCs/>
          <w:color w:val="auto"/>
          <w:szCs w:val="21"/>
          <w:highlight w:val="none"/>
        </w:rPr>
        <w:t>不得高于本次招标最高限价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或单价）</w:t>
      </w:r>
      <w:r>
        <w:rPr>
          <w:rFonts w:hint="eastAsia" w:ascii="宋体" w:hAnsi="宋体" w:cs="宋体"/>
          <w:b/>
          <w:color w:val="auto"/>
          <w:szCs w:val="21"/>
          <w:highlight w:val="none"/>
        </w:rPr>
        <w:t>，</w:t>
      </w:r>
      <w:r>
        <w:rPr>
          <w:rFonts w:hint="eastAsia" w:ascii="宋体" w:hAnsi="宋体" w:cs="宋体"/>
          <w:b/>
          <w:bCs/>
          <w:color w:val="auto"/>
          <w:szCs w:val="21"/>
          <w:highlight w:val="none"/>
        </w:rPr>
        <w:t>否则将作为无效投标处理。</w:t>
      </w:r>
    </w:p>
    <w:p w14:paraId="0497AD3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如投标文件中未列明全面实现投标货物功能而必须配置的配套或辅助设施及相应技术措施的费用，这些费用将被视为已包含在总投标价中。</w:t>
      </w:r>
    </w:p>
    <w:p w14:paraId="645D650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总投标价中不得包含招标文件要求以外的内容，否则，在评标时不予核减，但在授予合同时，采购人有权将这部分价格从其中标价格中扣除。</w:t>
      </w:r>
    </w:p>
    <w:p w14:paraId="6EC085EA">
      <w:pPr>
        <w:keepNext w:val="0"/>
        <w:keepLines w:val="0"/>
        <w:widowControl w:val="0"/>
        <w:kinsoku/>
        <w:wordWrap/>
        <w:overflowPunct/>
        <w:topLinePunct w:val="0"/>
        <w:autoSpaceDE/>
        <w:autoSpaceDN/>
        <w:bidi w:val="0"/>
        <w:spacing w:line="500" w:lineRule="exact"/>
        <w:ind w:firstLine="403" w:firstLineChars="19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165F80EF">
      <w:pPr>
        <w:keepNext w:val="0"/>
        <w:keepLines w:val="0"/>
        <w:widowControl w:val="0"/>
        <w:kinsoku/>
        <w:wordWrap/>
        <w:overflowPunct/>
        <w:topLinePunct w:val="0"/>
        <w:autoSpaceDE/>
        <w:autoSpaceDN/>
        <w:bidi w:val="0"/>
        <w:spacing w:line="500" w:lineRule="exact"/>
        <w:ind w:firstLine="403" w:firstLineChars="19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投标人不得对从第三方采购货物的随机备品、备件另行收费，否则在计算评标价时这部分费用将不予扣除，在授予合同时将从中标价格中扣除该部分费用。</w:t>
      </w:r>
    </w:p>
    <w:p w14:paraId="0CE0F841">
      <w:pPr>
        <w:keepNext w:val="0"/>
        <w:keepLines w:val="0"/>
        <w:widowControl w:val="0"/>
        <w:kinsoku/>
        <w:wordWrap/>
        <w:overflowPunct/>
        <w:topLinePunct w:val="0"/>
        <w:autoSpaceDE/>
        <w:autoSpaceDN/>
        <w:bidi w:val="0"/>
        <w:spacing w:line="500" w:lineRule="exact"/>
        <w:ind w:firstLine="403" w:firstLineChars="19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14:paraId="278ABA60">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23. 投标有效期</w:t>
      </w:r>
    </w:p>
    <w:p w14:paraId="5211B9A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23.1 除投标人须知前附表另有规定外，投标有效期为90天。</w:t>
      </w:r>
    </w:p>
    <w:p w14:paraId="6C203EDB">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23.2在投标有效期内，投标人撤销或修改其投标文件的，应承担招标文件和法律规定的责任。</w:t>
      </w:r>
    </w:p>
    <w:p w14:paraId="5CC3FE1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2CC696B">
      <w:pPr>
        <w:keepNext w:val="0"/>
        <w:keepLines w:val="0"/>
        <w:widowControl w:val="0"/>
        <w:kinsoku/>
        <w:wordWrap/>
        <w:overflowPunct/>
        <w:topLinePunct w:val="0"/>
        <w:autoSpaceDE/>
        <w:autoSpaceDN/>
        <w:bidi w:val="0"/>
        <w:spacing w:line="500" w:lineRule="exact"/>
        <w:ind w:firstLine="405" w:firstLineChars="192"/>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24. 投标保证金</w:t>
      </w:r>
    </w:p>
    <w:p w14:paraId="53277E35">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bookmarkStart w:id="50" w:name="_Toc449028870"/>
      <w:r>
        <w:rPr>
          <w:rFonts w:hint="eastAsia" w:ascii="宋体" w:hAnsi="宋体" w:eastAsia="宋体" w:cs="宋体"/>
          <w:color w:val="auto"/>
          <w:szCs w:val="21"/>
          <w:highlight w:val="none"/>
        </w:rPr>
        <w:t>24.1投标人须知前附表规定递交投标保证金的，投标人在递交投标文件的同时，应按投标人须知前附表规定的金额、担保形式和</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规定的或者事先经过招标人认可的保证金格式递交保证金，并作为其投标文件的组成部分。</w:t>
      </w:r>
    </w:p>
    <w:p w14:paraId="3F9A12C7">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无论采取何种形式的投标保证金，投标保证金有效期均应与投标有效期一致（采用投标电子保函的保证期截止时间不得早于该项目投标有效期的截止时间）。招标人如果按本章第</w:t>
      </w:r>
      <w:r>
        <w:rPr>
          <w:rFonts w:hint="eastAsia" w:ascii="宋体" w:hAnsi="宋体" w:eastAsia="宋体" w:cs="宋体"/>
          <w:color w:val="auto"/>
          <w:szCs w:val="21"/>
          <w:highlight w:val="none"/>
          <w:lang w:val="en-US" w:eastAsia="zh-CN"/>
        </w:rPr>
        <w:t>23.3</w:t>
      </w:r>
      <w:r>
        <w:rPr>
          <w:rFonts w:hint="eastAsia" w:ascii="宋体" w:hAnsi="宋体" w:eastAsia="宋体" w:cs="宋体"/>
          <w:color w:val="auto"/>
          <w:szCs w:val="21"/>
          <w:highlight w:val="none"/>
        </w:rPr>
        <w:t>项的规定延长了投标有效期，则投标保证金的有效期也相应延长。</w:t>
      </w:r>
    </w:p>
    <w:p w14:paraId="2B326205">
      <w:pPr>
        <w:keepNext w:val="0"/>
        <w:keepLines w:val="0"/>
        <w:widowControl w:val="0"/>
        <w:kinsoku/>
        <w:wordWrap/>
        <w:overflowPunct/>
        <w:topLinePunct w:val="0"/>
        <w:autoSpaceDE/>
        <w:autoSpaceDN/>
        <w:bidi w:val="0"/>
        <w:spacing w:line="50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24.2</w:t>
      </w:r>
      <w:r>
        <w:rPr>
          <w:rFonts w:hint="eastAsia" w:ascii="宋体" w:hAnsi="宋体" w:eastAsia="宋体" w:cs="宋体"/>
          <w:color w:val="auto"/>
          <w:szCs w:val="21"/>
          <w:highlight w:val="none"/>
        </w:rPr>
        <w:t>投标人不按本章第</w:t>
      </w:r>
      <w:r>
        <w:rPr>
          <w:rFonts w:hint="eastAsia" w:ascii="宋体" w:hAnsi="宋体" w:eastAsia="宋体" w:cs="宋体"/>
          <w:color w:val="auto"/>
          <w:szCs w:val="21"/>
          <w:highlight w:val="none"/>
          <w:lang w:val="en-US" w:eastAsia="zh-CN"/>
        </w:rPr>
        <w:t>24.1</w:t>
      </w:r>
      <w:r>
        <w:rPr>
          <w:rFonts w:hint="eastAsia" w:ascii="宋体" w:hAnsi="宋体" w:eastAsia="宋体" w:cs="宋体"/>
          <w:color w:val="auto"/>
          <w:szCs w:val="21"/>
          <w:highlight w:val="none"/>
        </w:rPr>
        <w:t>1项要求提交投标保证金的，评标委员会将否决其投标。</w:t>
      </w:r>
    </w:p>
    <w:p w14:paraId="535DD53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4789C8CF">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24.4有下列情形之一的，投标保证金将不予退还： </w:t>
      </w:r>
    </w:p>
    <w:p w14:paraId="541601A2">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7491EBE2">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2601EB63">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24.5投标保证金按《</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"https://www.chuzhou.gov.cn/group1/M00/12/83/CpYI8mGDiKqAD_IkAAEIAMLVghw186.doc" \t "_blank"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滁州市公共资源交易投标保证金管理规定</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》（滁公管〔2021〕7号）规定执行。</w:t>
      </w:r>
    </w:p>
    <w:p w14:paraId="0CAA74C1">
      <w:pPr>
        <w:keepNext w:val="0"/>
        <w:keepLines w:val="0"/>
        <w:widowControl w:val="0"/>
        <w:kinsoku/>
        <w:wordWrap/>
        <w:overflowPunct/>
        <w:topLinePunct w:val="0"/>
        <w:autoSpaceDE/>
        <w:autoSpaceDN/>
        <w:bidi w:val="0"/>
        <w:spacing w:before="156" w:beforeLines="50" w:after="156" w:afterLines="50" w:line="500" w:lineRule="exact"/>
        <w:jc w:val="center"/>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（四）投标文件的递交</w:t>
      </w:r>
      <w:bookmarkEnd w:id="50"/>
    </w:p>
    <w:p w14:paraId="22811D13">
      <w:pPr>
        <w:keepNext w:val="0"/>
        <w:keepLines w:val="0"/>
        <w:widowControl w:val="0"/>
        <w:kinsoku/>
        <w:wordWrap/>
        <w:overflowPunct/>
        <w:topLinePunct w:val="0"/>
        <w:autoSpaceDE/>
        <w:autoSpaceDN/>
        <w:bidi w:val="0"/>
        <w:spacing w:line="50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 xml:space="preserve">   25. 投标文件的份数和签署</w:t>
      </w:r>
    </w:p>
    <w:p w14:paraId="2CC392D9">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bookmarkStart w:id="51" w:name="_Toc449028871"/>
      <w:r>
        <w:rPr>
          <w:rFonts w:hint="eastAsia" w:ascii="宋体" w:hAnsi="宋体" w:cs="宋体"/>
          <w:color w:val="auto"/>
          <w:szCs w:val="21"/>
          <w:highlight w:val="none"/>
        </w:rPr>
        <w:t>25.1投标人中标后须递交与网上电子投标文件完全一致的纸质版和电子版投标文件，在领取中标通知书时，一并递交给招标代理机构。</w:t>
      </w:r>
    </w:p>
    <w:p w14:paraId="6CFA87EC">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25.2电子投标文件须按格式文件要求签字或盖章（电子签章），否则经评委会一致认定且经过公共资源交易监督部门批准后, 按照无效投标处理。</w:t>
      </w:r>
    </w:p>
    <w:p w14:paraId="712C237A">
      <w:pPr>
        <w:keepNext w:val="0"/>
        <w:keepLines w:val="0"/>
        <w:widowControl w:val="0"/>
        <w:kinsoku/>
        <w:wordWrap/>
        <w:overflowPunct/>
        <w:topLinePunct w:val="0"/>
        <w:autoSpaceDE/>
        <w:autoSpaceDN/>
        <w:bidi w:val="0"/>
        <w:spacing w:line="500" w:lineRule="exact"/>
        <w:ind w:firstLine="312" w:firstLineChars="148"/>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26. 投标文件的提交</w:t>
      </w:r>
    </w:p>
    <w:p w14:paraId="219473E3">
      <w:pPr>
        <w:keepNext w:val="0"/>
        <w:keepLines w:val="0"/>
        <w:widowControl w:val="0"/>
        <w:kinsoku/>
        <w:wordWrap/>
        <w:overflowPunct/>
        <w:topLinePunct w:val="0"/>
        <w:autoSpaceDE/>
        <w:autoSpaceDN/>
        <w:bidi w:val="0"/>
        <w:spacing w:line="500" w:lineRule="exact"/>
        <w:ind w:firstLine="310" w:firstLineChars="148"/>
        <w:jc w:val="left"/>
        <w:textAlignment w:val="auto"/>
        <w:rPr>
          <w:rFonts w:hint="eastAsia" w:ascii="宋体" w:hAnsi="宋体" w:cs="宋体"/>
          <w:b/>
          <w:color w:val="auto"/>
          <w:szCs w:val="21"/>
          <w:highlight w:val="none"/>
        </w:rPr>
      </w:pPr>
      <w:r>
        <w:rPr>
          <w:rFonts w:hint="eastAsia" w:ascii="宋体" w:hAnsi="宋体" w:cs="宋体"/>
          <w:color w:val="auto"/>
          <w:szCs w:val="21"/>
          <w:highlight w:val="none"/>
        </w:rPr>
        <w:t>26.1 投标人应在投标人须知前附表规定的投标截止时间前在网上递交投标文件。未在开标截止时间前通过网上招标投标系统递交有效电子投标文件的，开标系统不予接收，投标将被拒绝。</w:t>
      </w:r>
    </w:p>
    <w:p w14:paraId="225F9F66">
      <w:pPr>
        <w:keepNext w:val="0"/>
        <w:keepLines w:val="0"/>
        <w:widowControl w:val="0"/>
        <w:kinsoku/>
        <w:wordWrap/>
        <w:overflowPunct/>
        <w:topLinePunct w:val="0"/>
        <w:autoSpaceDE/>
        <w:autoSpaceDN/>
        <w:bidi w:val="0"/>
        <w:spacing w:line="500" w:lineRule="exact"/>
        <w:ind w:firstLine="314" w:firstLineChars="149"/>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27．投标文件的修改与撤回</w:t>
      </w:r>
    </w:p>
    <w:p w14:paraId="160DE3BE">
      <w:pPr>
        <w:keepNext w:val="0"/>
        <w:keepLines w:val="0"/>
        <w:widowControl w:val="0"/>
        <w:kinsoku/>
        <w:wordWrap/>
        <w:overflowPunct/>
        <w:topLinePunct w:val="0"/>
        <w:autoSpaceDE/>
        <w:autoSpaceDN/>
        <w:bidi w:val="0"/>
        <w:spacing w:line="5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27.1采用网上招投标的，在规定的投标截止时间前，投标人可以自行从网上招投标系统撤回已递交的投标文件，并可修改后重新上传，开标时以投标截止时间前投标人最终上传的投标文件为准。</w:t>
      </w:r>
    </w:p>
    <w:p w14:paraId="255506CE">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28.偏离</w:t>
      </w:r>
    </w:p>
    <w:p w14:paraId="0D30065F">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28.1投标文件偏离招标文件某些要求，视为投标文件存在偏差。偏差包括重大偏差和细微偏差。</w:t>
      </w:r>
    </w:p>
    <w:p w14:paraId="2E59F6B3">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28.1.1投标文件应对招标文件的实质性要求和条件作出满足性或更有利于招标人的响应，否则，视为投标文件存在重大偏差，投标人的投标将被否决。</w:t>
      </w:r>
    </w:p>
    <w:p w14:paraId="7E4EFEB0">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投标文件存在第三章“评标办法”中所列任一无效投标情形的，均属于存在重大偏差。</w:t>
      </w:r>
    </w:p>
    <w:p w14:paraId="76A5D530">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28.1.2投标文件中的下列偏差为细微偏差：</w:t>
      </w:r>
    </w:p>
    <w:p w14:paraId="2F7706D7">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77C8322E">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（2）投标文件个别文字有遗漏错误等不影响投标文件实质性内容的偏差。</w:t>
      </w:r>
    </w:p>
    <w:p w14:paraId="2738662E">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28.1.3评标委员会对投标文件中的细微偏差按如下规定处理：</w:t>
      </w:r>
    </w:p>
    <w:p w14:paraId="0E89566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对于本章第28.1.2 项（1）目所述的细微偏差，按照第四章“评标办法”的规定予以修正并要求投标人进行澄清；</w:t>
      </w:r>
    </w:p>
    <w:p w14:paraId="568ED693">
      <w:pPr>
        <w:keepNext w:val="0"/>
        <w:keepLines w:val="0"/>
        <w:widowControl w:val="0"/>
        <w:kinsoku/>
        <w:wordWrap/>
        <w:overflowPunct/>
        <w:topLinePunct w:val="0"/>
        <w:autoSpaceDE/>
        <w:autoSpaceDN/>
        <w:bidi w:val="0"/>
        <w:spacing w:before="156" w:beforeLines="50" w:after="156" w:afterLines="50" w:line="500" w:lineRule="exact"/>
        <w:ind w:firstLine="420" w:firstLineChars="200"/>
        <w:textAlignment w:val="auto"/>
        <w:rPr>
          <w:rFonts w:hint="eastAsia" w:ascii="宋体" w:hAnsi="宋体" w:cs="宋体"/>
          <w:b/>
          <w:color w:val="auto"/>
          <w:sz w:val="28"/>
          <w:szCs w:val="28"/>
          <w:highlight w:val="none"/>
        </w:rPr>
      </w:pPr>
      <w:r>
        <w:rPr>
          <w:rFonts w:hint="eastAsia" w:ascii="宋体" w:hAnsi="宋体" w:cs="宋体"/>
          <w:color w:val="auto"/>
          <w:szCs w:val="21"/>
          <w:highlight w:val="none"/>
        </w:rPr>
        <w:t>对于本章第28.1.2 项（2）目所述的细微偏差，可要求投标人对细微偏差进行澄清。</w:t>
      </w:r>
    </w:p>
    <w:p w14:paraId="6A29DF1E">
      <w:pPr>
        <w:keepNext w:val="0"/>
        <w:keepLines w:val="0"/>
        <w:widowControl w:val="0"/>
        <w:kinsoku/>
        <w:wordWrap/>
        <w:overflowPunct/>
        <w:topLinePunct w:val="0"/>
        <w:autoSpaceDE/>
        <w:autoSpaceDN/>
        <w:bidi w:val="0"/>
        <w:spacing w:before="156" w:beforeLines="50" w:after="156" w:afterLines="50" w:line="500" w:lineRule="exact"/>
        <w:jc w:val="center"/>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（五）开标、评标和定标</w:t>
      </w:r>
      <w:bookmarkEnd w:id="51"/>
    </w:p>
    <w:p w14:paraId="4E409BC9">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29. 开标</w:t>
      </w:r>
    </w:p>
    <w:p w14:paraId="27C78C3F">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29.1 开标的时间和地点</w:t>
      </w:r>
    </w:p>
    <w:p w14:paraId="7608629E">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29.1.1招标人</w:t>
      </w:r>
      <w:r>
        <w:rPr>
          <w:rFonts w:hint="eastAsia" w:ascii="宋体"/>
          <w:color w:val="auto"/>
          <w:szCs w:val="21"/>
          <w:highlight w:val="none"/>
        </w:rPr>
        <w:t>按招标公告中的开标时间和地点公开开标，并邀请所有投标人参加。</w:t>
      </w:r>
    </w:p>
    <w:p w14:paraId="61B4E55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29.2 参与开标的监督部门</w:t>
      </w:r>
    </w:p>
    <w:p w14:paraId="1D12C467">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29.2.1招标人可以邀请相关监管部门参加。</w:t>
      </w:r>
    </w:p>
    <w:p w14:paraId="55B850C9">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29.3开标程序</w:t>
      </w:r>
    </w:p>
    <w:p w14:paraId="7D3D8658">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开标会议由采购代理机构主持。</w:t>
      </w:r>
    </w:p>
    <w:p w14:paraId="398DFDE7">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3A30D262">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（2）宣布招标人、代理机构主持人、见证人等有关人员姓名；</w:t>
      </w:r>
    </w:p>
    <w:p w14:paraId="16AE2318">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（3）公布投标截止时间前，通过滁州市公共资源交易中心网上招投标系统递交投标文件的投标人名称等； </w:t>
      </w:r>
    </w:p>
    <w:p w14:paraId="684BD574">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（4）投标人在投标截止时间后，规定时间内完成投标文件解密工作；</w:t>
      </w:r>
    </w:p>
    <w:p w14:paraId="74A5D566">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（5）公布投标人投标报价、质量目标、</w:t>
      </w:r>
      <w:r>
        <w:rPr>
          <w:rFonts w:hint="eastAsia" w:ascii="宋体" w:hAnsi="宋体" w:cs="宋体"/>
          <w:color w:val="auto"/>
          <w:szCs w:val="21"/>
          <w:highlight w:val="none"/>
          <w:lang w:val="en-US" w:eastAsia="zh-CN"/>
        </w:rPr>
        <w:t>供货</w:t>
      </w:r>
      <w:r>
        <w:rPr>
          <w:rFonts w:hint="eastAsia" w:ascii="宋体" w:hAnsi="宋体" w:cs="宋体"/>
          <w:color w:val="auto"/>
          <w:szCs w:val="21"/>
          <w:highlight w:val="none"/>
        </w:rPr>
        <w:t>期及其他内容，并记录在案；</w:t>
      </w:r>
    </w:p>
    <w:p w14:paraId="430F245A">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（6）开标结束。</w:t>
      </w:r>
    </w:p>
    <w:p w14:paraId="7CDC1766">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多标段项目按照标段顺序按以上程序依次开标。</w:t>
      </w:r>
    </w:p>
    <w:p w14:paraId="1336E219">
      <w:pPr>
        <w:keepNext w:val="0"/>
        <w:keepLines w:val="0"/>
        <w:widowControl w:val="0"/>
        <w:kinsoku/>
        <w:wordWrap/>
        <w:overflowPunct/>
        <w:topLinePunct w:val="0"/>
        <w:autoSpaceDE/>
        <w:autoSpaceDN/>
        <w:bidi w:val="0"/>
        <w:spacing w:line="500" w:lineRule="exact"/>
        <w:ind w:right="-155" w:rightChars="-74" w:firstLine="420" w:firstLineChars="200"/>
        <w:jc w:val="left"/>
        <w:textAlignment w:val="auto"/>
        <w:rPr>
          <w:rFonts w:hint="eastAsia" w:ascii="宋体"/>
          <w:color w:val="auto"/>
          <w:szCs w:val="21"/>
          <w:highlight w:val="none"/>
        </w:rPr>
      </w:pPr>
      <w:r>
        <w:rPr>
          <w:rFonts w:hint="eastAsia" w:ascii="宋体"/>
          <w:color w:val="auto"/>
          <w:szCs w:val="21"/>
          <w:highlight w:val="none"/>
        </w:rPr>
        <w:t>29.4开标异议</w:t>
      </w:r>
    </w:p>
    <w:p w14:paraId="17A9545D">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投标人对开标有异议的，应当在开标现场提出，招标人当场作出答复，并制作记录。异议与答复应通过电子交易系统进行。</w:t>
      </w:r>
    </w:p>
    <w:p w14:paraId="1154C4A3">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30.评标委员会</w:t>
      </w:r>
    </w:p>
    <w:p w14:paraId="430CA030">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color w:val="auto"/>
          <w:szCs w:val="21"/>
          <w:highlight w:val="none"/>
        </w:rPr>
        <w:t>30.1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0A370DA">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30</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375BDF24">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2F728F01">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7E4DF3A5">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3C5454B7">
      <w:pPr>
        <w:keepNext w:val="0"/>
        <w:keepLines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1FF92EF5">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（5）存在其他法定回避情形的。</w:t>
      </w:r>
    </w:p>
    <w:p w14:paraId="5789219C">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14:paraId="59744F21">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评标委员会或评审机构成员有前两款规定情形的，应当主动提出回避；已经进入的应当更换，被更换的成员评标评审意见无效。 </w:t>
      </w:r>
    </w:p>
    <w:p w14:paraId="73528928">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30.3评标过程中，评标委员会成员有回避事由、擅离职守或因健康等原因不能继续评标的， 招标人有权更换。被更换的评标委员会成员作出的评审结论无效，由更换后的评标委员会成员重新进行评审。</w:t>
      </w:r>
    </w:p>
    <w:p w14:paraId="4998ED33">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31.评标</w:t>
      </w:r>
    </w:p>
    <w:p w14:paraId="556B2D9E">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31.1评标委员会按照第三章“评标办法”规定的方法、评审因素、标准和程序对投标文件进行评审。第三章“评标办法”没有规定的方法、评审因素和标准，不作为评标依据。</w:t>
      </w:r>
    </w:p>
    <w:p w14:paraId="35ED74EC">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bookmarkStart w:id="52" w:name="_Toc449028873"/>
      <w:r>
        <w:rPr>
          <w:rFonts w:hint="eastAsia" w:ascii="宋体" w:hAnsi="宋体" w:cs="宋体"/>
          <w:color w:val="auto"/>
          <w:szCs w:val="21"/>
          <w:highlight w:val="none"/>
        </w:rPr>
        <w:t>31.2评标完成后，评标委员会应向招标人提交书面评标报告和中标候选人名单。评标委员会推荐中标候选人的人数见投标人须知前附表。</w:t>
      </w:r>
    </w:p>
    <w:p w14:paraId="0AAC06B0">
      <w:pPr>
        <w:keepNext w:val="0"/>
        <w:keepLines w:val="0"/>
        <w:widowControl w:val="0"/>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31.3评标原则：遵循公平、公正、科学和择优的原则。</w:t>
      </w:r>
    </w:p>
    <w:p w14:paraId="2FA8EB1B">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31.4投标文件的澄清</w:t>
      </w:r>
    </w:p>
    <w:p w14:paraId="3C1E5727">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31.4.1在评标过程中，评标委员会认为需要，在公共资源交易监督管理部门的监督下，可要求投标人对投标文件中的有关问题进行澄清或提供补充说明及有关资料，投标人应做出书面答复。</w:t>
      </w:r>
    </w:p>
    <w:p w14:paraId="48B90A0C">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31.4.2书面答复须经投标人法定代表人或其委托代理人签字或盖章，签字或盖章的书面答复将被视为投标文件的组成部分。</w:t>
      </w:r>
    </w:p>
    <w:p w14:paraId="796EFE9E">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31.5报价合理性的判断</w:t>
      </w:r>
    </w:p>
    <w:p w14:paraId="012EA2BF">
      <w:pPr>
        <w:keepNext w:val="0"/>
        <w:keepLines w:val="0"/>
        <w:widowControl w:val="0"/>
        <w:kinsoku/>
        <w:wordWrap/>
        <w:overflowPunct/>
        <w:topLinePunct w:val="0"/>
        <w:autoSpaceDE/>
        <w:autoSpaceDN/>
        <w:bidi w:val="0"/>
        <w:spacing w:line="500" w:lineRule="exact"/>
        <w:ind w:firstLine="422" w:firstLineChars="200"/>
        <w:jc w:val="left"/>
        <w:textAlignment w:val="auto"/>
        <w:rPr>
          <w:rFonts w:hint="eastAsia" w:ascii="宋体" w:hAnsi="宋体"/>
          <w:b/>
          <w:bCs/>
          <w:color w:val="auto"/>
          <w:szCs w:val="21"/>
          <w:highlight w:val="none"/>
        </w:rPr>
      </w:pPr>
      <w:r>
        <w:rPr>
          <w:rFonts w:hint="eastAsia" w:ascii="宋体" w:hAnsi="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321E0E">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31.6评审意见分歧的处理办法</w:t>
      </w:r>
    </w:p>
    <w:p w14:paraId="423069AE">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（1）评标委员会应当对投标人提供的报告、证明材料及详细说明认真研究。对存在意见分歧的，可采用投票方式表决决定（按多数评委意见为准）；</w:t>
      </w:r>
    </w:p>
    <w:p w14:paraId="1F94EA09">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51C61077">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31.7评标报告的签署</w:t>
      </w:r>
    </w:p>
    <w:p w14:paraId="62654019">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31.7.1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6581F5D">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31.8评标过程的保密</w:t>
      </w:r>
    </w:p>
    <w:p w14:paraId="2A447DA9">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评标委员会成员和与评标活动有关的工作人员不得透露对投标文件的评审和比较、中标人的推荐情况以及与评标有关的其他情况。</w:t>
      </w:r>
    </w:p>
    <w:p w14:paraId="7C4C1CB4">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31.9评标结果公告</w:t>
      </w:r>
    </w:p>
    <w:p w14:paraId="26E8541B">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color w:val="auto"/>
          <w:highlight w:val="none"/>
        </w:rPr>
      </w:pPr>
      <w:r>
        <w:rPr>
          <w:rFonts w:hint="eastAsia" w:ascii="宋体"/>
          <w:color w:val="auto"/>
          <w:szCs w:val="21"/>
          <w:highlight w:val="none"/>
        </w:rPr>
        <w:t>招标人应将中标人的情况在滁州市公共资源交易中心等网站上予以公告，公告期为3日。</w:t>
      </w:r>
    </w:p>
    <w:p w14:paraId="2A6AD44B">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32.定标</w:t>
      </w:r>
    </w:p>
    <w:p w14:paraId="4560603B">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32.1 中标人的确定</w:t>
      </w:r>
    </w:p>
    <w:p w14:paraId="55F497A1">
      <w:pPr>
        <w:keepNext w:val="0"/>
        <w:keepLines w:val="0"/>
        <w:pageBreakBefore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32.1.1招标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6AF1FF0">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32.1.2中标人确定后，招标人应将中标信息在滁州市公共资源交易中心等网站上公告。</w:t>
      </w:r>
    </w:p>
    <w:p w14:paraId="1140E93E">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32.2 中标通知书</w:t>
      </w:r>
    </w:p>
    <w:p w14:paraId="10772E48">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32.2.1招标人或代理机构应在中标人确定之日起2个工作日内，在滁州市公共资源交易中心等网站公告中标结果并同时向中标人发出中标通知书。</w:t>
      </w:r>
    </w:p>
    <w:p w14:paraId="75645D29">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32.2.2中标通知书须加盖招标人、代理机构公章并经公共资源交易中心加盖见证章后，方可发出。</w:t>
      </w:r>
    </w:p>
    <w:p w14:paraId="3A16CA85">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32.2.3招标人将在发出中标通知书的同时，向未通过资格审查的投标人告知其未通过的原因。</w:t>
      </w:r>
    </w:p>
    <w:p w14:paraId="2EEC14D4">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b/>
          <w:color w:val="auto"/>
          <w:szCs w:val="21"/>
          <w:highlight w:val="none"/>
        </w:rPr>
        <w:t>33.开评标异常情况处理</w:t>
      </w:r>
    </w:p>
    <w:p w14:paraId="06E8F618">
      <w:pPr>
        <w:keepNext w:val="0"/>
        <w:keepLines w:val="0"/>
        <w:widowControl w:val="0"/>
        <w:kinsoku/>
        <w:wordWrap/>
        <w:overflowPunct/>
        <w:topLinePunct w:val="0"/>
        <w:autoSpaceDE/>
        <w:autoSpaceDN/>
        <w:bidi w:val="0"/>
        <w:spacing w:line="500" w:lineRule="exact"/>
        <w:ind w:firstLine="421"/>
        <w:jc w:val="left"/>
        <w:textAlignment w:val="auto"/>
        <w:rPr>
          <w:rFonts w:hint="eastAsia" w:ascii="宋体"/>
          <w:b/>
          <w:color w:val="auto"/>
          <w:szCs w:val="21"/>
          <w:highlight w:val="none"/>
        </w:rPr>
      </w:pPr>
      <w:r>
        <w:rPr>
          <w:rFonts w:hint="eastAsia" w:ascii="宋体"/>
          <w:color w:val="auto"/>
          <w:kern w:val="10"/>
          <w:szCs w:val="21"/>
          <w:highlight w:val="none"/>
        </w:rPr>
        <w:t>33.1</w:t>
      </w:r>
      <w:r>
        <w:rPr>
          <w:rFonts w:hint="eastAsia" w:ascii="宋体"/>
          <w:b/>
          <w:color w:val="auto"/>
          <w:szCs w:val="21"/>
          <w:highlight w:val="none"/>
        </w:rPr>
        <w:t xml:space="preserve">重新招标 </w:t>
      </w:r>
    </w:p>
    <w:p w14:paraId="40024681">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项目有下列情形之一的，招标人将重新招标：</w:t>
      </w:r>
    </w:p>
    <w:p w14:paraId="74555AB1">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 xml:space="preserve">(1)投标截止时间止，投标人少于三个的； </w:t>
      </w:r>
    </w:p>
    <w:p w14:paraId="4B35C997">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(2)符合专业条件的供应商或者对招标文件作实质响应的供应商不足三家的；</w:t>
      </w:r>
    </w:p>
    <w:p w14:paraId="18F3E9F4">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(3)出现影响招标公正的违法、违规行为的；</w:t>
      </w:r>
    </w:p>
    <w:p w14:paraId="5B6B665D">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(4)投标人的报价均脱离实际且无充分证据的；</w:t>
      </w:r>
    </w:p>
    <w:p w14:paraId="7A1AF472">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(5)技术标暗标项目，所有投标人的技术标均能反映投标人信息的；</w:t>
      </w:r>
    </w:p>
    <w:p w14:paraId="7657AFBE">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(6)因重大变故，采购任务取消的。</w:t>
      </w:r>
    </w:p>
    <w:p w14:paraId="232C1B72">
      <w:pPr>
        <w:keepNext w:val="0"/>
        <w:keepLines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color w:val="auto"/>
          <w:kern w:val="10"/>
          <w:szCs w:val="21"/>
          <w:highlight w:val="none"/>
        </w:rPr>
      </w:pPr>
      <w:r>
        <w:rPr>
          <w:rFonts w:hint="eastAsia" w:ascii="宋体"/>
          <w:color w:val="auto"/>
          <w:kern w:val="10"/>
          <w:szCs w:val="21"/>
          <w:highlight w:val="none"/>
        </w:rPr>
        <w:t>33.2变更采购方式</w:t>
      </w:r>
    </w:p>
    <w:p w14:paraId="3C622071">
      <w:pPr>
        <w:keepNext w:val="0"/>
        <w:keepLines w:val="0"/>
        <w:widowControl w:val="0"/>
        <w:tabs>
          <w:tab w:val="left" w:pos="720"/>
        </w:tabs>
        <w:kinsoku/>
        <w:wordWrap/>
        <w:overflowPunct/>
        <w:topLinePunct w:val="0"/>
        <w:autoSpaceDE/>
        <w:autoSpaceDN/>
        <w:bidi w:val="0"/>
        <w:spacing w:line="500" w:lineRule="exact"/>
        <w:ind w:firstLine="420" w:firstLineChars="200"/>
        <w:jc w:val="left"/>
        <w:textAlignment w:val="auto"/>
        <w:rPr>
          <w:rFonts w:hint="eastAsia" w:ascii="宋体"/>
          <w:color w:val="auto"/>
          <w:szCs w:val="21"/>
          <w:highlight w:val="none"/>
        </w:rPr>
      </w:pPr>
      <w:bookmarkStart w:id="53" w:name="_Toc449028872"/>
      <w:r>
        <w:rPr>
          <w:rFonts w:hint="eastAsia" w:ascii="宋体"/>
          <w:color w:val="auto"/>
          <w:szCs w:val="21"/>
          <w:highlight w:val="none"/>
        </w:rPr>
        <w:t>按照滁州市公管局相关规定执行。</w:t>
      </w:r>
      <w:bookmarkEnd w:id="53"/>
    </w:p>
    <w:p w14:paraId="30F0AE19">
      <w:pPr>
        <w:keepNext w:val="0"/>
        <w:keepLines w:val="0"/>
        <w:widowControl w:val="0"/>
        <w:kinsoku/>
        <w:wordWrap/>
        <w:overflowPunct/>
        <w:topLinePunct w:val="0"/>
        <w:autoSpaceDE/>
        <w:autoSpaceDN/>
        <w:bidi w:val="0"/>
        <w:spacing w:line="500" w:lineRule="exact"/>
        <w:jc w:val="center"/>
        <w:textAlignment w:val="auto"/>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52"/>
    </w:p>
    <w:p w14:paraId="6B3D5019">
      <w:pPr>
        <w:keepNext w:val="0"/>
        <w:keepLines w:val="0"/>
        <w:widowControl w:val="0"/>
        <w:kinsoku/>
        <w:wordWrap/>
        <w:overflowPunct/>
        <w:topLinePunct w:val="0"/>
        <w:autoSpaceDE/>
        <w:autoSpaceDN/>
        <w:bidi w:val="0"/>
        <w:spacing w:line="500" w:lineRule="exact"/>
        <w:ind w:firstLine="521" w:firstLineChars="247"/>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34. 合同授予标准</w:t>
      </w:r>
    </w:p>
    <w:p w14:paraId="39E788B1">
      <w:pPr>
        <w:keepNext w:val="0"/>
        <w:keepLines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34.1 本招标项目的合同将授予按本投标须知第32.1.1条规定所确定的中标人。</w:t>
      </w:r>
    </w:p>
    <w:p w14:paraId="65140A27">
      <w:pPr>
        <w:keepNext w:val="0"/>
        <w:keepLines w:val="0"/>
        <w:widowControl w:val="0"/>
        <w:kinsoku/>
        <w:wordWrap/>
        <w:overflowPunct/>
        <w:topLinePunct w:val="0"/>
        <w:autoSpaceDE/>
        <w:autoSpaceDN/>
        <w:bidi w:val="0"/>
        <w:spacing w:line="500" w:lineRule="exact"/>
        <w:ind w:firstLine="521" w:firstLineChars="247"/>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35. 合同协议书的签订</w:t>
      </w:r>
    </w:p>
    <w:p w14:paraId="36C226CB">
      <w:pPr>
        <w:keepNext w:val="0"/>
        <w:keepLines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招标人与中标人将于中标通知书发出之日起30日内，按照招标文件和中标人的投标文件订立书面采购合同。招标人和中标人不得再行订立背离合同实质性内容的其他协议。</w:t>
      </w:r>
    </w:p>
    <w:p w14:paraId="2711CAF4">
      <w:pPr>
        <w:keepNext w:val="0"/>
        <w:keepLines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35.2</w:t>
      </w:r>
      <w:r>
        <w:rPr>
          <w:rFonts w:hint="eastAsia" w:ascii="宋体" w:hAnsi="宋体" w:eastAsia="宋体" w:cs="宋体"/>
          <w:color w:val="auto"/>
          <w:szCs w:val="21"/>
          <w:highlight w:val="none"/>
        </w:rPr>
        <w:t>发出中标通知书后，招标人无正当理由拒签合同的，招标人向中标人退还投标保证金；给中标人造成损失的，还应当赔偿损失。</w:t>
      </w:r>
    </w:p>
    <w:p w14:paraId="53527358">
      <w:pPr>
        <w:keepNext w:val="0"/>
        <w:keepLines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依法必须进行招标的项目，除中标人以外的其他投标人存在串通投标、弄虚作假、行贿情形且在评标过程中未被发现的，视为对中标结果没有造成实质性影响，招标人可以依法继续开展招标活动。</w:t>
      </w:r>
    </w:p>
    <w:p w14:paraId="269366A6">
      <w:pPr>
        <w:keepNext w:val="0"/>
        <w:keepLines w:val="0"/>
        <w:widowControl w:val="0"/>
        <w:kinsoku/>
        <w:wordWrap/>
        <w:overflowPunct/>
        <w:topLinePunct w:val="0"/>
        <w:autoSpaceDE/>
        <w:autoSpaceDN/>
        <w:bidi w:val="0"/>
        <w:spacing w:line="500" w:lineRule="exact"/>
        <w:textAlignment w:val="auto"/>
        <w:rPr>
          <w:rFonts w:hint="eastAsia" w:ascii="宋体" w:hAnsi="宋体" w:cs="宋体"/>
          <w:b/>
          <w:color w:val="auto"/>
          <w:szCs w:val="21"/>
          <w:highlight w:val="none"/>
        </w:rPr>
      </w:pPr>
      <w:r>
        <w:rPr>
          <w:rFonts w:hint="eastAsia" w:ascii="宋体" w:hAnsi="宋体" w:cs="宋体"/>
          <w:color w:val="auto"/>
          <w:szCs w:val="21"/>
          <w:highlight w:val="none"/>
        </w:rPr>
        <w:t xml:space="preserve">    36.</w:t>
      </w:r>
      <w:bookmarkStart w:id="54" w:name="_Toc217446068"/>
      <w:r>
        <w:rPr>
          <w:rFonts w:hint="eastAsia" w:ascii="宋体" w:hAnsi="宋体" w:cs="宋体"/>
          <w:color w:val="auto"/>
          <w:szCs w:val="21"/>
          <w:highlight w:val="none"/>
        </w:rPr>
        <w:t xml:space="preserve"> </w:t>
      </w:r>
      <w:r>
        <w:rPr>
          <w:rFonts w:hint="eastAsia" w:ascii="宋体" w:hAnsi="宋体" w:cs="宋体"/>
          <w:b/>
          <w:color w:val="auto"/>
          <w:szCs w:val="21"/>
          <w:highlight w:val="none"/>
        </w:rPr>
        <w:t>履约</w:t>
      </w:r>
      <w:bookmarkEnd w:id="54"/>
      <w:r>
        <w:rPr>
          <w:rFonts w:hint="eastAsia" w:ascii="宋体" w:hAnsi="宋体" w:cs="宋体"/>
          <w:b/>
          <w:color w:val="auto"/>
          <w:szCs w:val="21"/>
          <w:highlight w:val="none"/>
        </w:rPr>
        <w:t>担保</w:t>
      </w:r>
    </w:p>
    <w:p w14:paraId="51FF48A6">
      <w:pPr>
        <w:keepNext w:val="0"/>
        <w:keepLines w:val="0"/>
        <w:widowControl w:val="0"/>
        <w:kinsoku/>
        <w:wordWrap/>
        <w:overflowPunct/>
        <w:topLinePunct w:val="0"/>
        <w:autoSpaceDE/>
        <w:autoSpaceDN/>
        <w:bidi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36.1在签订合同前，中标人应按投标人须知前附表规定的担保形式、金额和招标文件第五章“合同条款及格式”规定的或者事先经过招标人书面认可的履约担保格式向招标人提交履约担保。</w:t>
      </w:r>
    </w:p>
    <w:p w14:paraId="65200913">
      <w:pPr>
        <w:keepNext w:val="0"/>
        <w:keepLines w:val="0"/>
        <w:widowControl w:val="0"/>
        <w:kinsoku/>
        <w:wordWrap/>
        <w:overflowPunct/>
        <w:topLinePunct w:val="0"/>
        <w:autoSpaceDE/>
        <w:autoSpaceDN/>
        <w:bidi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36.2 中标人不能按本章第36.1项要求提交履约担保的，视为放弃中标，其投标保证金不予退还，</w:t>
      </w:r>
      <w:r>
        <w:rPr>
          <w:rFonts w:hint="eastAsia" w:ascii="宋体" w:hAnsi="宋体" w:cs="宋体"/>
          <w:color w:val="auto"/>
          <w:szCs w:val="21"/>
          <w:highlight w:val="none"/>
          <w:shd w:val="clear" w:color="auto" w:fill="FFFFFF"/>
        </w:rPr>
        <w:t>给招标人造成损失的，依法承担民事责任</w:t>
      </w:r>
      <w:r>
        <w:rPr>
          <w:rFonts w:hint="eastAsia" w:ascii="宋体" w:hAnsi="宋体" w:cs="宋体"/>
          <w:color w:val="auto"/>
          <w:szCs w:val="21"/>
          <w:highlight w:val="none"/>
        </w:rPr>
        <w:t>。</w:t>
      </w:r>
    </w:p>
    <w:p w14:paraId="2EB4CCDE">
      <w:pPr>
        <w:keepNext w:val="0"/>
        <w:keepLines w:val="0"/>
        <w:widowControl w:val="0"/>
        <w:kinsoku/>
        <w:wordWrap/>
        <w:overflowPunct/>
        <w:topLinePunct w:val="0"/>
        <w:autoSpaceDE/>
        <w:autoSpaceDN/>
        <w:bidi w:val="0"/>
        <w:spacing w:before="312" w:beforeLines="100" w:after="312" w:afterLines="100" w:line="500" w:lineRule="exact"/>
        <w:jc w:val="center"/>
        <w:textAlignment w:val="auto"/>
        <w:rPr>
          <w:rFonts w:hint="eastAsia" w:ascii="宋体" w:hAnsi="Times New Roman" w:eastAsia="宋体" w:cs="Times New Roman"/>
          <w:b/>
          <w:color w:val="auto"/>
          <w:sz w:val="28"/>
          <w:szCs w:val="28"/>
          <w:highlight w:val="none"/>
        </w:rPr>
      </w:pPr>
      <w:bookmarkStart w:id="55" w:name="_Toc449028874"/>
      <w:r>
        <w:rPr>
          <w:rFonts w:hint="eastAsia" w:ascii="宋体" w:hAnsi="Times New Roman" w:eastAsia="宋体" w:cs="Times New Roman"/>
          <w:b/>
          <w:color w:val="auto"/>
          <w:sz w:val="28"/>
          <w:szCs w:val="28"/>
          <w:highlight w:val="none"/>
        </w:rPr>
        <w:t>（七）纪律和监督</w:t>
      </w:r>
      <w:bookmarkEnd w:id="55"/>
    </w:p>
    <w:p w14:paraId="48804153">
      <w:pPr>
        <w:keepNext w:val="0"/>
        <w:keepLines w:val="0"/>
        <w:widowControl w:val="0"/>
        <w:kinsoku/>
        <w:wordWrap/>
        <w:overflowPunct/>
        <w:topLinePunct w:val="0"/>
        <w:autoSpaceDE/>
        <w:autoSpaceDN/>
        <w:bidi w:val="0"/>
        <w:spacing w:line="500" w:lineRule="exact"/>
        <w:ind w:firstLine="310" w:firstLineChars="147"/>
        <w:jc w:val="left"/>
        <w:textAlignment w:val="auto"/>
        <w:rPr>
          <w:rFonts w:hint="eastAsia" w:ascii="宋体"/>
          <w:b/>
          <w:color w:val="auto"/>
          <w:szCs w:val="21"/>
          <w:highlight w:val="none"/>
        </w:rPr>
      </w:pPr>
      <w:r>
        <w:rPr>
          <w:rFonts w:hint="eastAsia" w:ascii="宋体"/>
          <w:b/>
          <w:color w:val="auto"/>
          <w:szCs w:val="21"/>
          <w:highlight w:val="none"/>
        </w:rPr>
        <w:t xml:space="preserve">37. 对招标人的纪律要求 </w:t>
      </w:r>
    </w:p>
    <w:p w14:paraId="244C3818">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 xml:space="preserve">37.1招标人不得泄漏招标投标活动中应当保密的情况和资料，不得与投标人串通损害国家利益，社会公共利益或者他人合法权益。 </w:t>
      </w:r>
    </w:p>
    <w:p w14:paraId="29F8A5B5">
      <w:pPr>
        <w:keepNext w:val="0"/>
        <w:keepLines w:val="0"/>
        <w:widowControl w:val="0"/>
        <w:kinsoku/>
        <w:wordWrap/>
        <w:overflowPunct/>
        <w:topLinePunct w:val="0"/>
        <w:autoSpaceDE/>
        <w:autoSpaceDN/>
        <w:bidi w:val="0"/>
        <w:spacing w:line="500" w:lineRule="exact"/>
        <w:ind w:firstLine="310" w:firstLineChars="147"/>
        <w:jc w:val="left"/>
        <w:textAlignment w:val="auto"/>
        <w:rPr>
          <w:rFonts w:hint="eastAsia" w:ascii="宋体"/>
          <w:b/>
          <w:color w:val="auto"/>
          <w:szCs w:val="21"/>
          <w:highlight w:val="none"/>
        </w:rPr>
      </w:pPr>
      <w:r>
        <w:rPr>
          <w:rFonts w:hint="eastAsia" w:ascii="宋体"/>
          <w:b/>
          <w:color w:val="auto"/>
          <w:szCs w:val="21"/>
          <w:highlight w:val="none"/>
        </w:rPr>
        <w:t xml:space="preserve">38. 对投标人的纪律要求 </w:t>
      </w:r>
    </w:p>
    <w:p w14:paraId="7E24AF1B">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38.1投标人不得相互串通投标或者与招标人串通投标，不得向招标人或者评标委员会成员行贿谋取中标，不得以他人名义投标或者以其他方式弄虚作假骗取中标；投标人不得以任何方式干扰、影响评标工作。</w:t>
      </w:r>
    </w:p>
    <w:p w14:paraId="33064180">
      <w:pPr>
        <w:keepNext w:val="0"/>
        <w:keepLines w:val="0"/>
        <w:widowControl w:val="0"/>
        <w:kinsoku/>
        <w:wordWrap/>
        <w:overflowPunct/>
        <w:topLinePunct w:val="0"/>
        <w:autoSpaceDE/>
        <w:autoSpaceDN/>
        <w:bidi w:val="0"/>
        <w:spacing w:line="500" w:lineRule="exact"/>
        <w:ind w:firstLine="310" w:firstLineChars="147"/>
        <w:jc w:val="left"/>
        <w:textAlignment w:val="auto"/>
        <w:rPr>
          <w:rFonts w:hint="eastAsia" w:ascii="宋体"/>
          <w:b/>
          <w:color w:val="auto"/>
          <w:szCs w:val="21"/>
          <w:highlight w:val="none"/>
        </w:rPr>
      </w:pPr>
      <w:r>
        <w:rPr>
          <w:rFonts w:hint="eastAsia" w:ascii="宋体"/>
          <w:b/>
          <w:color w:val="auto"/>
          <w:szCs w:val="21"/>
          <w:highlight w:val="none"/>
        </w:rPr>
        <w:t xml:space="preserve">39. 对评标委员会成员的纪律要求 </w:t>
      </w:r>
    </w:p>
    <w:p w14:paraId="29D87879">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39.1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D56DB65">
      <w:pPr>
        <w:keepNext w:val="0"/>
        <w:keepLines w:val="0"/>
        <w:widowControl w:val="0"/>
        <w:kinsoku/>
        <w:wordWrap/>
        <w:overflowPunct/>
        <w:topLinePunct w:val="0"/>
        <w:autoSpaceDE/>
        <w:autoSpaceDN/>
        <w:bidi w:val="0"/>
        <w:spacing w:line="500" w:lineRule="exact"/>
        <w:ind w:firstLine="310" w:firstLineChars="147"/>
        <w:jc w:val="left"/>
        <w:textAlignment w:val="auto"/>
        <w:rPr>
          <w:rFonts w:hint="eastAsia" w:ascii="宋体"/>
          <w:b/>
          <w:color w:val="auto"/>
          <w:szCs w:val="21"/>
          <w:highlight w:val="none"/>
        </w:rPr>
      </w:pPr>
      <w:r>
        <w:rPr>
          <w:rFonts w:hint="eastAsia" w:ascii="宋体"/>
          <w:b/>
          <w:color w:val="auto"/>
          <w:szCs w:val="21"/>
          <w:highlight w:val="none"/>
        </w:rPr>
        <w:t xml:space="preserve">40. 对与评标活动有关的工作人员的纪律要求 </w:t>
      </w:r>
    </w:p>
    <w:p w14:paraId="07E3D78A">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40.1与评标活动有关的工作人员不得收受他人的财物或者其他好处，不得向他人透漏对投标文件的评审和比较、中标人的推荐情况以及评标有关的其他情况。在评标活动中，与评标活动有关的工作人员不得擅离职守，影响评标程序正常进行。</w:t>
      </w:r>
    </w:p>
    <w:p w14:paraId="4563489F">
      <w:pPr>
        <w:keepNext w:val="0"/>
        <w:keepLines w:val="0"/>
        <w:widowControl w:val="0"/>
        <w:kinsoku/>
        <w:wordWrap/>
        <w:overflowPunct/>
        <w:topLinePunct w:val="0"/>
        <w:autoSpaceDE/>
        <w:autoSpaceDN/>
        <w:bidi w:val="0"/>
        <w:spacing w:before="312" w:beforeLines="100" w:after="312" w:afterLines="100" w:line="500" w:lineRule="exact"/>
        <w:jc w:val="center"/>
        <w:textAlignment w:val="auto"/>
        <w:rPr>
          <w:rFonts w:hint="eastAsia" w:ascii="宋体"/>
          <w:b/>
          <w:color w:val="auto"/>
          <w:sz w:val="28"/>
          <w:szCs w:val="28"/>
          <w:highlight w:val="none"/>
        </w:rPr>
      </w:pPr>
      <w:r>
        <w:rPr>
          <w:rFonts w:hint="eastAsia" w:ascii="宋体"/>
          <w:b/>
          <w:color w:val="auto"/>
          <w:sz w:val="28"/>
          <w:szCs w:val="28"/>
          <w:highlight w:val="none"/>
        </w:rPr>
        <w:t>（八）投诉</w:t>
      </w:r>
    </w:p>
    <w:p w14:paraId="6BF50865">
      <w:pPr>
        <w:keepNext w:val="0"/>
        <w:keepLines w:val="0"/>
        <w:widowControl w:val="0"/>
        <w:kinsoku/>
        <w:wordWrap/>
        <w:overflowPunct/>
        <w:topLinePunct w:val="0"/>
        <w:autoSpaceDE/>
        <w:autoSpaceDN/>
        <w:bidi w:val="0"/>
        <w:spacing w:line="500" w:lineRule="exact"/>
        <w:ind w:firstLine="314" w:firstLineChars="149"/>
        <w:jc w:val="left"/>
        <w:textAlignment w:val="auto"/>
        <w:rPr>
          <w:rFonts w:hint="eastAsia" w:ascii="宋体" w:hAnsi="宋体"/>
          <w:b/>
          <w:color w:val="auto"/>
          <w:szCs w:val="21"/>
          <w:highlight w:val="none"/>
        </w:rPr>
      </w:pPr>
      <w:r>
        <w:rPr>
          <w:rFonts w:hint="eastAsia" w:ascii="宋体" w:hAnsi="宋体"/>
          <w:b/>
          <w:color w:val="auto"/>
          <w:szCs w:val="21"/>
          <w:highlight w:val="none"/>
        </w:rPr>
        <w:t>41. 投诉</w:t>
      </w:r>
    </w:p>
    <w:p w14:paraId="16AB59D7">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41.1投标人或者其他利害关系人认为招标投标活动违反法律、法规和规章规定的，有权向相关行政监督部门投诉。投诉应当有明确的请求和必要的证明材料。</w:t>
      </w:r>
    </w:p>
    <w:p w14:paraId="67ADBF0E">
      <w:pPr>
        <w:keepNext w:val="0"/>
        <w:keepLines w:val="0"/>
        <w:widowControl w:val="0"/>
        <w:kinsoku/>
        <w:wordWrap/>
        <w:overflowPunct/>
        <w:topLinePunct w:val="0"/>
        <w:autoSpaceDE/>
        <w:autoSpaceDN/>
        <w:bidi w:val="0"/>
        <w:adjustRightInd w:val="0"/>
        <w:snapToGrid w:val="0"/>
        <w:spacing w:line="500" w:lineRule="exact"/>
        <w:ind w:firstLine="315" w:firstLineChars="150"/>
        <w:textAlignment w:val="auto"/>
        <w:rPr>
          <w:rFonts w:hint="eastAsia" w:ascii="宋体"/>
          <w:color w:val="auto"/>
          <w:kern w:val="10"/>
          <w:szCs w:val="21"/>
          <w:highlight w:val="none"/>
        </w:rPr>
      </w:pPr>
      <w:r>
        <w:rPr>
          <w:rFonts w:hint="eastAsia" w:ascii="宋体"/>
          <w:color w:val="auto"/>
          <w:kern w:val="10"/>
          <w:szCs w:val="21"/>
          <w:highlight w:val="none"/>
        </w:rPr>
        <w:t>41.2投标人和其他利害关系人对招标文件、开标和评标结果事项投诉的，应当按照投标人须知的规定先向招标人提出异议。异议答复期间不计算在第41.1项规定的期限内。</w:t>
      </w:r>
    </w:p>
    <w:p w14:paraId="4727FD20">
      <w:pPr>
        <w:spacing w:line="440" w:lineRule="exact"/>
        <w:ind w:firstLine="600" w:firstLineChars="200"/>
        <w:jc w:val="left"/>
        <w:rPr>
          <w:rFonts w:hint="eastAsia" w:ascii="黑体" w:eastAsia="黑体"/>
          <w:color w:val="auto"/>
          <w:sz w:val="30"/>
          <w:szCs w:val="30"/>
          <w:highlight w:val="none"/>
        </w:rPr>
      </w:pPr>
    </w:p>
    <w:p w14:paraId="482E25BB">
      <w:pPr>
        <w:spacing w:line="440" w:lineRule="exact"/>
        <w:ind w:firstLine="450" w:firstLineChars="150"/>
        <w:jc w:val="left"/>
        <w:rPr>
          <w:rFonts w:hint="eastAsia" w:ascii="黑体" w:eastAsia="黑体"/>
          <w:color w:val="auto"/>
          <w:sz w:val="30"/>
          <w:szCs w:val="30"/>
          <w:highlight w:val="none"/>
        </w:rPr>
      </w:pPr>
    </w:p>
    <w:p w14:paraId="4930B7C6">
      <w:pPr>
        <w:pStyle w:val="2"/>
        <w:spacing w:line="280" w:lineRule="exact"/>
        <w:rPr>
          <w:rFonts w:hint="eastAsia" w:ascii="宋体"/>
          <w:b w:val="0"/>
          <w:color w:val="auto"/>
          <w:szCs w:val="32"/>
          <w:highlight w:val="none"/>
        </w:rPr>
      </w:pPr>
      <w:r>
        <w:rPr>
          <w:rFonts w:ascii="宋体"/>
          <w:b w:val="0"/>
          <w:color w:val="auto"/>
          <w:szCs w:val="32"/>
          <w:highlight w:val="none"/>
        </w:rPr>
        <w:br w:type="page"/>
      </w:r>
      <w:bookmarkStart w:id="56" w:name="_Toc28871"/>
      <w:r>
        <w:rPr>
          <w:rFonts w:hint="eastAsia" w:ascii="宋体"/>
          <w:bCs w:val="0"/>
          <w:color w:val="auto"/>
          <w:szCs w:val="32"/>
          <w:highlight w:val="none"/>
        </w:rPr>
        <w:t>第三章 评标办法（综合评分法）</w:t>
      </w:r>
      <w:bookmarkEnd w:id="56"/>
    </w:p>
    <w:p w14:paraId="77CF0E55">
      <w:pPr>
        <w:keepNext w:val="0"/>
        <w:keepLines w:val="0"/>
        <w:pageBreakBefore w:val="0"/>
        <w:kinsoku/>
        <w:overflowPunct/>
        <w:topLinePunct w:val="0"/>
        <w:autoSpaceDE/>
        <w:autoSpaceDN/>
        <w:bidi w:val="0"/>
        <w:adjustRightInd/>
        <w:snapToGrid/>
        <w:spacing w:before="156" w:beforeLines="50" w:after="156" w:afterLines="50" w:line="500" w:lineRule="exact"/>
        <w:jc w:val="center"/>
        <w:textAlignment w:val="auto"/>
        <w:outlineLvl w:val="1"/>
        <w:rPr>
          <w:rFonts w:hint="eastAsia" w:ascii="宋体" w:hAnsi="宋体" w:eastAsia="宋体" w:cs="宋体"/>
          <w:b/>
          <w:color w:val="auto"/>
          <w:sz w:val="28"/>
          <w:szCs w:val="28"/>
          <w:highlight w:val="none"/>
        </w:rPr>
      </w:pPr>
      <w:bookmarkStart w:id="57" w:name="_Toc20697"/>
      <w:bookmarkStart w:id="58" w:name="_Toc58430317"/>
      <w:bookmarkStart w:id="59" w:name="_Toc362983801"/>
      <w:bookmarkStart w:id="60" w:name="_Toc449028877"/>
      <w:bookmarkStart w:id="61" w:name="_Toc267320058"/>
      <w:bookmarkStart w:id="62" w:name="_Toc363135205"/>
      <w:r>
        <w:rPr>
          <w:rFonts w:hint="eastAsia" w:ascii="宋体" w:hAnsi="宋体" w:eastAsia="宋体" w:cs="宋体"/>
          <w:b/>
          <w:color w:val="auto"/>
          <w:sz w:val="28"/>
          <w:szCs w:val="28"/>
          <w:highlight w:val="none"/>
        </w:rPr>
        <w:t>一、总则</w:t>
      </w:r>
      <w:bookmarkEnd w:id="57"/>
      <w:bookmarkEnd w:id="58"/>
      <w:bookmarkEnd w:id="59"/>
      <w:bookmarkEnd w:id="60"/>
    </w:p>
    <w:p w14:paraId="42F719D3">
      <w:pPr>
        <w:keepNext w:val="0"/>
        <w:keepLines w:val="0"/>
        <w:pageBreakBefore w:val="0"/>
        <w:kinsoku/>
        <w:overflowPunct/>
        <w:topLinePunct w:val="0"/>
        <w:autoSpaceDE/>
        <w:autoSpaceDN/>
        <w:bidi w:val="0"/>
        <w:adjustRightInd/>
        <w:snapToGrid/>
        <w:spacing w:line="500" w:lineRule="exact"/>
        <w:ind w:firstLine="316" w:firstLineChars="15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 本次评标采用综合评分法</w:t>
      </w:r>
    </w:p>
    <w:p w14:paraId="6455993B">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1.1综合评分法是指投标文件满足招标文件全部实质性要求且按照评审因素的量化指标评审总得分从高到低的供应商为中标候选人的评标方法。</w:t>
      </w:r>
    </w:p>
    <w:p w14:paraId="3312F8A7">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1.2综合评分法一般适用于较为复杂、评价指标难以量化且价格为非主要因素的非标准定制商品和非通用服务项目的项目评审。</w:t>
      </w:r>
    </w:p>
    <w:p w14:paraId="5F4E0477">
      <w:pPr>
        <w:keepNext w:val="0"/>
        <w:keepLines w:val="0"/>
        <w:pageBreakBefore w:val="0"/>
        <w:kinsoku/>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2．评标程序</w:t>
      </w:r>
    </w:p>
    <w:p w14:paraId="2F374524">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2.1投标文件的初审</w:t>
      </w:r>
    </w:p>
    <w:p w14:paraId="164C3FAD">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2.1.1资格性检查。依据法律法规和招标文件的规定，对投标文件中的资格证明、投标保证金等进行审查，以确定投标人是否具备投标资格。 </w:t>
      </w:r>
    </w:p>
    <w:p w14:paraId="112D1BDE">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2.1.2符合性检查。依据招标文件的规定，从投标文件的有效性、完整性和对招标文件的响应程度进行审查，以确定投标人是否对招标文件的实质性要求作出响应。</w:t>
      </w:r>
    </w:p>
    <w:p w14:paraId="4AC687F0">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2.2投标文件的澄清</w:t>
      </w:r>
    </w:p>
    <w:p w14:paraId="48BE3D38">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在评标过程中，评标委员会认为需要，在监督人员在场的情况下，可要求投标人对投标文件中的有关问题进行澄清或提供补充说明及有关资料，投标人应做出书面答复。书面答复中不得变更价格、供货期、自报质量等实质性内容。</w:t>
      </w:r>
    </w:p>
    <w:p w14:paraId="150E3FFF">
      <w:pPr>
        <w:keepNext w:val="0"/>
        <w:keepLines w:val="0"/>
        <w:pageBreakBefore w:val="0"/>
        <w:kinsoku/>
        <w:wordWrap w:val="0"/>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本项目采用远程开标，具体操作方法详见服务指南&gt;交易须知&gt;开标大厅远程解密、质疑(异议)及回复以及评标过程中询标流程操作手册。</w:t>
      </w:r>
    </w:p>
    <w:p w14:paraId="4B04A490">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27BA1BBE">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招标人不接受投标人主动提出的澄清。</w:t>
      </w:r>
    </w:p>
    <w:p w14:paraId="5FC4DEB9">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2.3比较与评价</w:t>
      </w:r>
    </w:p>
    <w:p w14:paraId="5C618DDC">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2．3.1按招标文件中规定的评标方法和标准，对资格性检查和符合性检查合格的投标文件</w:t>
      </w:r>
      <w:r>
        <w:rPr>
          <w:rFonts w:hint="eastAsia" w:ascii="宋体" w:hAnsi="宋体" w:eastAsia="宋体" w:cs="宋体"/>
          <w:color w:val="auto"/>
          <w:szCs w:val="21"/>
          <w:highlight w:val="none"/>
        </w:rPr>
        <w:t xml:space="preserve">进行商务和技术评估，综合比较与评价。 </w:t>
      </w:r>
    </w:p>
    <w:p w14:paraId="52F42E4F">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2.4推荐中标候选人名单</w:t>
      </w:r>
    </w:p>
    <w:p w14:paraId="3CF64B2B">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2.4.1中标候选人数量应当根据采购需要确定，但必须按顺序排列中标候选人。</w:t>
      </w:r>
    </w:p>
    <w:p w14:paraId="1C02F1EE">
      <w:pPr>
        <w:keepNext w:val="0"/>
        <w:keepLines w:val="0"/>
        <w:pageBreakBefore w:val="0"/>
        <w:kinsoku/>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2.5在投标文件的审查、澄清、评价和比较以及授予合同过程中，投标人对招标人和评标委员会成员施加影响的任何行为，都将导致取消其中标资格。</w:t>
      </w:r>
      <w:bookmarkStart w:id="63" w:name="_Toc58430318"/>
      <w:bookmarkStart w:id="64" w:name="_Toc449028878"/>
      <w:bookmarkStart w:id="65" w:name="_Toc362983802"/>
    </w:p>
    <w:p w14:paraId="60AE5552">
      <w:pPr>
        <w:keepNext w:val="0"/>
        <w:keepLines w:val="0"/>
        <w:pageBreakBefore w:val="0"/>
        <w:kinsoku/>
        <w:overflowPunct/>
        <w:topLinePunct w:val="0"/>
        <w:autoSpaceDE/>
        <w:autoSpaceDN/>
        <w:bidi w:val="0"/>
        <w:adjustRightInd/>
        <w:snapToGrid/>
        <w:spacing w:before="156" w:beforeLines="50" w:after="156" w:afterLines="50" w:line="50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二、投标文件初审</w:t>
      </w:r>
      <w:bookmarkEnd w:id="63"/>
      <w:bookmarkEnd w:id="64"/>
      <w:bookmarkEnd w:id="65"/>
    </w:p>
    <w:p w14:paraId="2DD1BD15">
      <w:pPr>
        <w:keepNext w:val="0"/>
        <w:keepLines w:val="0"/>
        <w:pageBreakBefore w:val="0"/>
        <w:kinsoku/>
        <w:overflowPunct/>
        <w:topLinePunct w:val="0"/>
        <w:autoSpaceDE/>
        <w:autoSpaceDN/>
        <w:bidi w:val="0"/>
        <w:adjustRightInd/>
        <w:snapToGrid/>
        <w:spacing w:line="500" w:lineRule="exact"/>
        <w:ind w:firstLine="310" w:firstLineChars="147"/>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3.资格性审查:</w:t>
      </w:r>
    </w:p>
    <w:p w14:paraId="64889DCA">
      <w:pPr>
        <w:keepNext w:val="0"/>
        <w:keepLines w:val="0"/>
        <w:pageBreakBefore w:val="0"/>
        <w:kinsoku/>
        <w:overflowPunct/>
        <w:topLinePunct w:val="0"/>
        <w:autoSpaceDE/>
        <w:autoSpaceDN/>
        <w:bidi w:val="0"/>
        <w:adjustRightInd/>
        <w:snapToGrid/>
        <w:spacing w:line="500" w:lineRule="exact"/>
        <w:ind w:firstLine="308" w:firstLineChars="147"/>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3.1评审细则</w:t>
      </w:r>
    </w:p>
    <w:tbl>
      <w:tblPr>
        <w:tblStyle w:val="35"/>
        <w:tblW w:w="9926"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5"/>
        <w:gridCol w:w="4305"/>
        <w:gridCol w:w="3176"/>
      </w:tblGrid>
      <w:tr w14:paraId="54DE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noWrap w:val="0"/>
            <w:vAlign w:val="center"/>
          </w:tcPr>
          <w:p w14:paraId="676855A8">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030" w:type="dxa"/>
            <w:gridSpan w:val="2"/>
            <w:noWrap w:val="0"/>
            <w:vAlign w:val="center"/>
          </w:tcPr>
          <w:p w14:paraId="2DBEDF43">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3176" w:type="dxa"/>
            <w:noWrap w:val="0"/>
            <w:vAlign w:val="center"/>
          </w:tcPr>
          <w:p w14:paraId="137D68C9">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7166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0" w:type="dxa"/>
            <w:noWrap w:val="0"/>
            <w:vAlign w:val="center"/>
          </w:tcPr>
          <w:p w14:paraId="2ABD4964">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25" w:type="dxa"/>
            <w:noWrap w:val="0"/>
            <w:vAlign w:val="center"/>
          </w:tcPr>
          <w:p w14:paraId="5EC60F4C">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重要要求</w:t>
            </w:r>
          </w:p>
        </w:tc>
        <w:tc>
          <w:tcPr>
            <w:tcW w:w="4305" w:type="dxa"/>
            <w:noWrap w:val="0"/>
            <w:vAlign w:val="center"/>
          </w:tcPr>
          <w:p w14:paraId="2C25AA7E">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（1）法定代表人身份证明和本人有效身份证(或法定代表人授权委托书和委托代理人有效身份证)</w:t>
            </w:r>
          </w:p>
        </w:tc>
        <w:tc>
          <w:tcPr>
            <w:tcW w:w="3176" w:type="dxa"/>
            <w:noWrap w:val="0"/>
            <w:vAlign w:val="center"/>
          </w:tcPr>
          <w:p w14:paraId="1A825510">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检验电子标书</w:t>
            </w:r>
          </w:p>
        </w:tc>
      </w:tr>
      <w:tr w14:paraId="08BC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720" w:type="dxa"/>
            <w:vMerge w:val="restart"/>
            <w:noWrap w:val="0"/>
            <w:vAlign w:val="center"/>
          </w:tcPr>
          <w:p w14:paraId="0F8CFE09">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25" w:type="dxa"/>
            <w:vMerge w:val="restart"/>
            <w:noWrap w:val="0"/>
            <w:vAlign w:val="center"/>
          </w:tcPr>
          <w:p w14:paraId="3B3DAB89">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投标人应符合的基本资格条件</w:t>
            </w:r>
          </w:p>
        </w:tc>
        <w:tc>
          <w:tcPr>
            <w:tcW w:w="4305" w:type="dxa"/>
            <w:noWrap w:val="0"/>
            <w:vAlign w:val="center"/>
          </w:tcPr>
          <w:p w14:paraId="0539ED6A">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（2）具有独立承担民事责任的能力</w:t>
            </w:r>
          </w:p>
        </w:tc>
        <w:tc>
          <w:tcPr>
            <w:tcW w:w="3176" w:type="dxa"/>
            <w:noWrap w:val="0"/>
            <w:vAlign w:val="center"/>
          </w:tcPr>
          <w:p w14:paraId="1531D950">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评审核验电子标书中的下列证书、证明材料：</w:t>
            </w:r>
          </w:p>
          <w:p w14:paraId="6BA11698">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投标人有效的营业执照、税务登记证、组织机构码证（或“三证合一证书”）</w:t>
            </w:r>
          </w:p>
        </w:tc>
      </w:tr>
      <w:tr w14:paraId="6055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20" w:type="dxa"/>
            <w:vMerge w:val="continue"/>
            <w:noWrap w:val="0"/>
            <w:vAlign w:val="center"/>
          </w:tcPr>
          <w:p w14:paraId="58760FA7">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Cs w:val="21"/>
                <w:highlight w:val="none"/>
              </w:rPr>
            </w:pPr>
          </w:p>
        </w:tc>
        <w:tc>
          <w:tcPr>
            <w:tcW w:w="1725" w:type="dxa"/>
            <w:vMerge w:val="continue"/>
            <w:noWrap w:val="0"/>
            <w:vAlign w:val="center"/>
          </w:tcPr>
          <w:p w14:paraId="450E5EE8">
            <w:pPr>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color w:val="auto"/>
                <w:szCs w:val="21"/>
                <w:highlight w:val="none"/>
              </w:rPr>
            </w:pPr>
          </w:p>
        </w:tc>
        <w:tc>
          <w:tcPr>
            <w:tcW w:w="4305" w:type="dxa"/>
            <w:noWrap w:val="0"/>
            <w:vAlign w:val="center"/>
          </w:tcPr>
          <w:p w14:paraId="59D1691D">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rPr>
              <w:t>诚信投标承诺书</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公共信用信息报告（无违法违规证明版或核查版）</w:t>
            </w:r>
          </w:p>
        </w:tc>
        <w:tc>
          <w:tcPr>
            <w:tcW w:w="3176" w:type="dxa"/>
            <w:noWrap w:val="0"/>
            <w:vAlign w:val="center"/>
          </w:tcPr>
          <w:p w14:paraId="027A553C">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格式见附件，检验电子标书</w:t>
            </w:r>
          </w:p>
        </w:tc>
      </w:tr>
    </w:tbl>
    <w:p w14:paraId="12D951FC">
      <w:pPr>
        <w:keepNext w:val="0"/>
        <w:keepLines w:val="0"/>
        <w:pageBreakBefore w:val="0"/>
        <w:kinsoku/>
        <w:overflowPunct/>
        <w:topLinePunct w:val="0"/>
        <w:autoSpaceDE/>
        <w:autoSpaceDN/>
        <w:bidi w:val="0"/>
        <w:adjustRightInd/>
        <w:snapToGrid/>
        <w:spacing w:line="500" w:lineRule="exact"/>
        <w:ind w:right="-164" w:rightChars="-78" w:firstLine="508" w:firstLineChars="241"/>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资格审查材料必须上传到投标人系统-安徽省公共资源交易市场主体库中对应栏目，制作资格审查文件时插上CA数字证书，从投标企业注册信息中挑选相关材料。若所需材料无对应栏目，则将该材料上传至“其他投标用证明材料”里或电子投标文件对应栏中，做电子投标文件时从“其他所需材料”里获取。请各投标人位自行完善主体库管理中的单位信息，保证信息最新且有效。</w:t>
      </w:r>
    </w:p>
    <w:p w14:paraId="32B4C0AD">
      <w:pPr>
        <w:keepNext w:val="0"/>
        <w:keepLines w:val="0"/>
        <w:pageBreakBefore w:val="0"/>
        <w:kinsoku/>
        <w:overflowPunct/>
        <w:topLinePunct w:val="0"/>
        <w:autoSpaceDE/>
        <w:autoSpaceDN/>
        <w:bidi w:val="0"/>
        <w:adjustRightInd/>
        <w:snapToGrid/>
        <w:spacing w:line="500" w:lineRule="exact"/>
        <w:ind w:right="-164" w:rightChars="-78" w:firstLine="508" w:firstLineChars="241"/>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3.3如评标专家在检验电子投标文件过程中，如果由于投标人自身原因导致评标专家无法查看并检验电子投标文件中相关资料的，否决其投标。即使投标人将原件携带至现场的，同样按否决投标处理。</w:t>
      </w:r>
    </w:p>
    <w:p w14:paraId="6392AE99">
      <w:pPr>
        <w:keepNext w:val="0"/>
        <w:keepLines w:val="0"/>
        <w:pageBreakBefore w:val="0"/>
        <w:kinsoku/>
        <w:overflowPunct/>
        <w:topLinePunct w:val="0"/>
        <w:autoSpaceDE/>
        <w:autoSpaceDN/>
        <w:bidi w:val="0"/>
        <w:adjustRightInd/>
        <w:snapToGrid/>
        <w:spacing w:line="500" w:lineRule="exact"/>
        <w:ind w:firstLine="310" w:firstLineChars="147"/>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4.符合性审查</w:t>
      </w:r>
    </w:p>
    <w:p w14:paraId="558566B0">
      <w:pPr>
        <w:keepNext w:val="0"/>
        <w:keepLines w:val="0"/>
        <w:pageBreakBefore w:val="0"/>
        <w:kinsoku/>
        <w:overflowPunct/>
        <w:topLinePunct w:val="0"/>
        <w:autoSpaceDE/>
        <w:autoSpaceDN/>
        <w:bidi w:val="0"/>
        <w:adjustRightInd/>
        <w:snapToGrid/>
        <w:spacing w:line="500" w:lineRule="exact"/>
        <w:ind w:firstLine="315" w:firstLineChars="1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4.1评审细则</w:t>
      </w:r>
    </w:p>
    <w:tbl>
      <w:tblPr>
        <w:tblStyle w:val="3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18"/>
        <w:gridCol w:w="2931"/>
        <w:gridCol w:w="4691"/>
      </w:tblGrid>
      <w:tr w14:paraId="2CE9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5" w:type="dxa"/>
            <w:noWrap w:val="0"/>
            <w:vAlign w:val="center"/>
          </w:tcPr>
          <w:p w14:paraId="1FE67CE1">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49" w:type="dxa"/>
            <w:gridSpan w:val="2"/>
            <w:noWrap w:val="0"/>
            <w:vAlign w:val="center"/>
          </w:tcPr>
          <w:p w14:paraId="71060C81">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审查因素</w:t>
            </w:r>
          </w:p>
        </w:tc>
        <w:tc>
          <w:tcPr>
            <w:tcW w:w="4691" w:type="dxa"/>
            <w:noWrap w:val="0"/>
            <w:vAlign w:val="center"/>
          </w:tcPr>
          <w:p w14:paraId="1C79EA7A">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审查内容</w:t>
            </w:r>
          </w:p>
        </w:tc>
      </w:tr>
      <w:tr w14:paraId="3098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5" w:type="dxa"/>
            <w:vMerge w:val="restart"/>
            <w:noWrap w:val="0"/>
            <w:vAlign w:val="center"/>
          </w:tcPr>
          <w:p w14:paraId="533B3A27">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18" w:type="dxa"/>
            <w:vMerge w:val="restart"/>
            <w:noWrap w:val="0"/>
            <w:vAlign w:val="center"/>
          </w:tcPr>
          <w:p w14:paraId="368B1424">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投标文件的有效性</w:t>
            </w:r>
          </w:p>
        </w:tc>
        <w:tc>
          <w:tcPr>
            <w:tcW w:w="2931" w:type="dxa"/>
            <w:noWrap w:val="0"/>
            <w:vAlign w:val="center"/>
          </w:tcPr>
          <w:p w14:paraId="373FCB02">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（1）投标文件签署</w:t>
            </w:r>
          </w:p>
        </w:tc>
        <w:tc>
          <w:tcPr>
            <w:tcW w:w="4691" w:type="dxa"/>
            <w:noWrap w:val="0"/>
            <w:vAlign w:val="center"/>
          </w:tcPr>
          <w:p w14:paraId="2CC4346A">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签字、盖章符合要求。</w:t>
            </w:r>
          </w:p>
          <w:p w14:paraId="4E48BB75">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rPr>
              <w:t>注：技术标采用暗标，无需签字、盖章）</w:t>
            </w:r>
          </w:p>
        </w:tc>
      </w:tr>
      <w:tr w14:paraId="058B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35" w:type="dxa"/>
            <w:vMerge w:val="continue"/>
            <w:noWrap w:val="0"/>
            <w:vAlign w:val="center"/>
          </w:tcPr>
          <w:p w14:paraId="1A3C2B23">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1318" w:type="dxa"/>
            <w:vMerge w:val="continue"/>
            <w:noWrap w:val="0"/>
            <w:vAlign w:val="center"/>
          </w:tcPr>
          <w:p w14:paraId="5E2684B3">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2931" w:type="dxa"/>
            <w:noWrap w:val="0"/>
            <w:vAlign w:val="center"/>
          </w:tcPr>
          <w:p w14:paraId="12D42A03">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（2）投标方案</w:t>
            </w:r>
          </w:p>
        </w:tc>
        <w:tc>
          <w:tcPr>
            <w:tcW w:w="4691" w:type="dxa"/>
            <w:noWrap w:val="0"/>
            <w:vAlign w:val="center"/>
          </w:tcPr>
          <w:p w14:paraId="4AFB851C">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每个分包只能有一个方案投标。</w:t>
            </w:r>
          </w:p>
        </w:tc>
      </w:tr>
      <w:tr w14:paraId="70B8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5" w:type="dxa"/>
            <w:vMerge w:val="continue"/>
            <w:noWrap w:val="0"/>
            <w:vAlign w:val="center"/>
          </w:tcPr>
          <w:p w14:paraId="307615F5">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1318" w:type="dxa"/>
            <w:vMerge w:val="continue"/>
            <w:noWrap w:val="0"/>
            <w:vAlign w:val="center"/>
          </w:tcPr>
          <w:p w14:paraId="3F4D0FC4">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2931" w:type="dxa"/>
            <w:noWrap w:val="0"/>
            <w:vAlign w:val="center"/>
          </w:tcPr>
          <w:p w14:paraId="0B4A3C57">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（3）报价唯一</w:t>
            </w:r>
          </w:p>
        </w:tc>
        <w:tc>
          <w:tcPr>
            <w:tcW w:w="4691" w:type="dxa"/>
            <w:noWrap w:val="0"/>
            <w:vAlign w:val="center"/>
          </w:tcPr>
          <w:p w14:paraId="15D3F059">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只能在限价范围内报价，</w:t>
            </w:r>
            <w:r>
              <w:rPr>
                <w:rFonts w:hint="eastAsia" w:ascii="宋体" w:hAnsi="宋体" w:eastAsia="宋体" w:cs="宋体"/>
                <w:color w:val="auto"/>
                <w:szCs w:val="21"/>
                <w:highlight w:val="none"/>
              </w:rPr>
              <w:t>只能有一个有效报价，不得提交选择性报价。</w:t>
            </w:r>
          </w:p>
        </w:tc>
      </w:tr>
      <w:tr w14:paraId="3F82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35" w:type="dxa"/>
            <w:vMerge w:val="continue"/>
            <w:noWrap w:val="0"/>
            <w:vAlign w:val="center"/>
          </w:tcPr>
          <w:p w14:paraId="13DB81B6">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1318" w:type="dxa"/>
            <w:vMerge w:val="continue"/>
            <w:noWrap w:val="0"/>
            <w:vAlign w:val="center"/>
          </w:tcPr>
          <w:p w14:paraId="6780AEE0">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2931" w:type="dxa"/>
            <w:noWrap w:val="0"/>
            <w:vAlign w:val="center"/>
          </w:tcPr>
          <w:p w14:paraId="4522E46F">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 投标文件的有效期</w:t>
            </w:r>
          </w:p>
        </w:tc>
        <w:tc>
          <w:tcPr>
            <w:tcW w:w="4691" w:type="dxa"/>
            <w:noWrap w:val="0"/>
            <w:vAlign w:val="center"/>
          </w:tcPr>
          <w:p w14:paraId="08E1E0D0">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完全响应。</w:t>
            </w:r>
          </w:p>
        </w:tc>
      </w:tr>
      <w:tr w14:paraId="753A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35" w:type="dxa"/>
            <w:vMerge w:val="restart"/>
            <w:noWrap w:val="0"/>
            <w:vAlign w:val="center"/>
          </w:tcPr>
          <w:p w14:paraId="215CAC59">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18" w:type="dxa"/>
            <w:vMerge w:val="restart"/>
            <w:noWrap w:val="0"/>
            <w:vAlign w:val="center"/>
          </w:tcPr>
          <w:p w14:paraId="4055FC17">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投标文件的完整性</w:t>
            </w:r>
          </w:p>
        </w:tc>
        <w:tc>
          <w:tcPr>
            <w:tcW w:w="2931" w:type="dxa"/>
            <w:noWrap w:val="0"/>
            <w:vAlign w:val="center"/>
          </w:tcPr>
          <w:p w14:paraId="0A036CFE">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（5）投标文件份数</w:t>
            </w:r>
          </w:p>
        </w:tc>
        <w:tc>
          <w:tcPr>
            <w:tcW w:w="4691" w:type="dxa"/>
            <w:noWrap w:val="0"/>
            <w:vAlign w:val="center"/>
          </w:tcPr>
          <w:p w14:paraId="3DD62A54">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网上递交的电子投标文件：一份； </w:t>
            </w:r>
          </w:p>
        </w:tc>
      </w:tr>
      <w:tr w14:paraId="697D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35" w:type="dxa"/>
            <w:vMerge w:val="continue"/>
            <w:noWrap w:val="0"/>
            <w:vAlign w:val="center"/>
          </w:tcPr>
          <w:p w14:paraId="642FC88F">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1318" w:type="dxa"/>
            <w:vMerge w:val="continue"/>
            <w:noWrap w:val="0"/>
            <w:vAlign w:val="center"/>
          </w:tcPr>
          <w:p w14:paraId="39810774">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2931" w:type="dxa"/>
            <w:noWrap w:val="0"/>
            <w:vAlign w:val="center"/>
          </w:tcPr>
          <w:p w14:paraId="1F56E698">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（6）投标文件形式内容</w:t>
            </w:r>
          </w:p>
        </w:tc>
        <w:tc>
          <w:tcPr>
            <w:tcW w:w="4691" w:type="dxa"/>
            <w:noWrap w:val="0"/>
            <w:vAlign w:val="center"/>
          </w:tcPr>
          <w:p w14:paraId="46D3FB82">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投标文件内容清晰、齐全无遗漏。</w:t>
            </w:r>
          </w:p>
        </w:tc>
      </w:tr>
      <w:tr w14:paraId="1D11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35" w:type="dxa"/>
            <w:vMerge w:val="restart"/>
            <w:noWrap w:val="0"/>
            <w:vAlign w:val="center"/>
          </w:tcPr>
          <w:p w14:paraId="438CAEB7">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18" w:type="dxa"/>
            <w:vMerge w:val="restart"/>
            <w:noWrap w:val="0"/>
            <w:vAlign w:val="center"/>
          </w:tcPr>
          <w:p w14:paraId="5517D357">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投标文件的响应程度</w:t>
            </w:r>
          </w:p>
        </w:tc>
        <w:tc>
          <w:tcPr>
            <w:tcW w:w="2931" w:type="dxa"/>
            <w:noWrap w:val="0"/>
            <w:vAlign w:val="center"/>
          </w:tcPr>
          <w:p w14:paraId="21B7C691">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（7）技术参数响应程度</w:t>
            </w:r>
          </w:p>
        </w:tc>
        <w:tc>
          <w:tcPr>
            <w:tcW w:w="4691" w:type="dxa"/>
            <w:noWrap w:val="0"/>
            <w:vAlign w:val="center"/>
          </w:tcPr>
          <w:p w14:paraId="1E068CF5">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最大限度</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招标文件要求。</w:t>
            </w:r>
          </w:p>
        </w:tc>
      </w:tr>
      <w:tr w14:paraId="3FFA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5" w:type="dxa"/>
            <w:vMerge w:val="continue"/>
            <w:noWrap w:val="0"/>
            <w:vAlign w:val="center"/>
          </w:tcPr>
          <w:p w14:paraId="70D7554B">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1318" w:type="dxa"/>
            <w:vMerge w:val="continue"/>
            <w:noWrap w:val="0"/>
            <w:vAlign w:val="center"/>
          </w:tcPr>
          <w:p w14:paraId="3DCEF562">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p>
        </w:tc>
        <w:tc>
          <w:tcPr>
            <w:tcW w:w="2931" w:type="dxa"/>
            <w:noWrap w:val="0"/>
            <w:vAlign w:val="center"/>
          </w:tcPr>
          <w:p w14:paraId="3A2D48EF">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（8）商务条款响应程度（包括不限于业绩、</w:t>
            </w:r>
            <w:r>
              <w:rPr>
                <w:rFonts w:hint="eastAsia" w:ascii="宋体" w:hAnsi="宋体" w:eastAsia="宋体" w:cs="宋体"/>
                <w:color w:val="auto"/>
                <w:szCs w:val="21"/>
                <w:highlight w:val="none"/>
              </w:rPr>
              <w:t>供货</w:t>
            </w:r>
            <w:r>
              <w:rPr>
                <w:rFonts w:hint="eastAsia" w:ascii="宋体" w:hAnsi="宋体" w:eastAsia="宋体" w:cs="宋体"/>
                <w:color w:val="auto"/>
                <w:szCs w:val="21"/>
                <w:highlight w:val="none"/>
                <w:lang w:val="zh-CN"/>
              </w:rPr>
              <w:t>期、售后服务、技术培训等）</w:t>
            </w:r>
          </w:p>
        </w:tc>
        <w:tc>
          <w:tcPr>
            <w:tcW w:w="4691" w:type="dxa"/>
            <w:noWrap w:val="0"/>
            <w:vAlign w:val="center"/>
          </w:tcPr>
          <w:p w14:paraId="04D2ADCF">
            <w:pPr>
              <w:keepNext w:val="0"/>
              <w:keepLines w:val="0"/>
              <w:pageBreakBefore w:val="0"/>
              <w:kinsoku/>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响应招标文件要求。</w:t>
            </w:r>
          </w:p>
        </w:tc>
      </w:tr>
    </w:tbl>
    <w:p w14:paraId="3C21CA69">
      <w:pPr>
        <w:keepNext w:val="0"/>
        <w:keepLines w:val="0"/>
        <w:pageBreakBefore w:val="0"/>
        <w:kinsoku/>
        <w:overflowPunct/>
        <w:topLinePunct w:val="0"/>
        <w:autoSpaceDE/>
        <w:autoSpaceDN/>
        <w:bidi w:val="0"/>
        <w:adjustRightInd/>
        <w:snapToGrid/>
        <w:spacing w:line="500" w:lineRule="exact"/>
        <w:ind w:right="36" w:rightChars="17" w:firstLine="506" w:firstLineChars="241"/>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4.2资格审查及评分细则中涉及的有关证明材料及相关证书，电子投标文件中须按招标文件要求上传</w:t>
      </w:r>
      <w:r>
        <w:rPr>
          <w:rFonts w:hint="eastAsia" w:ascii="宋体" w:hAnsi="宋体" w:eastAsia="宋体" w:cs="宋体"/>
          <w:b/>
          <w:color w:val="auto"/>
          <w:szCs w:val="21"/>
          <w:highlight w:val="none"/>
        </w:rPr>
        <w:t>扫描件</w:t>
      </w:r>
      <w:r>
        <w:rPr>
          <w:rFonts w:hint="eastAsia" w:ascii="宋体" w:hAnsi="宋体" w:eastAsia="宋体" w:cs="宋体"/>
          <w:color w:val="auto"/>
          <w:szCs w:val="21"/>
          <w:highlight w:val="none"/>
        </w:rPr>
        <w:t>，以供审查。</w:t>
      </w:r>
    </w:p>
    <w:p w14:paraId="4957B9C1">
      <w:pPr>
        <w:keepNext w:val="0"/>
        <w:keepLines w:val="0"/>
        <w:pageBreakBefore w:val="0"/>
        <w:kinsoku/>
        <w:overflowPunct/>
        <w:topLinePunct w:val="0"/>
        <w:autoSpaceDE/>
        <w:autoSpaceDN/>
        <w:bidi w:val="0"/>
        <w:adjustRightInd/>
        <w:snapToGrid/>
        <w:spacing w:line="500" w:lineRule="exact"/>
        <w:ind w:right="36" w:rightChars="17" w:firstLine="506" w:firstLineChars="241"/>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4.3．评标委员会判定投标文件的响应性只根据投标文件本身的内容，而不寻求外部的证据，但投标有不真实不正确的内容时除外。</w:t>
      </w:r>
    </w:p>
    <w:p w14:paraId="4410418F">
      <w:pPr>
        <w:keepNext w:val="0"/>
        <w:keepLines w:val="0"/>
        <w:pageBreakBefore w:val="0"/>
        <w:kinsoku/>
        <w:overflowPunct/>
        <w:topLinePunct w:val="0"/>
        <w:autoSpaceDE/>
        <w:autoSpaceDN/>
        <w:bidi w:val="0"/>
        <w:adjustRightInd/>
        <w:snapToGrid/>
        <w:spacing w:line="500" w:lineRule="exact"/>
        <w:ind w:right="36" w:rightChars="17" w:firstLine="506" w:firstLineChars="241"/>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520D715F">
      <w:pPr>
        <w:keepNext w:val="0"/>
        <w:keepLines w:val="0"/>
        <w:pageBreakBefore w:val="0"/>
        <w:kinsoku/>
        <w:overflowPunct/>
        <w:topLinePunct w:val="0"/>
        <w:autoSpaceDE/>
        <w:autoSpaceDN/>
        <w:bidi w:val="0"/>
        <w:adjustRightInd/>
        <w:snapToGrid/>
        <w:spacing w:line="500" w:lineRule="exact"/>
        <w:ind w:right="36" w:rightChars="17"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4.5投标人可在现场20分钟内对评标委员会的评审结论提出质疑，评标委员会根据招标文件及有关规定对投标人的质疑进行复议。</w:t>
      </w:r>
    </w:p>
    <w:p w14:paraId="3093D985">
      <w:pPr>
        <w:keepNext w:val="0"/>
        <w:keepLines w:val="0"/>
        <w:pageBreakBefore w:val="0"/>
        <w:kinsoku/>
        <w:overflowPunct/>
        <w:topLinePunct w:val="0"/>
        <w:autoSpaceDE/>
        <w:autoSpaceDN/>
        <w:bidi w:val="0"/>
        <w:adjustRightInd/>
        <w:snapToGrid/>
        <w:spacing w:line="500" w:lineRule="exact"/>
        <w:ind w:right="36" w:rightChars="17" w:firstLine="525" w:firstLineChars="2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4.6只有通过初审的投标人才能进入下一步程序。</w:t>
      </w:r>
    </w:p>
    <w:p w14:paraId="7BC2AE78">
      <w:pPr>
        <w:keepNext w:val="0"/>
        <w:keepLines w:val="0"/>
        <w:pageBreakBefore w:val="0"/>
        <w:kinsoku/>
        <w:overflowPunct/>
        <w:topLinePunct w:val="0"/>
        <w:autoSpaceDE/>
        <w:autoSpaceDN/>
        <w:bidi w:val="0"/>
        <w:adjustRightInd/>
        <w:snapToGrid/>
        <w:spacing w:line="500" w:lineRule="exact"/>
        <w:ind w:right="36" w:rightChars="17"/>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温馨提示：1.请各投标人自行完善安徽省公共资源交易市场主体库中的单位基本信息，保证信息最新且有效。</w:t>
      </w:r>
    </w:p>
    <w:p w14:paraId="69E81D24">
      <w:pPr>
        <w:keepNext w:val="0"/>
        <w:keepLines w:val="0"/>
        <w:pageBreakBefore w:val="0"/>
        <w:kinsoku/>
        <w:overflowPunct/>
        <w:topLinePunct w:val="0"/>
        <w:autoSpaceDE/>
        <w:autoSpaceDN/>
        <w:bidi w:val="0"/>
        <w:adjustRightInd/>
        <w:snapToGrid/>
        <w:spacing w:line="500" w:lineRule="exact"/>
        <w:ind w:right="36" w:rightChars="17"/>
        <w:jc w:val="lef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投标文件资格审查资料请精心准备,如评标专家在检验电子投标文件过程中，如果由于投标人自身原因导致评标专家无法查看并检验电子投标文件中以上相关资料的，按无效投标处理。即使投标人将原件携带至现场的，同样按无效投标处理。</w:t>
      </w:r>
    </w:p>
    <w:p w14:paraId="78EC6667">
      <w:pPr>
        <w:spacing w:before="156" w:beforeLines="50" w:after="156" w:afterLines="50"/>
        <w:jc w:val="center"/>
        <w:outlineLvl w:val="1"/>
        <w:rPr>
          <w:rFonts w:hint="eastAsia" w:ascii="宋体"/>
          <w:b/>
          <w:color w:val="auto"/>
          <w:sz w:val="28"/>
          <w:szCs w:val="28"/>
          <w:highlight w:val="none"/>
        </w:rPr>
      </w:pPr>
      <w:bookmarkStart w:id="66" w:name="_Toc58430319"/>
      <w:bookmarkStart w:id="67" w:name="_Toc362983803"/>
      <w:bookmarkStart w:id="68" w:name="_Toc14002"/>
      <w:bookmarkStart w:id="69" w:name="_Toc449028879"/>
      <w:r>
        <w:rPr>
          <w:rFonts w:hint="eastAsia" w:ascii="宋体"/>
          <w:b/>
          <w:color w:val="auto"/>
          <w:sz w:val="28"/>
          <w:szCs w:val="28"/>
          <w:highlight w:val="none"/>
        </w:rPr>
        <w:t>三、投标文件的澄清和补正</w:t>
      </w:r>
      <w:bookmarkEnd w:id="66"/>
      <w:bookmarkEnd w:id="67"/>
      <w:bookmarkEnd w:id="68"/>
      <w:bookmarkEnd w:id="69"/>
    </w:p>
    <w:p w14:paraId="73F99C30">
      <w:pPr>
        <w:keepNext w:val="0"/>
        <w:keepLines w:val="0"/>
        <w:pageBreakBefore w:val="0"/>
        <w:widowControl w:val="0"/>
        <w:kinsoku/>
        <w:wordWrap/>
        <w:overflowPunct/>
        <w:topLinePunct w:val="0"/>
        <w:autoSpaceDE/>
        <w:autoSpaceDN/>
        <w:bidi w:val="0"/>
        <w:adjustRightInd/>
        <w:snapToGrid/>
        <w:spacing w:line="500" w:lineRule="exact"/>
        <w:ind w:right="36" w:rightChars="17"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52140B43">
      <w:pPr>
        <w:keepNext w:val="0"/>
        <w:keepLines w:val="0"/>
        <w:pageBreakBefore w:val="0"/>
        <w:widowControl w:val="0"/>
        <w:kinsoku/>
        <w:wordWrap/>
        <w:overflowPunct/>
        <w:topLinePunct w:val="0"/>
        <w:autoSpaceDE/>
        <w:autoSpaceDN/>
        <w:bidi w:val="0"/>
        <w:adjustRightInd/>
        <w:snapToGrid/>
        <w:spacing w:line="500" w:lineRule="exact"/>
        <w:ind w:right="36" w:rightChars="17" w:firstLine="525" w:firstLineChars="2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5.2本项目采用远程开标，投标人的澄清、说明或者补正应当在系统进行，但不得超出投标书的范围或者改变投标书的实质性内容。具体操作方法详见服务指南&gt;交易须知&gt;开标大厅远程解密、质疑(异议)及回复以及评标过程中询标流程操作手册。</w:t>
      </w:r>
    </w:p>
    <w:p w14:paraId="13A11F81">
      <w:pPr>
        <w:keepNext w:val="0"/>
        <w:keepLines w:val="0"/>
        <w:pageBreakBefore w:val="0"/>
        <w:widowControl w:val="0"/>
        <w:kinsoku/>
        <w:wordWrap/>
        <w:overflowPunct/>
        <w:topLinePunct w:val="0"/>
        <w:autoSpaceDE/>
        <w:autoSpaceDN/>
        <w:bidi w:val="0"/>
        <w:adjustRightInd/>
        <w:snapToGrid/>
        <w:spacing w:line="500" w:lineRule="exact"/>
        <w:ind w:right="36" w:rightChars="17" w:firstLine="525" w:firstLineChars="2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5.3评委会修正错误的原则：</w:t>
      </w:r>
    </w:p>
    <w:p w14:paraId="0FDBFE08">
      <w:pPr>
        <w:keepNext w:val="0"/>
        <w:keepLines w:val="0"/>
        <w:pageBreakBefore w:val="0"/>
        <w:widowControl w:val="0"/>
        <w:kinsoku/>
        <w:wordWrap/>
        <w:overflowPunct/>
        <w:topLinePunct w:val="0"/>
        <w:autoSpaceDE/>
        <w:autoSpaceDN/>
        <w:bidi w:val="0"/>
        <w:adjustRightInd/>
        <w:snapToGrid/>
        <w:spacing w:line="500" w:lineRule="exact"/>
        <w:ind w:right="36" w:rightChars="17" w:firstLine="525" w:firstLineChars="2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167E3CF8">
      <w:pPr>
        <w:keepNext w:val="0"/>
        <w:keepLines w:val="0"/>
        <w:pageBreakBefore w:val="0"/>
        <w:widowControl w:val="0"/>
        <w:kinsoku/>
        <w:wordWrap/>
        <w:overflowPunct/>
        <w:topLinePunct w:val="0"/>
        <w:autoSpaceDE/>
        <w:autoSpaceDN/>
        <w:bidi w:val="0"/>
        <w:adjustRightInd/>
        <w:snapToGrid/>
        <w:spacing w:line="500" w:lineRule="exact"/>
        <w:ind w:right="36" w:rightChars="17" w:firstLine="525" w:firstLineChars="2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5.3.2如果单价与数量的乘积和总价不一致，以单价为准，修正总价及开标一览表；当单价小数点有明显的错位时，评委会将以总价为准，并修正其单价；投标的数量与招标的数量不一致时，以招标数量为准。</w:t>
      </w:r>
    </w:p>
    <w:p w14:paraId="57F497EB">
      <w:pPr>
        <w:keepNext w:val="0"/>
        <w:keepLines w:val="0"/>
        <w:pageBreakBefore w:val="0"/>
        <w:widowControl w:val="0"/>
        <w:kinsoku/>
        <w:wordWrap/>
        <w:overflowPunct/>
        <w:topLinePunct w:val="0"/>
        <w:autoSpaceDE/>
        <w:autoSpaceDN/>
        <w:bidi w:val="0"/>
        <w:adjustRightInd/>
        <w:snapToGrid/>
        <w:spacing w:line="500" w:lineRule="exact"/>
        <w:ind w:right="36" w:rightChars="17" w:firstLine="403" w:firstLineChars="192"/>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bookmarkEnd w:id="61"/>
    <w:p w14:paraId="1B04132E">
      <w:pPr>
        <w:spacing w:before="156" w:beforeLines="50" w:after="156" w:afterLines="50"/>
        <w:jc w:val="center"/>
        <w:outlineLvl w:val="1"/>
        <w:rPr>
          <w:rFonts w:hint="eastAsia" w:ascii="宋体"/>
          <w:b/>
          <w:color w:val="auto"/>
          <w:sz w:val="28"/>
          <w:szCs w:val="28"/>
          <w:highlight w:val="none"/>
        </w:rPr>
      </w:pPr>
      <w:bookmarkStart w:id="70" w:name="_Toc449028880"/>
      <w:bookmarkStart w:id="71" w:name="_Toc3630"/>
      <w:bookmarkStart w:id="72" w:name="_Toc58430320"/>
      <w:bookmarkStart w:id="73" w:name="_Hlk101517174"/>
      <w:r>
        <w:rPr>
          <w:rFonts w:hint="eastAsia" w:ascii="宋体"/>
          <w:b/>
          <w:color w:val="auto"/>
          <w:sz w:val="28"/>
          <w:szCs w:val="28"/>
          <w:highlight w:val="none"/>
        </w:rPr>
        <w:t>四、比较与评价</w:t>
      </w:r>
      <w:bookmarkEnd w:id="70"/>
      <w:bookmarkEnd w:id="71"/>
      <w:bookmarkEnd w:id="72"/>
    </w:p>
    <w:p w14:paraId="5882828A">
      <w:pPr>
        <w:keepNext w:val="0"/>
        <w:keepLines w:val="0"/>
        <w:pageBreakBefore w:val="0"/>
        <w:kinsoku/>
        <w:wordWrap/>
        <w:overflowPunct/>
        <w:topLinePunct w:val="0"/>
        <w:autoSpaceDE/>
        <w:autoSpaceDN/>
        <w:bidi w:val="0"/>
        <w:spacing w:line="500" w:lineRule="exact"/>
        <w:ind w:right="36" w:rightChars="17" w:firstLine="417" w:firstLineChars="198"/>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6.</w:t>
      </w:r>
      <w:bookmarkStart w:id="74" w:name="_Toc362983805"/>
      <w:r>
        <w:rPr>
          <w:rFonts w:hint="eastAsia" w:ascii="宋体" w:hAnsi="宋体" w:eastAsia="宋体" w:cs="宋体"/>
          <w:b/>
          <w:color w:val="auto"/>
          <w:szCs w:val="21"/>
          <w:highlight w:val="none"/>
        </w:rPr>
        <w:t>详细评审即按招标文件中规定的评标方法和标准，评标委员会将对通过初审的投标文件，进</w:t>
      </w:r>
      <w:r>
        <w:rPr>
          <w:rFonts w:hint="eastAsia" w:ascii="宋体" w:hAnsi="宋体" w:eastAsia="宋体" w:cs="宋体"/>
          <w:b/>
          <w:color w:val="auto"/>
          <w:szCs w:val="21"/>
          <w:highlight w:val="none"/>
        </w:rPr>
        <w:t>行技术和商务部分评估、综合比较</w:t>
      </w:r>
      <w:r>
        <w:rPr>
          <w:rFonts w:hint="eastAsia" w:ascii="宋体" w:hAnsi="宋体" w:eastAsia="宋体" w:cs="宋体"/>
          <w:b/>
          <w:color w:val="auto"/>
          <w:szCs w:val="21"/>
          <w:highlight w:val="none"/>
        </w:rPr>
        <w:t>与评价。</w:t>
      </w:r>
    </w:p>
    <w:bookmarkEnd w:id="73"/>
    <w:p w14:paraId="3DF56D0A">
      <w:pPr>
        <w:keepNext w:val="0"/>
        <w:keepLines w:val="0"/>
        <w:pageBreakBefore w:val="0"/>
        <w:kinsoku/>
        <w:wordWrap/>
        <w:overflowPunct/>
        <w:topLinePunct w:val="0"/>
        <w:autoSpaceDE/>
        <w:autoSpaceDN/>
        <w:bidi w:val="0"/>
        <w:adjustRightInd w:val="0"/>
        <w:snapToGrid w:val="0"/>
        <w:spacing w:line="500" w:lineRule="exact"/>
        <w:ind w:firstLine="422" w:firstLineChars="200"/>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技术标评审细则（</w:t>
      </w:r>
      <w:r>
        <w:rPr>
          <w:rFonts w:hint="eastAsia" w:ascii="宋体" w:hAnsi="宋体" w:cs="宋体"/>
          <w:b/>
          <w:bCs/>
          <w:color w:val="auto"/>
          <w:szCs w:val="21"/>
          <w:highlight w:val="none"/>
          <w:lang w:val="en-US" w:eastAsia="zh-CN"/>
        </w:rPr>
        <w:t>20</w:t>
      </w:r>
      <w:r>
        <w:rPr>
          <w:rFonts w:hint="eastAsia" w:ascii="宋体" w:hAnsi="宋体" w:eastAsia="宋体" w:cs="宋体"/>
          <w:b/>
          <w:bCs/>
          <w:color w:val="auto"/>
          <w:szCs w:val="21"/>
          <w:highlight w:val="none"/>
          <w:lang w:val="en-US" w:eastAsia="zh-CN"/>
        </w:rPr>
        <w:t>分）</w:t>
      </w:r>
    </w:p>
    <w:tbl>
      <w:tblPr>
        <w:tblStyle w:val="35"/>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5"/>
        <w:gridCol w:w="900"/>
        <w:gridCol w:w="7350"/>
      </w:tblGrid>
      <w:tr w14:paraId="5BD5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210171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45" w:type="dxa"/>
            <w:noWrap w:val="0"/>
            <w:vAlign w:val="center"/>
          </w:tcPr>
          <w:p w14:paraId="2BF38F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900" w:type="dxa"/>
            <w:noWrap w:val="0"/>
            <w:vAlign w:val="center"/>
          </w:tcPr>
          <w:p w14:paraId="7EEF42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350" w:type="dxa"/>
            <w:noWrap w:val="0"/>
            <w:vAlign w:val="center"/>
          </w:tcPr>
          <w:p w14:paraId="06FEB4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0104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0BD33D44">
            <w:pPr>
              <w:pStyle w:val="17"/>
              <w:keepNext w:val="0"/>
              <w:keepLines w:val="0"/>
              <w:pageBreakBefore w:val="0"/>
              <w:widowControl w:val="0"/>
              <w:kinsoku/>
              <w:wordWrap/>
              <w:overflowPunct/>
              <w:topLinePunct w:val="0"/>
              <w:autoSpaceDE/>
              <w:autoSpaceDN/>
              <w:bidi w:val="0"/>
              <w:adjustRightInd/>
              <w:snapToGrid/>
              <w:spacing w:after="0" w:afterLines="0"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45" w:type="dxa"/>
            <w:noWrap w:val="0"/>
            <w:vAlign w:val="center"/>
          </w:tcPr>
          <w:p w14:paraId="0534EC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物业管理服务整体方案</w:t>
            </w:r>
          </w:p>
        </w:tc>
        <w:tc>
          <w:tcPr>
            <w:tcW w:w="900" w:type="dxa"/>
            <w:noWrap w:val="0"/>
            <w:vAlign w:val="center"/>
          </w:tcPr>
          <w:p w14:paraId="72B419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分</w:t>
            </w:r>
          </w:p>
        </w:tc>
        <w:tc>
          <w:tcPr>
            <w:tcW w:w="7350" w:type="dxa"/>
            <w:noWrap w:val="0"/>
            <w:vAlign w:val="center"/>
          </w:tcPr>
          <w:p w14:paraId="71DFB790">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根据投标人对本项目的管理重点难点分析，针对提出的服务总体方案，进行综合评分：</w:t>
            </w:r>
          </w:p>
          <w:p w14:paraId="7E992013">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物业服务整体运作流程清晰，有明确的管理服务模式，内部管理架构，整体设想及策划，总体方案体现高品质、高标准、高水平的管理模式，内容全面、科学，有明确的工作计划（时间、内容、目标）和服务标准，有创造性、超前性，方案合理性、针对性和可操作性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53FAA8C2">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2.方案能够满足采购项目要求，合理、针对性和可操作性较强的得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C9F8C14">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3.方案能够满足采购项目基本要求，响应中包含整体服务方案，但缺少项目针对性、合理性，可操作性有待完善的得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0FA01607">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4.未提供方案的不得分。</w:t>
            </w:r>
          </w:p>
        </w:tc>
      </w:tr>
      <w:tr w14:paraId="0391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97" w:type="dxa"/>
            <w:noWrap w:val="0"/>
            <w:vAlign w:val="center"/>
          </w:tcPr>
          <w:p w14:paraId="0243B036">
            <w:pPr>
              <w:pStyle w:val="17"/>
              <w:keepNext w:val="0"/>
              <w:keepLines w:val="0"/>
              <w:pageBreakBefore w:val="0"/>
              <w:widowControl w:val="0"/>
              <w:kinsoku/>
              <w:wordWrap/>
              <w:overflowPunct/>
              <w:topLinePunct w:val="0"/>
              <w:autoSpaceDE/>
              <w:autoSpaceDN/>
              <w:bidi w:val="0"/>
              <w:adjustRightInd/>
              <w:snapToGrid/>
              <w:spacing w:after="0" w:afterLines="0"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45" w:type="dxa"/>
            <w:noWrap w:val="0"/>
            <w:vAlign w:val="center"/>
          </w:tcPr>
          <w:p w14:paraId="2935A7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人员配备、培训及管理</w:t>
            </w:r>
          </w:p>
        </w:tc>
        <w:tc>
          <w:tcPr>
            <w:tcW w:w="900" w:type="dxa"/>
            <w:noWrap w:val="0"/>
            <w:vAlign w:val="center"/>
          </w:tcPr>
          <w:p w14:paraId="778CD9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分</w:t>
            </w:r>
          </w:p>
        </w:tc>
        <w:tc>
          <w:tcPr>
            <w:tcW w:w="7350" w:type="dxa"/>
            <w:noWrap w:val="0"/>
            <w:vAlign w:val="center"/>
          </w:tcPr>
          <w:p w14:paraId="52C7A3CB">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项目特点提供整体的人员配备、培训方案，包括：人员培训：对各类人员的培训计划、方式、目标及行为规范的培训等；人员的管理：录用与考核、淘汰机制、奖罚、协调关系、服务意识、量化管理及标准运作等；管理规章制度：公众制度、企业内部岗位责任制、管理维护运作制度及标准、管理人员考核制度及标准等。由评标委员会根据投标文件以上内容进行综合评审：</w:t>
            </w:r>
          </w:p>
          <w:p w14:paraId="508ABCB4">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1.方案切合实际情况，各部分有深入的表述，解决方案合理、有具体切实可行的保障措施的得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317EB9B8">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2.方案符合实际情况，内容完整、表述清晰，有保障措施，措施实施内容具体可行的得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9C29DF4">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3.方案满足项目要求，内容完整，考虑了保障措施，保障措施及解决方案出现非专门针对本项目内容的得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16C543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4.未提供的不得分。</w:t>
            </w:r>
          </w:p>
        </w:tc>
      </w:tr>
      <w:tr w14:paraId="744C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22BD72DF">
            <w:pPr>
              <w:pStyle w:val="17"/>
              <w:keepNext w:val="0"/>
              <w:keepLines w:val="0"/>
              <w:pageBreakBefore w:val="0"/>
              <w:widowControl w:val="0"/>
              <w:kinsoku/>
              <w:wordWrap/>
              <w:overflowPunct/>
              <w:topLinePunct w:val="0"/>
              <w:autoSpaceDE/>
              <w:autoSpaceDN/>
              <w:bidi w:val="0"/>
              <w:adjustRightInd/>
              <w:snapToGrid/>
              <w:spacing w:after="0" w:afterLines="0"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245" w:type="dxa"/>
            <w:noWrap w:val="0"/>
            <w:vAlign w:val="center"/>
          </w:tcPr>
          <w:p w14:paraId="43E760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应急处理预案</w:t>
            </w:r>
          </w:p>
        </w:tc>
        <w:tc>
          <w:tcPr>
            <w:tcW w:w="900" w:type="dxa"/>
            <w:noWrap w:val="0"/>
            <w:vAlign w:val="center"/>
          </w:tcPr>
          <w:p w14:paraId="26E2E8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分</w:t>
            </w:r>
          </w:p>
        </w:tc>
        <w:tc>
          <w:tcPr>
            <w:tcW w:w="7350" w:type="dxa"/>
            <w:noWrap w:val="0"/>
            <w:vAlign w:val="center"/>
          </w:tcPr>
          <w:p w14:paraId="4E98812B">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针对本项目的实际情况制定的应急预案方案，对突发事件如电梯、火灾、地震、停供电、雨雪恶劣天气等事项能安排专人负责，有详细的应急预案，评标委员会根据供应商提供的以上内容综合评分：</w:t>
            </w:r>
          </w:p>
          <w:p w14:paraId="2E0197ED">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1.方案完善，应急响应时间安排合理，应急设备及应急服务人员配备充足，突发情况应急处理控制措施完整可行</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584BB6B3">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2.方案合理，应急响应时间安排合理，应急设备及应急服务人员配备可行，可以完成突发情况应急处理</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1D3DD32">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3.方案简单，应急响应时间、应急设备及应急服务人员配备勉强满足项目需求且出现非专门针对本项目特性内容，方案有待改善得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CFE9B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4.未提供的不得分。</w:t>
            </w:r>
          </w:p>
        </w:tc>
      </w:tr>
      <w:tr w14:paraId="442C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408F0B27">
            <w:pPr>
              <w:pStyle w:val="17"/>
              <w:keepNext w:val="0"/>
              <w:keepLines w:val="0"/>
              <w:pageBreakBefore w:val="0"/>
              <w:widowControl w:val="0"/>
              <w:kinsoku/>
              <w:wordWrap/>
              <w:overflowPunct/>
              <w:topLinePunct w:val="0"/>
              <w:autoSpaceDE/>
              <w:autoSpaceDN/>
              <w:bidi w:val="0"/>
              <w:adjustRightInd/>
              <w:snapToGrid/>
              <w:spacing w:after="0" w:afterLines="0"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45" w:type="dxa"/>
            <w:noWrap w:val="0"/>
            <w:vAlign w:val="center"/>
          </w:tcPr>
          <w:p w14:paraId="4540B7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安全保卫方案</w:t>
            </w:r>
          </w:p>
        </w:tc>
        <w:tc>
          <w:tcPr>
            <w:tcW w:w="900" w:type="dxa"/>
            <w:noWrap w:val="0"/>
            <w:vAlign w:val="center"/>
          </w:tcPr>
          <w:p w14:paraId="558F6E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分</w:t>
            </w:r>
          </w:p>
        </w:tc>
        <w:tc>
          <w:tcPr>
            <w:tcW w:w="7350" w:type="dxa"/>
            <w:noWrap w:val="0"/>
            <w:vAlign w:val="center"/>
          </w:tcPr>
          <w:p w14:paraId="1B1EF6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针对本项目的工作特点提供整体安全保卫方案内容。由评标委员会根据响应文件以上内容进行综合评审：</w:t>
            </w:r>
          </w:p>
          <w:p w14:paraId="555D8D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1.服务方案全面、完整、详尽、各项服务措施完善，充分考虑各岗位日常人员配合、工作安排实施方案等因素，可实施性突出，充分满足项目实施要求</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4CE0A1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2.服务方案有各项服务措施，各岗位日常人员配合、工作安排具有实施性，满足项目实施要求</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71F883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3.服务方案简单，服务措施及服务安排存在不足</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5B004A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4.未提供的不得分。</w:t>
            </w:r>
          </w:p>
        </w:tc>
      </w:tr>
      <w:tr w14:paraId="3006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7" w:type="dxa"/>
            <w:noWrap w:val="0"/>
            <w:vAlign w:val="center"/>
          </w:tcPr>
          <w:p w14:paraId="6317B1A1">
            <w:pPr>
              <w:pStyle w:val="17"/>
              <w:keepNext w:val="0"/>
              <w:keepLines w:val="0"/>
              <w:pageBreakBefore w:val="0"/>
              <w:widowControl w:val="0"/>
              <w:kinsoku/>
              <w:wordWrap/>
              <w:overflowPunct/>
              <w:topLinePunct w:val="0"/>
              <w:autoSpaceDE/>
              <w:autoSpaceDN/>
              <w:bidi w:val="0"/>
              <w:adjustRightInd/>
              <w:snapToGrid/>
              <w:spacing w:after="0" w:afterLines="0" w:line="5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45" w:type="dxa"/>
            <w:noWrap w:val="0"/>
            <w:vAlign w:val="center"/>
          </w:tcPr>
          <w:p w14:paraId="5A8417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保洁绿化服务及消防日常维护方案</w:t>
            </w:r>
          </w:p>
        </w:tc>
        <w:tc>
          <w:tcPr>
            <w:tcW w:w="900" w:type="dxa"/>
            <w:noWrap w:val="0"/>
            <w:vAlign w:val="center"/>
          </w:tcPr>
          <w:p w14:paraId="4AFF2B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4分</w:t>
            </w:r>
          </w:p>
        </w:tc>
        <w:tc>
          <w:tcPr>
            <w:tcW w:w="7350" w:type="dxa"/>
            <w:noWrap w:val="0"/>
            <w:vAlign w:val="center"/>
          </w:tcPr>
          <w:p w14:paraId="690FBDAC">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针对本项目的工作特点提供日常保洁服务方案、绿化服务方案、水电维修维护方案、消防维护日常维护方案及设施设备报修维修方案。由评标委员会根据响应文件以上内容进行综合评审：</w:t>
            </w:r>
          </w:p>
          <w:p w14:paraId="7F34F400">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1.服务方案全面、完整、详尽、各项服务措施完善，充分考虑各岗位日常人员配合、工作安排实施方案等因素，可实施性突出，充分满足项目实施要求</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385F0B5A">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2.服务方案有各项服务措施，各岗位日常人员配合、工作安排具有实施性，满足项目实施要求</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D2799F5">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3.服务方案简单，服务措施及服务安排存在不足</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23EEC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4.未提供的不得分。</w:t>
            </w:r>
          </w:p>
        </w:tc>
      </w:tr>
      <w:tr w14:paraId="7DDE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92" w:type="dxa"/>
            <w:gridSpan w:val="4"/>
            <w:noWrap w:val="0"/>
            <w:vAlign w:val="center"/>
          </w:tcPr>
          <w:p w14:paraId="06CAF7F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注：1.该项由专家评委评审打分，取所有评委评分中分别去掉一个最高和最低评分后的平均值为最终得分，保留两位小数点，第三位四舍五入。</w:t>
            </w:r>
          </w:p>
          <w:p w14:paraId="37428F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54E4865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 技术标暗标不设空白页。技术标投标文件封面不出现投标人、法定代表人签章内容，格式以系统设置为准。正文必须按招标文件要求的顺序进行排版；</w:t>
            </w:r>
          </w:p>
          <w:p w14:paraId="602E1F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r>
              <w:rPr>
                <w:rFonts w:hint="eastAsia" w:ascii="宋体" w:hAnsi="宋体" w:cs="宋体"/>
                <w:color w:val="auto"/>
                <w:kern w:val="0"/>
                <w:sz w:val="21"/>
                <w:szCs w:val="21"/>
                <w:highlight w:val="none"/>
                <w:lang w:val="en-US" w:eastAsia="zh-CN" w:bidi="ar"/>
              </w:rPr>
              <w:t>。</w:t>
            </w:r>
          </w:p>
          <w:p w14:paraId="6094CF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49CCB92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3.技术标暗标文件的格式、制作不符合上述要求的，每一分项扣0.2分。技术标实行暗标的，对技术标（暗标）部分不予澄清、说明或者补正。</w:t>
            </w:r>
          </w:p>
          <w:p w14:paraId="5CB85F0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4.技术标的四个评分因素，每个页数不多于10页。</w:t>
            </w:r>
            <w:r>
              <w:rPr>
                <w:rFonts w:hint="eastAsia" w:ascii="宋体" w:hAnsi="宋体"/>
                <w:color w:val="auto"/>
                <w:szCs w:val="21"/>
                <w:highlight w:val="none"/>
              </w:rPr>
              <w:t>具体篇幅(字数)要求及扣分标准（扣分值为0.2分）</w:t>
            </w:r>
            <w:r>
              <w:rPr>
                <w:rFonts w:hint="eastAsia" w:ascii="宋体" w:hAnsi="宋体"/>
                <w:color w:val="auto"/>
                <w:szCs w:val="21"/>
                <w:highlight w:val="none"/>
                <w:lang w:eastAsia="zh-CN"/>
              </w:rPr>
              <w:t>。</w:t>
            </w:r>
            <w:r>
              <w:rPr>
                <w:rFonts w:hint="eastAsia" w:ascii="宋体" w:hAnsi="宋体"/>
                <w:color w:val="auto"/>
                <w:szCs w:val="21"/>
                <w:highlight w:val="none"/>
              </w:rPr>
              <w:t>偏离规定标准的，评标委员会应酌情扣分。</w:t>
            </w:r>
          </w:p>
          <w:p w14:paraId="337ED5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p>
          <w:p w14:paraId="029E2C1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如所有投标企业技术标都出现能反映企业信息等相关内容的，该项目流标。</w:t>
            </w:r>
          </w:p>
        </w:tc>
      </w:tr>
    </w:tbl>
    <w:p w14:paraId="7ADC3DD8">
      <w:pPr>
        <w:keepNext w:val="0"/>
        <w:keepLines w:val="0"/>
        <w:pageBreakBefore w:val="0"/>
        <w:numPr>
          <w:ilvl w:val="0"/>
          <w:numId w:val="0"/>
        </w:numPr>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商务标评审细则</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80</w:t>
      </w:r>
      <w:r>
        <w:rPr>
          <w:rFonts w:hint="eastAsia" w:ascii="宋体" w:hAnsi="宋体" w:eastAsia="宋体" w:cs="宋体"/>
          <w:b/>
          <w:bCs/>
          <w:color w:val="auto"/>
          <w:szCs w:val="21"/>
          <w:highlight w:val="none"/>
        </w:rPr>
        <w:t>分）</w:t>
      </w:r>
    </w:p>
    <w:tbl>
      <w:tblPr>
        <w:tblStyle w:val="35"/>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584"/>
      </w:tblGrid>
      <w:tr w14:paraId="7282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noWrap w:val="0"/>
            <w:vAlign w:val="center"/>
          </w:tcPr>
          <w:p w14:paraId="1870DC46">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highlight w:val="none"/>
              </w:rPr>
            </w:pPr>
            <w:bookmarkStart w:id="75" w:name="_Toc23311"/>
            <w:bookmarkStart w:id="76" w:name="_Toc58430321"/>
            <w:bookmarkStart w:id="77" w:name="_Toc449028881"/>
            <w:r>
              <w:rPr>
                <w:rFonts w:hint="eastAsia" w:ascii="宋体" w:hAnsi="宋体" w:eastAsia="宋体" w:cs="宋体"/>
                <w:b/>
                <w:bCs/>
                <w:color w:val="auto"/>
                <w:highlight w:val="none"/>
              </w:rPr>
              <w:t>评分因素</w:t>
            </w:r>
          </w:p>
        </w:tc>
        <w:tc>
          <w:tcPr>
            <w:tcW w:w="8584" w:type="dxa"/>
            <w:noWrap w:val="0"/>
            <w:vAlign w:val="center"/>
          </w:tcPr>
          <w:p w14:paraId="598BC05B">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评审细则</w:t>
            </w:r>
          </w:p>
        </w:tc>
      </w:tr>
      <w:tr w14:paraId="2DBB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45" w:type="dxa"/>
            <w:noWrap w:val="0"/>
            <w:vAlign w:val="center"/>
          </w:tcPr>
          <w:p w14:paraId="4E47B586">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商务标</w:t>
            </w:r>
          </w:p>
          <w:p w14:paraId="186A6575">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80</w:t>
            </w:r>
            <w:r>
              <w:rPr>
                <w:rFonts w:hint="eastAsia" w:ascii="宋体" w:hAnsi="宋体" w:eastAsia="宋体" w:cs="宋体"/>
                <w:color w:val="auto"/>
                <w:szCs w:val="21"/>
                <w:highlight w:val="none"/>
                <w:lang w:val="en-US" w:eastAsia="zh-CN"/>
              </w:rPr>
              <w:t>分）</w:t>
            </w:r>
          </w:p>
        </w:tc>
        <w:tc>
          <w:tcPr>
            <w:tcW w:w="8584" w:type="dxa"/>
            <w:noWrap w:val="0"/>
            <w:vAlign w:val="top"/>
          </w:tcPr>
          <w:p w14:paraId="45E5E997">
            <w:pPr>
              <w:keepNext w:val="0"/>
              <w:keepLines w:val="0"/>
              <w:pageBreakBefore w:val="0"/>
              <w:tabs>
                <w:tab w:val="left" w:pos="1080"/>
              </w:tabs>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设置投标报价最高限价，各</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有效报价不得高于最高限价，否则，其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文件按</w:t>
            </w:r>
            <w:r>
              <w:rPr>
                <w:rFonts w:hint="eastAsia" w:ascii="宋体" w:hAnsi="宋体" w:eastAsia="宋体" w:cs="宋体"/>
                <w:color w:val="auto"/>
                <w:szCs w:val="21"/>
                <w:highlight w:val="none"/>
                <w:lang w:val="en-US" w:eastAsia="zh-CN"/>
              </w:rPr>
              <w:t>无效标</w:t>
            </w:r>
            <w:r>
              <w:rPr>
                <w:rFonts w:hint="eastAsia" w:ascii="宋体" w:hAnsi="宋体" w:eastAsia="宋体" w:cs="宋体"/>
                <w:color w:val="auto"/>
                <w:szCs w:val="21"/>
                <w:highlight w:val="none"/>
              </w:rPr>
              <w:t>处理。</w:t>
            </w:r>
          </w:p>
          <w:p w14:paraId="059B75FA">
            <w:pPr>
              <w:keepNext w:val="0"/>
              <w:keepLines w:val="0"/>
              <w:pageBreakBefore w:val="0"/>
              <w:tabs>
                <w:tab w:val="left" w:pos="1080"/>
              </w:tabs>
              <w:kinsoku/>
              <w:wordWrap/>
              <w:overflowPunct/>
              <w:topLinePunct w:val="0"/>
              <w:autoSpaceDE/>
              <w:autoSpaceDN/>
              <w:bidi w:val="0"/>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评审基准价=所有</w:t>
            </w:r>
            <w:r>
              <w:rPr>
                <w:rFonts w:hint="eastAsia" w:ascii="宋体" w:hAnsi="宋体" w:eastAsia="宋体" w:cs="宋体"/>
                <w:color w:val="auto"/>
                <w:szCs w:val="21"/>
                <w:highlight w:val="none"/>
                <w:lang w:val="en-US" w:eastAsia="zh-CN"/>
              </w:rPr>
              <w:t>有效投标人</w:t>
            </w:r>
            <w:r>
              <w:rPr>
                <w:rFonts w:hint="eastAsia" w:ascii="宋体" w:hAnsi="宋体" w:eastAsia="宋体" w:cs="宋体"/>
                <w:color w:val="auto"/>
                <w:szCs w:val="21"/>
                <w:highlight w:val="none"/>
              </w:rPr>
              <w:t>的最低报价；其得分为满分；</w:t>
            </w:r>
          </w:p>
          <w:p w14:paraId="51CDBDCF">
            <w:pPr>
              <w:keepNext w:val="0"/>
              <w:keepLines w:val="0"/>
              <w:pageBreakBefore w:val="0"/>
              <w:tabs>
                <w:tab w:val="left" w:pos="1080"/>
              </w:tabs>
              <w:kinsoku/>
              <w:wordWrap/>
              <w:overflowPunct/>
              <w:topLinePunct w:val="0"/>
              <w:autoSpaceDE/>
              <w:autoSpaceDN/>
              <w:bidi w:val="0"/>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、其它报价得分=评审基准价/投标报价*</w:t>
            </w:r>
            <w:r>
              <w:rPr>
                <w:rFonts w:hint="eastAsia" w:ascii="宋体" w:hAnsi="宋体" w:eastAsia="宋体" w:cs="宋体"/>
                <w:color w:val="auto"/>
                <w:szCs w:val="21"/>
                <w:highlight w:val="none"/>
                <w:lang w:val="en-US" w:eastAsia="zh-CN"/>
              </w:rPr>
              <w:t>满分</w:t>
            </w:r>
            <w:r>
              <w:rPr>
                <w:rFonts w:hint="eastAsia" w:ascii="宋体" w:hAnsi="宋体" w:eastAsia="宋体" w:cs="宋体"/>
                <w:color w:val="auto"/>
                <w:szCs w:val="21"/>
                <w:highlight w:val="none"/>
              </w:rPr>
              <w:t>，小数点后保留两位小数，第三位四舍五入；</w:t>
            </w:r>
          </w:p>
          <w:p w14:paraId="376E11EA">
            <w:pPr>
              <w:keepNext w:val="0"/>
              <w:keepLines w:val="0"/>
              <w:pageBreakBefore w:val="0"/>
              <w:kinsoku/>
              <w:wordWrap/>
              <w:overflowPunct/>
              <w:topLinePunct w:val="0"/>
              <w:autoSpaceDE/>
              <w:autoSpaceDN/>
              <w:bidi w:val="0"/>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、本项分值由评审委员会负责组织计算。</w:t>
            </w:r>
          </w:p>
        </w:tc>
      </w:tr>
    </w:tbl>
    <w:p w14:paraId="09DC6F43">
      <w:pPr>
        <w:keepNext w:val="0"/>
        <w:keepLines w:val="0"/>
        <w:pageBreakBefore w:val="0"/>
        <w:kinsoku/>
        <w:wordWrap/>
        <w:overflowPunct/>
        <w:topLinePunct w:val="0"/>
        <w:autoSpaceDE/>
        <w:autoSpaceDN/>
        <w:bidi w:val="0"/>
        <w:spacing w:before="156" w:beforeLines="50" w:after="156" w:afterLines="50" w:line="50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五、推荐中标候选人</w:t>
      </w:r>
      <w:bookmarkEnd w:id="74"/>
      <w:bookmarkEnd w:id="75"/>
      <w:bookmarkEnd w:id="76"/>
      <w:bookmarkEnd w:id="77"/>
    </w:p>
    <w:p w14:paraId="42E7E80A">
      <w:pPr>
        <w:keepNext w:val="0"/>
        <w:keepLines w:val="0"/>
        <w:pageBreakBefore w:val="0"/>
        <w:kinsoku/>
        <w:wordWrap/>
        <w:overflowPunct/>
        <w:topLinePunct w:val="0"/>
        <w:autoSpaceDE/>
        <w:autoSpaceDN/>
        <w:bidi w:val="0"/>
        <w:snapToGrid w:val="0"/>
        <w:spacing w:line="500" w:lineRule="exact"/>
        <w:ind w:right="-212" w:rightChars="-101"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7.评标委员会</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及商务得分之</w:t>
      </w:r>
      <w:r>
        <w:rPr>
          <w:rFonts w:hint="eastAsia" w:ascii="宋体" w:hAnsi="宋体" w:eastAsia="宋体" w:cs="宋体"/>
          <w:color w:val="auto"/>
          <w:szCs w:val="21"/>
          <w:highlight w:val="none"/>
        </w:rPr>
        <w:t xml:space="preserve">和从高到低按顺序，推荐3名中标候选人。 </w:t>
      </w:r>
    </w:p>
    <w:p w14:paraId="40877AB8">
      <w:pPr>
        <w:keepNext w:val="0"/>
        <w:keepLines w:val="0"/>
        <w:pageBreakBefore w:val="0"/>
        <w:kinsoku/>
        <w:wordWrap/>
        <w:overflowPunct/>
        <w:topLinePunct w:val="0"/>
        <w:autoSpaceDE/>
        <w:autoSpaceDN/>
        <w:bidi w:val="0"/>
        <w:snapToGrid w:val="0"/>
        <w:spacing w:line="500" w:lineRule="exact"/>
        <w:ind w:right="-212" w:rightChars="-101"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7.1总得分相同的，按报价由低到高顺序排列。总得分且报价相同的并列，由招标人现场采取随机摇号的方式确定中标候选人。</w:t>
      </w:r>
    </w:p>
    <w:p w14:paraId="0AFAAE32">
      <w:pPr>
        <w:keepNext w:val="0"/>
        <w:keepLines w:val="0"/>
        <w:pageBreakBefore w:val="0"/>
        <w:kinsoku/>
        <w:wordWrap/>
        <w:overflowPunct/>
        <w:topLinePunct w:val="0"/>
        <w:autoSpaceDE/>
        <w:autoSpaceDN/>
        <w:bidi w:val="0"/>
        <w:snapToGrid w:val="0"/>
        <w:spacing w:line="500" w:lineRule="exact"/>
        <w:ind w:right="-212" w:rightChars="-101"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7.2在同等条件、同等价格的情况下，所投产品为节能产品、环境标志产品或节能产品、环境标志产品数量多者优先。（本项目不采用）</w:t>
      </w:r>
    </w:p>
    <w:p w14:paraId="77E17AF0">
      <w:pPr>
        <w:keepNext w:val="0"/>
        <w:keepLines w:val="0"/>
        <w:pageBreakBefore w:val="0"/>
        <w:kinsoku/>
        <w:wordWrap/>
        <w:overflowPunct/>
        <w:topLinePunct w:val="0"/>
        <w:autoSpaceDE/>
        <w:autoSpaceDN/>
        <w:bidi w:val="0"/>
        <w:snapToGrid w:val="0"/>
        <w:spacing w:line="500" w:lineRule="exact"/>
        <w:ind w:right="-420" w:rightChars="-20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在专家评审结束后，根据评标委员会评审初步结论，招标人（代理机构）将对推荐的中标候选人、法定代表人及其项目负责人是否存在联合惩戒失信行为进行网上核查（网上查询要求及渠道按附件1执行）。若核查结果与投标人承诺不一致，则提交评标委员会取消其预中标候选人资格，依次替补，并再次对替补单位进行核查。核查结果不改变原评标基准值。</w:t>
      </w:r>
    </w:p>
    <w:p w14:paraId="02D270EE">
      <w:pPr>
        <w:keepNext w:val="0"/>
        <w:keepLines w:val="0"/>
        <w:pageBreakBefore w:val="0"/>
        <w:kinsoku/>
        <w:wordWrap/>
        <w:overflowPunct/>
        <w:topLinePunct w:val="0"/>
        <w:autoSpaceDE/>
        <w:autoSpaceDN/>
        <w:bidi w:val="0"/>
        <w:snapToGrid w:val="0"/>
        <w:spacing w:line="500" w:lineRule="exact"/>
        <w:ind w:right="-212" w:rightChars="-101"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8.无效投标条款</w:t>
      </w:r>
    </w:p>
    <w:p w14:paraId="71B7F728">
      <w:pPr>
        <w:keepNext w:val="0"/>
        <w:keepLines w:val="0"/>
        <w:pageBreakBefore w:val="0"/>
        <w:kinsoku/>
        <w:wordWrap/>
        <w:overflowPunct/>
        <w:topLinePunct w:val="0"/>
        <w:autoSpaceDE/>
        <w:autoSpaceDN/>
        <w:bidi w:val="0"/>
        <w:snapToGrid w:val="0"/>
        <w:spacing w:line="500" w:lineRule="exact"/>
        <w:ind w:right="-212" w:rightChars="-101"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8.1投标文件有下列情形之一的,其投标文件拒收:</w:t>
      </w:r>
    </w:p>
    <w:p w14:paraId="5A6C8005">
      <w:pPr>
        <w:keepNext w:val="0"/>
        <w:keepLines w:val="0"/>
        <w:pageBreakBefore w:val="0"/>
        <w:kinsoku/>
        <w:overflowPunct/>
        <w:topLinePunct w:val="0"/>
        <w:autoSpaceDE/>
        <w:autoSpaceDN/>
        <w:bidi w:val="0"/>
        <w:spacing w:line="500" w:lineRule="exact"/>
        <w:ind w:right="-212" w:rightChars="-101"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 未在开标截止时间前通过网上招标投标系统递交有效电子投标文件的，开标系统不予接收，投标将被拒绝。</w:t>
      </w:r>
    </w:p>
    <w:p w14:paraId="63DA7994">
      <w:pPr>
        <w:keepNext w:val="0"/>
        <w:keepLines w:val="0"/>
        <w:pageBreakBefore w:val="0"/>
        <w:kinsoku/>
        <w:overflowPunct/>
        <w:topLinePunct w:val="0"/>
        <w:autoSpaceDE/>
        <w:autoSpaceDN/>
        <w:bidi w:val="0"/>
        <w:spacing w:line="500" w:lineRule="exact"/>
        <w:ind w:right="-212" w:rightChars="-101"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投标企业接到远程解密指令后，须在规定时间内解密。因投标人自身原因导致投标文件在规定时间内未能解密、解密失败或解密超时，投标文件无效；解密时间：从本项目网上招投标系统解密倒计时开始，至完成投标文件解密时间，不得超过60分钟，否则投标文件将被拒绝。</w:t>
      </w:r>
    </w:p>
    <w:p w14:paraId="40963044">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8.2投标人有下列情形之一的,资格审查后其投标作无效投标处理：</w:t>
      </w:r>
    </w:p>
    <w:p w14:paraId="710C0571">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(1)投标人为本项目提供招标代理服务的；</w:t>
      </w:r>
    </w:p>
    <w:p w14:paraId="044DDEE3">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14:paraId="64A22F30">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(3)评标专家无法查看并检验电子投标文件中相关资料的；</w:t>
      </w:r>
    </w:p>
    <w:p w14:paraId="03CA96F0">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(4)联合体投标未提交联合体协议的；</w:t>
      </w:r>
    </w:p>
    <w:p w14:paraId="5DC5AF36">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(5)被暂停营业的；</w:t>
      </w:r>
    </w:p>
    <w:p w14:paraId="779FED79">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(6)被暂停或取消投标资格的；</w:t>
      </w:r>
    </w:p>
    <w:p w14:paraId="3BC287C9">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(7)财产被接管或冻结的；</w:t>
      </w:r>
    </w:p>
    <w:p w14:paraId="73A0C14E">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(8)投标人单位负责人为同一人或者存在控股、管理关系的不同单位的；</w:t>
      </w:r>
    </w:p>
    <w:p w14:paraId="04DDA946">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(9)保证金不按第二章“投标人须知”及其前附表要求提交投标保证金的；</w:t>
      </w:r>
    </w:p>
    <w:p w14:paraId="3F42B560">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(10)投标人未办理省主体库登记入库手续的；</w:t>
      </w:r>
    </w:p>
    <w:p w14:paraId="044C4B33">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(11)投标人申请开具电子保函 MAC 地址一致的；</w:t>
      </w:r>
    </w:p>
    <w:p w14:paraId="54CCF17A">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(12)投标人基本资格条件和特定资格条件中有一项及以上不符合要求的；</w:t>
      </w:r>
    </w:p>
    <w:p w14:paraId="73720E66">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1697E4E0">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(14)其它情形，经评标委员会委提出按无效投标处理，并经公共资源交易监督部门核准的；</w:t>
      </w:r>
    </w:p>
    <w:p w14:paraId="18BA4FE3">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(15)投标人投标MAC地址或投标人联系人或联系电话相同的，由评标委员会否决其投标，并报告监管部门作不良行为处理和进一步调查；</w:t>
      </w:r>
    </w:p>
    <w:p w14:paraId="7C8BB0D2">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(16)投标人单方面出现其他投标人材料的；</w:t>
      </w:r>
    </w:p>
    <w:p w14:paraId="235BF056">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(17)招标文件规定的其它无效投标情形。</w:t>
      </w:r>
    </w:p>
    <w:p w14:paraId="054D2468">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8.3 投标人有下列情形之一的,符合性审查后其投标按无效投标处理：</w:t>
      </w:r>
    </w:p>
    <w:p w14:paraId="69BC3FD1">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(1)投标文件签字、盖章不全，经评标委员会一致认定对开评标内容有实质性影响并经公共资源交易监督部门核准的；</w:t>
      </w:r>
    </w:p>
    <w:p w14:paraId="3D0156C1">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经公共资源交易监督部门核准的；</w:t>
      </w:r>
    </w:p>
    <w:p w14:paraId="003D1BB4">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14:paraId="2935150F">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14:paraId="3F071577">
      <w:pPr>
        <w:keepNext w:val="0"/>
        <w:keepLines w:val="0"/>
        <w:pageBreakBefore w:val="0"/>
        <w:kinsoku/>
        <w:overflowPunct/>
        <w:topLinePunct w:val="0"/>
        <w:autoSpaceDE/>
        <w:autoSpaceDN/>
        <w:bidi w:val="0"/>
        <w:spacing w:line="500" w:lineRule="exact"/>
        <w:ind w:right="-212" w:rightChars="-101"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(5)投标报价超出规定的投标限价或公布的采购预算的或投标人的投标报价各项单价高于招标文件给定的单价最高限价；</w:t>
      </w:r>
    </w:p>
    <w:p w14:paraId="5EEE4C38">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14:paraId="7328E7AA">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14:paraId="2C14AD5C">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1F52E41B">
      <w:pPr>
        <w:keepNext w:val="0"/>
        <w:keepLines w:val="0"/>
        <w:pageBreakBefore w:val="0"/>
        <w:tabs>
          <w:tab w:val="left" w:pos="1123"/>
        </w:tabs>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01EB497A">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14:paraId="1FE5D433">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62875C31">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0D61D40A">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rPr>
        <w:t>3)投标文件含有违反国家法律、法规的内容，或附有招标人不能接受的条件的；</w:t>
      </w:r>
    </w:p>
    <w:p w14:paraId="040756BA">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）报价明显低于其他投标人，且不能证明报价合理性的投标无效；</w:t>
      </w:r>
    </w:p>
    <w:p w14:paraId="1D6CB22D">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）拒不确认评标委员会评审修正的投标无效；</w:t>
      </w:r>
    </w:p>
    <w:p w14:paraId="07F8681E">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）其它情形，经评标委员会委提出按无效投标处理，并经公共资源交易监督部门核准的；</w:t>
      </w:r>
    </w:p>
    <w:p w14:paraId="5C126FAB">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（8）招标文件规定的其它无效投标情形。</w:t>
      </w:r>
    </w:p>
    <w:bookmarkEnd w:id="62"/>
    <w:p w14:paraId="2A4F647C">
      <w:pPr>
        <w:numPr>
          <w:ilvl w:val="0"/>
          <w:numId w:val="8"/>
        </w:numPr>
        <w:snapToGrid w:val="0"/>
        <w:spacing w:line="440" w:lineRule="exact"/>
        <w:ind w:left="-10" w:leftChars="-5" w:right="-334" w:rightChars="-159" w:firstLine="14"/>
        <w:jc w:val="center"/>
        <w:outlineLvl w:val="0"/>
        <w:rPr>
          <w:rFonts w:hint="eastAsia" w:hAnsi="宋体"/>
          <w:b/>
          <w:bCs/>
          <w:color w:val="auto"/>
          <w:sz w:val="32"/>
          <w:szCs w:val="32"/>
          <w:highlight w:val="none"/>
        </w:rPr>
      </w:pPr>
      <w:bookmarkStart w:id="78" w:name="_Toc30417"/>
      <w:bookmarkStart w:id="79" w:name="_Toc449028945"/>
      <w:bookmarkStart w:id="80" w:name="_Toc22340"/>
      <w:r>
        <w:rPr>
          <w:rFonts w:hint="eastAsia" w:ascii="宋体"/>
          <w:b/>
          <w:color w:val="auto"/>
          <w:sz w:val="32"/>
          <w:szCs w:val="32"/>
          <w:highlight w:val="none"/>
        </w:rPr>
        <w:br w:type="page"/>
      </w:r>
      <w:r>
        <w:rPr>
          <w:rFonts w:hint="eastAsia" w:ascii="宋体"/>
          <w:b/>
          <w:color w:val="auto"/>
          <w:sz w:val="32"/>
          <w:szCs w:val="32"/>
          <w:highlight w:val="none"/>
        </w:rPr>
        <w:t xml:space="preserve"> </w:t>
      </w:r>
      <w:r>
        <w:rPr>
          <w:rFonts w:hint="eastAsia" w:hAnsi="宋体"/>
          <w:b/>
          <w:bCs/>
          <w:color w:val="auto"/>
          <w:sz w:val="32"/>
          <w:szCs w:val="32"/>
          <w:highlight w:val="none"/>
        </w:rPr>
        <w:t>采购内容及技术要求</w:t>
      </w:r>
      <w:bookmarkEnd w:id="78"/>
    </w:p>
    <w:p w14:paraId="45246F8B">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jc w:val="both"/>
        <w:textAlignment w:val="auto"/>
        <w:outlineLvl w:val="1"/>
        <w:rPr>
          <w:rFonts w:hint="default" w:ascii="宋体" w:hAnsi="Times New Roman" w:eastAsia="宋体" w:cs="Times New Roman"/>
          <w:b/>
          <w:color w:val="auto"/>
          <w:sz w:val="24"/>
          <w:szCs w:val="24"/>
          <w:highlight w:val="none"/>
          <w:lang w:val="en-US" w:eastAsia="zh-CN"/>
        </w:rPr>
      </w:pPr>
      <w:r>
        <w:rPr>
          <w:rFonts w:hint="eastAsia" w:ascii="宋体" w:hAnsi="Times New Roman" w:eastAsia="宋体" w:cs="Times New Roman"/>
          <w:b/>
          <w:color w:val="auto"/>
          <w:sz w:val="24"/>
          <w:szCs w:val="24"/>
          <w:highlight w:val="none"/>
          <w:lang w:val="en-US" w:eastAsia="zh-CN"/>
        </w:rPr>
        <w:t>一、项目概况</w:t>
      </w:r>
    </w:p>
    <w:p w14:paraId="2D63ECA1">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1.高庄花园安置小区项目位于滁州市</w:t>
      </w:r>
      <w:r>
        <w:rPr>
          <w:rFonts w:hint="eastAsia" w:ascii="宋体" w:hAnsi="宋体" w:eastAsia="宋体" w:cs="宋体"/>
          <w:color w:val="auto"/>
          <w:sz w:val="21"/>
          <w:szCs w:val="21"/>
          <w:highlight w:val="none"/>
        </w:rPr>
        <w:t>会峰路与紫薇路交叉处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项目占地面积约75729平方米，总建筑面积约189328.98平方米，地上建筑面积约146388.52平方米。其中住宅计容面积约127450平方米，商业计容面积约2719.2平方米。本项目共分为一期、二期。</w:t>
      </w:r>
    </w:p>
    <w:p w14:paraId="3641F03E">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一期总计容面积约85222.79平方米，住宅计容面积约8250.59平方米，商业计容面积约2719.2</w:t>
      </w:r>
      <w:r>
        <w:rPr>
          <w:rFonts w:hint="eastAsia" w:ascii="宋体" w:hAnsi="宋体" w:eastAsia="宋体" w:cs="宋体"/>
          <w:color w:val="auto"/>
          <w:szCs w:val="21"/>
          <w:highlight w:val="none"/>
          <w:lang w:val="en-US" w:eastAsia="zh-CN"/>
        </w:rPr>
        <w:t>平方米，用户数为836。</w:t>
      </w:r>
    </w:p>
    <w:p w14:paraId="44579CD4">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二期总计容面积约42227.21平方米，无商业，用户数为381。</w:t>
      </w:r>
    </w:p>
    <w:p w14:paraId="594342C3">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自合同签订之日起三年服务期（不超过三年，至业主委员会成立选聘新的物业公司进场止，合同一年一签，每年合同期满后，由招标人配合辖区政府街道和物业主管部门对其考核（依据招标文件考核评分标准进行考核打分），考核合格，继续服务；考核不合格的，终止服务，不再续签合同。因考核不合格终止服务，不再 续签合同的，中标人自行承担责任。</w:t>
      </w:r>
    </w:p>
    <w:p w14:paraId="795D2278">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jc w:val="both"/>
        <w:textAlignment w:val="auto"/>
        <w:outlineLvl w:val="1"/>
        <w:rPr>
          <w:rFonts w:hint="default" w:ascii="宋体" w:hAnsi="Times New Roman" w:eastAsia="宋体" w:cs="Times New Roman"/>
          <w:b/>
          <w:color w:val="auto"/>
          <w:sz w:val="24"/>
          <w:szCs w:val="24"/>
          <w:highlight w:val="none"/>
          <w:lang w:val="en-US" w:eastAsia="zh-CN"/>
        </w:rPr>
      </w:pPr>
      <w:r>
        <w:rPr>
          <w:rFonts w:hint="eastAsia" w:ascii="宋体" w:hAnsi="Times New Roman" w:eastAsia="宋体" w:cs="Times New Roman"/>
          <w:b/>
          <w:color w:val="auto"/>
          <w:sz w:val="24"/>
          <w:szCs w:val="24"/>
          <w:highlight w:val="none"/>
          <w:lang w:val="en-US" w:eastAsia="zh-CN"/>
        </w:rPr>
        <w:t>二、招标范围及服务内容</w:t>
      </w:r>
    </w:p>
    <w:p w14:paraId="15286AD2">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卫生保洁。主要包括但不限于：小区道路保洁、绿化带保洁、门卫室内外保洁、围墙及护栏保洁、大门斗保洁、花坛保洁、房屋外墙保洁、楼顶及活动室保洁、楼号牌保洁、车棚保洁、电动门及道闸保洁、宣传栏保洁、居民运动区域及运动设备保洁、临时检查保洁、雨污水检查井及管道清掏疏通、化粪池清掏，楼内天花板、门厅、走廊、楼梯、玻璃、消防栓、应急灯、电表间、弱电间、疏散标志及电器开关保洁，公共卫生间、电梯间、电梯房保 洁，架空层保洁、地下车库保洁、二次供水泵房保洁、消防控制室保洁、配电房保洁、柴油发电机房、垃圾房保洁、清除楼内外牛皮癣等；负责公共区域环境消杀；负责垃圾的收集、运输、转运和处置，具体转运地点为已投入运营的最近的垃圾中转站或垃圾填埋场，相关费用由中标人承担。</w:t>
      </w:r>
    </w:p>
    <w:p w14:paraId="6BFEB15D">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秩序维护。主要包括但不限于：门岗24小时值班、巡逻岗定时巡逻2小时/次（采用巡更棒督查）、监控岗24小时值守、小区车辆出入登记及停放秩序管理、负责进、出门大件物品查验、负责自费安装蓝牙系统和员工进入单元门出入读卡系统，消防设施设备检查与测试、消防安全防范、商业网点管理与监督等。</w:t>
      </w:r>
    </w:p>
    <w:p w14:paraId="05A88985">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共用部位和设备设施维护。主要包括但不限于：围墙及护栏维修维护、电动门及道闸维修维护、门卫室门窗玻璃地面墙壁屋面及电器电线等维修维护、宣传栏维修维护，道路路侧石、雨水篦子、雨污水窨井井盖井圈等维修或更换、车棚维修维护、垃圾池维修维护、电梯系统维修维护、电梯年检、消防系统维修维护、电力系统维修维护、路灯维修维护、监控维修维护、二次供水维修维护柴油发电机组系统维修维护（含燃油费用）、避雷系统维修维护等。共用部位和共用设施设备人为损坏，由中标单位自行及时修复，满足正常使用功能 并承担相关费用；非人为损坏，共用部位和共用设施设备的大中修按照《安徽省物业专项维修资金管理暂行办法》执行，市本级出台办法后，执行市本级标准。</w:t>
      </w:r>
    </w:p>
    <w:p w14:paraId="4D6F73F0">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4.绿化养护。本安置小区为新建小区，</w:t>
      </w:r>
      <w:r>
        <w:rPr>
          <w:rFonts w:hint="eastAsia" w:ascii="宋体" w:hAnsi="宋体" w:eastAsia="宋体" w:cs="宋体"/>
          <w:color w:val="auto"/>
          <w:szCs w:val="21"/>
          <w:highlight w:val="none"/>
          <w:lang w:val="en-US" w:eastAsia="zh-CN"/>
        </w:rPr>
        <w:t>绿化工程尚未完工。</w:t>
      </w:r>
      <w:r>
        <w:rPr>
          <w:rFonts w:hint="eastAsia" w:ascii="宋体" w:hAnsi="宋体" w:eastAsia="宋体" w:cs="宋体"/>
          <w:color w:val="auto"/>
          <w:szCs w:val="21"/>
          <w:highlight w:val="none"/>
          <w:lang w:val="en-US" w:eastAsia="zh-CN"/>
        </w:rPr>
        <w:t>在质保养护期内的绿化养护工作由绿化工程的施工单位负责，本项目中标人有配合养护的义务。在质保养护期完成后的绿化养护工作由中标人负责，主要包括：小区绿化带除草、修剪、施肥、治虫、抗旱、冬季防冻、补植、移栽等。中标人应在日常养护期完成后三日内与施工单位、招标人三方清点苗木数字，清点后发生死苗及损毁现象，补植费用由中标人负责，费用包含在中标价内。</w:t>
      </w:r>
    </w:p>
    <w:p w14:paraId="7D1533DC">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5.房屋管理。协助招标人做好房屋移接交、协助招标人安全检查、根据招标人要求做 好安置居民等住户相关信息普查和统计工作、对安置居民等住户在房间外私拉乱接电线、违章搭建现象予以制止、报告和拆除；自行收取物业费、配合抄录水电读数等。</w:t>
      </w:r>
    </w:p>
    <w:p w14:paraId="06C137A6">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6.协助安全检查。主要包括：做好每日巡查并记录，发现打架斗殴、滋事等情况应第 一时间制止并报告招标人及公安机关，协助招标人及有关部门做好安全、治安等各项检查。每月安全专项检查，发现安全隐患第一时间制止并报告招标人并跟踪整改落实情况，形成月度报告提交招标人。</w:t>
      </w:r>
    </w:p>
    <w:p w14:paraId="6534EAC0">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7.共用水电管理。对室外消防栓、门卫室、物业管理处等共用部位用水、清洁用水、绿化用水进行管理并承担水费（进场后当天现场抄录水表读数，作为缴费依据），对地下车库和物业用房、门卫室、道闸、电动门、照明（路灯、公共卫生间照明等）、供配电等进行管理并承担水电费（进场后当天现场抄录水、电表读数，作为缴费依据，对电梯、二次供水 设施、景观照明等设施设备用电等进行管理并抄录电表读数，每月5日前报甲方）。</w:t>
      </w:r>
    </w:p>
    <w:p w14:paraId="3AFFBBDF">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jc w:val="both"/>
        <w:textAlignment w:val="auto"/>
        <w:outlineLvl w:val="1"/>
        <w:rPr>
          <w:rFonts w:hint="eastAsia" w:ascii="宋体" w:hAnsi="Times New Roman" w:eastAsia="宋体" w:cs="Times New Roman"/>
          <w:b/>
          <w:color w:val="auto"/>
          <w:sz w:val="24"/>
          <w:szCs w:val="24"/>
          <w:highlight w:val="none"/>
          <w:lang w:val="en-US" w:eastAsia="zh-CN"/>
        </w:rPr>
      </w:pPr>
      <w:r>
        <w:rPr>
          <w:rFonts w:hint="eastAsia" w:ascii="宋体" w:hAnsi="Times New Roman" w:eastAsia="宋体" w:cs="Times New Roman"/>
          <w:b/>
          <w:color w:val="auto"/>
          <w:sz w:val="24"/>
          <w:szCs w:val="24"/>
          <w:highlight w:val="none"/>
          <w:lang w:val="en-US" w:eastAsia="zh-CN"/>
        </w:rPr>
        <w:t>三、物业管理人员及服务要求</w:t>
      </w:r>
    </w:p>
    <w:tbl>
      <w:tblPr>
        <w:tblStyle w:val="36"/>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380"/>
        <w:gridCol w:w="870"/>
        <w:gridCol w:w="2175"/>
        <w:gridCol w:w="4650"/>
      </w:tblGrid>
      <w:tr w14:paraId="3BCF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7" w:type="dxa"/>
            <w:shd w:val="clear" w:color="auto" w:fill="auto"/>
            <w:vAlign w:val="top"/>
          </w:tcPr>
          <w:p w14:paraId="72B93CCC">
            <w:pPr>
              <w:pStyle w:val="131"/>
              <w:spacing w:before="212" w:line="229" w:lineRule="auto"/>
              <w:ind w:left="127" w:leftChars="0"/>
              <w:jc w:val="left"/>
              <w:rPr>
                <w:rFonts w:hint="eastAsia" w:ascii="宋体" w:hAnsi="宋体" w:eastAsia="宋体" w:cs="宋体"/>
                <w:color w:val="auto"/>
                <w:kern w:val="2"/>
                <w:sz w:val="20"/>
                <w:szCs w:val="20"/>
                <w:highlight w:val="none"/>
                <w:lang w:val="en-US" w:eastAsia="zh-CN" w:bidi="ar-SA"/>
              </w:rPr>
            </w:pPr>
            <w:r>
              <w:rPr>
                <w:b/>
                <w:bCs/>
                <w:color w:val="auto"/>
                <w:spacing w:val="4"/>
                <w:highlight w:val="none"/>
              </w:rPr>
              <w:t>序号</w:t>
            </w:r>
          </w:p>
        </w:tc>
        <w:tc>
          <w:tcPr>
            <w:tcW w:w="1380" w:type="dxa"/>
            <w:shd w:val="clear" w:color="auto" w:fill="auto"/>
            <w:vAlign w:val="top"/>
          </w:tcPr>
          <w:p w14:paraId="730B1A8C">
            <w:pPr>
              <w:pStyle w:val="131"/>
              <w:spacing w:before="212" w:line="228" w:lineRule="auto"/>
              <w:ind w:left="161" w:leftChars="0"/>
              <w:jc w:val="left"/>
              <w:rPr>
                <w:rFonts w:hint="eastAsia" w:ascii="宋体" w:hAnsi="宋体" w:eastAsia="宋体" w:cs="宋体"/>
                <w:color w:val="auto"/>
                <w:kern w:val="2"/>
                <w:sz w:val="20"/>
                <w:szCs w:val="20"/>
                <w:highlight w:val="none"/>
                <w:lang w:val="en-US" w:eastAsia="zh-CN" w:bidi="ar-SA"/>
              </w:rPr>
            </w:pPr>
            <w:r>
              <w:rPr>
                <w:b/>
                <w:bCs/>
                <w:color w:val="auto"/>
                <w:highlight w:val="none"/>
              </w:rPr>
              <w:t>岗位设置</w:t>
            </w:r>
          </w:p>
        </w:tc>
        <w:tc>
          <w:tcPr>
            <w:tcW w:w="870" w:type="dxa"/>
            <w:shd w:val="clear" w:color="auto" w:fill="auto"/>
            <w:vAlign w:val="top"/>
          </w:tcPr>
          <w:p w14:paraId="51DC4BCC">
            <w:pPr>
              <w:pStyle w:val="131"/>
              <w:spacing w:before="212" w:line="228" w:lineRule="auto"/>
              <w:ind w:left="159" w:leftChars="0"/>
              <w:jc w:val="left"/>
              <w:rPr>
                <w:rFonts w:hint="eastAsia" w:ascii="宋体" w:hAnsi="宋体" w:eastAsia="宋体" w:cs="宋体"/>
                <w:color w:val="auto"/>
                <w:kern w:val="2"/>
                <w:sz w:val="20"/>
                <w:szCs w:val="20"/>
                <w:highlight w:val="none"/>
                <w:lang w:val="en-US" w:eastAsia="zh-CN" w:bidi="ar-SA"/>
              </w:rPr>
            </w:pPr>
            <w:r>
              <w:rPr>
                <w:b/>
                <w:bCs/>
                <w:color w:val="auto"/>
                <w:spacing w:val="3"/>
                <w:highlight w:val="none"/>
              </w:rPr>
              <w:t>人数</w:t>
            </w:r>
          </w:p>
        </w:tc>
        <w:tc>
          <w:tcPr>
            <w:tcW w:w="2175" w:type="dxa"/>
            <w:shd w:val="clear" w:color="auto" w:fill="auto"/>
            <w:vAlign w:val="top"/>
          </w:tcPr>
          <w:p w14:paraId="51861873">
            <w:pPr>
              <w:pStyle w:val="131"/>
              <w:spacing w:before="212" w:line="229" w:lineRule="auto"/>
              <w:jc w:val="left"/>
              <w:rPr>
                <w:rFonts w:hint="eastAsia" w:ascii="宋体" w:hAnsi="宋体" w:eastAsia="宋体" w:cs="宋体"/>
                <w:color w:val="auto"/>
                <w:kern w:val="2"/>
                <w:sz w:val="20"/>
                <w:szCs w:val="20"/>
                <w:highlight w:val="none"/>
                <w:lang w:val="en-US" w:eastAsia="zh-CN" w:bidi="ar-SA"/>
              </w:rPr>
            </w:pPr>
            <w:r>
              <w:rPr>
                <w:b/>
                <w:bCs/>
                <w:color w:val="auto"/>
                <w:spacing w:val="6"/>
                <w:highlight w:val="none"/>
              </w:rPr>
              <w:t>人员要求</w:t>
            </w:r>
          </w:p>
        </w:tc>
        <w:tc>
          <w:tcPr>
            <w:tcW w:w="4650" w:type="dxa"/>
            <w:shd w:val="clear" w:color="auto" w:fill="auto"/>
            <w:vAlign w:val="top"/>
          </w:tcPr>
          <w:p w14:paraId="5CD4E091">
            <w:pPr>
              <w:pStyle w:val="131"/>
              <w:spacing w:before="212" w:line="228" w:lineRule="auto"/>
              <w:jc w:val="left"/>
              <w:rPr>
                <w:rFonts w:hint="eastAsia" w:ascii="宋体" w:hAnsi="宋体" w:eastAsia="宋体" w:cs="宋体"/>
                <w:color w:val="auto"/>
                <w:kern w:val="2"/>
                <w:sz w:val="20"/>
                <w:szCs w:val="20"/>
                <w:highlight w:val="none"/>
                <w:lang w:val="en-US" w:eastAsia="zh-CN" w:bidi="ar-SA"/>
              </w:rPr>
            </w:pPr>
            <w:r>
              <w:rPr>
                <w:b/>
                <w:bCs/>
                <w:color w:val="auto"/>
                <w:highlight w:val="none"/>
              </w:rPr>
              <w:t>岗位职责</w:t>
            </w:r>
          </w:p>
        </w:tc>
      </w:tr>
      <w:tr w14:paraId="03AA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7" w:type="dxa"/>
            <w:vAlign w:val="center"/>
          </w:tcPr>
          <w:p w14:paraId="7036CD9B">
            <w:pPr>
              <w:keepNext w:val="0"/>
              <w:keepLines w:val="0"/>
              <w:pageBreakBefore w:val="0"/>
              <w:kinsoku/>
              <w:overflowPunct/>
              <w:topLinePunct w:val="0"/>
              <w:autoSpaceDE/>
              <w:autoSpaceDN/>
              <w:bidi w:val="0"/>
              <w:snapToGrid w:val="0"/>
              <w:spacing w:line="500" w:lineRule="exact"/>
              <w:ind w:right="-212" w:rightChars="-101"/>
              <w:jc w:val="both"/>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1</w:t>
            </w:r>
          </w:p>
        </w:tc>
        <w:tc>
          <w:tcPr>
            <w:tcW w:w="1380" w:type="dxa"/>
            <w:vAlign w:val="center"/>
          </w:tcPr>
          <w:p w14:paraId="3E4214D3">
            <w:pPr>
              <w:keepNext w:val="0"/>
              <w:keepLines w:val="0"/>
              <w:pageBreakBefore w:val="0"/>
              <w:kinsoku/>
              <w:overflowPunct/>
              <w:topLinePunct w:val="0"/>
              <w:autoSpaceDE/>
              <w:autoSpaceDN/>
              <w:bidi w:val="0"/>
              <w:snapToGrid w:val="0"/>
              <w:spacing w:line="500" w:lineRule="exact"/>
              <w:ind w:right="-212" w:rightChars="-101"/>
              <w:jc w:val="both"/>
              <w:rPr>
                <w:rFonts w:hint="eastAsia" w:ascii="宋体" w:hAnsi="宋体" w:eastAsia="宋体" w:cs="宋体"/>
                <w:color w:val="auto"/>
                <w:szCs w:val="21"/>
                <w:highlight w:val="none"/>
                <w:vertAlign w:val="baseline"/>
                <w:lang w:val="en-US" w:eastAsia="zh-CN"/>
              </w:rPr>
            </w:pPr>
            <w:r>
              <w:rPr>
                <w:color w:val="auto"/>
                <w:spacing w:val="6"/>
                <w:highlight w:val="none"/>
              </w:rPr>
              <w:t>项目经理</w:t>
            </w:r>
          </w:p>
        </w:tc>
        <w:tc>
          <w:tcPr>
            <w:tcW w:w="870" w:type="dxa"/>
            <w:vAlign w:val="center"/>
          </w:tcPr>
          <w:p w14:paraId="47AB3AF0">
            <w:pPr>
              <w:keepNext w:val="0"/>
              <w:keepLines w:val="0"/>
              <w:pageBreakBefore w:val="0"/>
              <w:kinsoku/>
              <w:overflowPunct/>
              <w:topLinePunct w:val="0"/>
              <w:autoSpaceDE/>
              <w:autoSpaceDN/>
              <w:bidi w:val="0"/>
              <w:snapToGrid w:val="0"/>
              <w:spacing w:line="500" w:lineRule="exact"/>
              <w:ind w:right="-212" w:rightChars="-101"/>
              <w:jc w:val="both"/>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1人</w:t>
            </w:r>
          </w:p>
        </w:tc>
        <w:tc>
          <w:tcPr>
            <w:tcW w:w="2175" w:type="dxa"/>
            <w:vAlign w:val="center"/>
          </w:tcPr>
          <w:p w14:paraId="69530A10">
            <w:pPr>
              <w:keepNext w:val="0"/>
              <w:keepLines w:val="0"/>
              <w:pageBreakBefore w:val="0"/>
              <w:kinsoku/>
              <w:overflowPunct/>
              <w:topLinePunct w:val="0"/>
              <w:autoSpaceDE/>
              <w:autoSpaceDN/>
              <w:bidi w:val="0"/>
              <w:snapToGrid w:val="0"/>
              <w:spacing w:line="500" w:lineRule="exact"/>
              <w:ind w:right="-212" w:rightChars="-101"/>
              <w:jc w:val="both"/>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具有丰富的理论知识和实践经验</w:t>
            </w:r>
          </w:p>
        </w:tc>
        <w:tc>
          <w:tcPr>
            <w:tcW w:w="4650" w:type="dxa"/>
          </w:tcPr>
          <w:p w14:paraId="325B1C90">
            <w:pPr>
              <w:keepNext w:val="0"/>
              <w:keepLines w:val="0"/>
              <w:pageBreakBefore w:val="0"/>
              <w:kinsoku/>
              <w:overflowPunct/>
              <w:topLinePunct w:val="0"/>
              <w:autoSpaceDE/>
              <w:autoSpaceDN/>
              <w:bidi w:val="0"/>
              <w:snapToGrid w:val="0"/>
              <w:spacing w:line="500" w:lineRule="exact"/>
              <w:ind w:right="13" w:rightChars="6"/>
              <w:jc w:val="left"/>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1、建立完善制度、工作标准、措施落实、 考核办法、台账档案管理。</w:t>
            </w:r>
          </w:p>
          <w:p w14:paraId="5D197101">
            <w:pPr>
              <w:keepNext w:val="0"/>
              <w:keepLines w:val="0"/>
              <w:pageBreakBefore w:val="0"/>
              <w:kinsoku/>
              <w:overflowPunct/>
              <w:topLinePunct w:val="0"/>
              <w:autoSpaceDE/>
              <w:autoSpaceDN/>
              <w:bidi w:val="0"/>
              <w:snapToGrid w:val="0"/>
              <w:spacing w:line="500" w:lineRule="exact"/>
              <w:ind w:right="13" w:rightChars="6"/>
              <w:jc w:val="left"/>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2、主动接受业主监督，服从业主方，加 强与甲方的协调和沟通。</w:t>
            </w:r>
          </w:p>
          <w:p w14:paraId="574F2A09">
            <w:pPr>
              <w:keepNext w:val="0"/>
              <w:keepLines w:val="0"/>
              <w:pageBreakBefore w:val="0"/>
              <w:kinsoku/>
              <w:overflowPunct/>
              <w:topLinePunct w:val="0"/>
              <w:autoSpaceDE/>
              <w:autoSpaceDN/>
              <w:bidi w:val="0"/>
              <w:snapToGrid w:val="0"/>
              <w:spacing w:line="500" w:lineRule="exact"/>
              <w:ind w:right="13" w:rightChars="6"/>
              <w:jc w:val="left"/>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3、负责对服务人员的统一指挥和调配， 高质量完成物业管理服务项目；</w:t>
            </w:r>
          </w:p>
          <w:p w14:paraId="777C14A5">
            <w:pPr>
              <w:keepNext w:val="0"/>
              <w:keepLines w:val="0"/>
              <w:pageBreakBefore w:val="0"/>
              <w:kinsoku/>
              <w:overflowPunct/>
              <w:topLinePunct w:val="0"/>
              <w:autoSpaceDE/>
              <w:autoSpaceDN/>
              <w:bidi w:val="0"/>
              <w:snapToGrid w:val="0"/>
              <w:spacing w:line="500" w:lineRule="exact"/>
              <w:ind w:right="13" w:rightChars="6"/>
              <w:jc w:val="left"/>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4、定期加强对服务人员的培训、考核， 通过有效的管理，为业主提供优质服务。</w:t>
            </w:r>
          </w:p>
        </w:tc>
      </w:tr>
      <w:tr w14:paraId="131B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05C2CCBC">
            <w:pPr>
              <w:keepNext w:val="0"/>
              <w:keepLines w:val="0"/>
              <w:pageBreakBefore w:val="0"/>
              <w:kinsoku/>
              <w:overflowPunct/>
              <w:topLinePunct w:val="0"/>
              <w:autoSpaceDE/>
              <w:autoSpaceDN/>
              <w:bidi w:val="0"/>
              <w:snapToGrid w:val="0"/>
              <w:spacing w:line="500" w:lineRule="exact"/>
              <w:ind w:right="-212" w:rightChars="-101"/>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w:t>
            </w:r>
          </w:p>
        </w:tc>
        <w:tc>
          <w:tcPr>
            <w:tcW w:w="1380" w:type="dxa"/>
          </w:tcPr>
          <w:p w14:paraId="113EB786">
            <w:pPr>
              <w:pStyle w:val="131"/>
              <w:spacing w:before="171" w:line="228" w:lineRule="auto"/>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工程主管</w:t>
            </w:r>
          </w:p>
        </w:tc>
        <w:tc>
          <w:tcPr>
            <w:tcW w:w="870" w:type="dxa"/>
          </w:tcPr>
          <w:p w14:paraId="4882EB44">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1人</w:t>
            </w:r>
          </w:p>
        </w:tc>
        <w:tc>
          <w:tcPr>
            <w:tcW w:w="2175" w:type="dxa"/>
          </w:tcPr>
          <w:p w14:paraId="7AA7A113">
            <w:pPr>
              <w:keepNext w:val="0"/>
              <w:keepLines w:val="0"/>
              <w:pageBreakBefore w:val="0"/>
              <w:kinsoku/>
              <w:overflowPunct/>
              <w:topLinePunct w:val="0"/>
              <w:autoSpaceDE/>
              <w:autoSpaceDN/>
              <w:bidi w:val="0"/>
              <w:snapToGrid w:val="0"/>
              <w:spacing w:line="500" w:lineRule="exact"/>
              <w:ind w:right="-212" w:rightChars="-101"/>
              <w:jc w:val="left"/>
              <w:rPr>
                <w:rFonts w:hint="eastAsia" w:ascii="宋体" w:hAnsi="宋体" w:eastAsia="宋体" w:cs="宋体"/>
                <w:color w:val="auto"/>
                <w:szCs w:val="21"/>
                <w:highlight w:val="none"/>
                <w:vertAlign w:val="baseline"/>
                <w:lang w:val="en-US" w:eastAsia="zh-CN"/>
              </w:rPr>
            </w:pPr>
            <w:r>
              <w:rPr>
                <w:color w:val="auto"/>
                <w:spacing w:val="6"/>
                <w:highlight w:val="none"/>
              </w:rPr>
              <w:t>身体健康</w:t>
            </w:r>
          </w:p>
        </w:tc>
        <w:tc>
          <w:tcPr>
            <w:tcW w:w="4650" w:type="dxa"/>
          </w:tcPr>
          <w:p w14:paraId="24142298">
            <w:pPr>
              <w:keepNext w:val="0"/>
              <w:keepLines w:val="0"/>
              <w:pageBreakBefore w:val="0"/>
              <w:kinsoku/>
              <w:overflowPunct/>
              <w:topLinePunct w:val="0"/>
              <w:autoSpaceDE/>
              <w:autoSpaceDN/>
              <w:bidi w:val="0"/>
              <w:snapToGrid w:val="0"/>
              <w:spacing w:line="500" w:lineRule="exact"/>
              <w:ind w:right="-212" w:rightChars="-101"/>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负责绿化、秩序、维修、消防等管理</w:t>
            </w:r>
          </w:p>
        </w:tc>
      </w:tr>
      <w:tr w14:paraId="1F21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379A2DF6">
            <w:pPr>
              <w:keepNext w:val="0"/>
              <w:keepLines w:val="0"/>
              <w:pageBreakBefore w:val="0"/>
              <w:kinsoku/>
              <w:overflowPunct/>
              <w:topLinePunct w:val="0"/>
              <w:autoSpaceDE/>
              <w:autoSpaceDN/>
              <w:bidi w:val="0"/>
              <w:snapToGrid w:val="0"/>
              <w:spacing w:line="500" w:lineRule="exact"/>
              <w:ind w:right="-212" w:rightChars="-101"/>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w:t>
            </w:r>
          </w:p>
        </w:tc>
        <w:tc>
          <w:tcPr>
            <w:tcW w:w="1380" w:type="dxa"/>
          </w:tcPr>
          <w:p w14:paraId="3D6F1E11">
            <w:pPr>
              <w:pStyle w:val="131"/>
              <w:spacing w:before="171" w:line="228" w:lineRule="auto"/>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保洁主管</w:t>
            </w:r>
          </w:p>
        </w:tc>
        <w:tc>
          <w:tcPr>
            <w:tcW w:w="870" w:type="dxa"/>
          </w:tcPr>
          <w:p w14:paraId="7080D2AB">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1人</w:t>
            </w:r>
          </w:p>
        </w:tc>
        <w:tc>
          <w:tcPr>
            <w:tcW w:w="2175" w:type="dxa"/>
          </w:tcPr>
          <w:p w14:paraId="663A334C">
            <w:pPr>
              <w:keepNext w:val="0"/>
              <w:keepLines w:val="0"/>
              <w:pageBreakBefore w:val="0"/>
              <w:kinsoku/>
              <w:overflowPunct/>
              <w:topLinePunct w:val="0"/>
              <w:autoSpaceDE/>
              <w:autoSpaceDN/>
              <w:bidi w:val="0"/>
              <w:snapToGrid w:val="0"/>
              <w:spacing w:line="500" w:lineRule="exact"/>
              <w:ind w:right="-212" w:rightChars="-101"/>
              <w:jc w:val="left"/>
              <w:rPr>
                <w:rFonts w:hint="eastAsia" w:ascii="宋体" w:hAnsi="宋体" w:eastAsia="宋体" w:cs="宋体"/>
                <w:color w:val="auto"/>
                <w:szCs w:val="21"/>
                <w:highlight w:val="none"/>
                <w:vertAlign w:val="baseline"/>
                <w:lang w:val="en-US" w:eastAsia="zh-CN"/>
              </w:rPr>
            </w:pPr>
            <w:r>
              <w:rPr>
                <w:color w:val="auto"/>
                <w:spacing w:val="6"/>
                <w:highlight w:val="none"/>
              </w:rPr>
              <w:t>身体健康</w:t>
            </w:r>
          </w:p>
        </w:tc>
        <w:tc>
          <w:tcPr>
            <w:tcW w:w="4650" w:type="dxa"/>
          </w:tcPr>
          <w:p w14:paraId="3F101085">
            <w:pPr>
              <w:keepNext w:val="0"/>
              <w:keepLines w:val="0"/>
              <w:pageBreakBefore w:val="0"/>
              <w:kinsoku/>
              <w:overflowPunct/>
              <w:topLinePunct w:val="0"/>
              <w:autoSpaceDE/>
              <w:autoSpaceDN/>
              <w:bidi w:val="0"/>
              <w:snapToGrid w:val="0"/>
              <w:spacing w:line="500" w:lineRule="exact"/>
              <w:ind w:right="-212" w:rightChars="-101"/>
              <w:jc w:val="left"/>
              <w:rPr>
                <w:rFonts w:hint="eastAsia" w:ascii="宋体" w:hAnsi="宋体" w:eastAsia="宋体" w:cs="宋体"/>
                <w:color w:val="auto"/>
                <w:szCs w:val="21"/>
                <w:highlight w:val="none"/>
                <w:vertAlign w:val="baseline"/>
                <w:lang w:val="en-US" w:eastAsia="zh-CN"/>
              </w:rPr>
            </w:pPr>
            <w:r>
              <w:rPr>
                <w:color w:val="auto"/>
                <w:spacing w:val="8"/>
                <w:highlight w:val="none"/>
              </w:rPr>
              <w:t>负责</w:t>
            </w:r>
            <w:r>
              <w:rPr>
                <w:rFonts w:hint="eastAsia"/>
                <w:color w:val="auto"/>
                <w:spacing w:val="8"/>
                <w:highlight w:val="none"/>
                <w:lang w:val="en-US" w:eastAsia="zh-CN"/>
              </w:rPr>
              <w:t>保洁、客服全面</w:t>
            </w:r>
            <w:r>
              <w:rPr>
                <w:color w:val="auto"/>
                <w:spacing w:val="8"/>
                <w:highlight w:val="none"/>
              </w:rPr>
              <w:t>管理</w:t>
            </w:r>
          </w:p>
        </w:tc>
      </w:tr>
      <w:tr w14:paraId="525E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00CA2835">
            <w:pPr>
              <w:keepNext w:val="0"/>
              <w:keepLines w:val="0"/>
              <w:pageBreakBefore w:val="0"/>
              <w:kinsoku/>
              <w:overflowPunct/>
              <w:topLinePunct w:val="0"/>
              <w:autoSpaceDE/>
              <w:autoSpaceDN/>
              <w:bidi w:val="0"/>
              <w:snapToGrid w:val="0"/>
              <w:spacing w:line="500" w:lineRule="exact"/>
              <w:ind w:right="-212" w:rightChars="-101"/>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w:t>
            </w:r>
          </w:p>
        </w:tc>
        <w:tc>
          <w:tcPr>
            <w:tcW w:w="1380" w:type="dxa"/>
          </w:tcPr>
          <w:p w14:paraId="402F203E">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秩序维护主管</w:t>
            </w:r>
          </w:p>
        </w:tc>
        <w:tc>
          <w:tcPr>
            <w:tcW w:w="870" w:type="dxa"/>
          </w:tcPr>
          <w:p w14:paraId="72000F65">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1人</w:t>
            </w:r>
          </w:p>
        </w:tc>
        <w:tc>
          <w:tcPr>
            <w:tcW w:w="2175" w:type="dxa"/>
          </w:tcPr>
          <w:p w14:paraId="681C4A2C">
            <w:pPr>
              <w:keepNext w:val="0"/>
              <w:keepLines w:val="0"/>
              <w:pageBreakBefore w:val="0"/>
              <w:kinsoku/>
              <w:overflowPunct/>
              <w:topLinePunct w:val="0"/>
              <w:autoSpaceDE/>
              <w:autoSpaceDN/>
              <w:bidi w:val="0"/>
              <w:snapToGrid w:val="0"/>
              <w:spacing w:line="500" w:lineRule="exact"/>
              <w:ind w:right="59" w:rightChars="28"/>
              <w:jc w:val="left"/>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身体健康，有一定安保及应急救援知识</w:t>
            </w:r>
          </w:p>
        </w:tc>
        <w:tc>
          <w:tcPr>
            <w:tcW w:w="4650" w:type="dxa"/>
          </w:tcPr>
          <w:p w14:paraId="0A8B7628">
            <w:pPr>
              <w:keepNext w:val="0"/>
              <w:keepLines w:val="0"/>
              <w:pageBreakBefore w:val="0"/>
              <w:kinsoku/>
              <w:overflowPunct/>
              <w:topLinePunct w:val="0"/>
              <w:autoSpaceDE/>
              <w:autoSpaceDN/>
              <w:bidi w:val="0"/>
              <w:snapToGrid w:val="0"/>
              <w:spacing w:line="500" w:lineRule="exact"/>
              <w:ind w:right="-212" w:rightChars="-101"/>
              <w:jc w:val="left"/>
              <w:rPr>
                <w:rFonts w:hint="eastAsia" w:ascii="宋体" w:hAnsi="宋体" w:eastAsia="宋体" w:cs="宋体"/>
                <w:color w:val="auto"/>
                <w:szCs w:val="21"/>
                <w:highlight w:val="none"/>
                <w:vertAlign w:val="baseline"/>
                <w:lang w:val="en-US" w:eastAsia="zh-CN"/>
              </w:rPr>
            </w:pPr>
            <w:r>
              <w:rPr>
                <w:color w:val="auto"/>
                <w:spacing w:val="8"/>
                <w:highlight w:val="none"/>
              </w:rPr>
              <w:t>负责安保部安全管理</w:t>
            </w:r>
          </w:p>
        </w:tc>
      </w:tr>
      <w:tr w14:paraId="27B5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5FF11694">
            <w:pPr>
              <w:keepNext w:val="0"/>
              <w:keepLines w:val="0"/>
              <w:pageBreakBefore w:val="0"/>
              <w:kinsoku/>
              <w:overflowPunct/>
              <w:topLinePunct w:val="0"/>
              <w:autoSpaceDE/>
              <w:autoSpaceDN/>
              <w:bidi w:val="0"/>
              <w:snapToGrid w:val="0"/>
              <w:spacing w:line="500" w:lineRule="exact"/>
              <w:ind w:right="-212" w:rightChars="-101"/>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4</w:t>
            </w:r>
          </w:p>
        </w:tc>
        <w:tc>
          <w:tcPr>
            <w:tcW w:w="1380" w:type="dxa"/>
          </w:tcPr>
          <w:p w14:paraId="4A4E935B">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客服人员</w:t>
            </w:r>
          </w:p>
        </w:tc>
        <w:tc>
          <w:tcPr>
            <w:tcW w:w="870" w:type="dxa"/>
          </w:tcPr>
          <w:p w14:paraId="3543A346">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2人</w:t>
            </w:r>
          </w:p>
        </w:tc>
        <w:tc>
          <w:tcPr>
            <w:tcW w:w="2175" w:type="dxa"/>
          </w:tcPr>
          <w:p w14:paraId="1093E1F0">
            <w:pPr>
              <w:keepNext w:val="0"/>
              <w:keepLines w:val="0"/>
              <w:pageBreakBefore w:val="0"/>
              <w:kinsoku/>
              <w:overflowPunct/>
              <w:topLinePunct w:val="0"/>
              <w:autoSpaceDE/>
              <w:autoSpaceDN/>
              <w:bidi w:val="0"/>
              <w:snapToGrid w:val="0"/>
              <w:spacing w:line="500" w:lineRule="exact"/>
              <w:ind w:right="-212" w:rightChars="-101"/>
              <w:jc w:val="left"/>
              <w:rPr>
                <w:rFonts w:hint="eastAsia" w:ascii="宋体" w:hAnsi="宋体" w:eastAsia="宋体" w:cs="宋体"/>
                <w:color w:val="auto"/>
                <w:szCs w:val="21"/>
                <w:highlight w:val="none"/>
                <w:vertAlign w:val="baseline"/>
                <w:lang w:val="en-US" w:eastAsia="zh-CN"/>
              </w:rPr>
            </w:pPr>
            <w:r>
              <w:rPr>
                <w:color w:val="auto"/>
                <w:spacing w:val="6"/>
                <w:highlight w:val="none"/>
              </w:rPr>
              <w:t>身体健康</w:t>
            </w:r>
          </w:p>
        </w:tc>
        <w:tc>
          <w:tcPr>
            <w:tcW w:w="4650" w:type="dxa"/>
          </w:tcPr>
          <w:p w14:paraId="65626CB9">
            <w:pPr>
              <w:keepNext w:val="0"/>
              <w:keepLines w:val="0"/>
              <w:pageBreakBefore w:val="0"/>
              <w:kinsoku/>
              <w:overflowPunct/>
              <w:topLinePunct w:val="0"/>
              <w:autoSpaceDE/>
              <w:autoSpaceDN/>
              <w:bidi w:val="0"/>
              <w:snapToGrid w:val="0"/>
              <w:spacing w:line="500" w:lineRule="exact"/>
              <w:ind w:right="13" w:rightChars="6"/>
              <w:jc w:val="left"/>
              <w:rPr>
                <w:rFonts w:hint="default" w:ascii="宋体" w:hAnsi="宋体" w:eastAsia="宋体" w:cs="宋体"/>
                <w:color w:val="auto"/>
                <w:szCs w:val="21"/>
                <w:highlight w:val="none"/>
                <w:vertAlign w:val="baseline"/>
                <w:lang w:val="en-US" w:eastAsia="zh-CN"/>
              </w:rPr>
            </w:pPr>
            <w:r>
              <w:rPr>
                <w:rFonts w:hint="default" w:ascii="宋体" w:hAnsi="宋体" w:eastAsia="宋体" w:cs="宋体"/>
                <w:color w:val="auto"/>
                <w:szCs w:val="21"/>
                <w:highlight w:val="none"/>
                <w:vertAlign w:val="baseline"/>
                <w:lang w:val="en-US" w:eastAsia="zh-CN"/>
              </w:rPr>
              <w:t>受理客户报修、咨询、投诉等服务需求，并及时流转至责任部门/人，同时跟踪落实处理进度</w:t>
            </w:r>
          </w:p>
        </w:tc>
      </w:tr>
      <w:tr w14:paraId="68A3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6D379E31">
            <w:pPr>
              <w:keepNext w:val="0"/>
              <w:keepLines w:val="0"/>
              <w:pageBreakBefore w:val="0"/>
              <w:kinsoku/>
              <w:overflowPunct/>
              <w:topLinePunct w:val="0"/>
              <w:autoSpaceDE/>
              <w:autoSpaceDN/>
              <w:bidi w:val="0"/>
              <w:snapToGrid w:val="0"/>
              <w:spacing w:line="500" w:lineRule="exact"/>
              <w:ind w:right="-212" w:rightChars="-101"/>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5</w:t>
            </w:r>
          </w:p>
        </w:tc>
        <w:tc>
          <w:tcPr>
            <w:tcW w:w="1380" w:type="dxa"/>
          </w:tcPr>
          <w:p w14:paraId="50BC3576">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ascii="Times New Roman" w:hAnsi="Times New Roman" w:eastAsia="宋体" w:cs="Times New Roman"/>
                <w:color w:val="auto"/>
                <w:spacing w:val="6"/>
                <w:kern w:val="2"/>
                <w:sz w:val="21"/>
                <w:szCs w:val="24"/>
                <w:highlight w:val="none"/>
                <w:lang w:val="en-US" w:eastAsia="zh-CN" w:bidi="ar-SA"/>
              </w:rPr>
              <w:t>保洁</w:t>
            </w:r>
            <w:r>
              <w:rPr>
                <w:rFonts w:hint="eastAsia" w:ascii="Times New Roman" w:hAnsi="Times New Roman" w:eastAsia="宋体" w:cs="Times New Roman"/>
                <w:color w:val="auto"/>
                <w:spacing w:val="6"/>
                <w:kern w:val="2"/>
                <w:sz w:val="21"/>
                <w:szCs w:val="24"/>
                <w:highlight w:val="none"/>
                <w:lang w:val="en-US" w:eastAsia="zh-CN" w:bidi="ar-SA"/>
              </w:rPr>
              <w:t>人员</w:t>
            </w:r>
          </w:p>
        </w:tc>
        <w:tc>
          <w:tcPr>
            <w:tcW w:w="870" w:type="dxa"/>
          </w:tcPr>
          <w:p w14:paraId="5BEB2B84">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8人</w:t>
            </w:r>
          </w:p>
        </w:tc>
        <w:tc>
          <w:tcPr>
            <w:tcW w:w="2175" w:type="dxa"/>
          </w:tcPr>
          <w:p w14:paraId="13DD35C7">
            <w:pPr>
              <w:keepNext w:val="0"/>
              <w:keepLines w:val="0"/>
              <w:pageBreakBefore w:val="0"/>
              <w:kinsoku/>
              <w:overflowPunct/>
              <w:topLinePunct w:val="0"/>
              <w:autoSpaceDE/>
              <w:autoSpaceDN/>
              <w:bidi w:val="0"/>
              <w:snapToGrid w:val="0"/>
              <w:spacing w:line="500" w:lineRule="exact"/>
              <w:ind w:right="-212" w:rightChars="-101"/>
              <w:jc w:val="left"/>
              <w:rPr>
                <w:rFonts w:hint="eastAsia" w:ascii="宋体" w:hAnsi="宋体" w:eastAsia="宋体" w:cs="宋体"/>
                <w:color w:val="auto"/>
                <w:szCs w:val="21"/>
                <w:highlight w:val="none"/>
                <w:vertAlign w:val="baseline"/>
                <w:lang w:val="en-US" w:eastAsia="zh-CN"/>
              </w:rPr>
            </w:pPr>
            <w:r>
              <w:rPr>
                <w:color w:val="auto"/>
                <w:spacing w:val="6"/>
                <w:highlight w:val="none"/>
              </w:rPr>
              <w:t>身体健康</w:t>
            </w:r>
          </w:p>
        </w:tc>
        <w:tc>
          <w:tcPr>
            <w:tcW w:w="4650" w:type="dxa"/>
          </w:tcPr>
          <w:p w14:paraId="306D1000">
            <w:pPr>
              <w:keepNext w:val="0"/>
              <w:keepLines w:val="0"/>
              <w:pageBreakBefore w:val="0"/>
              <w:kinsoku/>
              <w:overflowPunct/>
              <w:topLinePunct w:val="0"/>
              <w:autoSpaceDE/>
              <w:autoSpaceDN/>
              <w:bidi w:val="0"/>
              <w:snapToGrid w:val="0"/>
              <w:spacing w:line="500" w:lineRule="exact"/>
              <w:ind w:right="13" w:rightChars="6"/>
              <w:jc w:val="left"/>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能够保质保量、按时完成清扫， 保持公共场所地面、墙面干净；卫生间 无异味、无积水、无杂物；道路、绿地 及公共场所无垃圾杂物。</w:t>
            </w:r>
          </w:p>
        </w:tc>
      </w:tr>
      <w:tr w14:paraId="0FBE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6D3E94E7">
            <w:pPr>
              <w:keepNext w:val="0"/>
              <w:keepLines w:val="0"/>
              <w:pageBreakBefore w:val="0"/>
              <w:kinsoku/>
              <w:overflowPunct/>
              <w:topLinePunct w:val="0"/>
              <w:autoSpaceDE/>
              <w:autoSpaceDN/>
              <w:bidi w:val="0"/>
              <w:snapToGrid w:val="0"/>
              <w:spacing w:line="500" w:lineRule="exact"/>
              <w:ind w:right="-212" w:rightChars="-101"/>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6</w:t>
            </w:r>
          </w:p>
        </w:tc>
        <w:tc>
          <w:tcPr>
            <w:tcW w:w="1380" w:type="dxa"/>
          </w:tcPr>
          <w:p w14:paraId="55C2A35F">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秩序维护员</w:t>
            </w:r>
          </w:p>
        </w:tc>
        <w:tc>
          <w:tcPr>
            <w:tcW w:w="870" w:type="dxa"/>
          </w:tcPr>
          <w:p w14:paraId="39FA14D3">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12人</w:t>
            </w:r>
          </w:p>
        </w:tc>
        <w:tc>
          <w:tcPr>
            <w:tcW w:w="2175" w:type="dxa"/>
          </w:tcPr>
          <w:p w14:paraId="2EC59F35">
            <w:pPr>
              <w:keepNext w:val="0"/>
              <w:keepLines w:val="0"/>
              <w:pageBreakBefore w:val="0"/>
              <w:kinsoku/>
              <w:overflowPunct/>
              <w:topLinePunct w:val="0"/>
              <w:autoSpaceDE/>
              <w:autoSpaceDN/>
              <w:bidi w:val="0"/>
              <w:snapToGrid w:val="0"/>
              <w:spacing w:line="500" w:lineRule="exact"/>
              <w:ind w:right="-212" w:rightChars="-101"/>
              <w:jc w:val="left"/>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1.身体健康，有一定安保及应急救援知识</w:t>
            </w:r>
          </w:p>
          <w:p w14:paraId="12500766">
            <w:pPr>
              <w:keepNext w:val="0"/>
              <w:keepLines w:val="0"/>
              <w:pageBreakBefore w:val="0"/>
              <w:kinsoku/>
              <w:overflowPunct/>
              <w:topLinePunct w:val="0"/>
              <w:autoSpaceDE/>
              <w:autoSpaceDN/>
              <w:bidi w:val="0"/>
              <w:snapToGrid w:val="0"/>
              <w:spacing w:line="500" w:lineRule="exact"/>
              <w:ind w:right="-212" w:rightChars="-101"/>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2.对应岗位持证上岗</w:t>
            </w:r>
          </w:p>
        </w:tc>
        <w:tc>
          <w:tcPr>
            <w:tcW w:w="4650" w:type="dxa"/>
          </w:tcPr>
          <w:p w14:paraId="69F644E2">
            <w:pPr>
              <w:keepNext w:val="0"/>
              <w:keepLines w:val="0"/>
              <w:pageBreakBefore w:val="0"/>
              <w:kinsoku/>
              <w:overflowPunct/>
              <w:topLinePunct w:val="0"/>
              <w:autoSpaceDE/>
              <w:autoSpaceDN/>
              <w:bidi w:val="0"/>
              <w:snapToGrid w:val="0"/>
              <w:spacing w:line="500" w:lineRule="exact"/>
              <w:ind w:right="13" w:rightChars="6"/>
              <w:jc w:val="left"/>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负责门卫、巡查、安全保障、监 控等服务、车辆管理、楼宇管理等、消防设备巡检、消控室管控；</w:t>
            </w:r>
          </w:p>
        </w:tc>
      </w:tr>
      <w:tr w14:paraId="5AA8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3F3D51A6">
            <w:pPr>
              <w:keepNext w:val="0"/>
              <w:keepLines w:val="0"/>
              <w:pageBreakBefore w:val="0"/>
              <w:kinsoku/>
              <w:overflowPunct/>
              <w:topLinePunct w:val="0"/>
              <w:autoSpaceDE/>
              <w:autoSpaceDN/>
              <w:bidi w:val="0"/>
              <w:snapToGrid w:val="0"/>
              <w:spacing w:line="500" w:lineRule="exact"/>
              <w:ind w:right="-212" w:rightChars="-101"/>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7</w:t>
            </w:r>
          </w:p>
        </w:tc>
        <w:tc>
          <w:tcPr>
            <w:tcW w:w="1380" w:type="dxa"/>
          </w:tcPr>
          <w:p w14:paraId="361BD2D1">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绿化人员</w:t>
            </w:r>
          </w:p>
        </w:tc>
        <w:tc>
          <w:tcPr>
            <w:tcW w:w="870" w:type="dxa"/>
          </w:tcPr>
          <w:p w14:paraId="35E0E8CF">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2人</w:t>
            </w:r>
          </w:p>
        </w:tc>
        <w:tc>
          <w:tcPr>
            <w:tcW w:w="2175" w:type="dxa"/>
          </w:tcPr>
          <w:p w14:paraId="7D03371D">
            <w:pPr>
              <w:keepNext w:val="0"/>
              <w:keepLines w:val="0"/>
              <w:pageBreakBefore w:val="0"/>
              <w:kinsoku/>
              <w:overflowPunct/>
              <w:topLinePunct w:val="0"/>
              <w:autoSpaceDE/>
              <w:autoSpaceDN/>
              <w:bidi w:val="0"/>
              <w:snapToGrid w:val="0"/>
              <w:spacing w:line="500" w:lineRule="exact"/>
              <w:ind w:right="-212" w:rightChars="-101"/>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具有绿化养护经验</w:t>
            </w:r>
          </w:p>
        </w:tc>
        <w:tc>
          <w:tcPr>
            <w:tcW w:w="4650" w:type="dxa"/>
          </w:tcPr>
          <w:p w14:paraId="053EC22D">
            <w:pPr>
              <w:keepNext w:val="0"/>
              <w:keepLines w:val="0"/>
              <w:pageBreakBefore w:val="0"/>
              <w:kinsoku/>
              <w:overflowPunct/>
              <w:topLinePunct w:val="0"/>
              <w:autoSpaceDE/>
              <w:autoSpaceDN/>
              <w:bidi w:val="0"/>
              <w:snapToGrid w:val="0"/>
              <w:spacing w:line="500" w:lineRule="exact"/>
              <w:ind w:right="13" w:rightChars="6"/>
              <w:jc w:val="left"/>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绿化的养护工作，成活率 90%以上。</w:t>
            </w:r>
          </w:p>
        </w:tc>
      </w:tr>
      <w:tr w14:paraId="00DB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14:paraId="0BAFF2B3">
            <w:pPr>
              <w:keepNext w:val="0"/>
              <w:keepLines w:val="0"/>
              <w:pageBreakBefore w:val="0"/>
              <w:kinsoku/>
              <w:overflowPunct/>
              <w:topLinePunct w:val="0"/>
              <w:autoSpaceDE/>
              <w:autoSpaceDN/>
              <w:bidi w:val="0"/>
              <w:snapToGrid w:val="0"/>
              <w:spacing w:line="500" w:lineRule="exact"/>
              <w:ind w:right="-212" w:rightChars="-101"/>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8</w:t>
            </w:r>
          </w:p>
        </w:tc>
        <w:tc>
          <w:tcPr>
            <w:tcW w:w="1380" w:type="dxa"/>
          </w:tcPr>
          <w:p w14:paraId="57B9E63C">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维修人员</w:t>
            </w:r>
          </w:p>
        </w:tc>
        <w:tc>
          <w:tcPr>
            <w:tcW w:w="870" w:type="dxa"/>
          </w:tcPr>
          <w:p w14:paraId="4C3E9FF8">
            <w:pPr>
              <w:keepNext w:val="0"/>
              <w:keepLines w:val="0"/>
              <w:pageBreakBefore w:val="0"/>
              <w:kinsoku/>
              <w:overflowPunct/>
              <w:topLinePunct w:val="0"/>
              <w:autoSpaceDE/>
              <w:autoSpaceDN/>
              <w:bidi w:val="0"/>
              <w:snapToGrid w:val="0"/>
              <w:spacing w:line="500" w:lineRule="exact"/>
              <w:ind w:right="-212" w:rightChars="-101"/>
              <w:jc w:val="left"/>
              <w:rPr>
                <w:rFonts w:hint="default" w:ascii="Times New Roman" w:hAnsi="Times New Roman" w:eastAsia="宋体" w:cs="Times New Roman"/>
                <w:color w:val="auto"/>
                <w:spacing w:val="6"/>
                <w:kern w:val="2"/>
                <w:sz w:val="21"/>
                <w:szCs w:val="24"/>
                <w:highlight w:val="none"/>
                <w:lang w:val="en-US" w:eastAsia="zh-CN" w:bidi="ar-SA"/>
              </w:rPr>
            </w:pPr>
            <w:r>
              <w:rPr>
                <w:rFonts w:hint="eastAsia" w:ascii="Times New Roman" w:hAnsi="Times New Roman" w:eastAsia="宋体" w:cs="Times New Roman"/>
                <w:color w:val="auto"/>
                <w:spacing w:val="6"/>
                <w:kern w:val="2"/>
                <w:sz w:val="21"/>
                <w:szCs w:val="24"/>
                <w:highlight w:val="none"/>
                <w:lang w:val="en-US" w:eastAsia="zh-CN" w:bidi="ar-SA"/>
              </w:rPr>
              <w:t>1人</w:t>
            </w:r>
          </w:p>
        </w:tc>
        <w:tc>
          <w:tcPr>
            <w:tcW w:w="2175" w:type="dxa"/>
          </w:tcPr>
          <w:p w14:paraId="635245D3">
            <w:pPr>
              <w:keepNext w:val="0"/>
              <w:keepLines w:val="0"/>
              <w:pageBreakBefore w:val="0"/>
              <w:kinsoku/>
              <w:overflowPunct/>
              <w:topLinePunct w:val="0"/>
              <w:autoSpaceDE/>
              <w:autoSpaceDN/>
              <w:bidi w:val="0"/>
              <w:snapToGrid w:val="0"/>
              <w:spacing w:line="500" w:lineRule="exact"/>
              <w:ind w:right="-212" w:rightChars="-101"/>
              <w:jc w:val="left"/>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对应岗位持证上岗</w:t>
            </w:r>
          </w:p>
        </w:tc>
        <w:tc>
          <w:tcPr>
            <w:tcW w:w="4650" w:type="dxa"/>
          </w:tcPr>
          <w:p w14:paraId="52851F70">
            <w:pPr>
              <w:keepNext w:val="0"/>
              <w:keepLines w:val="0"/>
              <w:pageBreakBefore w:val="0"/>
              <w:kinsoku/>
              <w:overflowPunct/>
              <w:topLinePunct w:val="0"/>
              <w:autoSpaceDE/>
              <w:autoSpaceDN/>
              <w:bidi w:val="0"/>
              <w:snapToGrid w:val="0"/>
              <w:spacing w:line="500" w:lineRule="exact"/>
              <w:ind w:right="13" w:rightChars="6"/>
              <w:jc w:val="left"/>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负责水电维修，下水疏通，设施设备维 护、巡查、检修，节能管理，突发故障 应急处理等。</w:t>
            </w:r>
          </w:p>
        </w:tc>
      </w:tr>
    </w:tbl>
    <w:p w14:paraId="7DB97C0B">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员配置表中本次招标人员为最低人员配备标准，如实施中不能满足服务要求，中标人应自行增加人员，费用含在投标报价中，招标人不再增加费用。人员要求中需要配备的证书投标时无需核验，签订合同进场时需满足要求。</w:t>
      </w:r>
    </w:p>
    <w:p w14:paraId="695AE0A5">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jc w:val="both"/>
        <w:textAlignment w:val="auto"/>
        <w:outlineLvl w:val="1"/>
        <w:rPr>
          <w:rFonts w:hint="eastAsia" w:ascii="宋体" w:hAnsi="Times New Roman" w:eastAsia="宋体" w:cs="Times New Roman"/>
          <w:b/>
          <w:color w:val="auto"/>
          <w:sz w:val="24"/>
          <w:szCs w:val="24"/>
          <w:highlight w:val="none"/>
          <w:lang w:val="en-US" w:eastAsia="zh-CN"/>
        </w:rPr>
      </w:pPr>
      <w:r>
        <w:rPr>
          <w:rFonts w:hint="eastAsia" w:ascii="宋体" w:hAnsi="Times New Roman" w:eastAsia="宋体" w:cs="Times New Roman"/>
          <w:b/>
          <w:color w:val="auto"/>
          <w:sz w:val="24"/>
          <w:szCs w:val="24"/>
          <w:highlight w:val="none"/>
          <w:lang w:val="en-US" w:eastAsia="zh-CN"/>
        </w:rPr>
        <w:t>四、总体要求</w:t>
      </w:r>
    </w:p>
    <w:p w14:paraId="23C05F90">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1、交房及业主入住等事项的管理与服务</w:t>
      </w:r>
    </w:p>
    <w:p w14:paraId="62E981D3">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2、物业共用部位的维修、养护和管理；</w:t>
      </w:r>
    </w:p>
    <w:p w14:paraId="09726D3B">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3、物业共用设施设备的运行、维修、养护和管理；</w:t>
      </w:r>
    </w:p>
    <w:p w14:paraId="45B6966A">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4、物业共用部位和相关场地的清洁卫生，垃圾的收集、清运及雨、污水管道的疏通；</w:t>
      </w:r>
    </w:p>
    <w:p w14:paraId="6EBE8BD0">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5、公共绿化的养护和管理；</w:t>
      </w:r>
    </w:p>
    <w:p w14:paraId="34BC6477">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6、车辆停放管理；</w:t>
      </w:r>
    </w:p>
    <w:p w14:paraId="67C0D1FF">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7、公共秩序维护、安全防范等事项的协助管理；</w:t>
      </w:r>
    </w:p>
    <w:p w14:paraId="13FF5B37">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8、装饰装修管理服务；</w:t>
      </w:r>
    </w:p>
    <w:p w14:paraId="5420192C">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9、物业档案资料管理。</w:t>
      </w:r>
    </w:p>
    <w:p w14:paraId="2A6635CA">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jc w:val="both"/>
        <w:textAlignment w:val="auto"/>
        <w:outlineLvl w:val="1"/>
        <w:rPr>
          <w:rFonts w:hint="eastAsia" w:ascii="宋体" w:hAnsi="Times New Roman" w:eastAsia="宋体" w:cs="Times New Roman"/>
          <w:b/>
          <w:color w:val="auto"/>
          <w:sz w:val="24"/>
          <w:szCs w:val="24"/>
          <w:highlight w:val="none"/>
          <w:lang w:val="en-US" w:eastAsia="zh-CN"/>
        </w:rPr>
      </w:pPr>
      <w:r>
        <w:rPr>
          <w:rFonts w:hint="eastAsia" w:ascii="宋体" w:hAnsi="Times New Roman" w:eastAsia="宋体" w:cs="Times New Roman"/>
          <w:b/>
          <w:color w:val="auto"/>
          <w:sz w:val="24"/>
          <w:szCs w:val="24"/>
          <w:highlight w:val="none"/>
          <w:lang w:val="en-US" w:eastAsia="zh-CN"/>
        </w:rPr>
        <w:t>五、前期介入</w:t>
      </w:r>
    </w:p>
    <w:p w14:paraId="26531021">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1、合同正式签订后， 由中标人与前物业管理单位进行交接，并开始介入前期管理，中标人提供必要的保洁保卫工作、负责各类工程资料收集、房屋验收及招标人要求的其他工作。 招标人不提供任何前期介入费。具体事宜在签订合同时，另行约定。</w:t>
      </w:r>
    </w:p>
    <w:p w14:paraId="785C94B6">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2、小区前期物业服务</w:t>
      </w:r>
    </w:p>
    <w:p w14:paraId="18CEEE13">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（1）物业共用部位的维修、养护和管理。</w:t>
      </w:r>
    </w:p>
    <w:p w14:paraId="39C09474">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（2）物业共用设施设备的运行、维修、养护和管理，但根据法律规定或相关合同约定 甲方不需要承担义务的设施设备或根据相关合同约定由专业单位维修、养护的设施设备（如 电梯等）除外。</w:t>
      </w:r>
    </w:p>
    <w:p w14:paraId="14187A85">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（3）物业公用部位、道路和相关场地的清洁卫生，垃圾的收集、清运及雨、污水管道 的疏通。</w:t>
      </w:r>
    </w:p>
    <w:p w14:paraId="3528CFD1">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（4）业主共有的公共绿化的养护和管理。</w:t>
      </w:r>
    </w:p>
    <w:p w14:paraId="1A51D0A7">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（5）车辆停放管理。</w:t>
      </w:r>
    </w:p>
    <w:p w14:paraId="30C5705B">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（6）公共秩序维护、安全防范等事项的协助管理。</w:t>
      </w:r>
    </w:p>
    <w:p w14:paraId="185347B8">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（7）装饰装修管理服务。</w:t>
      </w:r>
    </w:p>
    <w:p w14:paraId="7B047F70">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（8）物业维修、更新费用的账目管理和业主档案资料管理。</w:t>
      </w:r>
    </w:p>
    <w:p w14:paraId="3CC949FD">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Times New Roman" w:eastAsia="宋体" w:cs="Times New Roman"/>
          <w:b/>
          <w:color w:val="auto"/>
          <w:sz w:val="24"/>
          <w:szCs w:val="24"/>
          <w:highlight w:val="none"/>
          <w:lang w:val="en-US" w:eastAsia="zh-CN"/>
        </w:rPr>
      </w:pPr>
      <w:r>
        <w:rPr>
          <w:rFonts w:hint="eastAsia" w:ascii="宋体" w:hAnsi="宋体" w:eastAsia="宋体" w:cs="宋体"/>
          <w:color w:val="auto"/>
          <w:szCs w:val="21"/>
          <w:highlight w:val="none"/>
          <w:lang w:val="en-US" w:eastAsia="zh-CN"/>
        </w:rPr>
        <w:t>（9）法律法规规定的其他内容。具体事宜在签订合同时，另行约定。</w:t>
      </w:r>
    </w:p>
    <w:p w14:paraId="628C771D">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jc w:val="both"/>
        <w:textAlignment w:val="auto"/>
        <w:outlineLvl w:val="1"/>
        <w:rPr>
          <w:rFonts w:hint="eastAsia" w:ascii="宋体" w:hAnsi="Times New Roman" w:eastAsia="宋体" w:cs="Times New Roman"/>
          <w:b/>
          <w:color w:val="auto"/>
          <w:sz w:val="24"/>
          <w:szCs w:val="24"/>
          <w:highlight w:val="none"/>
          <w:lang w:val="en-US" w:eastAsia="zh-CN"/>
        </w:rPr>
      </w:pPr>
      <w:r>
        <w:rPr>
          <w:rFonts w:hint="eastAsia" w:ascii="宋体" w:hAnsi="Times New Roman" w:eastAsia="宋体" w:cs="Times New Roman"/>
          <w:b/>
          <w:color w:val="auto"/>
          <w:sz w:val="24"/>
          <w:szCs w:val="24"/>
          <w:highlight w:val="none"/>
          <w:lang w:val="en-US" w:eastAsia="zh-CN"/>
        </w:rPr>
        <w:t>六、物业服务要求</w:t>
      </w:r>
    </w:p>
    <w:p w14:paraId="52E0DC1B">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1、物业公司遵守物业法规，承担本小区的物业服务及物业安全责任，达到物业工作质量标准。</w:t>
      </w:r>
    </w:p>
    <w:p w14:paraId="71C0312C">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2、物业公司应严格按照物业协议，按规定人数上岗，执行物业岗位职责、服务质量标准，承担物业管理服务、安全运行责任，达到全职全责。</w:t>
      </w:r>
    </w:p>
    <w:p w14:paraId="2ECD7466">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3、项目负责人在合同期间未经招标人同意不得更换。</w:t>
      </w:r>
    </w:p>
    <w:p w14:paraId="3F4E818F">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4、特殊岗位（电梯、变配电室电工），必须持证上岗，达到对设备能够检修、检测、检验能力并且做到工作岗位记录、资料齐全。监控、消防值班人员须经专业培训，持证上岗。</w:t>
      </w:r>
    </w:p>
    <w:p w14:paraId="41B6B4C1">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5、物业员工文明上岗，统一着装，标志明显， 自觉遵守本公司相关规章制度。</w:t>
      </w:r>
    </w:p>
    <w:p w14:paraId="0D82CEA6">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6、遇雨雪天气，及时组织人员清理小区内道路、各门门前保证畅通无阻。</w:t>
      </w:r>
    </w:p>
    <w:p w14:paraId="02F53B51">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Times New Roman" w:eastAsia="宋体" w:cs="Times New Roman"/>
          <w:b/>
          <w:color w:val="auto"/>
          <w:sz w:val="24"/>
          <w:szCs w:val="24"/>
          <w:highlight w:val="none"/>
          <w:lang w:val="en-US" w:eastAsia="zh-CN"/>
        </w:rPr>
      </w:pPr>
      <w:r>
        <w:rPr>
          <w:rFonts w:hint="eastAsia" w:ascii="宋体" w:hAnsi="宋体" w:eastAsia="宋体" w:cs="宋体"/>
          <w:color w:val="auto"/>
          <w:szCs w:val="21"/>
          <w:highlight w:val="none"/>
          <w:lang w:val="en-US" w:eastAsia="zh-CN"/>
        </w:rPr>
        <w:t>7、本公司对物业公司的物业服务工作，实行专业对口监管和业务工作指导、每月对物 业服务工作进行质量考核，并及时协调工作中出现的问题.</w:t>
      </w:r>
    </w:p>
    <w:p w14:paraId="3B1C4E4F">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jc w:val="both"/>
        <w:textAlignment w:val="auto"/>
        <w:outlineLvl w:val="1"/>
        <w:rPr>
          <w:rFonts w:hint="eastAsia" w:ascii="宋体" w:hAnsi="Times New Roman" w:eastAsia="宋体" w:cs="Times New Roman"/>
          <w:b/>
          <w:color w:val="auto"/>
          <w:sz w:val="24"/>
          <w:szCs w:val="24"/>
          <w:highlight w:val="none"/>
          <w:lang w:val="en-US" w:eastAsia="zh-CN"/>
        </w:rPr>
      </w:pPr>
      <w:r>
        <w:rPr>
          <w:rFonts w:hint="eastAsia" w:ascii="宋体" w:hAnsi="Times New Roman" w:eastAsia="宋体" w:cs="Times New Roman"/>
          <w:b/>
          <w:color w:val="auto"/>
          <w:sz w:val="24"/>
          <w:szCs w:val="24"/>
          <w:highlight w:val="none"/>
          <w:lang w:val="en-US" w:eastAsia="zh-CN"/>
        </w:rPr>
        <w:t>七、物业管理考核标准</w:t>
      </w:r>
    </w:p>
    <w:tbl>
      <w:tblPr>
        <w:tblStyle w:val="130"/>
        <w:tblW w:w="102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0"/>
        <w:gridCol w:w="840"/>
        <w:gridCol w:w="3885"/>
        <w:gridCol w:w="915"/>
      </w:tblGrid>
      <w:tr w14:paraId="7ADA1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10260" w:type="dxa"/>
            <w:gridSpan w:val="4"/>
            <w:vAlign w:val="top"/>
          </w:tcPr>
          <w:p w14:paraId="655DE5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滁州城区物业企业服务小区达标考核标准</w:t>
            </w:r>
          </w:p>
        </w:tc>
      </w:tr>
      <w:tr w14:paraId="751C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4620" w:type="dxa"/>
            <w:shd w:val="clear" w:color="auto" w:fill="auto"/>
            <w:vAlign w:val="top"/>
          </w:tcPr>
          <w:p w14:paraId="495D2EFC">
            <w:pPr>
              <w:pStyle w:val="131"/>
              <w:keepNext w:val="0"/>
              <w:keepLines w:val="0"/>
              <w:pageBreakBefore w:val="0"/>
              <w:widowControl w:val="0"/>
              <w:kinsoku/>
              <w:wordWrap/>
              <w:overflowPunct/>
              <w:topLinePunct w:val="0"/>
              <w:autoSpaceDE/>
              <w:autoSpaceDN/>
              <w:bidi w:val="0"/>
              <w:adjustRightInd/>
              <w:snapToGrid/>
              <w:spacing w:line="500" w:lineRule="exact"/>
              <w:ind w:left="1494"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1"/>
                <w:sz w:val="21"/>
                <w:szCs w:val="21"/>
                <w:highlight w:val="none"/>
              </w:rPr>
              <w:t>标</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准</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
                <w:sz w:val="21"/>
                <w:szCs w:val="21"/>
                <w:highlight w:val="none"/>
              </w:rPr>
              <w:t>要</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求</w:t>
            </w:r>
          </w:p>
        </w:tc>
        <w:tc>
          <w:tcPr>
            <w:tcW w:w="840" w:type="dxa"/>
            <w:shd w:val="clear" w:color="auto" w:fill="auto"/>
            <w:vAlign w:val="top"/>
          </w:tcPr>
          <w:p w14:paraId="71D42114">
            <w:pPr>
              <w:pStyle w:val="131"/>
              <w:keepNext w:val="0"/>
              <w:keepLines w:val="0"/>
              <w:pageBreakBefore w:val="0"/>
              <w:widowControl w:val="0"/>
              <w:kinsoku/>
              <w:wordWrap/>
              <w:overflowPunct/>
              <w:topLinePunct w:val="0"/>
              <w:autoSpaceDE/>
              <w:autoSpaceDN/>
              <w:bidi w:val="0"/>
              <w:adjustRightInd/>
              <w:snapToGrid/>
              <w:spacing w:line="500" w:lineRule="exact"/>
              <w:ind w:left="6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7"/>
                <w:sz w:val="21"/>
                <w:szCs w:val="21"/>
                <w:highlight w:val="none"/>
              </w:rPr>
              <w:t>规定分值</w:t>
            </w:r>
          </w:p>
        </w:tc>
        <w:tc>
          <w:tcPr>
            <w:tcW w:w="3885" w:type="dxa"/>
            <w:shd w:val="clear" w:color="auto" w:fill="auto"/>
            <w:vAlign w:val="top"/>
          </w:tcPr>
          <w:p w14:paraId="29F8FCFB">
            <w:pPr>
              <w:pStyle w:val="131"/>
              <w:keepNext w:val="0"/>
              <w:keepLines w:val="0"/>
              <w:pageBreakBefore w:val="0"/>
              <w:widowControl w:val="0"/>
              <w:kinsoku/>
              <w:wordWrap/>
              <w:overflowPunct/>
              <w:topLinePunct w:val="0"/>
              <w:autoSpaceDE/>
              <w:autoSpaceDN/>
              <w:bidi w:val="0"/>
              <w:adjustRightInd/>
              <w:snapToGrid/>
              <w:spacing w:line="500" w:lineRule="exact"/>
              <w:ind w:left="667"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rPr>
              <w:t>评</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z w:val="21"/>
                <w:szCs w:val="21"/>
                <w:highlight w:val="none"/>
              </w:rPr>
              <w:t>细</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z w:val="21"/>
                <w:szCs w:val="21"/>
                <w:highlight w:val="none"/>
              </w:rPr>
              <w:t>则</w:t>
            </w:r>
          </w:p>
        </w:tc>
        <w:tc>
          <w:tcPr>
            <w:tcW w:w="915" w:type="dxa"/>
            <w:shd w:val="clear" w:color="auto" w:fill="auto"/>
            <w:vAlign w:val="top"/>
          </w:tcPr>
          <w:p w14:paraId="2DA376D8">
            <w:pPr>
              <w:pStyle w:val="131"/>
              <w:keepNext w:val="0"/>
              <w:keepLines w:val="0"/>
              <w:pageBreakBefore w:val="0"/>
              <w:widowControl w:val="0"/>
              <w:kinsoku/>
              <w:wordWrap/>
              <w:overflowPunct/>
              <w:topLinePunct w:val="0"/>
              <w:autoSpaceDE/>
              <w:autoSpaceDN/>
              <w:bidi w:val="0"/>
              <w:adjustRightInd/>
              <w:snapToGrid/>
              <w:spacing w:line="500" w:lineRule="exact"/>
              <w:ind w:left="145" w:lef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7"/>
                <w:sz w:val="21"/>
                <w:szCs w:val="21"/>
                <w:highlight w:val="none"/>
              </w:rPr>
              <w:t>考核得分</w:t>
            </w:r>
          </w:p>
        </w:tc>
      </w:tr>
      <w:tr w14:paraId="3E9EB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4620" w:type="dxa"/>
            <w:shd w:val="clear" w:color="auto" w:fill="auto"/>
            <w:vAlign w:val="top"/>
          </w:tcPr>
          <w:p w14:paraId="3643CBED">
            <w:pPr>
              <w:keepNext w:val="0"/>
              <w:keepLines w:val="0"/>
              <w:pageBreakBefore w:val="0"/>
              <w:widowControl w:val="0"/>
              <w:kinsoku/>
              <w:wordWrap/>
              <w:overflowPunct/>
              <w:topLinePunct w:val="0"/>
              <w:autoSpaceDE/>
              <w:autoSpaceDN/>
              <w:bidi w:val="0"/>
              <w:adjustRightInd/>
              <w:snapToGrid/>
              <w:spacing w:line="500" w:lineRule="exact"/>
              <w:ind w:left="177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pacing w:val="4"/>
                <w:sz w:val="21"/>
                <w:szCs w:val="21"/>
                <w:highlight w:val="none"/>
              </w:rPr>
              <w:t>（一）内部管理</w:t>
            </w:r>
          </w:p>
        </w:tc>
        <w:tc>
          <w:tcPr>
            <w:tcW w:w="840" w:type="dxa"/>
            <w:shd w:val="clear" w:color="auto" w:fill="auto"/>
            <w:vAlign w:val="top"/>
          </w:tcPr>
          <w:p w14:paraId="6624F09B">
            <w:pPr>
              <w:keepNext w:val="0"/>
              <w:keepLines w:val="0"/>
              <w:pageBreakBefore w:val="0"/>
              <w:widowControl w:val="0"/>
              <w:kinsoku/>
              <w:wordWrap/>
              <w:overflowPunct/>
              <w:topLinePunct w:val="0"/>
              <w:autoSpaceDE/>
              <w:autoSpaceDN/>
              <w:bidi w:val="0"/>
              <w:adjustRightInd/>
              <w:snapToGrid/>
              <w:spacing w:line="500" w:lineRule="exact"/>
              <w:ind w:left="392"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5"/>
                <w:position w:val="1"/>
                <w:sz w:val="21"/>
                <w:szCs w:val="21"/>
                <w:highlight w:val="none"/>
              </w:rPr>
              <w:t>18</w:t>
            </w:r>
          </w:p>
        </w:tc>
        <w:tc>
          <w:tcPr>
            <w:tcW w:w="3885" w:type="dxa"/>
            <w:vAlign w:val="top"/>
          </w:tcPr>
          <w:p w14:paraId="4A6FB166">
            <w:pPr>
              <w:pStyle w:val="131"/>
              <w:keepNext w:val="0"/>
              <w:keepLines w:val="0"/>
              <w:pageBreakBefore w:val="0"/>
              <w:widowControl w:val="0"/>
              <w:kinsoku/>
              <w:wordWrap/>
              <w:overflowPunct/>
              <w:topLinePunct w:val="0"/>
              <w:autoSpaceDE/>
              <w:autoSpaceDN/>
              <w:bidi w:val="0"/>
              <w:adjustRightInd/>
              <w:snapToGrid/>
              <w:spacing w:line="500" w:lineRule="exact"/>
              <w:ind w:left="13" w:right="3"/>
              <w:textAlignment w:val="auto"/>
              <w:rPr>
                <w:rFonts w:hint="eastAsia" w:ascii="宋体" w:hAnsi="宋体" w:eastAsia="宋体" w:cs="宋体"/>
                <w:color w:val="auto"/>
                <w:spacing w:val="4"/>
                <w:sz w:val="21"/>
                <w:szCs w:val="21"/>
                <w:highlight w:val="none"/>
              </w:rPr>
            </w:pPr>
          </w:p>
        </w:tc>
        <w:tc>
          <w:tcPr>
            <w:tcW w:w="915" w:type="dxa"/>
            <w:vAlign w:val="top"/>
          </w:tcPr>
          <w:p w14:paraId="1AC1AD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1D611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jc w:val="center"/>
        </w:trPr>
        <w:tc>
          <w:tcPr>
            <w:tcW w:w="4620" w:type="dxa"/>
            <w:shd w:val="clear" w:color="auto" w:fill="auto"/>
            <w:vAlign w:val="top"/>
          </w:tcPr>
          <w:p w14:paraId="3E77F758">
            <w:pPr>
              <w:pStyle w:val="131"/>
              <w:keepNext w:val="0"/>
              <w:keepLines w:val="0"/>
              <w:pageBreakBefore w:val="0"/>
              <w:widowControl w:val="0"/>
              <w:kinsoku/>
              <w:wordWrap/>
              <w:overflowPunct/>
              <w:topLinePunct w:val="0"/>
              <w:autoSpaceDE/>
              <w:autoSpaceDN/>
              <w:bidi w:val="0"/>
              <w:adjustRightInd/>
              <w:snapToGrid/>
              <w:spacing w:line="500" w:lineRule="exact"/>
              <w:ind w:left="11" w:leftChars="0" w:right="3" w:rightChars="0" w:firstLine="436" w:firstLine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9"/>
                <w:sz w:val="21"/>
                <w:szCs w:val="21"/>
                <w:highlight w:val="none"/>
              </w:rPr>
              <w:t>1.遵守《物业管理条例》及相关法律、法规、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政策；从业人员有从业资格，小区负责人须持有物</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
                <w:sz w:val="21"/>
                <w:szCs w:val="21"/>
                <w:highlight w:val="none"/>
              </w:rPr>
              <w:t>业服务项目管理资格证书，守法经营；严格按照《物</w:t>
            </w:r>
            <w:r>
              <w:rPr>
                <w:rFonts w:hint="eastAsia" w:ascii="宋体" w:hAnsi="宋体" w:eastAsia="宋体" w:cs="宋体"/>
                <w:color w:val="auto"/>
                <w:spacing w:val="8"/>
                <w:sz w:val="21"/>
                <w:szCs w:val="21"/>
                <w:highlight w:val="none"/>
              </w:rPr>
              <w:t xml:space="preserve"> 业服务合同》约定，提供相应的服务。</w:t>
            </w:r>
          </w:p>
        </w:tc>
        <w:tc>
          <w:tcPr>
            <w:tcW w:w="840" w:type="dxa"/>
            <w:shd w:val="clear" w:color="auto" w:fill="auto"/>
            <w:vAlign w:val="center"/>
          </w:tcPr>
          <w:p w14:paraId="56A544B5">
            <w:pPr>
              <w:pStyle w:val="131"/>
              <w:keepNext w:val="0"/>
              <w:keepLines w:val="0"/>
              <w:pageBreakBefore w:val="0"/>
              <w:widowControl w:val="0"/>
              <w:kinsoku/>
              <w:wordWrap/>
              <w:overflowPunct/>
              <w:topLinePunct w:val="0"/>
              <w:autoSpaceDE/>
              <w:autoSpaceDN/>
              <w:bidi w:val="0"/>
              <w:adjustRightInd/>
              <w:snapToGrid/>
              <w:spacing w:line="500" w:lineRule="exact"/>
              <w:ind w:left="436" w:leftChars="0"/>
              <w:jc w:val="center"/>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position w:val="1"/>
                <w:sz w:val="21"/>
                <w:szCs w:val="21"/>
                <w:highlight w:val="none"/>
              </w:rPr>
              <w:t>2</w:t>
            </w:r>
          </w:p>
        </w:tc>
        <w:tc>
          <w:tcPr>
            <w:tcW w:w="3885" w:type="dxa"/>
            <w:shd w:val="clear" w:color="auto" w:fill="auto"/>
            <w:vAlign w:val="top"/>
          </w:tcPr>
          <w:p w14:paraId="1181F4A7">
            <w:pPr>
              <w:pStyle w:val="131"/>
              <w:keepNext w:val="0"/>
              <w:keepLines w:val="0"/>
              <w:pageBreakBefore w:val="0"/>
              <w:widowControl w:val="0"/>
              <w:kinsoku/>
              <w:wordWrap/>
              <w:overflowPunct/>
              <w:topLinePunct w:val="0"/>
              <w:autoSpaceDE/>
              <w:autoSpaceDN/>
              <w:bidi w:val="0"/>
              <w:adjustRightInd/>
              <w:snapToGrid/>
              <w:spacing w:line="500" w:lineRule="exact"/>
              <w:ind w:left="11" w:right="1" w:firstLine="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综合评定，有违规行为受到</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9"/>
                <w:sz w:val="21"/>
                <w:szCs w:val="21"/>
                <w:highlight w:val="none"/>
              </w:rPr>
              <w:t>行政部门处罚的，每次扣</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0.5</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7"/>
                <w:sz w:val="21"/>
                <w:szCs w:val="21"/>
                <w:highlight w:val="none"/>
              </w:rPr>
              <w:t>分；因合同履行不到位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而被投诉的，每次扣</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6"/>
                <w:sz w:val="21"/>
                <w:szCs w:val="21"/>
                <w:highlight w:val="none"/>
              </w:rPr>
              <w:t>0.5</w:t>
            </w:r>
          </w:p>
          <w:p w14:paraId="639BC756">
            <w:pPr>
              <w:pStyle w:val="131"/>
              <w:keepNext w:val="0"/>
              <w:keepLines w:val="0"/>
              <w:pageBreakBefore w:val="0"/>
              <w:widowControl w:val="0"/>
              <w:kinsoku/>
              <w:wordWrap/>
              <w:overflowPunct/>
              <w:topLinePunct w:val="0"/>
              <w:autoSpaceDE/>
              <w:autoSpaceDN/>
              <w:bidi w:val="0"/>
              <w:adjustRightInd/>
              <w:snapToGrid/>
              <w:spacing w:line="500" w:lineRule="exact"/>
              <w:ind w:left="13" w:leftChars="0" w:right="3" w:rightChars="0"/>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pacing w:val="4"/>
                <w:sz w:val="21"/>
                <w:szCs w:val="21"/>
                <w:highlight w:val="none"/>
              </w:rPr>
              <w:t>分；其他每一项不符合要求</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z w:val="21"/>
                <w:szCs w:val="21"/>
                <w:highlight w:val="none"/>
              </w:rPr>
              <w:t>扣</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z w:val="21"/>
                <w:szCs w:val="21"/>
                <w:highlight w:val="none"/>
              </w:rPr>
              <w:t>分</w:t>
            </w:r>
          </w:p>
        </w:tc>
        <w:tc>
          <w:tcPr>
            <w:tcW w:w="915" w:type="dxa"/>
            <w:shd w:val="clear" w:color="auto" w:fill="auto"/>
            <w:vAlign w:val="top"/>
          </w:tcPr>
          <w:p w14:paraId="0A7FE7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1"/>
                <w:szCs w:val="21"/>
                <w:highlight w:val="none"/>
                <w:lang w:val="en-US" w:eastAsia="zh-CN" w:bidi="ar-SA"/>
              </w:rPr>
            </w:pPr>
          </w:p>
        </w:tc>
      </w:tr>
      <w:tr w14:paraId="24516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jc w:val="center"/>
        </w:trPr>
        <w:tc>
          <w:tcPr>
            <w:tcW w:w="4620" w:type="dxa"/>
            <w:vAlign w:val="top"/>
          </w:tcPr>
          <w:p w14:paraId="179F4D03">
            <w:pPr>
              <w:pStyle w:val="131"/>
              <w:keepNext w:val="0"/>
              <w:keepLines w:val="0"/>
              <w:pageBreakBefore w:val="0"/>
              <w:widowControl w:val="0"/>
              <w:kinsoku/>
              <w:wordWrap/>
              <w:overflowPunct/>
              <w:topLinePunct w:val="0"/>
              <w:autoSpaceDE/>
              <w:autoSpaceDN/>
              <w:bidi w:val="0"/>
              <w:adjustRightInd/>
              <w:snapToGrid/>
              <w:spacing w:line="500" w:lineRule="exact"/>
              <w:ind w:left="12" w:right="22"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2.推行先进的服务理念，并将先进的服务理念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和企业服务宗旨、管理目标、服务质量目标及奖惩</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7"/>
                <w:sz w:val="21"/>
                <w:szCs w:val="21"/>
                <w:highlight w:val="none"/>
              </w:rPr>
              <w:t>措施悬挂上墙。</w:t>
            </w:r>
          </w:p>
        </w:tc>
        <w:tc>
          <w:tcPr>
            <w:tcW w:w="840" w:type="dxa"/>
            <w:vAlign w:val="center"/>
          </w:tcPr>
          <w:p w14:paraId="7A9A71CC">
            <w:pPr>
              <w:pStyle w:val="131"/>
              <w:keepNext w:val="0"/>
              <w:keepLines w:val="0"/>
              <w:pageBreakBefore w:val="0"/>
              <w:widowControl w:val="0"/>
              <w:kinsoku/>
              <w:wordWrap/>
              <w:overflowPunct/>
              <w:topLinePunct w:val="0"/>
              <w:autoSpaceDE/>
              <w:autoSpaceDN/>
              <w:bidi w:val="0"/>
              <w:adjustRightInd/>
              <w:snapToGrid/>
              <w:spacing w:line="500" w:lineRule="exact"/>
              <w:ind w:left="43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3885" w:type="dxa"/>
            <w:vAlign w:val="top"/>
          </w:tcPr>
          <w:p w14:paraId="63A53808">
            <w:pPr>
              <w:pStyle w:val="131"/>
              <w:keepNext w:val="0"/>
              <w:keepLines w:val="0"/>
              <w:pageBreakBefore w:val="0"/>
              <w:widowControl w:val="0"/>
              <w:kinsoku/>
              <w:wordWrap/>
              <w:overflowPunct/>
              <w:topLinePunct w:val="0"/>
              <w:autoSpaceDE/>
              <w:autoSpaceDN/>
              <w:bidi w:val="0"/>
              <w:adjustRightInd/>
              <w:snapToGrid/>
              <w:spacing w:line="500" w:lineRule="exact"/>
              <w:ind w:left="12" w:right="211" w:hanging="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每一项不符合要求扣</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7"/>
                <w:sz w:val="21"/>
                <w:szCs w:val="21"/>
                <w:highlight w:val="none"/>
              </w:rPr>
              <w:t>0.5</w:t>
            </w:r>
            <w:r>
              <w:rPr>
                <w:rFonts w:hint="eastAsia" w:ascii="宋体" w:hAnsi="宋体" w:eastAsia="宋体" w:cs="宋体"/>
                <w:color w:val="auto"/>
                <w:sz w:val="21"/>
                <w:szCs w:val="21"/>
                <w:highlight w:val="none"/>
              </w:rPr>
              <w:t xml:space="preserve"> 分</w:t>
            </w:r>
          </w:p>
        </w:tc>
        <w:tc>
          <w:tcPr>
            <w:tcW w:w="915" w:type="dxa"/>
            <w:vAlign w:val="top"/>
          </w:tcPr>
          <w:p w14:paraId="3FCFA7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15FAB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jc w:val="center"/>
        </w:trPr>
        <w:tc>
          <w:tcPr>
            <w:tcW w:w="4620" w:type="dxa"/>
            <w:vAlign w:val="top"/>
          </w:tcPr>
          <w:p w14:paraId="2D2BF863">
            <w:pPr>
              <w:pStyle w:val="131"/>
              <w:keepNext w:val="0"/>
              <w:keepLines w:val="0"/>
              <w:pageBreakBefore w:val="0"/>
              <w:widowControl w:val="0"/>
              <w:kinsoku/>
              <w:wordWrap/>
              <w:overflowPunct/>
              <w:topLinePunct w:val="0"/>
              <w:autoSpaceDE/>
              <w:autoSpaceDN/>
              <w:bidi w:val="0"/>
              <w:adjustRightInd/>
              <w:snapToGrid/>
              <w:spacing w:line="500" w:lineRule="exact"/>
              <w:ind w:left="12" w:right="22" w:firstLine="424"/>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3.建立项目经理执业信用档案及其他从业人员</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9"/>
                <w:sz w:val="21"/>
                <w:szCs w:val="21"/>
                <w:highlight w:val="none"/>
              </w:rPr>
              <w:t>信用档案，各项信息资料填写真实、准确、完整，</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7"/>
                <w:sz w:val="21"/>
                <w:szCs w:val="21"/>
                <w:highlight w:val="none"/>
              </w:rPr>
              <w:t>真实记录信用情况。</w:t>
            </w:r>
          </w:p>
        </w:tc>
        <w:tc>
          <w:tcPr>
            <w:tcW w:w="840" w:type="dxa"/>
            <w:vAlign w:val="center"/>
          </w:tcPr>
          <w:p w14:paraId="4222AF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p>
          <w:p w14:paraId="296643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p w14:paraId="0024F2B5">
            <w:pPr>
              <w:pStyle w:val="131"/>
              <w:keepNext w:val="0"/>
              <w:keepLines w:val="0"/>
              <w:pageBreakBefore w:val="0"/>
              <w:widowControl w:val="0"/>
              <w:kinsoku/>
              <w:wordWrap/>
              <w:overflowPunct/>
              <w:topLinePunct w:val="0"/>
              <w:autoSpaceDE/>
              <w:autoSpaceDN/>
              <w:bidi w:val="0"/>
              <w:adjustRightInd/>
              <w:snapToGrid/>
              <w:spacing w:line="500" w:lineRule="exact"/>
              <w:ind w:left="436"/>
              <w:jc w:val="center"/>
              <w:textAlignment w:val="auto"/>
              <w:rPr>
                <w:rFonts w:hint="eastAsia" w:ascii="宋体" w:hAnsi="宋体" w:eastAsia="宋体" w:cs="宋体"/>
                <w:color w:val="auto"/>
                <w:sz w:val="21"/>
                <w:szCs w:val="21"/>
                <w:highlight w:val="none"/>
              </w:rPr>
            </w:pPr>
          </w:p>
        </w:tc>
        <w:tc>
          <w:tcPr>
            <w:tcW w:w="3885" w:type="dxa"/>
            <w:vAlign w:val="top"/>
          </w:tcPr>
          <w:p w14:paraId="40F49801">
            <w:pPr>
              <w:pStyle w:val="131"/>
              <w:keepNext w:val="0"/>
              <w:keepLines w:val="0"/>
              <w:pageBreakBefore w:val="0"/>
              <w:widowControl w:val="0"/>
              <w:kinsoku/>
              <w:wordWrap/>
              <w:overflowPunct/>
              <w:topLinePunct w:val="0"/>
              <w:autoSpaceDE/>
              <w:autoSpaceDN/>
              <w:bidi w:val="0"/>
              <w:adjustRightInd/>
              <w:snapToGrid/>
              <w:spacing w:line="500" w:lineRule="exact"/>
              <w:ind w:left="12" w:firstLine="1"/>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未建立信用档案</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0</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z w:val="21"/>
                <w:szCs w:val="21"/>
                <w:highlight w:val="none"/>
              </w:rPr>
              <w:t xml:space="preserve">分；每发 </w:t>
            </w:r>
            <w:r>
              <w:rPr>
                <w:rFonts w:hint="eastAsia" w:ascii="宋体" w:hAnsi="宋体" w:eastAsia="宋体" w:cs="宋体"/>
                <w:color w:val="auto"/>
                <w:spacing w:val="10"/>
                <w:sz w:val="21"/>
                <w:szCs w:val="21"/>
                <w:highlight w:val="none"/>
              </w:rPr>
              <w:t xml:space="preserve">现一次弄虚作假行为扣0.5 </w:t>
            </w:r>
            <w:r>
              <w:rPr>
                <w:rFonts w:hint="eastAsia" w:ascii="宋体" w:hAnsi="宋体" w:eastAsia="宋体" w:cs="宋体"/>
                <w:color w:val="auto"/>
                <w:spacing w:val="4"/>
                <w:sz w:val="21"/>
                <w:szCs w:val="21"/>
                <w:highlight w:val="none"/>
              </w:rPr>
              <w:t>分；文字档案记录不完整、</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
                <w:sz w:val="21"/>
                <w:szCs w:val="21"/>
                <w:highlight w:val="none"/>
              </w:rPr>
              <w:t>不真实的，每一项扣</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
                <w:sz w:val="21"/>
                <w:szCs w:val="21"/>
                <w:highlight w:val="none"/>
              </w:rPr>
              <w:t>0.2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
                <w:sz w:val="21"/>
                <w:szCs w:val="21"/>
                <w:highlight w:val="none"/>
              </w:rPr>
              <w:t>分</w:t>
            </w:r>
          </w:p>
        </w:tc>
        <w:tc>
          <w:tcPr>
            <w:tcW w:w="915" w:type="dxa"/>
            <w:vAlign w:val="top"/>
          </w:tcPr>
          <w:p w14:paraId="763CC8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67393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jc w:val="center"/>
        </w:trPr>
        <w:tc>
          <w:tcPr>
            <w:tcW w:w="4620" w:type="dxa"/>
            <w:vAlign w:val="top"/>
          </w:tcPr>
          <w:p w14:paraId="76552078">
            <w:pPr>
              <w:pStyle w:val="131"/>
              <w:keepNext w:val="0"/>
              <w:keepLines w:val="0"/>
              <w:pageBreakBefore w:val="0"/>
              <w:widowControl w:val="0"/>
              <w:kinsoku/>
              <w:wordWrap/>
              <w:overflowPunct/>
              <w:topLinePunct w:val="0"/>
              <w:autoSpaceDE/>
              <w:autoSpaceDN/>
              <w:bidi w:val="0"/>
              <w:adjustRightInd/>
              <w:snapToGrid/>
              <w:spacing w:line="500" w:lineRule="exact"/>
              <w:ind w:left="13" w:right="22" w:firstLine="418"/>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4.建立物业服务质量保障体系，各单位、岗位</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9"/>
                <w:sz w:val="21"/>
                <w:szCs w:val="21"/>
                <w:highlight w:val="none"/>
              </w:rPr>
              <w:t xml:space="preserve">制定明确的质量检查和考核办法，定期进行绩效考 </w:t>
            </w:r>
            <w:r>
              <w:rPr>
                <w:rFonts w:hint="eastAsia" w:ascii="宋体" w:hAnsi="宋体" w:eastAsia="宋体" w:cs="宋体"/>
                <w:color w:val="auto"/>
                <w:spacing w:val="7"/>
                <w:sz w:val="21"/>
                <w:szCs w:val="21"/>
                <w:highlight w:val="none"/>
              </w:rPr>
              <w:t>核，考核记录存档。</w:t>
            </w:r>
          </w:p>
        </w:tc>
        <w:tc>
          <w:tcPr>
            <w:tcW w:w="840" w:type="dxa"/>
            <w:vAlign w:val="center"/>
          </w:tcPr>
          <w:p w14:paraId="02BF190E">
            <w:pPr>
              <w:pStyle w:val="131"/>
              <w:keepNext w:val="0"/>
              <w:keepLines w:val="0"/>
              <w:pageBreakBefore w:val="0"/>
              <w:widowControl w:val="0"/>
              <w:kinsoku/>
              <w:wordWrap/>
              <w:overflowPunct/>
              <w:topLinePunct w:val="0"/>
              <w:autoSpaceDE/>
              <w:autoSpaceDN/>
              <w:bidi w:val="0"/>
              <w:adjustRightInd/>
              <w:snapToGrid/>
              <w:spacing w:line="500" w:lineRule="exact"/>
              <w:ind w:left="43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3885" w:type="dxa"/>
            <w:vAlign w:val="top"/>
          </w:tcPr>
          <w:p w14:paraId="7C40BC43">
            <w:pPr>
              <w:pStyle w:val="131"/>
              <w:keepNext w:val="0"/>
              <w:keepLines w:val="0"/>
              <w:pageBreakBefore w:val="0"/>
              <w:widowControl w:val="0"/>
              <w:kinsoku/>
              <w:wordWrap/>
              <w:overflowPunct/>
              <w:topLinePunct w:val="0"/>
              <w:autoSpaceDE/>
              <w:autoSpaceDN/>
              <w:bidi w:val="0"/>
              <w:adjustRightInd/>
              <w:snapToGrid/>
              <w:spacing w:line="500" w:lineRule="exact"/>
              <w:ind w:left="11" w:right="1" w:firstLine="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未建立的</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2"/>
                <w:sz w:val="21"/>
                <w:szCs w:val="21"/>
                <w:highlight w:val="none"/>
              </w:rPr>
              <w:t>0</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2"/>
                <w:sz w:val="21"/>
                <w:szCs w:val="21"/>
                <w:highlight w:val="none"/>
              </w:rPr>
              <w:t>分，每一项不符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合或存档不完善的扣</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6"/>
                <w:sz w:val="21"/>
                <w:szCs w:val="21"/>
                <w:highlight w:val="none"/>
              </w:rPr>
              <w:t>0.2</w:t>
            </w:r>
          </w:p>
          <w:p w14:paraId="4C0E6FDC">
            <w:pPr>
              <w:pStyle w:val="131"/>
              <w:keepNext w:val="0"/>
              <w:keepLines w:val="0"/>
              <w:pageBreakBefore w:val="0"/>
              <w:widowControl w:val="0"/>
              <w:kinsoku/>
              <w:wordWrap/>
              <w:overflowPunct/>
              <w:topLinePunct w:val="0"/>
              <w:autoSpaceDE/>
              <w:autoSpaceDN/>
              <w:bidi w:val="0"/>
              <w:adjustRightInd/>
              <w:snapToGrid/>
              <w:spacing w:line="500" w:lineRule="exact"/>
              <w:ind w:left="1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分；</w:t>
            </w:r>
          </w:p>
        </w:tc>
        <w:tc>
          <w:tcPr>
            <w:tcW w:w="915" w:type="dxa"/>
            <w:vAlign w:val="top"/>
          </w:tcPr>
          <w:p w14:paraId="2D39F3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53161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4620" w:type="dxa"/>
            <w:vAlign w:val="top"/>
          </w:tcPr>
          <w:p w14:paraId="6912CD98">
            <w:pPr>
              <w:pStyle w:val="131"/>
              <w:keepNext w:val="0"/>
              <w:keepLines w:val="0"/>
              <w:pageBreakBefore w:val="0"/>
              <w:widowControl w:val="0"/>
              <w:kinsoku/>
              <w:wordWrap/>
              <w:overflowPunct/>
              <w:topLinePunct w:val="0"/>
              <w:autoSpaceDE/>
              <w:autoSpaceDN/>
              <w:bidi w:val="0"/>
              <w:adjustRightInd/>
              <w:snapToGrid/>
              <w:spacing w:line="500" w:lineRule="exact"/>
              <w:ind w:left="17" w:right="22" w:firstLine="41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5.接受街道办事处、乡（镇）人民政府和房产</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9"/>
                <w:sz w:val="21"/>
                <w:szCs w:val="21"/>
                <w:highlight w:val="none"/>
              </w:rPr>
              <w:t>管理部门的指导和监督，配合相关部门做好社区管</w:t>
            </w:r>
            <w:r>
              <w:rPr>
                <w:rFonts w:hint="eastAsia" w:ascii="宋体" w:hAnsi="宋体" w:eastAsia="宋体" w:cs="宋体"/>
                <w:color w:val="auto"/>
                <w:spacing w:val="8"/>
                <w:sz w:val="21"/>
                <w:szCs w:val="21"/>
                <w:highlight w:val="none"/>
              </w:rPr>
              <w:t>理工作，建立相对接的工作制度及要求。</w:t>
            </w:r>
          </w:p>
        </w:tc>
        <w:tc>
          <w:tcPr>
            <w:tcW w:w="840" w:type="dxa"/>
            <w:vAlign w:val="center"/>
          </w:tcPr>
          <w:p w14:paraId="1CB44638">
            <w:pPr>
              <w:pStyle w:val="131"/>
              <w:keepNext w:val="0"/>
              <w:keepLines w:val="0"/>
              <w:pageBreakBefore w:val="0"/>
              <w:widowControl w:val="0"/>
              <w:kinsoku/>
              <w:wordWrap/>
              <w:overflowPunct/>
              <w:topLinePunct w:val="0"/>
              <w:autoSpaceDE/>
              <w:autoSpaceDN/>
              <w:bidi w:val="0"/>
              <w:adjustRightInd/>
              <w:snapToGrid/>
              <w:spacing w:line="500" w:lineRule="exact"/>
              <w:ind w:left="43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3885" w:type="dxa"/>
            <w:vAlign w:val="top"/>
          </w:tcPr>
          <w:p w14:paraId="255956E4">
            <w:pPr>
              <w:pStyle w:val="131"/>
              <w:keepNext w:val="0"/>
              <w:keepLines w:val="0"/>
              <w:pageBreakBefore w:val="0"/>
              <w:widowControl w:val="0"/>
              <w:kinsoku/>
              <w:wordWrap/>
              <w:overflowPunct/>
              <w:topLinePunct w:val="0"/>
              <w:autoSpaceDE/>
              <w:autoSpaceDN/>
              <w:bidi w:val="0"/>
              <w:adjustRightInd/>
              <w:snapToGrid/>
              <w:spacing w:line="500" w:lineRule="exact"/>
              <w:ind w:left="11" w:firstLine="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没有配合工作的且没有工</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2"/>
                <w:sz w:val="21"/>
                <w:szCs w:val="21"/>
                <w:highlight w:val="none"/>
              </w:rPr>
              <w:t>作制度及要求的</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2"/>
                <w:sz w:val="21"/>
                <w:szCs w:val="21"/>
                <w:highlight w:val="none"/>
              </w:rPr>
              <w:t>0</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分；每发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现一项不符合要求的扣0.5</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分</w:t>
            </w:r>
          </w:p>
        </w:tc>
        <w:tc>
          <w:tcPr>
            <w:tcW w:w="915" w:type="dxa"/>
            <w:vAlign w:val="top"/>
          </w:tcPr>
          <w:p w14:paraId="610673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756C9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4620" w:type="dxa"/>
            <w:vAlign w:val="top"/>
          </w:tcPr>
          <w:p w14:paraId="718F7CF2">
            <w:pPr>
              <w:pStyle w:val="131"/>
              <w:keepNext w:val="0"/>
              <w:keepLines w:val="0"/>
              <w:pageBreakBefore w:val="0"/>
              <w:widowControl w:val="0"/>
              <w:kinsoku/>
              <w:wordWrap/>
              <w:overflowPunct/>
              <w:topLinePunct w:val="0"/>
              <w:autoSpaceDE/>
              <w:autoSpaceDN/>
              <w:bidi w:val="0"/>
              <w:adjustRightInd/>
              <w:snapToGrid/>
              <w:spacing w:line="500" w:lineRule="exact"/>
              <w:ind w:left="15" w:right="22" w:firstLine="41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6.做好物业服务宣传工作，落实物业服务行风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建设和安全责任。执行重大事件报告制度。</w:t>
            </w:r>
          </w:p>
        </w:tc>
        <w:tc>
          <w:tcPr>
            <w:tcW w:w="840" w:type="dxa"/>
            <w:vAlign w:val="top"/>
          </w:tcPr>
          <w:p w14:paraId="37910A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161F48BB">
            <w:pPr>
              <w:pStyle w:val="131"/>
              <w:keepNext w:val="0"/>
              <w:keepLines w:val="0"/>
              <w:pageBreakBefore w:val="0"/>
              <w:widowControl w:val="0"/>
              <w:kinsoku/>
              <w:wordWrap/>
              <w:overflowPunct/>
              <w:topLinePunct w:val="0"/>
              <w:autoSpaceDE/>
              <w:autoSpaceDN/>
              <w:bidi w:val="0"/>
              <w:adjustRightInd/>
              <w:snapToGrid/>
              <w:spacing w:line="500" w:lineRule="exact"/>
              <w:ind w:left="436"/>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p>
        </w:tc>
        <w:tc>
          <w:tcPr>
            <w:tcW w:w="3885" w:type="dxa"/>
            <w:vAlign w:val="top"/>
          </w:tcPr>
          <w:p w14:paraId="1F996EED">
            <w:pPr>
              <w:pStyle w:val="131"/>
              <w:keepNext w:val="0"/>
              <w:keepLines w:val="0"/>
              <w:pageBreakBefore w:val="0"/>
              <w:widowControl w:val="0"/>
              <w:kinsoku/>
              <w:wordWrap/>
              <w:overflowPunct/>
              <w:topLinePunct w:val="0"/>
              <w:autoSpaceDE/>
              <w:autoSpaceDN/>
              <w:bidi w:val="0"/>
              <w:adjustRightInd/>
              <w:snapToGrid/>
              <w:spacing w:line="500" w:lineRule="exact"/>
              <w:ind w:left="10" w:firstLine="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没有落实物业服务行风建</w:t>
            </w:r>
            <w:r>
              <w:rPr>
                <w:rFonts w:hint="eastAsia" w:ascii="宋体" w:hAnsi="宋体" w:eastAsia="宋体" w:cs="宋体"/>
                <w:color w:val="auto"/>
                <w:spacing w:val="4"/>
                <w:sz w:val="21"/>
                <w:szCs w:val="21"/>
                <w:highlight w:val="none"/>
              </w:rPr>
              <w:t xml:space="preserve">  设、安全责任或未执行重大</w:t>
            </w:r>
            <w:r>
              <w:rPr>
                <w:rFonts w:hint="eastAsia" w:ascii="宋体" w:hAnsi="宋体" w:eastAsia="宋体" w:cs="宋体"/>
                <w:color w:val="auto"/>
                <w:spacing w:val="7"/>
                <w:sz w:val="21"/>
                <w:szCs w:val="21"/>
                <w:highlight w:val="none"/>
              </w:rPr>
              <w:t xml:space="preserve"> 事件报告制度且不整改的</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7"/>
                <w:sz w:val="21"/>
                <w:szCs w:val="21"/>
                <w:highlight w:val="none"/>
              </w:rPr>
              <w:t>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分；每发现一次扣</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6"/>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6"/>
                <w:sz w:val="21"/>
                <w:szCs w:val="21"/>
                <w:highlight w:val="none"/>
              </w:rPr>
              <w:t>分</w:t>
            </w:r>
          </w:p>
        </w:tc>
        <w:tc>
          <w:tcPr>
            <w:tcW w:w="915" w:type="dxa"/>
            <w:vAlign w:val="top"/>
          </w:tcPr>
          <w:p w14:paraId="405452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47B79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jc w:val="center"/>
        </w:trPr>
        <w:tc>
          <w:tcPr>
            <w:tcW w:w="4620" w:type="dxa"/>
            <w:vAlign w:val="top"/>
          </w:tcPr>
          <w:p w14:paraId="4CB49735">
            <w:pPr>
              <w:pStyle w:val="131"/>
              <w:keepNext w:val="0"/>
              <w:keepLines w:val="0"/>
              <w:pageBreakBefore w:val="0"/>
              <w:widowControl w:val="0"/>
              <w:kinsoku/>
              <w:wordWrap/>
              <w:overflowPunct/>
              <w:topLinePunct w:val="0"/>
              <w:autoSpaceDE/>
              <w:autoSpaceDN/>
              <w:bidi w:val="0"/>
              <w:adjustRightInd/>
              <w:snapToGrid/>
              <w:spacing w:line="500" w:lineRule="exact"/>
              <w:ind w:left="12" w:right="22" w:firstLine="425"/>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7.每年至少利用一次业主座谈会或其它形式征</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9"/>
                <w:sz w:val="21"/>
                <w:szCs w:val="21"/>
                <w:highlight w:val="none"/>
              </w:rPr>
              <w:t>求业主意见，及时改进工作和服务方式，提高服务</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9"/>
                <w:sz w:val="21"/>
                <w:szCs w:val="21"/>
                <w:highlight w:val="none"/>
              </w:rPr>
              <w:t>质量；利用电话、走访、问卷调查与业主沟通，累</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8"/>
                <w:sz w:val="21"/>
                <w:szCs w:val="21"/>
                <w:highlight w:val="none"/>
              </w:rPr>
              <w:t>计沟通面不低于 60%；对业主反映问题和提出意见</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6"/>
                <w:sz w:val="21"/>
                <w:szCs w:val="21"/>
                <w:highlight w:val="none"/>
              </w:rPr>
              <w:t>的处理率达 90%以上。</w:t>
            </w:r>
          </w:p>
        </w:tc>
        <w:tc>
          <w:tcPr>
            <w:tcW w:w="840" w:type="dxa"/>
            <w:vAlign w:val="top"/>
          </w:tcPr>
          <w:p w14:paraId="5C5AABE3">
            <w:pPr>
              <w:pStyle w:val="131"/>
              <w:keepNext w:val="0"/>
              <w:keepLines w:val="0"/>
              <w:pageBreakBefore w:val="0"/>
              <w:widowControl w:val="0"/>
              <w:kinsoku/>
              <w:wordWrap/>
              <w:overflowPunct/>
              <w:topLinePunct w:val="0"/>
              <w:autoSpaceDE/>
              <w:autoSpaceDN/>
              <w:bidi w:val="0"/>
              <w:adjustRightInd/>
              <w:snapToGrid/>
              <w:spacing w:line="500" w:lineRule="exact"/>
              <w:ind w:left="438"/>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3</w:t>
            </w:r>
          </w:p>
        </w:tc>
        <w:tc>
          <w:tcPr>
            <w:tcW w:w="3885" w:type="dxa"/>
            <w:vAlign w:val="top"/>
          </w:tcPr>
          <w:p w14:paraId="4EEDBD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60C12B68">
            <w:pPr>
              <w:pStyle w:val="131"/>
              <w:keepNext w:val="0"/>
              <w:keepLines w:val="0"/>
              <w:pageBreakBefore w:val="0"/>
              <w:widowControl w:val="0"/>
              <w:kinsoku/>
              <w:wordWrap/>
              <w:overflowPunct/>
              <w:topLinePunct w:val="0"/>
              <w:autoSpaceDE/>
              <w:autoSpaceDN/>
              <w:bidi w:val="0"/>
              <w:adjustRightInd/>
              <w:snapToGrid/>
              <w:spacing w:line="500" w:lineRule="exact"/>
              <w:ind w:left="10" w:right="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检查文档记录，每一项不符</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4"/>
                <w:sz w:val="21"/>
                <w:szCs w:val="21"/>
                <w:highlight w:val="none"/>
              </w:rPr>
              <w:t>合要求扣</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4"/>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4"/>
                <w:sz w:val="21"/>
                <w:szCs w:val="21"/>
                <w:highlight w:val="none"/>
              </w:rPr>
              <w:t>分</w:t>
            </w:r>
          </w:p>
        </w:tc>
        <w:tc>
          <w:tcPr>
            <w:tcW w:w="915" w:type="dxa"/>
            <w:vAlign w:val="top"/>
          </w:tcPr>
          <w:p w14:paraId="5AABBA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4313B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jc w:val="center"/>
        </w:trPr>
        <w:tc>
          <w:tcPr>
            <w:tcW w:w="4620" w:type="dxa"/>
            <w:vAlign w:val="top"/>
          </w:tcPr>
          <w:p w14:paraId="095F32D0">
            <w:pPr>
              <w:pStyle w:val="131"/>
              <w:keepNext w:val="0"/>
              <w:keepLines w:val="0"/>
              <w:pageBreakBefore w:val="0"/>
              <w:widowControl w:val="0"/>
              <w:kinsoku/>
              <w:wordWrap/>
              <w:overflowPunct/>
              <w:topLinePunct w:val="0"/>
              <w:autoSpaceDE/>
              <w:autoSpaceDN/>
              <w:bidi w:val="0"/>
              <w:adjustRightInd/>
              <w:snapToGrid/>
              <w:spacing w:line="500" w:lineRule="exact"/>
              <w:ind w:left="15" w:right="22" w:firstLine="41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8.利用物业服务区域自然条件，因地制宜举办</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9"/>
                <w:sz w:val="21"/>
                <w:szCs w:val="21"/>
                <w:highlight w:val="none"/>
              </w:rPr>
              <w:t>各种形式的文体活动，促进物业服务企业与业主、业主与业主的邻里交流，丰富业主精神文化生活。</w:t>
            </w:r>
          </w:p>
        </w:tc>
        <w:tc>
          <w:tcPr>
            <w:tcW w:w="840" w:type="dxa"/>
            <w:vAlign w:val="top"/>
          </w:tcPr>
          <w:p w14:paraId="02970BA2">
            <w:pPr>
              <w:pStyle w:val="131"/>
              <w:keepNext w:val="0"/>
              <w:keepLines w:val="0"/>
              <w:pageBreakBefore w:val="0"/>
              <w:widowControl w:val="0"/>
              <w:kinsoku/>
              <w:wordWrap/>
              <w:overflowPunct/>
              <w:topLinePunct w:val="0"/>
              <w:autoSpaceDE/>
              <w:autoSpaceDN/>
              <w:bidi w:val="0"/>
              <w:adjustRightInd/>
              <w:snapToGrid/>
              <w:spacing w:line="500" w:lineRule="exact"/>
              <w:ind w:left="449"/>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1</w:t>
            </w:r>
          </w:p>
        </w:tc>
        <w:tc>
          <w:tcPr>
            <w:tcW w:w="3885" w:type="dxa"/>
            <w:vAlign w:val="top"/>
          </w:tcPr>
          <w:p w14:paraId="64D77F06">
            <w:pPr>
              <w:pStyle w:val="131"/>
              <w:keepNext w:val="0"/>
              <w:keepLines w:val="0"/>
              <w:pageBreakBefore w:val="0"/>
              <w:widowControl w:val="0"/>
              <w:kinsoku/>
              <w:wordWrap/>
              <w:overflowPunct/>
              <w:topLinePunct w:val="0"/>
              <w:autoSpaceDE/>
              <w:autoSpaceDN/>
              <w:bidi w:val="0"/>
              <w:adjustRightInd/>
              <w:snapToGrid/>
              <w:spacing w:line="500" w:lineRule="exact"/>
              <w:ind w:left="1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检查录像、照片、节目单等</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2"/>
                <w:sz w:val="21"/>
                <w:szCs w:val="21"/>
                <w:highlight w:val="none"/>
              </w:rPr>
              <w:t>档案，举办</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2"/>
                <w:sz w:val="21"/>
                <w:szCs w:val="21"/>
                <w:highlight w:val="none"/>
              </w:rPr>
              <w:t>2</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2"/>
                <w:sz w:val="21"/>
                <w:szCs w:val="21"/>
                <w:highlight w:val="none"/>
              </w:rPr>
              <w:t>次以上</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
                <w:sz w:val="21"/>
                <w:szCs w:val="21"/>
                <w:highlight w:val="none"/>
              </w:rPr>
              <w:t>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分，</w:t>
            </w:r>
            <w:r>
              <w:rPr>
                <w:rFonts w:hint="eastAsia" w:ascii="宋体" w:hAnsi="宋体" w:eastAsia="宋体" w:cs="宋体"/>
                <w:color w:val="auto"/>
                <w:spacing w:val="5"/>
                <w:sz w:val="21"/>
                <w:szCs w:val="21"/>
                <w:highlight w:val="none"/>
              </w:rPr>
              <w:t>每少一次扣</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5"/>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分</w:t>
            </w:r>
          </w:p>
        </w:tc>
        <w:tc>
          <w:tcPr>
            <w:tcW w:w="915" w:type="dxa"/>
            <w:vAlign w:val="top"/>
          </w:tcPr>
          <w:p w14:paraId="2D03D0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735E0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jc w:val="center"/>
        </w:trPr>
        <w:tc>
          <w:tcPr>
            <w:tcW w:w="4620" w:type="dxa"/>
            <w:vAlign w:val="top"/>
          </w:tcPr>
          <w:p w14:paraId="3527A6EA">
            <w:pPr>
              <w:pStyle w:val="131"/>
              <w:keepNext w:val="0"/>
              <w:keepLines w:val="0"/>
              <w:pageBreakBefore w:val="0"/>
              <w:widowControl w:val="0"/>
              <w:kinsoku/>
              <w:wordWrap/>
              <w:overflowPunct/>
              <w:topLinePunct w:val="0"/>
              <w:autoSpaceDE/>
              <w:autoSpaceDN/>
              <w:bidi w:val="0"/>
              <w:adjustRightInd/>
              <w:snapToGrid/>
              <w:spacing w:line="500" w:lineRule="exact"/>
              <w:ind w:left="10" w:right="22"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9.建立完善的物业管理档案（物业竣工验收档</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9"/>
                <w:sz w:val="21"/>
                <w:szCs w:val="21"/>
                <w:highlight w:val="none"/>
              </w:rPr>
              <w:t>案、设备管理档案、业主及物业使用人资料档案、</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6"/>
                <w:sz w:val="21"/>
                <w:szCs w:val="21"/>
                <w:highlight w:val="none"/>
              </w:rPr>
              <w:t>物业租赁档案、</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6"/>
                <w:sz w:val="21"/>
                <w:szCs w:val="21"/>
                <w:highlight w:val="none"/>
              </w:rPr>
              <w:t>日常管理档案等</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6"/>
                <w:sz w:val="21"/>
                <w:szCs w:val="21"/>
                <w:highlight w:val="none"/>
              </w:rPr>
              <w:t>配备必要的计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算机和相应管理软件，运用现代化管理手段对档案</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6"/>
                <w:sz w:val="21"/>
                <w:szCs w:val="21"/>
                <w:highlight w:val="none"/>
              </w:rPr>
              <w:t>进行管理。</w:t>
            </w:r>
          </w:p>
        </w:tc>
        <w:tc>
          <w:tcPr>
            <w:tcW w:w="840" w:type="dxa"/>
            <w:vAlign w:val="top"/>
          </w:tcPr>
          <w:p w14:paraId="7FC032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1BCFE31D">
            <w:pPr>
              <w:pStyle w:val="131"/>
              <w:keepNext w:val="0"/>
              <w:keepLines w:val="0"/>
              <w:pageBreakBefore w:val="0"/>
              <w:widowControl w:val="0"/>
              <w:kinsoku/>
              <w:wordWrap/>
              <w:overflowPunct/>
              <w:topLinePunct w:val="0"/>
              <w:autoSpaceDE/>
              <w:autoSpaceDN/>
              <w:bidi w:val="0"/>
              <w:adjustRightInd/>
              <w:snapToGrid/>
              <w:spacing w:line="500" w:lineRule="exact"/>
              <w:ind w:left="436"/>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3885" w:type="dxa"/>
            <w:vAlign w:val="top"/>
          </w:tcPr>
          <w:p w14:paraId="4A5CF4F4">
            <w:pPr>
              <w:pStyle w:val="131"/>
              <w:keepNext w:val="0"/>
              <w:keepLines w:val="0"/>
              <w:pageBreakBefore w:val="0"/>
              <w:widowControl w:val="0"/>
              <w:kinsoku/>
              <w:wordWrap/>
              <w:overflowPunct/>
              <w:topLinePunct w:val="0"/>
              <w:autoSpaceDE/>
              <w:autoSpaceDN/>
              <w:bidi w:val="0"/>
              <w:adjustRightInd/>
              <w:snapToGrid/>
              <w:spacing w:line="500" w:lineRule="exact"/>
              <w:ind w:left="10" w:firstLine="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综合评定，检查文档记录，</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2"/>
                <w:sz w:val="21"/>
                <w:szCs w:val="21"/>
                <w:highlight w:val="none"/>
              </w:rPr>
              <w:t>每缺少一大项扣</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2"/>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分，资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料不齐全每一项扣</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6"/>
                <w:sz w:val="21"/>
                <w:szCs w:val="21"/>
                <w:highlight w:val="none"/>
              </w:rPr>
              <w:t>0.2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6"/>
                <w:sz w:val="21"/>
                <w:szCs w:val="21"/>
                <w:highlight w:val="none"/>
              </w:rPr>
              <w:t>分</w:t>
            </w:r>
          </w:p>
        </w:tc>
        <w:tc>
          <w:tcPr>
            <w:tcW w:w="915" w:type="dxa"/>
            <w:vAlign w:val="top"/>
          </w:tcPr>
          <w:p w14:paraId="78BCED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7AA5E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4620" w:type="dxa"/>
            <w:vAlign w:val="top"/>
          </w:tcPr>
          <w:p w14:paraId="5EFA4E98">
            <w:pPr>
              <w:keepNext w:val="0"/>
              <w:keepLines w:val="0"/>
              <w:pageBreakBefore w:val="0"/>
              <w:widowControl w:val="0"/>
              <w:kinsoku/>
              <w:wordWrap/>
              <w:overflowPunct/>
              <w:topLinePunct w:val="0"/>
              <w:autoSpaceDE/>
              <w:autoSpaceDN/>
              <w:bidi w:val="0"/>
              <w:adjustRightInd/>
              <w:snapToGrid/>
              <w:spacing w:line="500" w:lineRule="exact"/>
              <w:ind w:left="1718"/>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（二）行为规范</w:t>
            </w:r>
          </w:p>
        </w:tc>
        <w:tc>
          <w:tcPr>
            <w:tcW w:w="840" w:type="dxa"/>
            <w:vAlign w:val="top"/>
          </w:tcPr>
          <w:p w14:paraId="5DD573BC">
            <w:pPr>
              <w:keepNext w:val="0"/>
              <w:keepLines w:val="0"/>
              <w:pageBreakBefore w:val="0"/>
              <w:widowControl w:val="0"/>
              <w:kinsoku/>
              <w:wordWrap/>
              <w:overflowPunct/>
              <w:topLinePunct w:val="0"/>
              <w:autoSpaceDE/>
              <w:autoSpaceDN/>
              <w:bidi w:val="0"/>
              <w:adjustRightInd/>
              <w:snapToGrid/>
              <w:spacing w:line="500" w:lineRule="exact"/>
              <w:ind w:left="37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position w:val="1"/>
                <w:sz w:val="21"/>
                <w:szCs w:val="21"/>
                <w:highlight w:val="none"/>
              </w:rPr>
              <w:t>22</w:t>
            </w:r>
          </w:p>
        </w:tc>
        <w:tc>
          <w:tcPr>
            <w:tcW w:w="3885" w:type="dxa"/>
            <w:vAlign w:val="top"/>
          </w:tcPr>
          <w:p w14:paraId="775249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915" w:type="dxa"/>
            <w:vAlign w:val="top"/>
          </w:tcPr>
          <w:p w14:paraId="27A620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481B5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4620" w:type="dxa"/>
            <w:vAlign w:val="top"/>
          </w:tcPr>
          <w:p w14:paraId="522EC453">
            <w:pPr>
              <w:pStyle w:val="131"/>
              <w:keepNext w:val="0"/>
              <w:keepLines w:val="0"/>
              <w:pageBreakBefore w:val="0"/>
              <w:widowControl w:val="0"/>
              <w:kinsoku/>
              <w:wordWrap/>
              <w:overflowPunct/>
              <w:topLinePunct w:val="0"/>
              <w:autoSpaceDE/>
              <w:autoSpaceDN/>
              <w:bidi w:val="0"/>
              <w:adjustRightInd/>
              <w:snapToGrid/>
              <w:spacing w:line="500" w:lineRule="exact"/>
              <w:ind w:left="13" w:right="3" w:firstLine="43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10.项目管理处各部门间设置明显标识；办公环</w:t>
            </w:r>
            <w:r>
              <w:rPr>
                <w:rFonts w:hint="eastAsia" w:ascii="宋体" w:hAnsi="宋体" w:eastAsia="宋体" w:cs="宋体"/>
                <w:color w:val="auto"/>
                <w:spacing w:val="6"/>
                <w:sz w:val="21"/>
                <w:szCs w:val="21"/>
                <w:highlight w:val="none"/>
              </w:rPr>
              <w:t xml:space="preserve"> 境整洁、卫生。</w:t>
            </w:r>
          </w:p>
        </w:tc>
        <w:tc>
          <w:tcPr>
            <w:tcW w:w="840" w:type="dxa"/>
            <w:vAlign w:val="top"/>
          </w:tcPr>
          <w:p w14:paraId="6471B612">
            <w:pPr>
              <w:pStyle w:val="131"/>
              <w:keepNext w:val="0"/>
              <w:keepLines w:val="0"/>
              <w:pageBreakBefore w:val="0"/>
              <w:widowControl w:val="0"/>
              <w:kinsoku/>
              <w:wordWrap/>
              <w:overflowPunct/>
              <w:topLinePunct w:val="0"/>
              <w:autoSpaceDE/>
              <w:autoSpaceDN/>
              <w:bidi w:val="0"/>
              <w:adjustRightInd/>
              <w:snapToGrid/>
              <w:spacing w:line="500" w:lineRule="exact"/>
              <w:ind w:left="436"/>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3885" w:type="dxa"/>
            <w:vAlign w:val="top"/>
          </w:tcPr>
          <w:p w14:paraId="213B7DA5">
            <w:pPr>
              <w:pStyle w:val="131"/>
              <w:keepNext w:val="0"/>
              <w:keepLines w:val="0"/>
              <w:pageBreakBefore w:val="0"/>
              <w:widowControl w:val="0"/>
              <w:kinsoku/>
              <w:wordWrap/>
              <w:overflowPunct/>
              <w:topLinePunct w:val="0"/>
              <w:autoSpaceDE/>
              <w:autoSpaceDN/>
              <w:bidi w:val="0"/>
              <w:adjustRightInd/>
              <w:snapToGrid/>
              <w:spacing w:line="500" w:lineRule="exact"/>
              <w:ind w:left="1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每一项不符合扣</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6"/>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6"/>
                <w:sz w:val="21"/>
                <w:szCs w:val="21"/>
                <w:highlight w:val="none"/>
              </w:rPr>
              <w:t>分</w:t>
            </w:r>
          </w:p>
        </w:tc>
        <w:tc>
          <w:tcPr>
            <w:tcW w:w="915" w:type="dxa"/>
            <w:vAlign w:val="top"/>
          </w:tcPr>
          <w:p w14:paraId="2DCAA9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02B3D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4620" w:type="dxa"/>
            <w:vAlign w:val="top"/>
          </w:tcPr>
          <w:p w14:paraId="32DEFA10">
            <w:pPr>
              <w:pStyle w:val="131"/>
              <w:keepNext w:val="0"/>
              <w:keepLines w:val="0"/>
              <w:pageBreakBefore w:val="0"/>
              <w:widowControl w:val="0"/>
              <w:kinsoku/>
              <w:wordWrap/>
              <w:overflowPunct/>
              <w:topLinePunct w:val="0"/>
              <w:autoSpaceDE/>
              <w:autoSpaceDN/>
              <w:bidi w:val="0"/>
              <w:adjustRightInd/>
              <w:snapToGrid/>
              <w:spacing w:line="500" w:lineRule="exact"/>
              <w:ind w:left="11" w:firstLine="43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11.办公区、仓库等所有场所禁止进行打麻将、</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打扑克等赌博、娱乐行为；办公场所禁止上网聊天、</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6"/>
                <w:sz w:val="21"/>
                <w:szCs w:val="21"/>
                <w:highlight w:val="none"/>
              </w:rPr>
              <w:t>玩游戏、电话闲聊等；工作期间禁止饮酒。</w:t>
            </w:r>
          </w:p>
        </w:tc>
        <w:tc>
          <w:tcPr>
            <w:tcW w:w="840" w:type="dxa"/>
            <w:vAlign w:val="top"/>
          </w:tcPr>
          <w:p w14:paraId="013A47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7A1B74D2">
            <w:pPr>
              <w:pStyle w:val="131"/>
              <w:keepNext w:val="0"/>
              <w:keepLines w:val="0"/>
              <w:pageBreakBefore w:val="0"/>
              <w:widowControl w:val="0"/>
              <w:kinsoku/>
              <w:wordWrap/>
              <w:overflowPunct/>
              <w:topLinePunct w:val="0"/>
              <w:autoSpaceDE/>
              <w:autoSpaceDN/>
              <w:bidi w:val="0"/>
              <w:adjustRightInd/>
              <w:snapToGrid/>
              <w:spacing w:line="500" w:lineRule="exact"/>
              <w:ind w:left="438"/>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5</w:t>
            </w:r>
          </w:p>
        </w:tc>
        <w:tc>
          <w:tcPr>
            <w:tcW w:w="3885" w:type="dxa"/>
            <w:vAlign w:val="top"/>
          </w:tcPr>
          <w:p w14:paraId="463B255A">
            <w:pPr>
              <w:pStyle w:val="131"/>
              <w:keepNext w:val="0"/>
              <w:keepLines w:val="0"/>
              <w:pageBreakBefore w:val="0"/>
              <w:widowControl w:val="0"/>
              <w:kinsoku/>
              <w:wordWrap/>
              <w:overflowPunct/>
              <w:topLinePunct w:val="0"/>
              <w:autoSpaceDE/>
              <w:autoSpaceDN/>
              <w:bidi w:val="0"/>
              <w:adjustRightInd/>
              <w:snapToGrid/>
              <w:spacing w:line="500" w:lineRule="exact"/>
              <w:ind w:left="13" w:right="3" w:firstLine="3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日常抽查每发现一次不良</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1"/>
                <w:sz w:val="21"/>
                <w:szCs w:val="21"/>
                <w:highlight w:val="none"/>
              </w:rPr>
              <w:t>行为扣</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
                <w:sz w:val="21"/>
                <w:szCs w:val="21"/>
                <w:highlight w:val="none"/>
              </w:rPr>
              <w:t>分；接到业主举报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查实后每次扣</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5"/>
                <w:sz w:val="21"/>
                <w:szCs w:val="21"/>
                <w:highlight w:val="none"/>
              </w:rPr>
              <w:t>分</w:t>
            </w:r>
          </w:p>
        </w:tc>
        <w:tc>
          <w:tcPr>
            <w:tcW w:w="915" w:type="dxa"/>
            <w:vAlign w:val="top"/>
          </w:tcPr>
          <w:p w14:paraId="6CE663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33FAE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jc w:val="center"/>
        </w:trPr>
        <w:tc>
          <w:tcPr>
            <w:tcW w:w="4620" w:type="dxa"/>
            <w:vAlign w:val="top"/>
          </w:tcPr>
          <w:p w14:paraId="3BDEADB2">
            <w:pPr>
              <w:pStyle w:val="131"/>
              <w:keepNext w:val="0"/>
              <w:keepLines w:val="0"/>
              <w:pageBreakBefore w:val="0"/>
              <w:widowControl w:val="0"/>
              <w:kinsoku/>
              <w:wordWrap/>
              <w:overflowPunct/>
              <w:topLinePunct w:val="0"/>
              <w:autoSpaceDE/>
              <w:autoSpaceDN/>
              <w:bidi w:val="0"/>
              <w:adjustRightInd/>
              <w:snapToGrid/>
              <w:spacing w:line="500" w:lineRule="exact"/>
              <w:ind w:left="13" w:right="3" w:firstLine="434"/>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12.管理处管理、服务人员名单、照片上墙，人</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9"/>
                <w:sz w:val="21"/>
                <w:szCs w:val="21"/>
                <w:highlight w:val="none"/>
              </w:rPr>
              <w:t xml:space="preserve">员统一着装，佩戴企业统一标识牌，仪表仪容整洁 </w:t>
            </w:r>
            <w:r>
              <w:rPr>
                <w:rFonts w:hint="eastAsia" w:ascii="宋体" w:hAnsi="宋体" w:eastAsia="宋体" w:cs="宋体"/>
                <w:color w:val="auto"/>
                <w:spacing w:val="8"/>
                <w:sz w:val="21"/>
                <w:szCs w:val="21"/>
                <w:highlight w:val="none"/>
              </w:rPr>
              <w:t>规范；员工资料、变更情况登记完整清楚。</w:t>
            </w:r>
          </w:p>
        </w:tc>
        <w:tc>
          <w:tcPr>
            <w:tcW w:w="840" w:type="dxa"/>
            <w:vAlign w:val="top"/>
          </w:tcPr>
          <w:p w14:paraId="24DBE475">
            <w:pPr>
              <w:pStyle w:val="131"/>
              <w:keepNext w:val="0"/>
              <w:keepLines w:val="0"/>
              <w:pageBreakBefore w:val="0"/>
              <w:widowControl w:val="0"/>
              <w:kinsoku/>
              <w:wordWrap/>
              <w:overflowPunct/>
              <w:topLinePunct w:val="0"/>
              <w:autoSpaceDE/>
              <w:autoSpaceDN/>
              <w:bidi w:val="0"/>
              <w:adjustRightInd/>
              <w:snapToGrid/>
              <w:spacing w:line="50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6</w:t>
            </w:r>
          </w:p>
        </w:tc>
        <w:tc>
          <w:tcPr>
            <w:tcW w:w="3885" w:type="dxa"/>
            <w:vAlign w:val="top"/>
          </w:tcPr>
          <w:p w14:paraId="2CBD556C">
            <w:pPr>
              <w:pStyle w:val="131"/>
              <w:keepNext w:val="0"/>
              <w:keepLines w:val="0"/>
              <w:pageBreakBefore w:val="0"/>
              <w:widowControl w:val="0"/>
              <w:kinsoku/>
              <w:wordWrap/>
              <w:overflowPunct/>
              <w:topLinePunct w:val="0"/>
              <w:autoSpaceDE/>
              <w:autoSpaceDN/>
              <w:bidi w:val="0"/>
              <w:adjustRightInd/>
              <w:snapToGrid/>
              <w:spacing w:line="500" w:lineRule="exact"/>
              <w:ind w:left="9" w:right="1" w:firstLine="1"/>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缺项、每发现或接到业主举</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2"/>
                <w:sz w:val="21"/>
                <w:szCs w:val="21"/>
                <w:highlight w:val="none"/>
              </w:rPr>
              <w:t>报一次扣</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2"/>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分；登记不完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善或变更不及时，每发现一</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4"/>
                <w:sz w:val="21"/>
                <w:szCs w:val="21"/>
                <w:highlight w:val="none"/>
              </w:rPr>
              <w:t>人次扣</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4"/>
                <w:sz w:val="21"/>
                <w:szCs w:val="21"/>
                <w:highlight w:val="none"/>
              </w:rPr>
              <w:t>0.3</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4"/>
                <w:sz w:val="21"/>
                <w:szCs w:val="21"/>
                <w:highlight w:val="none"/>
              </w:rPr>
              <w:t>分</w:t>
            </w:r>
          </w:p>
        </w:tc>
        <w:tc>
          <w:tcPr>
            <w:tcW w:w="915" w:type="dxa"/>
            <w:vAlign w:val="top"/>
          </w:tcPr>
          <w:p w14:paraId="060263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159B2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4620" w:type="dxa"/>
            <w:vAlign w:val="top"/>
          </w:tcPr>
          <w:p w14:paraId="7EBEE003">
            <w:pPr>
              <w:pStyle w:val="131"/>
              <w:keepNext w:val="0"/>
              <w:keepLines w:val="0"/>
              <w:pageBreakBefore w:val="0"/>
              <w:widowControl w:val="0"/>
              <w:kinsoku/>
              <w:wordWrap/>
              <w:overflowPunct/>
              <w:topLinePunct w:val="0"/>
              <w:autoSpaceDE/>
              <w:autoSpaceDN/>
              <w:bidi w:val="0"/>
              <w:adjustRightInd/>
              <w:snapToGrid/>
              <w:spacing w:line="500" w:lineRule="exact"/>
              <w:ind w:left="14" w:right="3" w:firstLine="433"/>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13.服务过程遵守物业行业规范，文明用语，服</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9"/>
                <w:sz w:val="21"/>
                <w:szCs w:val="21"/>
                <w:highlight w:val="none"/>
              </w:rPr>
              <w:t>务态度端正，举止文明、大方；一年组织服务规范</w:t>
            </w:r>
            <w:r>
              <w:rPr>
                <w:rFonts w:hint="eastAsia" w:ascii="宋体" w:hAnsi="宋体" w:eastAsia="宋体" w:cs="宋体"/>
                <w:color w:val="auto"/>
                <w:spacing w:val="8"/>
                <w:sz w:val="21"/>
                <w:szCs w:val="21"/>
                <w:highlight w:val="none"/>
              </w:rPr>
              <w:t xml:space="preserve"> 文明用语培训不少于两次。</w:t>
            </w:r>
          </w:p>
        </w:tc>
        <w:tc>
          <w:tcPr>
            <w:tcW w:w="840" w:type="dxa"/>
            <w:vAlign w:val="top"/>
          </w:tcPr>
          <w:p w14:paraId="5E8024AB">
            <w:pPr>
              <w:pStyle w:val="131"/>
              <w:keepNext w:val="0"/>
              <w:keepLines w:val="0"/>
              <w:pageBreakBefore w:val="0"/>
              <w:widowControl w:val="0"/>
              <w:kinsoku/>
              <w:wordWrap/>
              <w:overflowPunct/>
              <w:topLinePunct w:val="0"/>
              <w:autoSpaceDE/>
              <w:autoSpaceDN/>
              <w:bidi w:val="0"/>
              <w:adjustRightInd/>
              <w:snapToGrid/>
              <w:spacing w:line="500" w:lineRule="exact"/>
              <w:ind w:left="438"/>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3</w:t>
            </w:r>
          </w:p>
        </w:tc>
        <w:tc>
          <w:tcPr>
            <w:tcW w:w="3885" w:type="dxa"/>
            <w:vAlign w:val="top"/>
          </w:tcPr>
          <w:p w14:paraId="1516CC99">
            <w:pPr>
              <w:pStyle w:val="131"/>
              <w:keepNext w:val="0"/>
              <w:keepLines w:val="0"/>
              <w:pageBreakBefore w:val="0"/>
              <w:widowControl w:val="0"/>
              <w:kinsoku/>
              <w:wordWrap/>
              <w:overflowPunct/>
              <w:topLinePunct w:val="0"/>
              <w:autoSpaceDE/>
              <w:autoSpaceDN/>
              <w:bidi w:val="0"/>
              <w:adjustRightInd/>
              <w:snapToGrid/>
              <w:spacing w:line="500" w:lineRule="exact"/>
              <w:ind w:left="15" w:right="3" w:hanging="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每发现或接到业主举报一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次扣</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
                <w:sz w:val="21"/>
                <w:szCs w:val="21"/>
                <w:highlight w:val="none"/>
              </w:rPr>
              <w:t>分，培训每缺少一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次扣</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1"/>
                <w:sz w:val="21"/>
                <w:szCs w:val="21"/>
                <w:highlight w:val="none"/>
              </w:rPr>
              <w:t>0.2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
                <w:sz w:val="21"/>
                <w:szCs w:val="21"/>
                <w:highlight w:val="none"/>
              </w:rPr>
              <w:t>分</w:t>
            </w:r>
          </w:p>
        </w:tc>
        <w:tc>
          <w:tcPr>
            <w:tcW w:w="915" w:type="dxa"/>
            <w:vAlign w:val="top"/>
          </w:tcPr>
          <w:p w14:paraId="5484A9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55FAE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jc w:val="center"/>
        </w:trPr>
        <w:tc>
          <w:tcPr>
            <w:tcW w:w="4620" w:type="dxa"/>
            <w:vAlign w:val="top"/>
          </w:tcPr>
          <w:p w14:paraId="3BF5EB78">
            <w:pPr>
              <w:pStyle w:val="131"/>
              <w:keepNext w:val="0"/>
              <w:keepLines w:val="0"/>
              <w:pageBreakBefore w:val="0"/>
              <w:widowControl w:val="0"/>
              <w:kinsoku/>
              <w:wordWrap/>
              <w:overflowPunct/>
              <w:topLinePunct w:val="0"/>
              <w:autoSpaceDE/>
              <w:autoSpaceDN/>
              <w:bidi w:val="0"/>
              <w:adjustRightInd/>
              <w:snapToGrid/>
              <w:spacing w:line="500" w:lineRule="exact"/>
              <w:ind w:left="15" w:firstLine="42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14.设置客服中心或值班（接待）室，负责接待、</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7"/>
                <w:sz w:val="21"/>
                <w:szCs w:val="21"/>
                <w:highlight w:val="none"/>
              </w:rPr>
              <w:t>咨询、求助、投诉问题的受理和服务工作的安排，</w:t>
            </w:r>
            <w:r>
              <w:rPr>
                <w:rFonts w:hint="eastAsia" w:ascii="宋体" w:hAnsi="宋体" w:eastAsia="宋体" w:cs="宋体"/>
                <w:color w:val="auto"/>
                <w:spacing w:val="6"/>
                <w:sz w:val="21"/>
                <w:szCs w:val="21"/>
                <w:highlight w:val="none"/>
              </w:rPr>
              <w:t xml:space="preserve"> 建立完善的登记、处理、回访、存档制度。</w:t>
            </w:r>
          </w:p>
        </w:tc>
        <w:tc>
          <w:tcPr>
            <w:tcW w:w="840" w:type="dxa"/>
            <w:vAlign w:val="top"/>
          </w:tcPr>
          <w:p w14:paraId="26A0DBB2">
            <w:pPr>
              <w:pStyle w:val="131"/>
              <w:keepNext w:val="0"/>
              <w:keepLines w:val="0"/>
              <w:pageBreakBefore w:val="0"/>
              <w:widowControl w:val="0"/>
              <w:kinsoku/>
              <w:wordWrap/>
              <w:overflowPunct/>
              <w:topLinePunct w:val="0"/>
              <w:autoSpaceDE/>
              <w:autoSpaceDN/>
              <w:bidi w:val="0"/>
              <w:adjustRightInd/>
              <w:snapToGrid/>
              <w:spacing w:line="500" w:lineRule="exact"/>
              <w:ind w:left="438"/>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3</w:t>
            </w:r>
          </w:p>
        </w:tc>
        <w:tc>
          <w:tcPr>
            <w:tcW w:w="3885" w:type="dxa"/>
            <w:vAlign w:val="top"/>
          </w:tcPr>
          <w:p w14:paraId="1B094AE7">
            <w:pPr>
              <w:pStyle w:val="131"/>
              <w:keepNext w:val="0"/>
              <w:keepLines w:val="0"/>
              <w:pageBreakBefore w:val="0"/>
              <w:widowControl w:val="0"/>
              <w:kinsoku/>
              <w:wordWrap/>
              <w:overflowPunct/>
              <w:topLinePunct w:val="0"/>
              <w:autoSpaceDE/>
              <w:autoSpaceDN/>
              <w:bidi w:val="0"/>
              <w:adjustRightInd/>
              <w:snapToGrid/>
              <w:spacing w:line="500" w:lineRule="exact"/>
              <w:ind w:left="9" w:firstLine="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投诉较多，扣</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
                <w:sz w:val="21"/>
                <w:szCs w:val="21"/>
                <w:highlight w:val="none"/>
              </w:rPr>
              <w:t>分，每缺少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一项扣</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2"/>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分；档案材料、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记录不齐全每一项扣</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5"/>
                <w:sz w:val="21"/>
                <w:szCs w:val="21"/>
                <w:highlight w:val="none"/>
              </w:rPr>
              <w:t>0.2</w:t>
            </w:r>
          </w:p>
          <w:p w14:paraId="66EF4A93">
            <w:pPr>
              <w:pStyle w:val="131"/>
              <w:keepNext w:val="0"/>
              <w:keepLines w:val="0"/>
              <w:pageBreakBefore w:val="0"/>
              <w:widowControl w:val="0"/>
              <w:kinsoku/>
              <w:wordWrap/>
              <w:overflowPunct/>
              <w:topLinePunct w:val="0"/>
              <w:autoSpaceDE/>
              <w:autoSpaceDN/>
              <w:bidi w:val="0"/>
              <w:adjustRightInd/>
              <w:snapToGrid/>
              <w:spacing w:line="500" w:lineRule="exact"/>
              <w:ind w:left="1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c>
          <w:tcPr>
            <w:tcW w:w="915" w:type="dxa"/>
            <w:vAlign w:val="top"/>
          </w:tcPr>
          <w:p w14:paraId="563AAB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23734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4620" w:type="dxa"/>
            <w:vAlign w:val="top"/>
          </w:tcPr>
          <w:p w14:paraId="23EA2F19">
            <w:pPr>
              <w:pStyle w:val="131"/>
              <w:keepNext w:val="0"/>
              <w:keepLines w:val="0"/>
              <w:pageBreakBefore w:val="0"/>
              <w:widowControl w:val="0"/>
              <w:kinsoku/>
              <w:wordWrap/>
              <w:overflowPunct/>
              <w:topLinePunct w:val="0"/>
              <w:autoSpaceDE/>
              <w:autoSpaceDN/>
              <w:bidi w:val="0"/>
              <w:adjustRightInd/>
              <w:snapToGrid/>
              <w:spacing w:line="500" w:lineRule="exact"/>
              <w:ind w:left="17" w:right="130" w:firstLine="43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15.严格收费行为，不得乱收费或者收费不规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范。</w:t>
            </w:r>
          </w:p>
        </w:tc>
        <w:tc>
          <w:tcPr>
            <w:tcW w:w="840" w:type="dxa"/>
            <w:vAlign w:val="top"/>
          </w:tcPr>
          <w:p w14:paraId="0CDD1CA9">
            <w:pPr>
              <w:pStyle w:val="131"/>
              <w:keepNext w:val="0"/>
              <w:keepLines w:val="0"/>
              <w:pageBreakBefore w:val="0"/>
              <w:widowControl w:val="0"/>
              <w:kinsoku/>
              <w:wordWrap/>
              <w:overflowPunct/>
              <w:topLinePunct w:val="0"/>
              <w:autoSpaceDE/>
              <w:autoSpaceDN/>
              <w:bidi w:val="0"/>
              <w:adjustRightInd/>
              <w:snapToGrid/>
              <w:spacing w:line="500" w:lineRule="exact"/>
              <w:ind w:left="438"/>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3</w:t>
            </w:r>
          </w:p>
        </w:tc>
        <w:tc>
          <w:tcPr>
            <w:tcW w:w="3885" w:type="dxa"/>
            <w:vAlign w:val="top"/>
          </w:tcPr>
          <w:p w14:paraId="36A6504B">
            <w:pPr>
              <w:pStyle w:val="131"/>
              <w:keepNext w:val="0"/>
              <w:keepLines w:val="0"/>
              <w:pageBreakBefore w:val="0"/>
              <w:widowControl w:val="0"/>
              <w:kinsoku/>
              <w:wordWrap/>
              <w:overflowPunct/>
              <w:topLinePunct w:val="0"/>
              <w:autoSpaceDE/>
              <w:autoSpaceDN/>
              <w:bidi w:val="0"/>
              <w:adjustRightInd/>
              <w:snapToGrid/>
              <w:spacing w:line="500" w:lineRule="exact"/>
              <w:ind w:left="12" w:hanging="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业主举报，经查实一次扣</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6"/>
                <w:sz w:val="21"/>
                <w:szCs w:val="21"/>
                <w:highlight w:val="none"/>
              </w:rPr>
              <w:t>1</w:t>
            </w:r>
            <w:r>
              <w:rPr>
                <w:rFonts w:hint="eastAsia" w:ascii="宋体" w:hAnsi="宋体" w:eastAsia="宋体" w:cs="宋体"/>
                <w:color w:val="auto"/>
                <w:sz w:val="21"/>
                <w:szCs w:val="21"/>
                <w:highlight w:val="none"/>
              </w:rPr>
              <w:t xml:space="preserve"> 分</w:t>
            </w:r>
          </w:p>
        </w:tc>
        <w:tc>
          <w:tcPr>
            <w:tcW w:w="915" w:type="dxa"/>
            <w:vAlign w:val="top"/>
          </w:tcPr>
          <w:p w14:paraId="21573F9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2B15C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4620" w:type="dxa"/>
            <w:vAlign w:val="top"/>
          </w:tcPr>
          <w:p w14:paraId="075AAC1F">
            <w:pPr>
              <w:keepNext w:val="0"/>
              <w:keepLines w:val="0"/>
              <w:pageBreakBefore w:val="0"/>
              <w:widowControl w:val="0"/>
              <w:kinsoku/>
              <w:wordWrap/>
              <w:overflowPunct/>
              <w:topLinePunct w:val="0"/>
              <w:autoSpaceDE/>
              <w:autoSpaceDN/>
              <w:bidi w:val="0"/>
              <w:adjustRightInd/>
              <w:snapToGrid/>
              <w:spacing w:line="500" w:lineRule="exact"/>
              <w:ind w:left="161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（三）环境建设</w:t>
            </w:r>
          </w:p>
        </w:tc>
        <w:tc>
          <w:tcPr>
            <w:tcW w:w="840" w:type="dxa"/>
            <w:vAlign w:val="top"/>
          </w:tcPr>
          <w:p w14:paraId="66F3691B">
            <w:pPr>
              <w:keepNext w:val="0"/>
              <w:keepLines w:val="0"/>
              <w:pageBreakBefore w:val="0"/>
              <w:widowControl w:val="0"/>
              <w:kinsoku/>
              <w:wordWrap/>
              <w:overflowPunct/>
              <w:topLinePunct w:val="0"/>
              <w:autoSpaceDE/>
              <w:autoSpaceDN/>
              <w:bidi w:val="0"/>
              <w:adjustRightInd/>
              <w:snapToGrid/>
              <w:spacing w:line="500" w:lineRule="exact"/>
              <w:ind w:left="37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position w:val="1"/>
                <w:sz w:val="21"/>
                <w:szCs w:val="21"/>
                <w:highlight w:val="none"/>
              </w:rPr>
              <w:t>23</w:t>
            </w:r>
          </w:p>
        </w:tc>
        <w:tc>
          <w:tcPr>
            <w:tcW w:w="3885" w:type="dxa"/>
            <w:vAlign w:val="top"/>
          </w:tcPr>
          <w:p w14:paraId="4699C6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915" w:type="dxa"/>
            <w:vAlign w:val="top"/>
          </w:tcPr>
          <w:p w14:paraId="782B1F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42027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jc w:val="center"/>
        </w:trPr>
        <w:tc>
          <w:tcPr>
            <w:tcW w:w="4620" w:type="dxa"/>
            <w:vAlign w:val="top"/>
          </w:tcPr>
          <w:p w14:paraId="3D186AAF">
            <w:pPr>
              <w:pStyle w:val="131"/>
              <w:keepNext w:val="0"/>
              <w:keepLines w:val="0"/>
              <w:pageBreakBefore w:val="0"/>
              <w:widowControl w:val="0"/>
              <w:kinsoku/>
              <w:wordWrap/>
              <w:overflowPunct/>
              <w:topLinePunct w:val="0"/>
              <w:autoSpaceDE/>
              <w:autoSpaceDN/>
              <w:bidi w:val="0"/>
              <w:adjustRightInd/>
              <w:snapToGrid/>
              <w:spacing w:line="500" w:lineRule="exact"/>
              <w:ind w:left="15" w:right="5" w:firstLine="43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16.建立业主监督机制，规范业主监督员、物业 </w:t>
            </w:r>
            <w:r>
              <w:rPr>
                <w:rFonts w:hint="eastAsia" w:ascii="宋体" w:hAnsi="宋体" w:eastAsia="宋体" w:cs="宋体"/>
                <w:color w:val="auto"/>
                <w:spacing w:val="8"/>
                <w:sz w:val="21"/>
                <w:szCs w:val="21"/>
                <w:highlight w:val="none"/>
              </w:rPr>
              <w:t>项目经理资料、投诉、维修电话公示制度。</w:t>
            </w:r>
          </w:p>
        </w:tc>
        <w:tc>
          <w:tcPr>
            <w:tcW w:w="840" w:type="dxa"/>
            <w:vAlign w:val="top"/>
          </w:tcPr>
          <w:p w14:paraId="24A957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2803A41B">
            <w:pPr>
              <w:pStyle w:val="131"/>
              <w:keepNext w:val="0"/>
              <w:keepLines w:val="0"/>
              <w:pageBreakBefore w:val="0"/>
              <w:widowControl w:val="0"/>
              <w:kinsoku/>
              <w:wordWrap/>
              <w:overflowPunct/>
              <w:topLinePunct w:val="0"/>
              <w:autoSpaceDE/>
              <w:autoSpaceDN/>
              <w:bidi w:val="0"/>
              <w:adjustRightInd/>
              <w:snapToGrid/>
              <w:spacing w:line="500" w:lineRule="exact"/>
              <w:ind w:left="436"/>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p>
        </w:tc>
        <w:tc>
          <w:tcPr>
            <w:tcW w:w="3885" w:type="dxa"/>
            <w:vAlign w:val="top"/>
          </w:tcPr>
          <w:p w14:paraId="5E4A0973">
            <w:pPr>
              <w:pStyle w:val="131"/>
              <w:keepNext w:val="0"/>
              <w:keepLines w:val="0"/>
              <w:pageBreakBefore w:val="0"/>
              <w:widowControl w:val="0"/>
              <w:kinsoku/>
              <w:wordWrap/>
              <w:overflowPunct/>
              <w:topLinePunct w:val="0"/>
              <w:autoSpaceDE/>
              <w:autoSpaceDN/>
              <w:bidi w:val="0"/>
              <w:adjustRightInd/>
              <w:snapToGrid/>
              <w:spacing w:line="500" w:lineRule="exact"/>
              <w:ind w:left="1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未公示的</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6"/>
                <w:sz w:val="21"/>
                <w:szCs w:val="21"/>
                <w:highlight w:val="none"/>
              </w:rPr>
              <w:t>0</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6"/>
                <w:sz w:val="21"/>
                <w:szCs w:val="21"/>
                <w:highlight w:val="none"/>
              </w:rPr>
              <w:t>分，公示不规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范、不全面的每一项扣</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7"/>
                <w:sz w:val="21"/>
                <w:szCs w:val="21"/>
                <w:highlight w:val="none"/>
              </w:rPr>
              <w:t>0.5</w:t>
            </w:r>
            <w:r>
              <w:rPr>
                <w:rFonts w:hint="eastAsia" w:ascii="宋体" w:hAnsi="宋体" w:eastAsia="宋体" w:cs="宋体"/>
                <w:color w:val="auto"/>
                <w:sz w:val="21"/>
                <w:szCs w:val="21"/>
                <w:highlight w:val="none"/>
              </w:rPr>
              <w:t xml:space="preserve"> 分</w:t>
            </w:r>
          </w:p>
        </w:tc>
        <w:tc>
          <w:tcPr>
            <w:tcW w:w="915" w:type="dxa"/>
            <w:vAlign w:val="top"/>
          </w:tcPr>
          <w:p w14:paraId="4F0ADD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2F987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4620" w:type="dxa"/>
            <w:vAlign w:val="top"/>
          </w:tcPr>
          <w:p w14:paraId="45C066F5">
            <w:pPr>
              <w:pStyle w:val="131"/>
              <w:keepNext w:val="0"/>
              <w:keepLines w:val="0"/>
              <w:pageBreakBefore w:val="0"/>
              <w:widowControl w:val="0"/>
              <w:kinsoku/>
              <w:wordWrap/>
              <w:overflowPunct/>
              <w:topLinePunct w:val="0"/>
              <w:autoSpaceDE/>
              <w:autoSpaceDN/>
              <w:bidi w:val="0"/>
              <w:adjustRightInd/>
              <w:snapToGrid/>
              <w:spacing w:line="500" w:lineRule="exact"/>
              <w:ind w:left="11" w:right="5" w:firstLine="43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17.制作精致、大方和清晰的冠以项目名称的企 </w:t>
            </w:r>
            <w:r>
              <w:rPr>
                <w:rFonts w:hint="eastAsia" w:ascii="宋体" w:hAnsi="宋体" w:eastAsia="宋体" w:cs="宋体"/>
                <w:color w:val="auto"/>
                <w:spacing w:val="9"/>
                <w:sz w:val="21"/>
                <w:szCs w:val="21"/>
                <w:highlight w:val="none"/>
              </w:rPr>
              <w:t>业铭牌，悬挂于项目管理处或值班室醒目位置。</w:t>
            </w:r>
          </w:p>
        </w:tc>
        <w:tc>
          <w:tcPr>
            <w:tcW w:w="840" w:type="dxa"/>
            <w:vAlign w:val="top"/>
          </w:tcPr>
          <w:p w14:paraId="6EAC1B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38DEC709">
            <w:pPr>
              <w:pStyle w:val="131"/>
              <w:keepNext w:val="0"/>
              <w:keepLines w:val="0"/>
              <w:pageBreakBefore w:val="0"/>
              <w:widowControl w:val="0"/>
              <w:kinsoku/>
              <w:wordWrap/>
              <w:overflowPunct/>
              <w:topLinePunct w:val="0"/>
              <w:autoSpaceDE/>
              <w:autoSpaceDN/>
              <w:bidi w:val="0"/>
              <w:adjustRightInd/>
              <w:snapToGrid/>
              <w:spacing w:line="500" w:lineRule="exact"/>
              <w:ind w:left="436"/>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3885" w:type="dxa"/>
            <w:vAlign w:val="top"/>
          </w:tcPr>
          <w:p w14:paraId="332FB855">
            <w:pPr>
              <w:pStyle w:val="131"/>
              <w:keepNext w:val="0"/>
              <w:keepLines w:val="0"/>
              <w:pageBreakBefore w:val="0"/>
              <w:widowControl w:val="0"/>
              <w:kinsoku/>
              <w:wordWrap/>
              <w:overflowPunct/>
              <w:topLinePunct w:val="0"/>
              <w:autoSpaceDE/>
              <w:autoSpaceDN/>
              <w:bidi w:val="0"/>
              <w:adjustRightInd/>
              <w:snapToGrid/>
              <w:spacing w:line="500" w:lineRule="exact"/>
              <w:ind w:left="14" w:right="5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未挂的</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6"/>
                <w:sz w:val="21"/>
                <w:szCs w:val="21"/>
                <w:highlight w:val="none"/>
              </w:rPr>
              <w:t>0</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6"/>
                <w:sz w:val="21"/>
                <w:szCs w:val="21"/>
                <w:highlight w:val="none"/>
              </w:rPr>
              <w:t>分,悬挂不规范的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扣</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8"/>
                <w:sz w:val="21"/>
                <w:szCs w:val="21"/>
                <w:highlight w:val="none"/>
              </w:rPr>
              <w:t>分</w:t>
            </w:r>
          </w:p>
        </w:tc>
        <w:tc>
          <w:tcPr>
            <w:tcW w:w="915" w:type="dxa"/>
            <w:vAlign w:val="top"/>
          </w:tcPr>
          <w:p w14:paraId="0B152E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4488B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4620" w:type="dxa"/>
            <w:vAlign w:val="top"/>
          </w:tcPr>
          <w:p w14:paraId="0A6A6B02">
            <w:pPr>
              <w:pStyle w:val="131"/>
              <w:keepNext w:val="0"/>
              <w:keepLines w:val="0"/>
              <w:pageBreakBefore w:val="0"/>
              <w:widowControl w:val="0"/>
              <w:kinsoku/>
              <w:wordWrap/>
              <w:overflowPunct/>
              <w:topLinePunct w:val="0"/>
              <w:autoSpaceDE/>
              <w:autoSpaceDN/>
              <w:bidi w:val="0"/>
              <w:adjustRightInd/>
              <w:snapToGrid/>
              <w:spacing w:line="500" w:lineRule="exact"/>
              <w:ind w:left="12" w:right="3"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18.公示企业服务流程图，应包含企业或管理处</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10"/>
                <w:sz w:val="21"/>
                <w:szCs w:val="21"/>
                <w:highlight w:val="none"/>
              </w:rPr>
              <w:t>名称、企业标识、业务接待时间、业务受理电话、</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8"/>
                <w:sz w:val="21"/>
                <w:szCs w:val="21"/>
                <w:highlight w:val="none"/>
              </w:rPr>
              <w:t>值班电话、投诉电话等内容。</w:t>
            </w:r>
          </w:p>
        </w:tc>
        <w:tc>
          <w:tcPr>
            <w:tcW w:w="840" w:type="dxa"/>
            <w:vAlign w:val="top"/>
          </w:tcPr>
          <w:p w14:paraId="32B1B9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691026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0743AABD">
            <w:pPr>
              <w:pStyle w:val="131"/>
              <w:keepNext w:val="0"/>
              <w:keepLines w:val="0"/>
              <w:pageBreakBefore w:val="0"/>
              <w:widowControl w:val="0"/>
              <w:kinsoku/>
              <w:wordWrap/>
              <w:overflowPunct/>
              <w:topLinePunct w:val="0"/>
              <w:autoSpaceDE/>
              <w:autoSpaceDN/>
              <w:bidi w:val="0"/>
              <w:adjustRightInd/>
              <w:snapToGrid/>
              <w:spacing w:line="500" w:lineRule="exact"/>
              <w:ind w:left="436"/>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3885" w:type="dxa"/>
            <w:vAlign w:val="top"/>
          </w:tcPr>
          <w:p w14:paraId="5FE96B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2F984A59">
            <w:pPr>
              <w:pStyle w:val="131"/>
              <w:keepNext w:val="0"/>
              <w:keepLines w:val="0"/>
              <w:pageBreakBefore w:val="0"/>
              <w:widowControl w:val="0"/>
              <w:kinsoku/>
              <w:wordWrap/>
              <w:overflowPunct/>
              <w:topLinePunct w:val="0"/>
              <w:autoSpaceDE/>
              <w:autoSpaceDN/>
              <w:bidi w:val="0"/>
              <w:adjustRightInd/>
              <w:snapToGrid/>
              <w:spacing w:line="500" w:lineRule="exact"/>
              <w:ind w:left="12" w:right="211" w:hanging="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每一项不符合要求扣</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7"/>
                <w:sz w:val="21"/>
                <w:szCs w:val="21"/>
                <w:highlight w:val="none"/>
              </w:rPr>
              <w:t>0.3</w:t>
            </w:r>
            <w:r>
              <w:rPr>
                <w:rFonts w:hint="eastAsia" w:ascii="宋体" w:hAnsi="宋体" w:eastAsia="宋体" w:cs="宋体"/>
                <w:color w:val="auto"/>
                <w:sz w:val="21"/>
                <w:szCs w:val="21"/>
                <w:highlight w:val="none"/>
              </w:rPr>
              <w:t xml:space="preserve"> 分</w:t>
            </w:r>
          </w:p>
        </w:tc>
        <w:tc>
          <w:tcPr>
            <w:tcW w:w="915" w:type="dxa"/>
            <w:vAlign w:val="top"/>
          </w:tcPr>
          <w:p w14:paraId="5A2613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19DDD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4620" w:type="dxa"/>
            <w:vAlign w:val="top"/>
          </w:tcPr>
          <w:p w14:paraId="0FDC3A77">
            <w:pPr>
              <w:pStyle w:val="131"/>
              <w:keepNext w:val="0"/>
              <w:keepLines w:val="0"/>
              <w:pageBreakBefore w:val="0"/>
              <w:widowControl w:val="0"/>
              <w:kinsoku/>
              <w:wordWrap/>
              <w:overflowPunct/>
              <w:topLinePunct w:val="0"/>
              <w:autoSpaceDE/>
              <w:autoSpaceDN/>
              <w:bidi w:val="0"/>
              <w:adjustRightInd/>
              <w:snapToGrid/>
              <w:spacing w:line="500" w:lineRule="exact"/>
              <w:ind w:left="15" w:right="3" w:firstLine="43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19.项目管理处、值班室或客服中心办公区悬挂</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8"/>
                <w:sz w:val="21"/>
                <w:szCs w:val="21"/>
                <w:highlight w:val="none"/>
              </w:rPr>
              <w:t>企业营业执照、资质等各种证书复印件。</w:t>
            </w:r>
          </w:p>
        </w:tc>
        <w:tc>
          <w:tcPr>
            <w:tcW w:w="840" w:type="dxa"/>
            <w:vAlign w:val="top"/>
          </w:tcPr>
          <w:p w14:paraId="7612B1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6CD262DB">
            <w:pPr>
              <w:pStyle w:val="131"/>
              <w:keepNext w:val="0"/>
              <w:keepLines w:val="0"/>
              <w:pageBreakBefore w:val="0"/>
              <w:widowControl w:val="0"/>
              <w:kinsoku/>
              <w:wordWrap/>
              <w:overflowPunct/>
              <w:topLinePunct w:val="0"/>
              <w:autoSpaceDE/>
              <w:autoSpaceDN/>
              <w:bidi w:val="0"/>
              <w:adjustRightInd/>
              <w:snapToGrid/>
              <w:spacing w:line="500" w:lineRule="exact"/>
              <w:ind w:left="436"/>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3885" w:type="dxa"/>
            <w:vAlign w:val="top"/>
          </w:tcPr>
          <w:p w14:paraId="58A76D59">
            <w:pPr>
              <w:pStyle w:val="131"/>
              <w:keepNext w:val="0"/>
              <w:keepLines w:val="0"/>
              <w:pageBreakBefore w:val="0"/>
              <w:widowControl w:val="0"/>
              <w:kinsoku/>
              <w:wordWrap/>
              <w:overflowPunct/>
              <w:topLinePunct w:val="0"/>
              <w:autoSpaceDE/>
              <w:autoSpaceDN/>
              <w:bidi w:val="0"/>
              <w:adjustRightInd/>
              <w:snapToGrid/>
              <w:spacing w:line="500" w:lineRule="exact"/>
              <w:ind w:left="13" w:right="159" w:hanging="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每缺少一项或不符合要求</w:t>
            </w:r>
            <w:r>
              <w:rPr>
                <w:rFonts w:hint="eastAsia" w:ascii="宋体" w:hAnsi="宋体" w:eastAsia="宋体" w:cs="宋体"/>
                <w:color w:val="auto"/>
                <w:sz w:val="21"/>
                <w:szCs w:val="21"/>
                <w:highlight w:val="none"/>
              </w:rPr>
              <w:t xml:space="preserve"> 扣</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z w:val="21"/>
                <w:szCs w:val="21"/>
                <w:highlight w:val="none"/>
              </w:rPr>
              <w:t>分</w:t>
            </w:r>
          </w:p>
        </w:tc>
        <w:tc>
          <w:tcPr>
            <w:tcW w:w="915" w:type="dxa"/>
            <w:vAlign w:val="top"/>
          </w:tcPr>
          <w:p w14:paraId="0B787E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0C719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jc w:val="center"/>
        </w:trPr>
        <w:tc>
          <w:tcPr>
            <w:tcW w:w="4620" w:type="dxa"/>
            <w:vAlign w:val="top"/>
          </w:tcPr>
          <w:p w14:paraId="5D3389D8">
            <w:pPr>
              <w:pStyle w:val="131"/>
              <w:keepNext w:val="0"/>
              <w:keepLines w:val="0"/>
              <w:pageBreakBefore w:val="0"/>
              <w:widowControl w:val="0"/>
              <w:kinsoku/>
              <w:wordWrap/>
              <w:overflowPunct/>
              <w:topLinePunct w:val="0"/>
              <w:autoSpaceDE/>
              <w:autoSpaceDN/>
              <w:bidi w:val="0"/>
              <w:adjustRightInd/>
              <w:snapToGrid/>
              <w:spacing w:line="500" w:lineRule="exact"/>
              <w:ind w:left="12" w:right="5" w:firstLine="422"/>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20.项目管理处公示物业管理项目示意图、项目</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9"/>
                <w:sz w:val="21"/>
                <w:szCs w:val="21"/>
                <w:highlight w:val="none"/>
              </w:rPr>
              <w:t>概况、服务流程图、服务电话、服务标准及收费价</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5"/>
                <w:sz w:val="21"/>
                <w:szCs w:val="21"/>
                <w:highlight w:val="none"/>
              </w:rPr>
              <w:t>格等内容。</w:t>
            </w:r>
          </w:p>
        </w:tc>
        <w:tc>
          <w:tcPr>
            <w:tcW w:w="840" w:type="dxa"/>
            <w:vAlign w:val="top"/>
          </w:tcPr>
          <w:p w14:paraId="61A408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68AB48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12E0130F">
            <w:pPr>
              <w:pStyle w:val="131"/>
              <w:keepNext w:val="0"/>
              <w:keepLines w:val="0"/>
              <w:pageBreakBefore w:val="0"/>
              <w:widowControl w:val="0"/>
              <w:kinsoku/>
              <w:wordWrap/>
              <w:overflowPunct/>
              <w:topLinePunct w:val="0"/>
              <w:autoSpaceDE/>
              <w:autoSpaceDN/>
              <w:bidi w:val="0"/>
              <w:adjustRightInd/>
              <w:snapToGrid/>
              <w:spacing w:line="500" w:lineRule="exact"/>
              <w:ind w:left="436"/>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3885" w:type="dxa"/>
            <w:vAlign w:val="top"/>
          </w:tcPr>
          <w:p w14:paraId="6F32BC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2435159B">
            <w:pPr>
              <w:pStyle w:val="131"/>
              <w:keepNext w:val="0"/>
              <w:keepLines w:val="0"/>
              <w:pageBreakBefore w:val="0"/>
              <w:widowControl w:val="0"/>
              <w:kinsoku/>
              <w:wordWrap/>
              <w:overflowPunct/>
              <w:topLinePunct w:val="0"/>
              <w:autoSpaceDE/>
              <w:autoSpaceDN/>
              <w:bidi w:val="0"/>
              <w:adjustRightInd/>
              <w:snapToGrid/>
              <w:spacing w:line="500" w:lineRule="exact"/>
              <w:ind w:left="13" w:right="159" w:hanging="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每缺少一项或不符合要求</w:t>
            </w:r>
            <w:r>
              <w:rPr>
                <w:rFonts w:hint="eastAsia" w:ascii="宋体" w:hAnsi="宋体" w:eastAsia="宋体" w:cs="宋体"/>
                <w:color w:val="auto"/>
                <w:sz w:val="21"/>
                <w:szCs w:val="21"/>
                <w:highlight w:val="none"/>
              </w:rPr>
              <w:t xml:space="preserve"> 扣</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z w:val="21"/>
                <w:szCs w:val="21"/>
                <w:highlight w:val="none"/>
              </w:rPr>
              <w:t>分</w:t>
            </w:r>
          </w:p>
        </w:tc>
        <w:tc>
          <w:tcPr>
            <w:tcW w:w="915" w:type="dxa"/>
            <w:vAlign w:val="top"/>
          </w:tcPr>
          <w:p w14:paraId="73D1CE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1DBB8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jc w:val="center"/>
        </w:trPr>
        <w:tc>
          <w:tcPr>
            <w:tcW w:w="4620" w:type="dxa"/>
            <w:vAlign w:val="top"/>
          </w:tcPr>
          <w:p w14:paraId="1EDC409B">
            <w:pPr>
              <w:pStyle w:val="131"/>
              <w:keepNext w:val="0"/>
              <w:keepLines w:val="0"/>
              <w:pageBreakBefore w:val="0"/>
              <w:widowControl w:val="0"/>
              <w:kinsoku/>
              <w:wordWrap/>
              <w:overflowPunct/>
              <w:topLinePunct w:val="0"/>
              <w:autoSpaceDE/>
              <w:autoSpaceDN/>
              <w:bidi w:val="0"/>
              <w:adjustRightInd/>
              <w:snapToGrid/>
              <w:spacing w:line="500" w:lineRule="exact"/>
              <w:ind w:left="10" w:right="5" w:firstLine="424"/>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21.公示装璜、公共性、求助性、委托性、特约</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9"/>
                <w:sz w:val="21"/>
                <w:szCs w:val="21"/>
                <w:highlight w:val="none"/>
              </w:rPr>
              <w:t>性服务流程图，包含服务内容、服务要求、达到标</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9"/>
                <w:sz w:val="21"/>
                <w:szCs w:val="21"/>
                <w:highlight w:val="none"/>
              </w:rPr>
              <w:t>准、费用测算标准，接待、受理、派工、服务、回</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9"/>
                <w:sz w:val="21"/>
                <w:szCs w:val="21"/>
                <w:highlight w:val="none"/>
              </w:rPr>
              <w:t>访等主要内容的措施和程序；服务、回访工作记录</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3"/>
                <w:sz w:val="21"/>
                <w:szCs w:val="21"/>
                <w:highlight w:val="none"/>
              </w:rPr>
              <w:t>完整。</w:t>
            </w:r>
          </w:p>
        </w:tc>
        <w:tc>
          <w:tcPr>
            <w:tcW w:w="840" w:type="dxa"/>
            <w:vAlign w:val="top"/>
          </w:tcPr>
          <w:p w14:paraId="43F0B4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44B35A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6F00D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02AC79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53B3E0C9">
            <w:pPr>
              <w:pStyle w:val="131"/>
              <w:keepNext w:val="0"/>
              <w:keepLines w:val="0"/>
              <w:pageBreakBefore w:val="0"/>
              <w:widowControl w:val="0"/>
              <w:kinsoku/>
              <w:wordWrap/>
              <w:overflowPunct/>
              <w:topLinePunct w:val="0"/>
              <w:autoSpaceDE/>
              <w:autoSpaceDN/>
              <w:bidi w:val="0"/>
              <w:adjustRightInd/>
              <w:snapToGrid/>
              <w:spacing w:line="500" w:lineRule="exact"/>
              <w:ind w:left="433"/>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4</w:t>
            </w:r>
          </w:p>
        </w:tc>
        <w:tc>
          <w:tcPr>
            <w:tcW w:w="3885" w:type="dxa"/>
            <w:vAlign w:val="top"/>
          </w:tcPr>
          <w:p w14:paraId="07F895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4D9DDB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6907D261">
            <w:pPr>
              <w:pStyle w:val="131"/>
              <w:keepNext w:val="0"/>
              <w:keepLines w:val="0"/>
              <w:pageBreakBefore w:val="0"/>
              <w:widowControl w:val="0"/>
              <w:kinsoku/>
              <w:wordWrap/>
              <w:overflowPunct/>
              <w:topLinePunct w:val="0"/>
              <w:autoSpaceDE/>
              <w:autoSpaceDN/>
              <w:bidi w:val="0"/>
              <w:adjustRightInd/>
              <w:snapToGrid/>
              <w:spacing w:line="500" w:lineRule="exact"/>
              <w:ind w:left="11" w:right="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流程图或项目每缺少一项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扣</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2"/>
                <w:sz w:val="21"/>
                <w:szCs w:val="21"/>
                <w:highlight w:val="none"/>
              </w:rPr>
              <w:t>0.2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分；服务回访记录不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完整的，每一项扣</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6"/>
                <w:sz w:val="21"/>
                <w:szCs w:val="21"/>
                <w:highlight w:val="none"/>
              </w:rPr>
              <w:t>0.2</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6"/>
                <w:sz w:val="21"/>
                <w:szCs w:val="21"/>
                <w:highlight w:val="none"/>
              </w:rPr>
              <w:t>分</w:t>
            </w:r>
          </w:p>
        </w:tc>
        <w:tc>
          <w:tcPr>
            <w:tcW w:w="915" w:type="dxa"/>
            <w:vAlign w:val="top"/>
          </w:tcPr>
          <w:p w14:paraId="27A741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5FFC8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jc w:val="center"/>
        </w:trPr>
        <w:tc>
          <w:tcPr>
            <w:tcW w:w="4620" w:type="dxa"/>
            <w:vAlign w:val="top"/>
          </w:tcPr>
          <w:p w14:paraId="51596F4E">
            <w:pPr>
              <w:pStyle w:val="131"/>
              <w:keepNext w:val="0"/>
              <w:keepLines w:val="0"/>
              <w:pageBreakBefore w:val="0"/>
              <w:widowControl w:val="0"/>
              <w:kinsoku/>
              <w:wordWrap/>
              <w:overflowPunct/>
              <w:topLinePunct w:val="0"/>
              <w:autoSpaceDE/>
              <w:autoSpaceDN/>
              <w:bidi w:val="0"/>
              <w:adjustRightInd/>
              <w:snapToGrid/>
              <w:spacing w:line="500" w:lineRule="exact"/>
              <w:ind w:left="20" w:firstLine="41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22.公示投诉处理流程图，正确对待业主投诉、 咨询，主动为业主排忧解难。</w:t>
            </w:r>
          </w:p>
        </w:tc>
        <w:tc>
          <w:tcPr>
            <w:tcW w:w="840" w:type="dxa"/>
            <w:vAlign w:val="top"/>
          </w:tcPr>
          <w:p w14:paraId="78D49C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26047B2E">
            <w:pPr>
              <w:pStyle w:val="131"/>
              <w:keepNext w:val="0"/>
              <w:keepLines w:val="0"/>
              <w:pageBreakBefore w:val="0"/>
              <w:widowControl w:val="0"/>
              <w:kinsoku/>
              <w:wordWrap/>
              <w:overflowPunct/>
              <w:topLinePunct w:val="0"/>
              <w:autoSpaceDE/>
              <w:autoSpaceDN/>
              <w:bidi w:val="0"/>
              <w:adjustRightInd/>
              <w:snapToGrid/>
              <w:spacing w:line="500" w:lineRule="exact"/>
              <w:ind w:left="438"/>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3</w:t>
            </w:r>
          </w:p>
        </w:tc>
        <w:tc>
          <w:tcPr>
            <w:tcW w:w="3885" w:type="dxa"/>
            <w:vAlign w:val="top"/>
          </w:tcPr>
          <w:p w14:paraId="4CAEF900">
            <w:pPr>
              <w:pStyle w:val="131"/>
              <w:keepNext w:val="0"/>
              <w:keepLines w:val="0"/>
              <w:pageBreakBefore w:val="0"/>
              <w:widowControl w:val="0"/>
              <w:kinsoku/>
              <w:wordWrap/>
              <w:overflowPunct/>
              <w:topLinePunct w:val="0"/>
              <w:autoSpaceDE/>
              <w:autoSpaceDN/>
              <w:bidi w:val="0"/>
              <w:adjustRightInd/>
              <w:snapToGrid/>
              <w:spacing w:line="500" w:lineRule="exact"/>
              <w:ind w:left="9" w:right="1" w:firstLine="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未公示扣</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
                <w:sz w:val="21"/>
                <w:szCs w:val="21"/>
                <w:highlight w:val="none"/>
              </w:rPr>
              <w:t>分；业主有效投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诉处理不及时的，每次扣</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分</w:t>
            </w:r>
          </w:p>
        </w:tc>
        <w:tc>
          <w:tcPr>
            <w:tcW w:w="915" w:type="dxa"/>
            <w:vAlign w:val="top"/>
          </w:tcPr>
          <w:p w14:paraId="770CF5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60A31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4620" w:type="dxa"/>
            <w:vAlign w:val="top"/>
          </w:tcPr>
          <w:p w14:paraId="1E6C145A">
            <w:pPr>
              <w:pStyle w:val="131"/>
              <w:keepNext w:val="0"/>
              <w:keepLines w:val="0"/>
              <w:pageBreakBefore w:val="0"/>
              <w:widowControl w:val="0"/>
              <w:kinsoku/>
              <w:wordWrap/>
              <w:overflowPunct/>
              <w:topLinePunct w:val="0"/>
              <w:autoSpaceDE/>
              <w:autoSpaceDN/>
              <w:bidi w:val="0"/>
              <w:adjustRightInd/>
              <w:snapToGrid/>
              <w:spacing w:line="500" w:lineRule="exact"/>
              <w:ind w:left="14" w:right="3"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23.公示公用部位、公用设施设备维修养</w:t>
            </w:r>
            <w:r>
              <w:rPr>
                <w:rFonts w:hint="eastAsia" w:ascii="宋体" w:hAnsi="宋体" w:eastAsia="宋体" w:cs="宋体"/>
                <w:color w:val="auto"/>
                <w:spacing w:val="4"/>
                <w:sz w:val="21"/>
                <w:szCs w:val="21"/>
                <w:highlight w:val="none"/>
              </w:rPr>
              <w:t>护、卫</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生保洁、绿化养护、公共秩序维护，财务、收费管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7"/>
                <w:sz w:val="21"/>
                <w:szCs w:val="21"/>
                <w:highlight w:val="none"/>
              </w:rPr>
              <w:t>理制度及其它管理制度。</w:t>
            </w:r>
          </w:p>
        </w:tc>
        <w:tc>
          <w:tcPr>
            <w:tcW w:w="840" w:type="dxa"/>
            <w:vAlign w:val="top"/>
          </w:tcPr>
          <w:p w14:paraId="6EFB52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6828384E">
            <w:pPr>
              <w:pStyle w:val="131"/>
              <w:keepNext w:val="0"/>
              <w:keepLines w:val="0"/>
              <w:pageBreakBefore w:val="0"/>
              <w:widowControl w:val="0"/>
              <w:kinsoku/>
              <w:wordWrap/>
              <w:overflowPunct/>
              <w:topLinePunct w:val="0"/>
              <w:autoSpaceDE/>
              <w:autoSpaceDN/>
              <w:bidi w:val="0"/>
              <w:adjustRightInd/>
              <w:snapToGrid/>
              <w:spacing w:line="500" w:lineRule="exact"/>
              <w:ind w:left="433"/>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4</w:t>
            </w:r>
          </w:p>
        </w:tc>
        <w:tc>
          <w:tcPr>
            <w:tcW w:w="3885" w:type="dxa"/>
            <w:vAlign w:val="top"/>
          </w:tcPr>
          <w:p w14:paraId="55158968">
            <w:pPr>
              <w:pStyle w:val="131"/>
              <w:keepNext w:val="0"/>
              <w:keepLines w:val="0"/>
              <w:pageBreakBefore w:val="0"/>
              <w:widowControl w:val="0"/>
              <w:kinsoku/>
              <w:wordWrap/>
              <w:overflowPunct/>
              <w:topLinePunct w:val="0"/>
              <w:autoSpaceDE/>
              <w:autoSpaceDN/>
              <w:bidi w:val="0"/>
              <w:adjustRightInd/>
              <w:snapToGrid/>
              <w:spacing w:line="500" w:lineRule="exact"/>
              <w:ind w:left="12" w:right="159" w:firstLine="3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目视检查，每缺少一项扣</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1"/>
                <w:sz w:val="21"/>
                <w:szCs w:val="21"/>
                <w:highlight w:val="none"/>
              </w:rPr>
              <w:t>0.5</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
                <w:sz w:val="21"/>
                <w:szCs w:val="21"/>
                <w:highlight w:val="none"/>
              </w:rPr>
              <w:t>分</w:t>
            </w:r>
          </w:p>
        </w:tc>
        <w:tc>
          <w:tcPr>
            <w:tcW w:w="915" w:type="dxa"/>
            <w:vAlign w:val="top"/>
          </w:tcPr>
          <w:p w14:paraId="30EDB5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2D77A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jc w:val="center"/>
        </w:trPr>
        <w:tc>
          <w:tcPr>
            <w:tcW w:w="4620" w:type="dxa"/>
            <w:vAlign w:val="top"/>
          </w:tcPr>
          <w:p w14:paraId="2C7BCE43">
            <w:pPr>
              <w:pStyle w:val="131"/>
              <w:keepNext w:val="0"/>
              <w:keepLines w:val="0"/>
              <w:pageBreakBefore w:val="0"/>
              <w:widowControl w:val="0"/>
              <w:kinsoku/>
              <w:wordWrap/>
              <w:overflowPunct/>
              <w:topLinePunct w:val="0"/>
              <w:autoSpaceDE/>
              <w:autoSpaceDN/>
              <w:bidi w:val="0"/>
              <w:adjustRightInd/>
              <w:snapToGrid/>
              <w:spacing w:line="500" w:lineRule="exact"/>
              <w:ind w:left="11" w:right="24" w:firstLine="42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24.设置专门的物业服务费用收支情况宣传公</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9"/>
                <w:sz w:val="21"/>
                <w:szCs w:val="21"/>
                <w:highlight w:val="none"/>
              </w:rPr>
              <w:t>示栏，公布物业公共性服务内容标准及服务收费程</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z w:val="21"/>
                <w:szCs w:val="21"/>
                <w:highlight w:val="none"/>
              </w:rPr>
              <w:t>序。</w:t>
            </w:r>
          </w:p>
        </w:tc>
        <w:tc>
          <w:tcPr>
            <w:tcW w:w="840" w:type="dxa"/>
            <w:vAlign w:val="top"/>
          </w:tcPr>
          <w:p w14:paraId="08DDDE45">
            <w:pPr>
              <w:pStyle w:val="131"/>
              <w:keepNext w:val="0"/>
              <w:keepLines w:val="0"/>
              <w:pageBreakBefore w:val="0"/>
              <w:widowControl w:val="0"/>
              <w:kinsoku/>
              <w:wordWrap/>
              <w:overflowPunct/>
              <w:topLinePunct w:val="0"/>
              <w:autoSpaceDE/>
              <w:autoSpaceDN/>
              <w:bidi w:val="0"/>
              <w:adjustRightInd/>
              <w:snapToGrid/>
              <w:spacing w:line="500" w:lineRule="exact"/>
              <w:ind w:left="436"/>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3885" w:type="dxa"/>
            <w:vAlign w:val="top"/>
          </w:tcPr>
          <w:p w14:paraId="47CEC56E">
            <w:pPr>
              <w:pStyle w:val="131"/>
              <w:keepNext w:val="0"/>
              <w:keepLines w:val="0"/>
              <w:pageBreakBefore w:val="0"/>
              <w:widowControl w:val="0"/>
              <w:kinsoku/>
              <w:wordWrap/>
              <w:overflowPunct/>
              <w:topLinePunct w:val="0"/>
              <w:autoSpaceDE/>
              <w:autoSpaceDN/>
              <w:bidi w:val="0"/>
              <w:adjustRightInd/>
              <w:snapToGrid/>
              <w:spacing w:line="500" w:lineRule="exact"/>
              <w:ind w:left="14" w:right="3" w:firstLine="3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目视、文档记录检查，每一</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5"/>
                <w:sz w:val="21"/>
                <w:szCs w:val="21"/>
                <w:highlight w:val="none"/>
              </w:rPr>
              <w:t>项不符合要求扣</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分</w:t>
            </w:r>
          </w:p>
        </w:tc>
        <w:tc>
          <w:tcPr>
            <w:tcW w:w="915" w:type="dxa"/>
            <w:vAlign w:val="top"/>
          </w:tcPr>
          <w:p w14:paraId="5C6FB5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375C1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4620" w:type="dxa"/>
            <w:vAlign w:val="top"/>
          </w:tcPr>
          <w:p w14:paraId="36516294">
            <w:pPr>
              <w:keepNext w:val="0"/>
              <w:keepLines w:val="0"/>
              <w:pageBreakBefore w:val="0"/>
              <w:widowControl w:val="0"/>
              <w:kinsoku/>
              <w:wordWrap/>
              <w:overflowPunct/>
              <w:topLinePunct w:val="0"/>
              <w:autoSpaceDE/>
              <w:autoSpaceDN/>
              <w:bidi w:val="0"/>
              <w:adjustRightInd/>
              <w:snapToGrid/>
              <w:spacing w:line="500" w:lineRule="exact"/>
              <w:ind w:left="161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（四）</w:t>
            </w:r>
            <w:r>
              <w:rPr>
                <w:rFonts w:hint="eastAsia" w:ascii="宋体" w:hAnsi="宋体" w:eastAsia="宋体" w:cs="宋体"/>
                <w:color w:val="auto"/>
                <w:spacing w:val="-41"/>
                <w:sz w:val="21"/>
                <w:szCs w:val="21"/>
                <w:highlight w:val="none"/>
              </w:rPr>
              <w:t xml:space="preserve"> </w:t>
            </w:r>
            <w:r>
              <w:rPr>
                <w:rFonts w:hint="eastAsia" w:ascii="宋体" w:hAnsi="宋体" w:eastAsia="宋体" w:cs="宋体"/>
                <w:b/>
                <w:bCs/>
                <w:color w:val="auto"/>
                <w:spacing w:val="-4"/>
                <w:sz w:val="21"/>
                <w:szCs w:val="21"/>
                <w:highlight w:val="none"/>
              </w:rPr>
              <w:t>日常服务</w:t>
            </w:r>
          </w:p>
        </w:tc>
        <w:tc>
          <w:tcPr>
            <w:tcW w:w="840" w:type="dxa"/>
            <w:vAlign w:val="top"/>
          </w:tcPr>
          <w:p w14:paraId="2D65E354">
            <w:pPr>
              <w:keepNext w:val="0"/>
              <w:keepLines w:val="0"/>
              <w:pageBreakBefore w:val="0"/>
              <w:widowControl w:val="0"/>
              <w:kinsoku/>
              <w:wordWrap/>
              <w:overflowPunct/>
              <w:topLinePunct w:val="0"/>
              <w:autoSpaceDE/>
              <w:autoSpaceDN/>
              <w:bidi w:val="0"/>
              <w:adjustRightInd/>
              <w:snapToGrid/>
              <w:spacing w:line="500" w:lineRule="exact"/>
              <w:ind w:left="381"/>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37</w:t>
            </w:r>
          </w:p>
        </w:tc>
        <w:tc>
          <w:tcPr>
            <w:tcW w:w="3885" w:type="dxa"/>
            <w:vAlign w:val="top"/>
          </w:tcPr>
          <w:p w14:paraId="3307C0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915" w:type="dxa"/>
            <w:vAlign w:val="top"/>
          </w:tcPr>
          <w:p w14:paraId="707F43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7164A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jc w:val="center"/>
        </w:trPr>
        <w:tc>
          <w:tcPr>
            <w:tcW w:w="4620" w:type="dxa"/>
            <w:vAlign w:val="top"/>
          </w:tcPr>
          <w:p w14:paraId="32E7BCDA">
            <w:pPr>
              <w:pStyle w:val="131"/>
              <w:keepNext w:val="0"/>
              <w:keepLines w:val="0"/>
              <w:pageBreakBefore w:val="0"/>
              <w:widowControl w:val="0"/>
              <w:kinsoku/>
              <w:wordWrap/>
              <w:overflowPunct/>
              <w:topLinePunct w:val="0"/>
              <w:autoSpaceDE/>
              <w:autoSpaceDN/>
              <w:bidi w:val="0"/>
              <w:adjustRightInd/>
              <w:snapToGrid/>
              <w:spacing w:line="500" w:lineRule="exact"/>
              <w:ind w:left="11" w:right="5" w:firstLine="423"/>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25.按照合同约定，做好物业服务区域内公共设</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9"/>
                <w:sz w:val="21"/>
                <w:szCs w:val="21"/>
                <w:highlight w:val="none"/>
              </w:rPr>
              <w:t>施设备维修养护工作和计划，有完整的维修养护工</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9"/>
                <w:sz w:val="21"/>
                <w:szCs w:val="21"/>
                <w:highlight w:val="none"/>
              </w:rPr>
              <w:t>作记录，达到合同约定标准；出现安全隐患及时处</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7"/>
                <w:sz w:val="21"/>
                <w:szCs w:val="21"/>
                <w:highlight w:val="none"/>
              </w:rPr>
              <w:t>理或设置警示装置。</w:t>
            </w:r>
          </w:p>
        </w:tc>
        <w:tc>
          <w:tcPr>
            <w:tcW w:w="840" w:type="dxa"/>
            <w:vAlign w:val="top"/>
          </w:tcPr>
          <w:p w14:paraId="7227D5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102F4CD5">
            <w:pPr>
              <w:pStyle w:val="131"/>
              <w:keepNext w:val="0"/>
              <w:keepLines w:val="0"/>
              <w:pageBreakBefore w:val="0"/>
              <w:widowControl w:val="0"/>
              <w:kinsoku/>
              <w:wordWrap/>
              <w:overflowPunct/>
              <w:topLinePunct w:val="0"/>
              <w:autoSpaceDE/>
              <w:autoSpaceDN/>
              <w:bidi w:val="0"/>
              <w:adjustRightInd/>
              <w:snapToGrid/>
              <w:spacing w:line="500" w:lineRule="exact"/>
              <w:ind w:left="438"/>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5</w:t>
            </w:r>
          </w:p>
        </w:tc>
        <w:tc>
          <w:tcPr>
            <w:tcW w:w="3885" w:type="dxa"/>
            <w:vAlign w:val="top"/>
          </w:tcPr>
          <w:p w14:paraId="26C81C8A">
            <w:pPr>
              <w:pStyle w:val="131"/>
              <w:keepNext w:val="0"/>
              <w:keepLines w:val="0"/>
              <w:pageBreakBefore w:val="0"/>
              <w:widowControl w:val="0"/>
              <w:kinsoku/>
              <w:wordWrap/>
              <w:overflowPunct/>
              <w:topLinePunct w:val="0"/>
              <w:autoSpaceDE/>
              <w:autoSpaceDN/>
              <w:bidi w:val="0"/>
              <w:adjustRightInd/>
              <w:snapToGrid/>
              <w:spacing w:line="500" w:lineRule="exact"/>
              <w:ind w:left="14" w:right="3" w:firstLine="3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目视、检查文档资料，每一</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5"/>
                <w:sz w:val="21"/>
                <w:szCs w:val="21"/>
                <w:highlight w:val="none"/>
              </w:rPr>
              <w:t>项达不到标准扣</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5"/>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分；</w:t>
            </w:r>
          </w:p>
        </w:tc>
        <w:tc>
          <w:tcPr>
            <w:tcW w:w="915" w:type="dxa"/>
            <w:vAlign w:val="top"/>
          </w:tcPr>
          <w:p w14:paraId="79F8F6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7EA0C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jc w:val="center"/>
        </w:trPr>
        <w:tc>
          <w:tcPr>
            <w:tcW w:w="4620" w:type="dxa"/>
            <w:vAlign w:val="top"/>
          </w:tcPr>
          <w:p w14:paraId="47678399">
            <w:pPr>
              <w:pStyle w:val="131"/>
              <w:keepNext w:val="0"/>
              <w:keepLines w:val="0"/>
              <w:pageBreakBefore w:val="0"/>
              <w:widowControl w:val="0"/>
              <w:kinsoku/>
              <w:wordWrap/>
              <w:overflowPunct/>
              <w:topLinePunct w:val="0"/>
              <w:autoSpaceDE/>
              <w:autoSpaceDN/>
              <w:bidi w:val="0"/>
              <w:adjustRightInd/>
              <w:snapToGrid/>
              <w:spacing w:line="500" w:lineRule="exact"/>
              <w:ind w:left="12" w:right="3"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26.按照合同约定次数和标准，做好共用</w:t>
            </w:r>
            <w:r>
              <w:rPr>
                <w:rFonts w:hint="eastAsia" w:ascii="宋体" w:hAnsi="宋体" w:eastAsia="宋体" w:cs="宋体"/>
                <w:color w:val="auto"/>
                <w:spacing w:val="4"/>
                <w:sz w:val="21"/>
                <w:szCs w:val="21"/>
                <w:highlight w:val="none"/>
              </w:rPr>
              <w:t>部位和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物业服务区域环境卫生保洁工作，物业管理区域环</w:t>
            </w:r>
            <w:r>
              <w:rPr>
                <w:rFonts w:hint="eastAsia" w:ascii="宋体" w:hAnsi="宋体" w:eastAsia="宋体" w:cs="宋体"/>
                <w:color w:val="auto"/>
                <w:spacing w:val="7"/>
                <w:sz w:val="21"/>
                <w:szCs w:val="21"/>
                <w:highlight w:val="none"/>
              </w:rPr>
              <w:t>境优美，卫生整洁。</w:t>
            </w:r>
          </w:p>
        </w:tc>
        <w:tc>
          <w:tcPr>
            <w:tcW w:w="840" w:type="dxa"/>
            <w:vAlign w:val="top"/>
          </w:tcPr>
          <w:p w14:paraId="43443D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71AF3982">
            <w:pPr>
              <w:pStyle w:val="131"/>
              <w:keepNext w:val="0"/>
              <w:keepLines w:val="0"/>
              <w:pageBreakBefore w:val="0"/>
              <w:widowControl w:val="0"/>
              <w:kinsoku/>
              <w:wordWrap/>
              <w:overflowPunct/>
              <w:topLinePunct w:val="0"/>
              <w:autoSpaceDE/>
              <w:autoSpaceDN/>
              <w:bidi w:val="0"/>
              <w:adjustRightInd/>
              <w:snapToGrid/>
              <w:spacing w:line="500" w:lineRule="exact"/>
              <w:ind w:left="39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12</w:t>
            </w:r>
          </w:p>
        </w:tc>
        <w:tc>
          <w:tcPr>
            <w:tcW w:w="3885" w:type="dxa"/>
            <w:vAlign w:val="top"/>
          </w:tcPr>
          <w:p w14:paraId="6126BFD2">
            <w:pPr>
              <w:pStyle w:val="131"/>
              <w:keepNext w:val="0"/>
              <w:keepLines w:val="0"/>
              <w:pageBreakBefore w:val="0"/>
              <w:widowControl w:val="0"/>
              <w:kinsoku/>
              <w:wordWrap/>
              <w:overflowPunct/>
              <w:topLinePunct w:val="0"/>
              <w:autoSpaceDE/>
              <w:autoSpaceDN/>
              <w:bidi w:val="0"/>
              <w:adjustRightInd/>
              <w:snapToGrid/>
              <w:spacing w:line="500" w:lineRule="exact"/>
              <w:ind w:left="14" w:right="3" w:firstLine="3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目视、检查文档记录，每一</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5"/>
                <w:sz w:val="21"/>
                <w:szCs w:val="21"/>
                <w:highlight w:val="none"/>
              </w:rPr>
              <w:t>项达不到标准扣</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分</w:t>
            </w:r>
          </w:p>
        </w:tc>
        <w:tc>
          <w:tcPr>
            <w:tcW w:w="915" w:type="dxa"/>
            <w:vAlign w:val="top"/>
          </w:tcPr>
          <w:p w14:paraId="3996BC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04022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4620" w:type="dxa"/>
            <w:vAlign w:val="top"/>
          </w:tcPr>
          <w:p w14:paraId="08039C8E">
            <w:pPr>
              <w:pStyle w:val="131"/>
              <w:keepNext w:val="0"/>
              <w:keepLines w:val="0"/>
              <w:pageBreakBefore w:val="0"/>
              <w:widowControl w:val="0"/>
              <w:kinsoku/>
              <w:wordWrap/>
              <w:overflowPunct/>
              <w:topLinePunct w:val="0"/>
              <w:autoSpaceDE/>
              <w:autoSpaceDN/>
              <w:bidi w:val="0"/>
              <w:adjustRightInd/>
              <w:snapToGrid/>
              <w:spacing w:line="500" w:lineRule="exact"/>
              <w:ind w:left="15" w:right="3"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27.按照合同约定，做好绿化养护服务，</w:t>
            </w:r>
            <w:r>
              <w:rPr>
                <w:rFonts w:hint="eastAsia" w:ascii="宋体" w:hAnsi="宋体" w:eastAsia="宋体" w:cs="宋体"/>
                <w:color w:val="auto"/>
                <w:spacing w:val="4"/>
                <w:sz w:val="21"/>
                <w:szCs w:val="21"/>
                <w:highlight w:val="none"/>
              </w:rPr>
              <w:t>制定合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理的养护工作计划安排，养护记录完整；达到合同</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8"/>
                <w:sz w:val="21"/>
                <w:szCs w:val="21"/>
                <w:highlight w:val="none"/>
              </w:rPr>
              <w:t>约定标准，绿地养护情况良好，绿化设施完整。</w:t>
            </w:r>
          </w:p>
        </w:tc>
        <w:tc>
          <w:tcPr>
            <w:tcW w:w="840" w:type="dxa"/>
            <w:vAlign w:val="top"/>
          </w:tcPr>
          <w:p w14:paraId="741D67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44BB8C9D">
            <w:pPr>
              <w:pStyle w:val="131"/>
              <w:keepNext w:val="0"/>
              <w:keepLines w:val="0"/>
              <w:pageBreakBefore w:val="0"/>
              <w:widowControl w:val="0"/>
              <w:kinsoku/>
              <w:wordWrap/>
              <w:overflowPunct/>
              <w:topLinePunct w:val="0"/>
              <w:autoSpaceDE/>
              <w:autoSpaceDN/>
              <w:bidi w:val="0"/>
              <w:adjustRightInd/>
              <w:snapToGrid/>
              <w:spacing w:line="500" w:lineRule="exact"/>
              <w:ind w:left="438"/>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3</w:t>
            </w:r>
          </w:p>
        </w:tc>
        <w:tc>
          <w:tcPr>
            <w:tcW w:w="3885" w:type="dxa"/>
            <w:vAlign w:val="top"/>
          </w:tcPr>
          <w:p w14:paraId="2ACFA6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06F3BE83">
            <w:pPr>
              <w:pStyle w:val="131"/>
              <w:keepNext w:val="0"/>
              <w:keepLines w:val="0"/>
              <w:pageBreakBefore w:val="0"/>
              <w:widowControl w:val="0"/>
              <w:kinsoku/>
              <w:wordWrap/>
              <w:overflowPunct/>
              <w:topLinePunct w:val="0"/>
              <w:autoSpaceDE/>
              <w:autoSpaceDN/>
              <w:bidi w:val="0"/>
              <w:adjustRightInd/>
              <w:snapToGrid/>
              <w:spacing w:line="500" w:lineRule="exact"/>
              <w:ind w:left="14" w:right="3" w:firstLine="3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目视、检查文档记录，每一</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5"/>
                <w:sz w:val="21"/>
                <w:szCs w:val="21"/>
                <w:highlight w:val="none"/>
              </w:rPr>
              <w:t>项达不到标准扣</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分</w:t>
            </w:r>
          </w:p>
        </w:tc>
        <w:tc>
          <w:tcPr>
            <w:tcW w:w="915" w:type="dxa"/>
            <w:vAlign w:val="top"/>
          </w:tcPr>
          <w:p w14:paraId="3D52A7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421CF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jc w:val="center"/>
        </w:trPr>
        <w:tc>
          <w:tcPr>
            <w:tcW w:w="4620" w:type="dxa"/>
            <w:vAlign w:val="top"/>
          </w:tcPr>
          <w:p w14:paraId="3F8A53E9">
            <w:pPr>
              <w:pStyle w:val="131"/>
              <w:keepNext w:val="0"/>
              <w:keepLines w:val="0"/>
              <w:pageBreakBefore w:val="0"/>
              <w:widowControl w:val="0"/>
              <w:kinsoku/>
              <w:wordWrap/>
              <w:overflowPunct/>
              <w:topLinePunct w:val="0"/>
              <w:autoSpaceDE/>
              <w:autoSpaceDN/>
              <w:bidi w:val="0"/>
              <w:adjustRightInd/>
              <w:snapToGrid/>
              <w:spacing w:line="500" w:lineRule="exact"/>
              <w:ind w:left="11" w:firstLine="41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28.根据合同，按照实用经济的原则配置公共秩</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8"/>
                <w:sz w:val="21"/>
                <w:szCs w:val="21"/>
                <w:highlight w:val="none"/>
              </w:rPr>
              <w:t>序管理人员，保证专职工作；制定门岗、巡视</w:t>
            </w:r>
            <w:r>
              <w:rPr>
                <w:rFonts w:hint="eastAsia" w:ascii="宋体" w:hAnsi="宋体" w:eastAsia="宋体" w:cs="宋体"/>
                <w:color w:val="auto"/>
                <w:spacing w:val="7"/>
                <w:sz w:val="21"/>
                <w:szCs w:val="21"/>
                <w:highlight w:val="none"/>
              </w:rPr>
              <w:t>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执勤、交接班制度；公示紧急事件处理流程和预案，</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7"/>
                <w:sz w:val="21"/>
                <w:szCs w:val="21"/>
                <w:highlight w:val="none"/>
              </w:rPr>
              <w:t>相关流程悬挂办公场所；配合属地公安机关搞好社</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7"/>
                <w:sz w:val="21"/>
                <w:szCs w:val="21"/>
                <w:highlight w:val="none"/>
              </w:rPr>
              <w:t>区公共安全、联防、协防工作；值班、巡视、交接</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6"/>
                <w:sz w:val="21"/>
                <w:szCs w:val="21"/>
                <w:highlight w:val="none"/>
              </w:rPr>
              <w:t>班工作记录完整、查阅方便。</w:t>
            </w:r>
          </w:p>
        </w:tc>
        <w:tc>
          <w:tcPr>
            <w:tcW w:w="840" w:type="dxa"/>
            <w:vAlign w:val="top"/>
          </w:tcPr>
          <w:p w14:paraId="194089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0534455F">
            <w:pPr>
              <w:pStyle w:val="131"/>
              <w:keepNext w:val="0"/>
              <w:keepLines w:val="0"/>
              <w:pageBreakBefore w:val="0"/>
              <w:widowControl w:val="0"/>
              <w:kinsoku/>
              <w:wordWrap/>
              <w:overflowPunct/>
              <w:topLinePunct w:val="0"/>
              <w:autoSpaceDE/>
              <w:autoSpaceDN/>
              <w:bidi w:val="0"/>
              <w:adjustRightInd/>
              <w:snapToGrid/>
              <w:spacing w:line="500" w:lineRule="exact"/>
              <w:ind w:left="39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12</w:t>
            </w:r>
          </w:p>
        </w:tc>
        <w:tc>
          <w:tcPr>
            <w:tcW w:w="3885" w:type="dxa"/>
            <w:vAlign w:val="top"/>
          </w:tcPr>
          <w:p w14:paraId="5AD505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3C64A9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7B548A62">
            <w:pPr>
              <w:pStyle w:val="131"/>
              <w:keepNext w:val="0"/>
              <w:keepLines w:val="0"/>
              <w:pageBreakBefore w:val="0"/>
              <w:widowControl w:val="0"/>
              <w:kinsoku/>
              <w:wordWrap/>
              <w:overflowPunct/>
              <w:topLinePunct w:val="0"/>
              <w:autoSpaceDE/>
              <w:autoSpaceDN/>
              <w:bidi w:val="0"/>
              <w:adjustRightInd/>
              <w:snapToGrid/>
              <w:spacing w:line="500" w:lineRule="exact"/>
              <w:ind w:left="11" w:right="1" w:firstLine="3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目视、检查文档记录，每一</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项不符合要求扣</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2"/>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分；工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作记录不完整每发现一次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扣</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
                <w:sz w:val="21"/>
                <w:szCs w:val="21"/>
                <w:highlight w:val="none"/>
              </w:rPr>
              <w:t>分</w:t>
            </w:r>
          </w:p>
        </w:tc>
        <w:tc>
          <w:tcPr>
            <w:tcW w:w="915" w:type="dxa"/>
            <w:vAlign w:val="top"/>
          </w:tcPr>
          <w:p w14:paraId="1A4C79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18B35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jc w:val="center"/>
        </w:trPr>
        <w:tc>
          <w:tcPr>
            <w:tcW w:w="4620" w:type="dxa"/>
            <w:vAlign w:val="top"/>
          </w:tcPr>
          <w:p w14:paraId="71628C1B">
            <w:pPr>
              <w:pStyle w:val="131"/>
              <w:keepNext w:val="0"/>
              <w:keepLines w:val="0"/>
              <w:pageBreakBefore w:val="0"/>
              <w:widowControl w:val="0"/>
              <w:kinsoku/>
              <w:wordWrap/>
              <w:overflowPunct/>
              <w:topLinePunct w:val="0"/>
              <w:autoSpaceDE/>
              <w:autoSpaceDN/>
              <w:bidi w:val="0"/>
              <w:adjustRightInd/>
              <w:snapToGrid/>
              <w:spacing w:line="500" w:lineRule="exact"/>
              <w:ind w:left="12" w:firstLine="41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29.物业服务区域内机动、非机动车辆行驶、停</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
                <w:sz w:val="21"/>
                <w:szCs w:val="21"/>
                <w:highlight w:val="none"/>
              </w:rPr>
              <w:t>放有序，管理规范；交通安全警示标志齐全、醒目。</w:t>
            </w:r>
          </w:p>
        </w:tc>
        <w:tc>
          <w:tcPr>
            <w:tcW w:w="840" w:type="dxa"/>
            <w:vAlign w:val="top"/>
          </w:tcPr>
          <w:p w14:paraId="03B13FC8">
            <w:pPr>
              <w:pStyle w:val="131"/>
              <w:keepNext w:val="0"/>
              <w:keepLines w:val="0"/>
              <w:pageBreakBefore w:val="0"/>
              <w:widowControl w:val="0"/>
              <w:kinsoku/>
              <w:wordWrap/>
              <w:overflowPunct/>
              <w:topLinePunct w:val="0"/>
              <w:autoSpaceDE/>
              <w:autoSpaceDN/>
              <w:bidi w:val="0"/>
              <w:adjustRightInd/>
              <w:snapToGrid/>
              <w:spacing w:line="500" w:lineRule="exact"/>
              <w:ind w:left="438"/>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5</w:t>
            </w:r>
          </w:p>
        </w:tc>
        <w:tc>
          <w:tcPr>
            <w:tcW w:w="3885" w:type="dxa"/>
            <w:vAlign w:val="top"/>
          </w:tcPr>
          <w:p w14:paraId="0A234614">
            <w:pPr>
              <w:pStyle w:val="131"/>
              <w:keepNext w:val="0"/>
              <w:keepLines w:val="0"/>
              <w:pageBreakBefore w:val="0"/>
              <w:widowControl w:val="0"/>
              <w:kinsoku/>
              <w:wordWrap/>
              <w:overflowPunct/>
              <w:topLinePunct w:val="0"/>
              <w:autoSpaceDE/>
              <w:autoSpaceDN/>
              <w:bidi w:val="0"/>
              <w:adjustRightInd/>
              <w:snapToGrid/>
              <w:spacing w:line="500" w:lineRule="exact"/>
              <w:ind w:left="11" w:right="1" w:firstLine="3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目视、文档记录检查，每一</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项不符合要求扣</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2"/>
                <w:sz w:val="21"/>
                <w:szCs w:val="21"/>
                <w:highlight w:val="none"/>
              </w:rPr>
              <w:t>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2"/>
                <w:sz w:val="21"/>
                <w:szCs w:val="21"/>
                <w:highlight w:val="none"/>
              </w:rPr>
              <w:t>分；工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作记录不规范每项扣</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6"/>
                <w:sz w:val="21"/>
                <w:szCs w:val="21"/>
                <w:highlight w:val="none"/>
              </w:rPr>
              <w:t>0.2</w:t>
            </w:r>
          </w:p>
          <w:p w14:paraId="4CCC74FF">
            <w:pPr>
              <w:pStyle w:val="131"/>
              <w:keepNext w:val="0"/>
              <w:keepLines w:val="0"/>
              <w:pageBreakBefore w:val="0"/>
              <w:widowControl w:val="0"/>
              <w:kinsoku/>
              <w:wordWrap/>
              <w:overflowPunct/>
              <w:topLinePunct w:val="0"/>
              <w:autoSpaceDE/>
              <w:autoSpaceDN/>
              <w:bidi w:val="0"/>
              <w:adjustRightInd/>
              <w:snapToGrid/>
              <w:spacing w:line="500" w:lineRule="exact"/>
              <w:ind w:left="1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c>
          <w:tcPr>
            <w:tcW w:w="915" w:type="dxa"/>
            <w:vAlign w:val="top"/>
          </w:tcPr>
          <w:p w14:paraId="67D4B4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r w14:paraId="39CB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4620" w:type="dxa"/>
            <w:vAlign w:val="top"/>
          </w:tcPr>
          <w:p w14:paraId="3B0B0357">
            <w:pPr>
              <w:pStyle w:val="131"/>
              <w:keepNext w:val="0"/>
              <w:keepLines w:val="0"/>
              <w:pageBreakBefore w:val="0"/>
              <w:widowControl w:val="0"/>
              <w:kinsoku/>
              <w:wordWrap/>
              <w:overflowPunct/>
              <w:topLinePunct w:val="0"/>
              <w:autoSpaceDE/>
              <w:autoSpaceDN/>
              <w:bidi w:val="0"/>
              <w:adjustRightInd/>
              <w:snapToGrid/>
              <w:spacing w:line="500" w:lineRule="exact"/>
              <w:ind w:left="201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计</w:t>
            </w:r>
          </w:p>
        </w:tc>
        <w:tc>
          <w:tcPr>
            <w:tcW w:w="840" w:type="dxa"/>
            <w:vAlign w:val="top"/>
          </w:tcPr>
          <w:p w14:paraId="6FEC67FB">
            <w:pPr>
              <w:pStyle w:val="131"/>
              <w:keepNext w:val="0"/>
              <w:keepLines w:val="0"/>
              <w:pageBreakBefore w:val="0"/>
              <w:widowControl w:val="0"/>
              <w:kinsoku/>
              <w:wordWrap/>
              <w:overflowPunct/>
              <w:topLinePunct w:val="0"/>
              <w:autoSpaceDE/>
              <w:autoSpaceDN/>
              <w:bidi w:val="0"/>
              <w:adjustRightInd/>
              <w:snapToGrid/>
              <w:spacing w:line="500" w:lineRule="exact"/>
              <w:ind w:left="34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position w:val="1"/>
                <w:sz w:val="21"/>
                <w:szCs w:val="21"/>
                <w:highlight w:val="none"/>
              </w:rPr>
              <w:t>100</w:t>
            </w:r>
          </w:p>
        </w:tc>
        <w:tc>
          <w:tcPr>
            <w:tcW w:w="3885" w:type="dxa"/>
            <w:vAlign w:val="top"/>
          </w:tcPr>
          <w:p w14:paraId="4BCA95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915" w:type="dxa"/>
            <w:vAlign w:val="top"/>
          </w:tcPr>
          <w:p w14:paraId="5CF45A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r>
    </w:tbl>
    <w:p w14:paraId="253D6AED">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Times New Roman" w:eastAsia="宋体" w:cs="Times New Roman"/>
          <w:b/>
          <w:color w:val="auto"/>
          <w:sz w:val="24"/>
          <w:szCs w:val="24"/>
          <w:highlight w:val="none"/>
          <w:lang w:val="en-US" w:eastAsia="zh-CN"/>
        </w:rPr>
      </w:pPr>
      <w:r>
        <w:rPr>
          <w:rFonts w:hint="eastAsia" w:ascii="宋体" w:hAnsi="宋体" w:eastAsia="宋体" w:cs="宋体"/>
          <w:color w:val="auto"/>
          <w:szCs w:val="21"/>
          <w:highlight w:val="none"/>
          <w:lang w:val="en-US" w:eastAsia="zh-CN"/>
        </w:rPr>
        <w:t>说明：按照以上考核标准，每年年终、季度、不定期考核物业管理公司。如果物业管理 公司经考核低于 60 分或季度考核平均分低于 60 分或不定期考核平均分低于60 分，招标人 有权终止服务，不再续签合同。因考核不合格终止服务，不再续签合同的，履约保证金一个 月内减半无息退还，剩余保证金作为违约金不再退还。</w:t>
      </w:r>
    </w:p>
    <w:p w14:paraId="54F7D197">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jc w:val="both"/>
        <w:textAlignment w:val="auto"/>
        <w:outlineLvl w:val="1"/>
        <w:rPr>
          <w:rFonts w:hint="eastAsia" w:ascii="宋体" w:hAnsi="Times New Roman" w:eastAsia="宋体" w:cs="Times New Roman"/>
          <w:b/>
          <w:color w:val="auto"/>
          <w:sz w:val="24"/>
          <w:szCs w:val="24"/>
          <w:highlight w:val="none"/>
          <w:lang w:val="en-US" w:eastAsia="zh-CN"/>
        </w:rPr>
      </w:pPr>
      <w:r>
        <w:rPr>
          <w:rFonts w:hint="eastAsia" w:ascii="宋体" w:hAnsi="Times New Roman" w:eastAsia="宋体" w:cs="Times New Roman"/>
          <w:b/>
          <w:color w:val="auto"/>
          <w:sz w:val="24"/>
          <w:szCs w:val="24"/>
          <w:highlight w:val="none"/>
          <w:lang w:val="en-US" w:eastAsia="zh-CN"/>
        </w:rPr>
        <w:t>八、物业管理服务要求</w:t>
      </w:r>
    </w:p>
    <w:tbl>
      <w:tblPr>
        <w:tblStyle w:val="130"/>
        <w:tblW w:w="100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1"/>
        <w:gridCol w:w="1182"/>
        <w:gridCol w:w="1072"/>
        <w:gridCol w:w="1460"/>
        <w:gridCol w:w="5206"/>
      </w:tblGrid>
      <w:tr w14:paraId="59C3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jc w:val="center"/>
        </w:trPr>
        <w:tc>
          <w:tcPr>
            <w:tcW w:w="1141" w:type="dxa"/>
            <w:shd w:val="clear" w:color="auto" w:fill="C0C0C0"/>
            <w:vAlign w:val="top"/>
          </w:tcPr>
          <w:p w14:paraId="75263219">
            <w:pPr>
              <w:spacing w:before="221" w:line="229" w:lineRule="auto"/>
              <w:ind w:left="145"/>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服务级别</w:t>
            </w:r>
          </w:p>
        </w:tc>
        <w:tc>
          <w:tcPr>
            <w:tcW w:w="1182" w:type="dxa"/>
            <w:shd w:val="clear" w:color="auto" w:fill="C0C0C0"/>
            <w:vAlign w:val="top"/>
          </w:tcPr>
          <w:p w14:paraId="504C9361">
            <w:pPr>
              <w:spacing w:before="221" w:line="229" w:lineRule="auto"/>
              <w:ind w:left="164"/>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服务项目</w:t>
            </w:r>
          </w:p>
        </w:tc>
        <w:tc>
          <w:tcPr>
            <w:tcW w:w="1072" w:type="dxa"/>
            <w:shd w:val="clear" w:color="auto" w:fill="C0C0C0"/>
            <w:vAlign w:val="top"/>
          </w:tcPr>
          <w:p w14:paraId="176CA3CB">
            <w:pPr>
              <w:spacing w:before="221" w:line="231" w:lineRule="auto"/>
              <w:ind w:left="322"/>
              <w:rPr>
                <w:rFonts w:ascii="黑体" w:hAnsi="黑体" w:eastAsia="黑体" w:cs="黑体"/>
                <w:color w:val="auto"/>
                <w:sz w:val="20"/>
                <w:szCs w:val="20"/>
                <w:highlight w:val="none"/>
              </w:rPr>
            </w:pPr>
            <w:r>
              <w:rPr>
                <w:rFonts w:ascii="黑体" w:hAnsi="黑体" w:eastAsia="黑体" w:cs="黑体"/>
                <w:b/>
                <w:bCs/>
                <w:color w:val="auto"/>
                <w:spacing w:val="3"/>
                <w:sz w:val="20"/>
                <w:szCs w:val="20"/>
                <w:highlight w:val="none"/>
              </w:rPr>
              <w:t>序号</w:t>
            </w:r>
          </w:p>
        </w:tc>
        <w:tc>
          <w:tcPr>
            <w:tcW w:w="1460" w:type="dxa"/>
            <w:shd w:val="clear" w:color="auto" w:fill="C0C0C0"/>
            <w:vAlign w:val="top"/>
          </w:tcPr>
          <w:p w14:paraId="250F78C2">
            <w:pPr>
              <w:spacing w:before="220" w:line="231" w:lineRule="auto"/>
              <w:ind w:left="532"/>
              <w:rPr>
                <w:rFonts w:ascii="黑体" w:hAnsi="黑体" w:eastAsia="黑体" w:cs="黑体"/>
                <w:color w:val="auto"/>
                <w:sz w:val="20"/>
                <w:szCs w:val="20"/>
                <w:highlight w:val="none"/>
              </w:rPr>
            </w:pPr>
            <w:r>
              <w:rPr>
                <w:rFonts w:ascii="黑体" w:hAnsi="黑体" w:eastAsia="黑体" w:cs="黑体"/>
                <w:b/>
                <w:bCs/>
                <w:color w:val="auto"/>
                <w:spacing w:val="-3"/>
                <w:sz w:val="20"/>
                <w:szCs w:val="20"/>
                <w:highlight w:val="none"/>
              </w:rPr>
              <w:t>内容</w:t>
            </w:r>
          </w:p>
        </w:tc>
        <w:tc>
          <w:tcPr>
            <w:tcW w:w="5206" w:type="dxa"/>
            <w:shd w:val="clear" w:color="auto" w:fill="C0C0C0"/>
            <w:vAlign w:val="top"/>
          </w:tcPr>
          <w:p w14:paraId="5B0E7BBD">
            <w:pPr>
              <w:spacing w:before="221" w:line="229" w:lineRule="auto"/>
              <w:ind w:left="2178"/>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服务标准</w:t>
            </w:r>
          </w:p>
        </w:tc>
      </w:tr>
      <w:tr w14:paraId="1CFE2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jc w:val="center"/>
        </w:trPr>
        <w:tc>
          <w:tcPr>
            <w:tcW w:w="1141" w:type="dxa"/>
            <w:vAlign w:val="top"/>
          </w:tcPr>
          <w:p w14:paraId="009DDE04">
            <w:pPr>
              <w:pStyle w:val="131"/>
              <w:spacing w:before="188" w:line="228" w:lineRule="auto"/>
              <w:ind w:left="53"/>
              <w:rPr>
                <w:color w:val="auto"/>
                <w:highlight w:val="none"/>
              </w:rPr>
            </w:pPr>
            <w:r>
              <w:rPr>
                <w:color w:val="auto"/>
                <w:spacing w:val="6"/>
                <w:highlight w:val="none"/>
              </w:rPr>
              <w:t>（一）综合</w:t>
            </w:r>
          </w:p>
          <w:p w14:paraId="44353E24">
            <w:pPr>
              <w:pStyle w:val="131"/>
              <w:spacing w:before="193" w:line="228" w:lineRule="auto"/>
              <w:ind w:left="48"/>
              <w:rPr>
                <w:color w:val="auto"/>
                <w:highlight w:val="none"/>
              </w:rPr>
            </w:pPr>
            <w:r>
              <w:rPr>
                <w:color w:val="auto"/>
                <w:spacing w:val="7"/>
                <w:highlight w:val="none"/>
              </w:rPr>
              <w:t>管理服务标</w:t>
            </w:r>
          </w:p>
        </w:tc>
        <w:tc>
          <w:tcPr>
            <w:tcW w:w="1182" w:type="dxa"/>
            <w:vAlign w:val="top"/>
          </w:tcPr>
          <w:p w14:paraId="03C26AA9">
            <w:pPr>
              <w:spacing w:line="341" w:lineRule="auto"/>
              <w:rPr>
                <w:rFonts w:ascii="Arial"/>
                <w:color w:val="auto"/>
                <w:sz w:val="21"/>
                <w:highlight w:val="none"/>
              </w:rPr>
            </w:pPr>
          </w:p>
          <w:p w14:paraId="41536D33">
            <w:pPr>
              <w:pStyle w:val="131"/>
              <w:spacing w:before="65" w:line="227" w:lineRule="auto"/>
              <w:ind w:left="166"/>
              <w:rPr>
                <w:color w:val="auto"/>
                <w:highlight w:val="none"/>
              </w:rPr>
            </w:pPr>
            <w:r>
              <w:rPr>
                <w:color w:val="auto"/>
                <w:spacing w:val="7"/>
                <w:highlight w:val="none"/>
              </w:rPr>
              <w:t>机构设置</w:t>
            </w:r>
          </w:p>
        </w:tc>
        <w:tc>
          <w:tcPr>
            <w:tcW w:w="1072" w:type="dxa"/>
            <w:vAlign w:val="top"/>
          </w:tcPr>
          <w:p w14:paraId="51D1752D">
            <w:pPr>
              <w:spacing w:line="341" w:lineRule="auto"/>
              <w:rPr>
                <w:rFonts w:ascii="Arial"/>
                <w:color w:val="auto"/>
                <w:sz w:val="21"/>
                <w:highlight w:val="none"/>
              </w:rPr>
            </w:pPr>
          </w:p>
          <w:p w14:paraId="71333159">
            <w:pPr>
              <w:pStyle w:val="131"/>
              <w:spacing w:before="65" w:line="270" w:lineRule="exact"/>
              <w:ind w:left="496"/>
              <w:rPr>
                <w:color w:val="auto"/>
                <w:highlight w:val="none"/>
              </w:rPr>
            </w:pPr>
            <w:r>
              <w:rPr>
                <w:color w:val="auto"/>
                <w:position w:val="1"/>
                <w:highlight w:val="none"/>
              </w:rPr>
              <w:t>1</w:t>
            </w:r>
          </w:p>
        </w:tc>
        <w:tc>
          <w:tcPr>
            <w:tcW w:w="1460" w:type="dxa"/>
            <w:vAlign w:val="top"/>
          </w:tcPr>
          <w:p w14:paraId="003C437C">
            <w:pPr>
              <w:spacing w:line="341" w:lineRule="auto"/>
              <w:rPr>
                <w:rFonts w:ascii="Arial"/>
                <w:color w:val="auto"/>
                <w:sz w:val="21"/>
                <w:highlight w:val="none"/>
              </w:rPr>
            </w:pPr>
          </w:p>
          <w:p w14:paraId="36456340">
            <w:pPr>
              <w:pStyle w:val="131"/>
              <w:spacing w:before="65" w:line="228" w:lineRule="auto"/>
              <w:ind w:left="210"/>
              <w:rPr>
                <w:color w:val="auto"/>
                <w:highlight w:val="none"/>
              </w:rPr>
            </w:pPr>
            <w:r>
              <w:rPr>
                <w:color w:val="auto"/>
                <w:spacing w:val="7"/>
                <w:highlight w:val="none"/>
              </w:rPr>
              <w:t>管理处设置</w:t>
            </w:r>
          </w:p>
        </w:tc>
        <w:tc>
          <w:tcPr>
            <w:tcW w:w="5206" w:type="dxa"/>
            <w:vAlign w:val="top"/>
          </w:tcPr>
          <w:p w14:paraId="6A83A980">
            <w:pPr>
              <w:pStyle w:val="131"/>
              <w:spacing w:before="187" w:line="228" w:lineRule="auto"/>
              <w:ind w:left="25"/>
              <w:rPr>
                <w:color w:val="auto"/>
                <w:highlight w:val="none"/>
              </w:rPr>
            </w:pPr>
            <w:r>
              <w:rPr>
                <w:color w:val="auto"/>
                <w:spacing w:val="7"/>
                <w:highlight w:val="none"/>
              </w:rPr>
              <w:t>（1）小区内设置管理处。</w:t>
            </w:r>
          </w:p>
          <w:p w14:paraId="466C957F">
            <w:pPr>
              <w:pStyle w:val="131"/>
              <w:spacing w:before="194" w:line="228" w:lineRule="auto"/>
              <w:ind w:left="25"/>
              <w:rPr>
                <w:color w:val="auto"/>
                <w:highlight w:val="none"/>
              </w:rPr>
            </w:pPr>
            <w:r>
              <w:rPr>
                <w:color w:val="auto"/>
                <w:spacing w:val="6"/>
                <w:highlight w:val="none"/>
              </w:rPr>
              <w:t>（2）配置办公家具、</w:t>
            </w:r>
            <w:r>
              <w:rPr>
                <w:color w:val="auto"/>
                <w:spacing w:val="-51"/>
                <w:highlight w:val="none"/>
              </w:rPr>
              <w:t xml:space="preserve"> </w:t>
            </w:r>
            <w:r>
              <w:rPr>
                <w:color w:val="auto"/>
                <w:spacing w:val="6"/>
                <w:highlight w:val="none"/>
              </w:rPr>
              <w:t>电话等一般的办公设备。</w:t>
            </w:r>
          </w:p>
        </w:tc>
      </w:tr>
      <w:tr w14:paraId="3A67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7" w:hRule="atLeast"/>
          <w:jc w:val="center"/>
        </w:trPr>
        <w:tc>
          <w:tcPr>
            <w:tcW w:w="1141" w:type="dxa"/>
            <w:vMerge w:val="restart"/>
            <w:tcBorders>
              <w:bottom w:val="nil"/>
            </w:tcBorders>
            <w:vAlign w:val="top"/>
          </w:tcPr>
          <w:p w14:paraId="5F5ABDDC">
            <w:pPr>
              <w:pStyle w:val="131"/>
              <w:spacing w:before="192" w:line="229" w:lineRule="auto"/>
              <w:ind w:left="465"/>
              <w:rPr>
                <w:color w:val="auto"/>
                <w:highlight w:val="none"/>
              </w:rPr>
            </w:pPr>
            <w:r>
              <w:rPr>
                <w:color w:val="auto"/>
                <w:highlight w:val="none"/>
              </w:rPr>
              <w:t>准</w:t>
            </w:r>
          </w:p>
        </w:tc>
        <w:tc>
          <w:tcPr>
            <w:tcW w:w="1182" w:type="dxa"/>
            <w:vMerge w:val="restart"/>
            <w:tcBorders>
              <w:bottom w:val="nil"/>
            </w:tcBorders>
            <w:vAlign w:val="top"/>
          </w:tcPr>
          <w:p w14:paraId="147F63E0">
            <w:pPr>
              <w:rPr>
                <w:rFonts w:ascii="Arial"/>
                <w:color w:val="auto"/>
                <w:sz w:val="21"/>
                <w:highlight w:val="none"/>
              </w:rPr>
            </w:pPr>
          </w:p>
        </w:tc>
        <w:tc>
          <w:tcPr>
            <w:tcW w:w="1072" w:type="dxa"/>
            <w:vAlign w:val="top"/>
          </w:tcPr>
          <w:p w14:paraId="3FE5439F">
            <w:pPr>
              <w:spacing w:line="243" w:lineRule="auto"/>
              <w:rPr>
                <w:rFonts w:ascii="Arial"/>
                <w:color w:val="auto"/>
                <w:sz w:val="21"/>
                <w:highlight w:val="none"/>
              </w:rPr>
            </w:pPr>
          </w:p>
          <w:p w14:paraId="2CF33640">
            <w:pPr>
              <w:spacing w:line="244" w:lineRule="auto"/>
              <w:rPr>
                <w:rFonts w:ascii="Arial"/>
                <w:color w:val="auto"/>
                <w:sz w:val="21"/>
                <w:highlight w:val="none"/>
              </w:rPr>
            </w:pPr>
          </w:p>
          <w:p w14:paraId="549BE36C">
            <w:pPr>
              <w:spacing w:line="244" w:lineRule="auto"/>
              <w:rPr>
                <w:rFonts w:ascii="Arial"/>
                <w:color w:val="auto"/>
                <w:sz w:val="21"/>
                <w:highlight w:val="none"/>
              </w:rPr>
            </w:pPr>
          </w:p>
          <w:p w14:paraId="7CCBD062">
            <w:pPr>
              <w:spacing w:line="244" w:lineRule="auto"/>
              <w:rPr>
                <w:rFonts w:ascii="Arial"/>
                <w:color w:val="auto"/>
                <w:sz w:val="21"/>
                <w:highlight w:val="none"/>
              </w:rPr>
            </w:pPr>
          </w:p>
          <w:p w14:paraId="52E8A11B">
            <w:pPr>
              <w:spacing w:line="244" w:lineRule="auto"/>
              <w:rPr>
                <w:rFonts w:ascii="Arial"/>
                <w:color w:val="auto"/>
                <w:sz w:val="21"/>
                <w:highlight w:val="none"/>
              </w:rPr>
            </w:pPr>
          </w:p>
          <w:p w14:paraId="422BBC17">
            <w:pPr>
              <w:pStyle w:val="131"/>
              <w:spacing w:before="65" w:line="270" w:lineRule="exact"/>
              <w:ind w:left="483"/>
              <w:rPr>
                <w:color w:val="auto"/>
                <w:highlight w:val="none"/>
              </w:rPr>
            </w:pPr>
            <w:r>
              <w:rPr>
                <w:color w:val="auto"/>
                <w:position w:val="1"/>
                <w:highlight w:val="none"/>
              </w:rPr>
              <w:t>2</w:t>
            </w:r>
          </w:p>
        </w:tc>
        <w:tc>
          <w:tcPr>
            <w:tcW w:w="1460" w:type="dxa"/>
            <w:vAlign w:val="top"/>
          </w:tcPr>
          <w:p w14:paraId="790F46DD">
            <w:pPr>
              <w:spacing w:line="243" w:lineRule="auto"/>
              <w:rPr>
                <w:rFonts w:ascii="Arial"/>
                <w:color w:val="auto"/>
                <w:sz w:val="21"/>
                <w:highlight w:val="none"/>
              </w:rPr>
            </w:pPr>
          </w:p>
          <w:p w14:paraId="235965EF">
            <w:pPr>
              <w:spacing w:line="244" w:lineRule="auto"/>
              <w:rPr>
                <w:rFonts w:ascii="Arial"/>
                <w:color w:val="auto"/>
                <w:sz w:val="21"/>
                <w:highlight w:val="none"/>
              </w:rPr>
            </w:pPr>
          </w:p>
          <w:p w14:paraId="3A6BD8AD">
            <w:pPr>
              <w:spacing w:line="244" w:lineRule="auto"/>
              <w:rPr>
                <w:rFonts w:ascii="Arial"/>
                <w:color w:val="auto"/>
                <w:sz w:val="21"/>
                <w:highlight w:val="none"/>
              </w:rPr>
            </w:pPr>
          </w:p>
          <w:p w14:paraId="208E0D11">
            <w:pPr>
              <w:spacing w:line="244" w:lineRule="auto"/>
              <w:rPr>
                <w:rFonts w:ascii="Arial"/>
                <w:color w:val="auto"/>
                <w:sz w:val="21"/>
                <w:highlight w:val="none"/>
              </w:rPr>
            </w:pPr>
          </w:p>
          <w:p w14:paraId="3D1AC303">
            <w:pPr>
              <w:spacing w:line="244" w:lineRule="auto"/>
              <w:rPr>
                <w:rFonts w:ascii="Arial"/>
                <w:color w:val="auto"/>
                <w:sz w:val="21"/>
                <w:highlight w:val="none"/>
              </w:rPr>
            </w:pPr>
          </w:p>
          <w:p w14:paraId="59458F59">
            <w:pPr>
              <w:pStyle w:val="131"/>
              <w:spacing w:before="65" w:line="229" w:lineRule="auto"/>
              <w:ind w:left="310"/>
              <w:rPr>
                <w:color w:val="auto"/>
                <w:highlight w:val="none"/>
              </w:rPr>
            </w:pPr>
            <w:r>
              <w:rPr>
                <w:color w:val="auto"/>
                <w:spacing w:val="6"/>
                <w:highlight w:val="none"/>
              </w:rPr>
              <w:t>人员要求</w:t>
            </w:r>
          </w:p>
        </w:tc>
        <w:tc>
          <w:tcPr>
            <w:tcW w:w="5206" w:type="dxa"/>
            <w:vAlign w:val="top"/>
          </w:tcPr>
          <w:p w14:paraId="5B98D327">
            <w:pPr>
              <w:pStyle w:val="131"/>
              <w:spacing w:before="192" w:line="317" w:lineRule="auto"/>
              <w:ind w:left="15" w:right="9" w:firstLine="9"/>
              <w:rPr>
                <w:color w:val="auto"/>
                <w:highlight w:val="none"/>
              </w:rPr>
            </w:pPr>
            <w:r>
              <w:rPr>
                <w:color w:val="auto"/>
                <w:spacing w:val="6"/>
                <w:highlight w:val="none"/>
              </w:rPr>
              <w:t>（1）小区经理有中专以上学历及 2 年以</w:t>
            </w:r>
            <w:r>
              <w:rPr>
                <w:color w:val="auto"/>
                <w:spacing w:val="5"/>
                <w:highlight w:val="none"/>
              </w:rPr>
              <w:t>上的物业管理工</w:t>
            </w:r>
            <w:r>
              <w:rPr>
                <w:color w:val="auto"/>
                <w:highlight w:val="none"/>
              </w:rPr>
              <w:t xml:space="preserve"> </w:t>
            </w:r>
            <w:r>
              <w:rPr>
                <w:color w:val="auto"/>
                <w:spacing w:val="4"/>
                <w:highlight w:val="none"/>
              </w:rPr>
              <w:t>作经历。</w:t>
            </w:r>
          </w:p>
          <w:p w14:paraId="6FE984E0">
            <w:pPr>
              <w:pStyle w:val="131"/>
              <w:spacing w:before="191" w:line="318" w:lineRule="auto"/>
              <w:ind w:left="14" w:right="38" w:firstLine="10"/>
              <w:rPr>
                <w:color w:val="auto"/>
                <w:highlight w:val="none"/>
              </w:rPr>
            </w:pPr>
            <w:r>
              <w:rPr>
                <w:color w:val="auto"/>
                <w:spacing w:val="9"/>
                <w:highlight w:val="none"/>
              </w:rPr>
              <w:t>（2）小区经理和管理人员有经从业资格培训获取的上岗</w:t>
            </w:r>
            <w:r>
              <w:rPr>
                <w:color w:val="auto"/>
                <w:spacing w:val="1"/>
                <w:highlight w:val="none"/>
              </w:rPr>
              <w:t xml:space="preserve"> </w:t>
            </w:r>
            <w:r>
              <w:rPr>
                <w:color w:val="auto"/>
                <w:spacing w:val="8"/>
                <w:highlight w:val="none"/>
              </w:rPr>
              <w:t>证，统一着装，挂牌上岗，仪表整洁。</w:t>
            </w:r>
          </w:p>
          <w:p w14:paraId="4B1D3C0E">
            <w:pPr>
              <w:pStyle w:val="131"/>
              <w:spacing w:before="191" w:line="317" w:lineRule="auto"/>
              <w:ind w:left="15" w:right="9" w:firstLine="9"/>
              <w:rPr>
                <w:color w:val="auto"/>
                <w:highlight w:val="none"/>
              </w:rPr>
            </w:pPr>
            <w:r>
              <w:rPr>
                <w:color w:val="auto"/>
                <w:spacing w:val="7"/>
                <w:highlight w:val="none"/>
              </w:rPr>
              <w:t>（3）小区技术作业人员按照有关规定取得岗</w:t>
            </w:r>
            <w:r>
              <w:rPr>
                <w:color w:val="auto"/>
                <w:spacing w:val="6"/>
                <w:highlight w:val="none"/>
              </w:rPr>
              <w:t>位证书，</w:t>
            </w:r>
            <w:r>
              <w:rPr>
                <w:color w:val="auto"/>
                <w:spacing w:val="-15"/>
                <w:highlight w:val="none"/>
              </w:rPr>
              <w:t xml:space="preserve"> </w:t>
            </w:r>
            <w:r>
              <w:rPr>
                <w:color w:val="auto"/>
                <w:spacing w:val="6"/>
                <w:highlight w:val="none"/>
              </w:rPr>
              <w:t>挂</w:t>
            </w:r>
            <w:r>
              <w:rPr>
                <w:color w:val="auto"/>
                <w:highlight w:val="none"/>
              </w:rPr>
              <w:t xml:space="preserve"> </w:t>
            </w:r>
            <w:r>
              <w:rPr>
                <w:color w:val="auto"/>
                <w:spacing w:val="4"/>
                <w:highlight w:val="none"/>
              </w:rPr>
              <w:t>牌上岗。</w:t>
            </w:r>
          </w:p>
        </w:tc>
      </w:tr>
      <w:tr w14:paraId="46229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41" w:type="dxa"/>
            <w:vMerge w:val="continue"/>
            <w:tcBorders>
              <w:top w:val="nil"/>
              <w:bottom w:val="nil"/>
            </w:tcBorders>
            <w:vAlign w:val="top"/>
          </w:tcPr>
          <w:p w14:paraId="0C5AB1D9">
            <w:pPr>
              <w:rPr>
                <w:rFonts w:ascii="Arial"/>
                <w:color w:val="auto"/>
                <w:sz w:val="21"/>
                <w:highlight w:val="none"/>
              </w:rPr>
            </w:pPr>
          </w:p>
        </w:tc>
        <w:tc>
          <w:tcPr>
            <w:tcW w:w="1182" w:type="dxa"/>
            <w:vMerge w:val="continue"/>
            <w:tcBorders>
              <w:top w:val="nil"/>
            </w:tcBorders>
            <w:vAlign w:val="top"/>
          </w:tcPr>
          <w:p w14:paraId="7E01D7F7">
            <w:pPr>
              <w:rPr>
                <w:rFonts w:ascii="Arial"/>
                <w:color w:val="auto"/>
                <w:sz w:val="21"/>
                <w:highlight w:val="none"/>
              </w:rPr>
            </w:pPr>
          </w:p>
        </w:tc>
        <w:tc>
          <w:tcPr>
            <w:tcW w:w="1072" w:type="dxa"/>
            <w:vAlign w:val="top"/>
          </w:tcPr>
          <w:p w14:paraId="36EFC535">
            <w:pPr>
              <w:pStyle w:val="131"/>
              <w:spacing w:before="184" w:line="265" w:lineRule="exact"/>
              <w:ind w:left="484"/>
              <w:rPr>
                <w:color w:val="auto"/>
                <w:highlight w:val="none"/>
              </w:rPr>
            </w:pPr>
            <w:r>
              <w:rPr>
                <w:color w:val="auto"/>
                <w:position w:val="1"/>
                <w:highlight w:val="none"/>
              </w:rPr>
              <w:t>3</w:t>
            </w:r>
          </w:p>
        </w:tc>
        <w:tc>
          <w:tcPr>
            <w:tcW w:w="1460" w:type="dxa"/>
            <w:vAlign w:val="top"/>
          </w:tcPr>
          <w:p w14:paraId="135A1A36">
            <w:pPr>
              <w:pStyle w:val="131"/>
              <w:spacing w:before="184" w:line="228" w:lineRule="auto"/>
              <w:ind w:left="308"/>
              <w:rPr>
                <w:color w:val="auto"/>
                <w:highlight w:val="none"/>
              </w:rPr>
            </w:pPr>
            <w:r>
              <w:rPr>
                <w:color w:val="auto"/>
                <w:spacing w:val="7"/>
                <w:highlight w:val="none"/>
              </w:rPr>
              <w:t>服务时间</w:t>
            </w:r>
          </w:p>
        </w:tc>
        <w:tc>
          <w:tcPr>
            <w:tcW w:w="5206" w:type="dxa"/>
            <w:vAlign w:val="top"/>
          </w:tcPr>
          <w:p w14:paraId="1C5D2739">
            <w:pPr>
              <w:pStyle w:val="131"/>
              <w:spacing w:before="184" w:line="227" w:lineRule="auto"/>
              <w:ind w:left="15"/>
              <w:rPr>
                <w:color w:val="auto"/>
                <w:highlight w:val="none"/>
              </w:rPr>
            </w:pPr>
            <w:r>
              <w:rPr>
                <w:color w:val="auto"/>
                <w:spacing w:val="9"/>
                <w:highlight w:val="none"/>
              </w:rPr>
              <w:t>周一至周日在小区管理处进行业务接待并提供服务。</w:t>
            </w:r>
          </w:p>
        </w:tc>
      </w:tr>
      <w:tr w14:paraId="121C7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7BB9C451">
            <w:pPr>
              <w:rPr>
                <w:rFonts w:ascii="Arial"/>
                <w:color w:val="auto"/>
                <w:sz w:val="21"/>
                <w:highlight w:val="none"/>
              </w:rPr>
            </w:pPr>
          </w:p>
        </w:tc>
        <w:tc>
          <w:tcPr>
            <w:tcW w:w="1182" w:type="dxa"/>
            <w:vMerge w:val="restart"/>
            <w:tcBorders>
              <w:bottom w:val="nil"/>
            </w:tcBorders>
            <w:vAlign w:val="top"/>
          </w:tcPr>
          <w:p w14:paraId="03FCCF14">
            <w:pPr>
              <w:spacing w:line="247" w:lineRule="auto"/>
              <w:rPr>
                <w:rFonts w:ascii="Arial"/>
                <w:color w:val="auto"/>
                <w:sz w:val="21"/>
                <w:highlight w:val="none"/>
              </w:rPr>
            </w:pPr>
          </w:p>
          <w:p w14:paraId="0050945C">
            <w:pPr>
              <w:spacing w:line="247" w:lineRule="auto"/>
              <w:rPr>
                <w:rFonts w:ascii="Arial"/>
                <w:color w:val="auto"/>
                <w:sz w:val="21"/>
                <w:highlight w:val="none"/>
              </w:rPr>
            </w:pPr>
          </w:p>
          <w:p w14:paraId="1D8B4837">
            <w:pPr>
              <w:spacing w:line="247" w:lineRule="auto"/>
              <w:rPr>
                <w:rFonts w:ascii="Arial"/>
                <w:color w:val="auto"/>
                <w:sz w:val="21"/>
                <w:highlight w:val="none"/>
              </w:rPr>
            </w:pPr>
          </w:p>
          <w:p w14:paraId="5EA8EB0D">
            <w:pPr>
              <w:spacing w:line="247" w:lineRule="auto"/>
              <w:rPr>
                <w:rFonts w:ascii="Arial"/>
                <w:color w:val="auto"/>
                <w:sz w:val="21"/>
                <w:highlight w:val="none"/>
              </w:rPr>
            </w:pPr>
          </w:p>
          <w:p w14:paraId="64224DFF">
            <w:pPr>
              <w:spacing w:line="247" w:lineRule="auto"/>
              <w:rPr>
                <w:rFonts w:ascii="Arial"/>
                <w:color w:val="auto"/>
                <w:sz w:val="21"/>
                <w:highlight w:val="none"/>
              </w:rPr>
            </w:pPr>
          </w:p>
          <w:p w14:paraId="18AA778C">
            <w:pPr>
              <w:spacing w:line="247" w:lineRule="auto"/>
              <w:rPr>
                <w:rFonts w:ascii="Arial"/>
                <w:color w:val="auto"/>
                <w:sz w:val="21"/>
                <w:highlight w:val="none"/>
              </w:rPr>
            </w:pPr>
          </w:p>
          <w:p w14:paraId="1D02154B">
            <w:pPr>
              <w:spacing w:line="247" w:lineRule="auto"/>
              <w:rPr>
                <w:rFonts w:ascii="Arial"/>
                <w:color w:val="auto"/>
                <w:sz w:val="21"/>
                <w:highlight w:val="none"/>
              </w:rPr>
            </w:pPr>
          </w:p>
          <w:p w14:paraId="44C1D236">
            <w:pPr>
              <w:spacing w:line="247" w:lineRule="auto"/>
              <w:rPr>
                <w:rFonts w:ascii="Arial"/>
                <w:color w:val="auto"/>
                <w:sz w:val="21"/>
                <w:highlight w:val="none"/>
              </w:rPr>
            </w:pPr>
          </w:p>
          <w:p w14:paraId="4C683B57">
            <w:pPr>
              <w:spacing w:line="247" w:lineRule="auto"/>
              <w:rPr>
                <w:rFonts w:ascii="Arial"/>
                <w:color w:val="auto"/>
                <w:sz w:val="21"/>
                <w:highlight w:val="none"/>
              </w:rPr>
            </w:pPr>
          </w:p>
          <w:p w14:paraId="15719888">
            <w:pPr>
              <w:spacing w:line="247" w:lineRule="auto"/>
              <w:rPr>
                <w:rFonts w:ascii="Arial"/>
                <w:color w:val="auto"/>
                <w:sz w:val="21"/>
                <w:highlight w:val="none"/>
              </w:rPr>
            </w:pPr>
          </w:p>
          <w:p w14:paraId="644FB48F">
            <w:pPr>
              <w:spacing w:line="247" w:lineRule="auto"/>
              <w:rPr>
                <w:rFonts w:ascii="Arial"/>
                <w:color w:val="auto"/>
                <w:sz w:val="21"/>
                <w:highlight w:val="none"/>
              </w:rPr>
            </w:pPr>
          </w:p>
          <w:p w14:paraId="445241F1">
            <w:pPr>
              <w:spacing w:line="247" w:lineRule="auto"/>
              <w:rPr>
                <w:rFonts w:ascii="Arial"/>
                <w:color w:val="auto"/>
                <w:sz w:val="21"/>
                <w:highlight w:val="none"/>
              </w:rPr>
            </w:pPr>
          </w:p>
          <w:p w14:paraId="092C915A">
            <w:pPr>
              <w:spacing w:line="247" w:lineRule="auto"/>
              <w:rPr>
                <w:rFonts w:ascii="Arial"/>
                <w:color w:val="auto"/>
                <w:sz w:val="21"/>
                <w:highlight w:val="none"/>
              </w:rPr>
            </w:pPr>
          </w:p>
          <w:p w14:paraId="441877FD">
            <w:pPr>
              <w:spacing w:line="248" w:lineRule="auto"/>
              <w:rPr>
                <w:rFonts w:ascii="Arial"/>
                <w:color w:val="auto"/>
                <w:sz w:val="21"/>
                <w:highlight w:val="none"/>
              </w:rPr>
            </w:pPr>
          </w:p>
          <w:p w14:paraId="0ADB433E">
            <w:pPr>
              <w:spacing w:line="248" w:lineRule="auto"/>
              <w:rPr>
                <w:rFonts w:ascii="Arial"/>
                <w:color w:val="auto"/>
                <w:sz w:val="21"/>
                <w:highlight w:val="none"/>
              </w:rPr>
            </w:pPr>
          </w:p>
          <w:p w14:paraId="29A560F3">
            <w:pPr>
              <w:spacing w:line="248" w:lineRule="auto"/>
              <w:rPr>
                <w:rFonts w:ascii="Arial"/>
                <w:color w:val="auto"/>
                <w:sz w:val="21"/>
                <w:highlight w:val="none"/>
              </w:rPr>
            </w:pPr>
          </w:p>
          <w:p w14:paraId="0D4A6ACC">
            <w:pPr>
              <w:spacing w:line="248" w:lineRule="auto"/>
              <w:rPr>
                <w:rFonts w:ascii="Arial"/>
                <w:color w:val="auto"/>
                <w:sz w:val="21"/>
                <w:highlight w:val="none"/>
              </w:rPr>
            </w:pPr>
          </w:p>
          <w:p w14:paraId="54820C1C">
            <w:pPr>
              <w:spacing w:line="248" w:lineRule="auto"/>
              <w:rPr>
                <w:rFonts w:ascii="Arial"/>
                <w:color w:val="auto"/>
                <w:sz w:val="21"/>
                <w:highlight w:val="none"/>
              </w:rPr>
            </w:pPr>
          </w:p>
          <w:p w14:paraId="3219D29B">
            <w:pPr>
              <w:spacing w:line="248" w:lineRule="auto"/>
              <w:rPr>
                <w:rFonts w:ascii="Arial"/>
                <w:color w:val="auto"/>
                <w:sz w:val="21"/>
                <w:highlight w:val="none"/>
              </w:rPr>
            </w:pPr>
          </w:p>
          <w:p w14:paraId="4B556080">
            <w:pPr>
              <w:spacing w:line="248" w:lineRule="auto"/>
              <w:rPr>
                <w:rFonts w:ascii="Arial"/>
                <w:color w:val="auto"/>
                <w:sz w:val="21"/>
                <w:highlight w:val="none"/>
              </w:rPr>
            </w:pPr>
          </w:p>
          <w:p w14:paraId="3E544004">
            <w:pPr>
              <w:pStyle w:val="131"/>
              <w:spacing w:before="65" w:line="409" w:lineRule="auto"/>
              <w:ind w:left="171" w:right="170" w:firstLine="31"/>
              <w:rPr>
                <w:color w:val="auto"/>
                <w:highlight w:val="none"/>
              </w:rPr>
            </w:pPr>
            <w:r>
              <w:rPr>
                <w:color w:val="auto"/>
                <w:spacing w:val="-2"/>
                <w:highlight w:val="none"/>
              </w:rPr>
              <w:t>日常管理</w:t>
            </w:r>
            <w:r>
              <w:rPr>
                <w:color w:val="auto"/>
                <w:highlight w:val="none"/>
              </w:rPr>
              <w:t xml:space="preserve"> </w:t>
            </w:r>
            <w:r>
              <w:rPr>
                <w:color w:val="auto"/>
                <w:spacing w:val="-2"/>
                <w:highlight w:val="none"/>
              </w:rPr>
              <w:t>与</w:t>
            </w:r>
            <w:r>
              <w:rPr>
                <w:color w:val="auto"/>
                <w:spacing w:val="15"/>
                <w:highlight w:val="none"/>
              </w:rPr>
              <w:t xml:space="preserve"> </w:t>
            </w:r>
            <w:r>
              <w:rPr>
                <w:color w:val="auto"/>
                <w:spacing w:val="-2"/>
                <w:highlight w:val="none"/>
              </w:rPr>
              <w:t>服</w:t>
            </w:r>
            <w:r>
              <w:rPr>
                <w:color w:val="auto"/>
                <w:spacing w:val="15"/>
                <w:highlight w:val="none"/>
              </w:rPr>
              <w:t xml:space="preserve"> </w:t>
            </w:r>
            <w:r>
              <w:rPr>
                <w:color w:val="auto"/>
                <w:spacing w:val="-2"/>
                <w:highlight w:val="none"/>
              </w:rPr>
              <w:t>务</w:t>
            </w:r>
          </w:p>
        </w:tc>
        <w:tc>
          <w:tcPr>
            <w:tcW w:w="1072" w:type="dxa"/>
            <w:vAlign w:val="top"/>
          </w:tcPr>
          <w:p w14:paraId="36B68155">
            <w:pPr>
              <w:spacing w:line="339" w:lineRule="auto"/>
              <w:rPr>
                <w:rFonts w:ascii="Arial"/>
                <w:color w:val="auto"/>
                <w:sz w:val="21"/>
                <w:highlight w:val="none"/>
              </w:rPr>
            </w:pPr>
          </w:p>
          <w:p w14:paraId="10AAF68A">
            <w:pPr>
              <w:pStyle w:val="131"/>
              <w:spacing w:before="65" w:line="270" w:lineRule="exact"/>
              <w:ind w:left="479"/>
              <w:rPr>
                <w:color w:val="auto"/>
                <w:highlight w:val="none"/>
              </w:rPr>
            </w:pPr>
            <w:r>
              <w:rPr>
                <w:color w:val="auto"/>
                <w:position w:val="1"/>
                <w:highlight w:val="none"/>
              </w:rPr>
              <w:t>4</w:t>
            </w:r>
          </w:p>
        </w:tc>
        <w:tc>
          <w:tcPr>
            <w:tcW w:w="1460" w:type="dxa"/>
            <w:vAlign w:val="top"/>
          </w:tcPr>
          <w:p w14:paraId="6BDDC1F2">
            <w:pPr>
              <w:spacing w:line="339" w:lineRule="auto"/>
              <w:rPr>
                <w:rFonts w:ascii="Arial"/>
                <w:color w:val="auto"/>
                <w:sz w:val="21"/>
                <w:highlight w:val="none"/>
              </w:rPr>
            </w:pPr>
          </w:p>
          <w:p w14:paraId="58B16083">
            <w:pPr>
              <w:pStyle w:val="131"/>
              <w:spacing w:before="65" w:line="228" w:lineRule="auto"/>
              <w:ind w:left="311"/>
              <w:rPr>
                <w:color w:val="auto"/>
                <w:highlight w:val="none"/>
              </w:rPr>
            </w:pPr>
            <w:r>
              <w:rPr>
                <w:color w:val="auto"/>
                <w:spacing w:val="6"/>
                <w:highlight w:val="none"/>
              </w:rPr>
              <w:t>工作计划</w:t>
            </w:r>
          </w:p>
        </w:tc>
        <w:tc>
          <w:tcPr>
            <w:tcW w:w="5206" w:type="dxa"/>
            <w:vAlign w:val="top"/>
          </w:tcPr>
          <w:p w14:paraId="685A633B">
            <w:pPr>
              <w:pStyle w:val="131"/>
              <w:spacing w:before="184" w:line="325" w:lineRule="auto"/>
              <w:ind w:left="35" w:right="12" w:hanging="20"/>
              <w:rPr>
                <w:color w:val="auto"/>
                <w:highlight w:val="none"/>
              </w:rPr>
            </w:pPr>
            <w:r>
              <w:rPr>
                <w:color w:val="auto"/>
                <w:spacing w:val="6"/>
                <w:highlight w:val="none"/>
              </w:rPr>
              <w:t>制定小区物业管理与物业服务工作计划并组织实施，每年</w:t>
            </w:r>
            <w:r>
              <w:rPr>
                <w:color w:val="auto"/>
                <w:spacing w:val="12"/>
                <w:highlight w:val="none"/>
              </w:rPr>
              <w:t xml:space="preserve"> </w:t>
            </w:r>
            <w:r>
              <w:rPr>
                <w:color w:val="auto"/>
                <w:spacing w:val="7"/>
                <w:highlight w:val="none"/>
              </w:rPr>
              <w:t>向委托方报告一次计划实施情况。</w:t>
            </w:r>
          </w:p>
        </w:tc>
      </w:tr>
      <w:tr w14:paraId="6905E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1141" w:type="dxa"/>
            <w:vMerge w:val="continue"/>
            <w:tcBorders>
              <w:top w:val="nil"/>
              <w:bottom w:val="nil"/>
            </w:tcBorders>
            <w:vAlign w:val="top"/>
          </w:tcPr>
          <w:p w14:paraId="088D9211">
            <w:pPr>
              <w:rPr>
                <w:rFonts w:ascii="Arial"/>
                <w:color w:val="auto"/>
                <w:sz w:val="21"/>
                <w:highlight w:val="none"/>
              </w:rPr>
            </w:pPr>
          </w:p>
        </w:tc>
        <w:tc>
          <w:tcPr>
            <w:tcW w:w="1182" w:type="dxa"/>
            <w:vMerge w:val="continue"/>
            <w:tcBorders>
              <w:top w:val="nil"/>
              <w:bottom w:val="nil"/>
            </w:tcBorders>
            <w:vAlign w:val="top"/>
          </w:tcPr>
          <w:p w14:paraId="02D02026">
            <w:pPr>
              <w:rPr>
                <w:rFonts w:ascii="Arial"/>
                <w:color w:val="auto"/>
                <w:sz w:val="21"/>
                <w:highlight w:val="none"/>
              </w:rPr>
            </w:pPr>
          </w:p>
        </w:tc>
        <w:tc>
          <w:tcPr>
            <w:tcW w:w="1072" w:type="dxa"/>
            <w:vAlign w:val="top"/>
          </w:tcPr>
          <w:p w14:paraId="6D7BE3C7">
            <w:pPr>
              <w:pStyle w:val="131"/>
              <w:spacing w:before="250" w:line="269" w:lineRule="exact"/>
              <w:ind w:left="484"/>
              <w:rPr>
                <w:color w:val="auto"/>
                <w:highlight w:val="none"/>
              </w:rPr>
            </w:pPr>
            <w:r>
              <w:rPr>
                <w:color w:val="auto"/>
                <w:position w:val="1"/>
                <w:highlight w:val="none"/>
              </w:rPr>
              <w:t>5</w:t>
            </w:r>
          </w:p>
        </w:tc>
        <w:tc>
          <w:tcPr>
            <w:tcW w:w="1460" w:type="dxa"/>
            <w:vAlign w:val="top"/>
          </w:tcPr>
          <w:p w14:paraId="70232FEC">
            <w:pPr>
              <w:pStyle w:val="131"/>
              <w:spacing w:before="250" w:line="228" w:lineRule="auto"/>
              <w:ind w:left="308"/>
              <w:rPr>
                <w:color w:val="auto"/>
                <w:highlight w:val="none"/>
              </w:rPr>
            </w:pPr>
            <w:r>
              <w:rPr>
                <w:color w:val="auto"/>
                <w:spacing w:val="7"/>
                <w:highlight w:val="none"/>
              </w:rPr>
              <w:t>服务规范</w:t>
            </w:r>
          </w:p>
        </w:tc>
        <w:tc>
          <w:tcPr>
            <w:tcW w:w="5206" w:type="dxa"/>
            <w:vAlign w:val="top"/>
          </w:tcPr>
          <w:p w14:paraId="1E75C668">
            <w:pPr>
              <w:pStyle w:val="131"/>
              <w:spacing w:before="250" w:line="227" w:lineRule="auto"/>
              <w:ind w:left="14"/>
              <w:rPr>
                <w:color w:val="auto"/>
                <w:highlight w:val="none"/>
              </w:rPr>
            </w:pPr>
            <w:r>
              <w:rPr>
                <w:color w:val="auto"/>
                <w:spacing w:val="9"/>
                <w:highlight w:val="none"/>
              </w:rPr>
              <w:t>服务规范应符合《滁州市物业管理行业规范》要求。</w:t>
            </w:r>
          </w:p>
        </w:tc>
      </w:tr>
      <w:tr w14:paraId="1F5C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4295F425">
            <w:pPr>
              <w:rPr>
                <w:rFonts w:ascii="Arial"/>
                <w:color w:val="auto"/>
                <w:sz w:val="21"/>
                <w:highlight w:val="none"/>
              </w:rPr>
            </w:pPr>
          </w:p>
        </w:tc>
        <w:tc>
          <w:tcPr>
            <w:tcW w:w="1182" w:type="dxa"/>
            <w:vMerge w:val="continue"/>
            <w:tcBorders>
              <w:top w:val="nil"/>
              <w:bottom w:val="nil"/>
            </w:tcBorders>
            <w:vAlign w:val="top"/>
          </w:tcPr>
          <w:p w14:paraId="5650D6EB">
            <w:pPr>
              <w:rPr>
                <w:rFonts w:ascii="Arial"/>
                <w:color w:val="auto"/>
                <w:sz w:val="21"/>
                <w:highlight w:val="none"/>
              </w:rPr>
            </w:pPr>
          </w:p>
        </w:tc>
        <w:tc>
          <w:tcPr>
            <w:tcW w:w="1072" w:type="dxa"/>
            <w:vAlign w:val="top"/>
          </w:tcPr>
          <w:p w14:paraId="4E3576CD">
            <w:pPr>
              <w:spacing w:line="341" w:lineRule="auto"/>
              <w:rPr>
                <w:rFonts w:ascii="Arial"/>
                <w:color w:val="auto"/>
                <w:sz w:val="21"/>
                <w:highlight w:val="none"/>
              </w:rPr>
            </w:pPr>
          </w:p>
          <w:p w14:paraId="02EEBD9D">
            <w:pPr>
              <w:pStyle w:val="131"/>
              <w:spacing w:before="65" w:line="268" w:lineRule="exact"/>
              <w:ind w:left="482"/>
              <w:rPr>
                <w:color w:val="auto"/>
                <w:highlight w:val="none"/>
              </w:rPr>
            </w:pPr>
            <w:r>
              <w:rPr>
                <w:color w:val="auto"/>
                <w:position w:val="1"/>
                <w:highlight w:val="none"/>
              </w:rPr>
              <w:t>6</w:t>
            </w:r>
          </w:p>
        </w:tc>
        <w:tc>
          <w:tcPr>
            <w:tcW w:w="1460" w:type="dxa"/>
            <w:vAlign w:val="top"/>
          </w:tcPr>
          <w:p w14:paraId="5352ADAE">
            <w:pPr>
              <w:spacing w:line="340" w:lineRule="auto"/>
              <w:rPr>
                <w:rFonts w:ascii="Arial"/>
                <w:color w:val="auto"/>
                <w:sz w:val="21"/>
                <w:highlight w:val="none"/>
              </w:rPr>
            </w:pPr>
          </w:p>
          <w:p w14:paraId="37487EAD">
            <w:pPr>
              <w:pStyle w:val="131"/>
              <w:spacing w:before="65" w:line="228" w:lineRule="auto"/>
              <w:ind w:left="313"/>
              <w:rPr>
                <w:color w:val="auto"/>
                <w:highlight w:val="none"/>
              </w:rPr>
            </w:pPr>
            <w:r>
              <w:rPr>
                <w:color w:val="auto"/>
                <w:spacing w:val="6"/>
                <w:highlight w:val="none"/>
              </w:rPr>
              <w:t>管理制度</w:t>
            </w:r>
          </w:p>
        </w:tc>
        <w:tc>
          <w:tcPr>
            <w:tcW w:w="5206" w:type="dxa"/>
            <w:vAlign w:val="top"/>
          </w:tcPr>
          <w:p w14:paraId="1AE15408">
            <w:pPr>
              <w:pStyle w:val="131"/>
              <w:spacing w:before="187" w:line="228" w:lineRule="auto"/>
              <w:ind w:left="25"/>
              <w:rPr>
                <w:color w:val="auto"/>
                <w:highlight w:val="none"/>
              </w:rPr>
            </w:pPr>
            <w:r>
              <w:rPr>
                <w:color w:val="auto"/>
                <w:spacing w:val="8"/>
                <w:highlight w:val="none"/>
              </w:rPr>
              <w:t>（1）有明确的值班制度和交接班制度，工作有记录。</w:t>
            </w:r>
          </w:p>
          <w:p w14:paraId="1D811E42">
            <w:pPr>
              <w:pStyle w:val="131"/>
              <w:spacing w:before="194" w:line="228" w:lineRule="auto"/>
              <w:ind w:left="25"/>
              <w:rPr>
                <w:color w:val="auto"/>
                <w:highlight w:val="none"/>
              </w:rPr>
            </w:pPr>
            <w:r>
              <w:rPr>
                <w:color w:val="auto"/>
                <w:spacing w:val="8"/>
                <w:highlight w:val="none"/>
              </w:rPr>
              <w:t>（2）建立管理处内部管理制度和考核制度。</w:t>
            </w:r>
          </w:p>
        </w:tc>
      </w:tr>
      <w:tr w14:paraId="2ED9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41" w:type="dxa"/>
            <w:vMerge w:val="continue"/>
            <w:tcBorders>
              <w:top w:val="nil"/>
              <w:bottom w:val="nil"/>
            </w:tcBorders>
            <w:vAlign w:val="top"/>
          </w:tcPr>
          <w:p w14:paraId="1A5B459C">
            <w:pPr>
              <w:rPr>
                <w:rFonts w:ascii="Arial"/>
                <w:color w:val="auto"/>
                <w:sz w:val="21"/>
                <w:highlight w:val="none"/>
              </w:rPr>
            </w:pPr>
          </w:p>
        </w:tc>
        <w:tc>
          <w:tcPr>
            <w:tcW w:w="1182" w:type="dxa"/>
            <w:vMerge w:val="continue"/>
            <w:tcBorders>
              <w:top w:val="nil"/>
              <w:bottom w:val="nil"/>
            </w:tcBorders>
            <w:vAlign w:val="top"/>
          </w:tcPr>
          <w:p w14:paraId="2FB4529D">
            <w:pPr>
              <w:rPr>
                <w:rFonts w:ascii="Arial"/>
                <w:color w:val="auto"/>
                <w:sz w:val="21"/>
                <w:highlight w:val="none"/>
              </w:rPr>
            </w:pPr>
          </w:p>
        </w:tc>
        <w:tc>
          <w:tcPr>
            <w:tcW w:w="1072" w:type="dxa"/>
            <w:vAlign w:val="top"/>
          </w:tcPr>
          <w:p w14:paraId="0A3F74D2">
            <w:pPr>
              <w:pStyle w:val="131"/>
              <w:spacing w:before="190" w:line="239" w:lineRule="auto"/>
              <w:ind w:left="485"/>
              <w:rPr>
                <w:color w:val="auto"/>
                <w:highlight w:val="none"/>
              </w:rPr>
            </w:pPr>
            <w:r>
              <w:rPr>
                <w:color w:val="auto"/>
                <w:highlight w:val="none"/>
              </w:rPr>
              <w:t>7</w:t>
            </w:r>
          </w:p>
        </w:tc>
        <w:tc>
          <w:tcPr>
            <w:tcW w:w="1460" w:type="dxa"/>
            <w:vAlign w:val="top"/>
          </w:tcPr>
          <w:p w14:paraId="65120503">
            <w:pPr>
              <w:pStyle w:val="131"/>
              <w:spacing w:before="190" w:line="228" w:lineRule="auto"/>
              <w:ind w:left="309"/>
              <w:rPr>
                <w:color w:val="auto"/>
                <w:highlight w:val="none"/>
              </w:rPr>
            </w:pPr>
            <w:r>
              <w:rPr>
                <w:color w:val="auto"/>
                <w:spacing w:val="7"/>
                <w:highlight w:val="none"/>
              </w:rPr>
              <w:t>制度公示</w:t>
            </w:r>
          </w:p>
        </w:tc>
        <w:tc>
          <w:tcPr>
            <w:tcW w:w="5206" w:type="dxa"/>
            <w:vAlign w:val="top"/>
          </w:tcPr>
          <w:p w14:paraId="45131145">
            <w:pPr>
              <w:pStyle w:val="131"/>
              <w:spacing w:before="190" w:line="227" w:lineRule="auto"/>
              <w:jc w:val="right"/>
              <w:rPr>
                <w:color w:val="auto"/>
                <w:highlight w:val="none"/>
              </w:rPr>
            </w:pPr>
            <w:r>
              <w:rPr>
                <w:color w:val="auto"/>
                <w:spacing w:val="-1"/>
                <w:highlight w:val="none"/>
              </w:rPr>
              <w:t>服务场所公示办事制度、办事规章、收费依据、收费标准。</w:t>
            </w:r>
          </w:p>
        </w:tc>
      </w:tr>
      <w:tr w14:paraId="6D6BC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8" w:hRule="atLeast"/>
          <w:jc w:val="center"/>
        </w:trPr>
        <w:tc>
          <w:tcPr>
            <w:tcW w:w="1141" w:type="dxa"/>
            <w:vMerge w:val="continue"/>
            <w:tcBorders>
              <w:top w:val="nil"/>
              <w:bottom w:val="nil"/>
            </w:tcBorders>
            <w:vAlign w:val="top"/>
          </w:tcPr>
          <w:p w14:paraId="18502393">
            <w:pPr>
              <w:rPr>
                <w:rFonts w:ascii="Arial"/>
                <w:color w:val="auto"/>
                <w:sz w:val="21"/>
                <w:highlight w:val="none"/>
              </w:rPr>
            </w:pPr>
          </w:p>
        </w:tc>
        <w:tc>
          <w:tcPr>
            <w:tcW w:w="1182" w:type="dxa"/>
            <w:vMerge w:val="continue"/>
            <w:tcBorders>
              <w:top w:val="nil"/>
              <w:bottom w:val="nil"/>
            </w:tcBorders>
            <w:vAlign w:val="top"/>
          </w:tcPr>
          <w:p w14:paraId="0E57C586">
            <w:pPr>
              <w:rPr>
                <w:rFonts w:ascii="Arial"/>
                <w:color w:val="auto"/>
                <w:sz w:val="21"/>
                <w:highlight w:val="none"/>
              </w:rPr>
            </w:pPr>
          </w:p>
        </w:tc>
        <w:tc>
          <w:tcPr>
            <w:tcW w:w="1072" w:type="dxa"/>
            <w:vAlign w:val="top"/>
          </w:tcPr>
          <w:p w14:paraId="2B761BDA">
            <w:pPr>
              <w:spacing w:line="260" w:lineRule="auto"/>
              <w:rPr>
                <w:rFonts w:ascii="Arial"/>
                <w:color w:val="auto"/>
                <w:sz w:val="21"/>
                <w:highlight w:val="none"/>
              </w:rPr>
            </w:pPr>
          </w:p>
          <w:p w14:paraId="673EFCD2">
            <w:pPr>
              <w:spacing w:line="260" w:lineRule="auto"/>
              <w:rPr>
                <w:rFonts w:ascii="Arial"/>
                <w:color w:val="auto"/>
                <w:sz w:val="21"/>
                <w:highlight w:val="none"/>
              </w:rPr>
            </w:pPr>
          </w:p>
          <w:p w14:paraId="6FE6B246">
            <w:pPr>
              <w:spacing w:line="261" w:lineRule="auto"/>
              <w:rPr>
                <w:rFonts w:ascii="Arial"/>
                <w:color w:val="auto"/>
                <w:sz w:val="21"/>
                <w:highlight w:val="none"/>
              </w:rPr>
            </w:pPr>
          </w:p>
          <w:p w14:paraId="589E42CF">
            <w:pPr>
              <w:pStyle w:val="131"/>
              <w:spacing w:before="65" w:line="269" w:lineRule="exact"/>
              <w:ind w:left="481"/>
              <w:rPr>
                <w:color w:val="auto"/>
                <w:highlight w:val="none"/>
              </w:rPr>
            </w:pPr>
            <w:r>
              <w:rPr>
                <w:color w:val="auto"/>
                <w:position w:val="1"/>
                <w:highlight w:val="none"/>
              </w:rPr>
              <w:t>8</w:t>
            </w:r>
          </w:p>
        </w:tc>
        <w:tc>
          <w:tcPr>
            <w:tcW w:w="1460" w:type="dxa"/>
            <w:vAlign w:val="top"/>
          </w:tcPr>
          <w:p w14:paraId="74CB62E9">
            <w:pPr>
              <w:spacing w:line="260" w:lineRule="auto"/>
              <w:rPr>
                <w:rFonts w:ascii="Arial"/>
                <w:color w:val="auto"/>
                <w:sz w:val="21"/>
                <w:highlight w:val="none"/>
              </w:rPr>
            </w:pPr>
          </w:p>
          <w:p w14:paraId="3BCC0FB6">
            <w:pPr>
              <w:spacing w:line="260" w:lineRule="auto"/>
              <w:rPr>
                <w:rFonts w:ascii="Arial"/>
                <w:color w:val="auto"/>
                <w:sz w:val="21"/>
                <w:highlight w:val="none"/>
              </w:rPr>
            </w:pPr>
          </w:p>
          <w:p w14:paraId="06CED2E8">
            <w:pPr>
              <w:spacing w:line="261" w:lineRule="auto"/>
              <w:rPr>
                <w:rFonts w:ascii="Arial"/>
                <w:color w:val="auto"/>
                <w:sz w:val="21"/>
                <w:highlight w:val="none"/>
              </w:rPr>
            </w:pPr>
          </w:p>
          <w:p w14:paraId="04A9FDAC">
            <w:pPr>
              <w:pStyle w:val="131"/>
              <w:spacing w:before="65" w:line="228" w:lineRule="auto"/>
              <w:ind w:left="11"/>
              <w:rPr>
                <w:color w:val="auto"/>
                <w:highlight w:val="none"/>
              </w:rPr>
            </w:pPr>
            <w:r>
              <w:rPr>
                <w:color w:val="auto"/>
                <w:spacing w:val="3"/>
                <w:highlight w:val="none"/>
              </w:rPr>
              <w:t>报修、投诉受理</w:t>
            </w:r>
          </w:p>
        </w:tc>
        <w:tc>
          <w:tcPr>
            <w:tcW w:w="5206" w:type="dxa"/>
            <w:vAlign w:val="top"/>
          </w:tcPr>
          <w:p w14:paraId="32BFB85B">
            <w:pPr>
              <w:pStyle w:val="131"/>
              <w:spacing w:before="192" w:line="346" w:lineRule="auto"/>
              <w:ind w:left="16" w:right="9" w:firstLine="8"/>
              <w:rPr>
                <w:color w:val="auto"/>
                <w:highlight w:val="none"/>
              </w:rPr>
            </w:pPr>
            <w:r>
              <w:rPr>
                <w:color w:val="auto"/>
                <w:spacing w:val="7"/>
                <w:highlight w:val="none"/>
              </w:rPr>
              <w:t>（1）24</w:t>
            </w:r>
            <w:r>
              <w:rPr>
                <w:color w:val="auto"/>
                <w:spacing w:val="-27"/>
                <w:highlight w:val="none"/>
              </w:rPr>
              <w:t xml:space="preserve"> </w:t>
            </w:r>
            <w:r>
              <w:rPr>
                <w:color w:val="auto"/>
                <w:spacing w:val="7"/>
                <w:highlight w:val="none"/>
              </w:rPr>
              <w:t>小时受理业主或使用人的报修。急修半小时内到</w:t>
            </w:r>
            <w:r>
              <w:rPr>
                <w:color w:val="auto"/>
                <w:highlight w:val="none"/>
              </w:rPr>
              <w:t xml:space="preserve"> </w:t>
            </w:r>
            <w:r>
              <w:rPr>
                <w:color w:val="auto"/>
                <w:spacing w:val="6"/>
                <w:highlight w:val="none"/>
              </w:rPr>
              <w:t>现场查看处理，小修三天内修复。有完整的报修、维修和</w:t>
            </w:r>
            <w:r>
              <w:rPr>
                <w:color w:val="auto"/>
                <w:spacing w:val="13"/>
                <w:highlight w:val="none"/>
              </w:rPr>
              <w:t xml:space="preserve"> </w:t>
            </w:r>
            <w:r>
              <w:rPr>
                <w:color w:val="auto"/>
                <w:spacing w:val="5"/>
                <w:highlight w:val="none"/>
              </w:rPr>
              <w:t>回访记录。</w:t>
            </w:r>
          </w:p>
          <w:p w14:paraId="2D1034ED">
            <w:pPr>
              <w:pStyle w:val="131"/>
              <w:spacing w:before="193" w:line="228" w:lineRule="auto"/>
              <w:ind w:left="25"/>
              <w:rPr>
                <w:color w:val="auto"/>
                <w:highlight w:val="none"/>
              </w:rPr>
            </w:pPr>
            <w:r>
              <w:rPr>
                <w:color w:val="auto"/>
                <w:spacing w:val="8"/>
                <w:highlight w:val="none"/>
              </w:rPr>
              <w:t>（2）对业主或使用人的投诉在二天内答复处理。</w:t>
            </w:r>
          </w:p>
        </w:tc>
      </w:tr>
      <w:tr w14:paraId="2FD2E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6FC077ED">
            <w:pPr>
              <w:rPr>
                <w:rFonts w:ascii="Arial"/>
                <w:color w:val="auto"/>
                <w:sz w:val="21"/>
                <w:highlight w:val="none"/>
              </w:rPr>
            </w:pPr>
          </w:p>
        </w:tc>
        <w:tc>
          <w:tcPr>
            <w:tcW w:w="1182" w:type="dxa"/>
            <w:vMerge w:val="continue"/>
            <w:tcBorders>
              <w:top w:val="nil"/>
              <w:bottom w:val="nil"/>
            </w:tcBorders>
            <w:vAlign w:val="top"/>
          </w:tcPr>
          <w:p w14:paraId="4D3C2C91">
            <w:pPr>
              <w:rPr>
                <w:rFonts w:ascii="Arial"/>
                <w:color w:val="auto"/>
                <w:sz w:val="21"/>
                <w:highlight w:val="none"/>
              </w:rPr>
            </w:pPr>
          </w:p>
        </w:tc>
        <w:tc>
          <w:tcPr>
            <w:tcW w:w="1072" w:type="dxa"/>
            <w:vAlign w:val="top"/>
          </w:tcPr>
          <w:p w14:paraId="7E484179">
            <w:pPr>
              <w:spacing w:line="344" w:lineRule="auto"/>
              <w:rPr>
                <w:rFonts w:ascii="Arial"/>
                <w:color w:val="auto"/>
                <w:sz w:val="21"/>
                <w:highlight w:val="none"/>
              </w:rPr>
            </w:pPr>
          </w:p>
          <w:p w14:paraId="56133748">
            <w:pPr>
              <w:pStyle w:val="131"/>
              <w:spacing w:before="65" w:line="269" w:lineRule="exact"/>
              <w:ind w:left="481"/>
              <w:rPr>
                <w:color w:val="auto"/>
                <w:highlight w:val="none"/>
              </w:rPr>
            </w:pPr>
            <w:r>
              <w:rPr>
                <w:color w:val="auto"/>
                <w:position w:val="1"/>
                <w:highlight w:val="none"/>
              </w:rPr>
              <w:t>9</w:t>
            </w:r>
          </w:p>
        </w:tc>
        <w:tc>
          <w:tcPr>
            <w:tcW w:w="1460" w:type="dxa"/>
            <w:vAlign w:val="top"/>
          </w:tcPr>
          <w:p w14:paraId="1A75D12E">
            <w:pPr>
              <w:spacing w:line="344" w:lineRule="auto"/>
              <w:rPr>
                <w:rFonts w:ascii="Arial"/>
                <w:color w:val="auto"/>
                <w:sz w:val="21"/>
                <w:highlight w:val="none"/>
              </w:rPr>
            </w:pPr>
          </w:p>
          <w:p w14:paraId="1DA752C8">
            <w:pPr>
              <w:pStyle w:val="131"/>
              <w:spacing w:before="65" w:line="228" w:lineRule="auto"/>
              <w:ind w:left="205"/>
              <w:rPr>
                <w:color w:val="auto"/>
                <w:highlight w:val="none"/>
              </w:rPr>
            </w:pPr>
            <w:r>
              <w:rPr>
                <w:color w:val="auto"/>
                <w:spacing w:val="8"/>
                <w:highlight w:val="none"/>
              </w:rPr>
              <w:t>服务费收支</w:t>
            </w:r>
          </w:p>
        </w:tc>
        <w:tc>
          <w:tcPr>
            <w:tcW w:w="5206" w:type="dxa"/>
            <w:vAlign w:val="top"/>
          </w:tcPr>
          <w:p w14:paraId="649E4294">
            <w:pPr>
              <w:pStyle w:val="131"/>
              <w:spacing w:before="191" w:line="322" w:lineRule="auto"/>
              <w:ind w:left="19" w:right="12" w:hanging="5"/>
              <w:rPr>
                <w:color w:val="auto"/>
                <w:highlight w:val="none"/>
              </w:rPr>
            </w:pPr>
            <w:r>
              <w:rPr>
                <w:color w:val="auto"/>
                <w:spacing w:val="15"/>
                <w:highlight w:val="none"/>
              </w:rPr>
              <w:t>物业服务费收支和公共水电费分摊每半年向业主公布一</w:t>
            </w:r>
            <w:r>
              <w:rPr>
                <w:color w:val="auto"/>
                <w:spacing w:val="3"/>
                <w:highlight w:val="none"/>
              </w:rPr>
              <w:t xml:space="preserve"> </w:t>
            </w:r>
            <w:r>
              <w:rPr>
                <w:color w:val="auto"/>
                <w:spacing w:val="-3"/>
                <w:highlight w:val="none"/>
              </w:rPr>
              <w:t>次。</w:t>
            </w:r>
          </w:p>
        </w:tc>
      </w:tr>
      <w:tr w14:paraId="527D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 w:hRule="atLeast"/>
          <w:jc w:val="center"/>
        </w:trPr>
        <w:tc>
          <w:tcPr>
            <w:tcW w:w="1141" w:type="dxa"/>
            <w:vMerge w:val="continue"/>
            <w:tcBorders>
              <w:top w:val="nil"/>
              <w:bottom w:val="nil"/>
            </w:tcBorders>
            <w:vAlign w:val="top"/>
          </w:tcPr>
          <w:p w14:paraId="2B290FEC">
            <w:pPr>
              <w:rPr>
                <w:rFonts w:ascii="Arial"/>
                <w:color w:val="auto"/>
                <w:sz w:val="21"/>
                <w:highlight w:val="none"/>
              </w:rPr>
            </w:pPr>
          </w:p>
        </w:tc>
        <w:tc>
          <w:tcPr>
            <w:tcW w:w="1182" w:type="dxa"/>
            <w:vMerge w:val="continue"/>
            <w:tcBorders>
              <w:top w:val="nil"/>
              <w:bottom w:val="nil"/>
            </w:tcBorders>
            <w:vAlign w:val="top"/>
          </w:tcPr>
          <w:p w14:paraId="7396475D">
            <w:pPr>
              <w:rPr>
                <w:rFonts w:ascii="Arial"/>
                <w:color w:val="auto"/>
                <w:sz w:val="21"/>
                <w:highlight w:val="none"/>
              </w:rPr>
            </w:pPr>
          </w:p>
        </w:tc>
        <w:tc>
          <w:tcPr>
            <w:tcW w:w="1072" w:type="dxa"/>
            <w:vAlign w:val="top"/>
          </w:tcPr>
          <w:p w14:paraId="730E562B">
            <w:pPr>
              <w:spacing w:line="282" w:lineRule="auto"/>
              <w:rPr>
                <w:rFonts w:ascii="Arial"/>
                <w:color w:val="auto"/>
                <w:sz w:val="21"/>
                <w:highlight w:val="none"/>
              </w:rPr>
            </w:pPr>
          </w:p>
          <w:p w14:paraId="5E090556">
            <w:pPr>
              <w:spacing w:line="282" w:lineRule="auto"/>
              <w:rPr>
                <w:rFonts w:ascii="Arial"/>
                <w:color w:val="auto"/>
                <w:sz w:val="21"/>
                <w:highlight w:val="none"/>
              </w:rPr>
            </w:pPr>
          </w:p>
          <w:p w14:paraId="38A9F7A5">
            <w:pPr>
              <w:pStyle w:val="131"/>
              <w:spacing w:before="65" w:line="269" w:lineRule="exact"/>
              <w:ind w:left="443"/>
              <w:rPr>
                <w:color w:val="auto"/>
                <w:highlight w:val="none"/>
              </w:rPr>
            </w:pPr>
            <w:r>
              <w:rPr>
                <w:color w:val="auto"/>
                <w:spacing w:val="-7"/>
                <w:position w:val="1"/>
                <w:highlight w:val="none"/>
              </w:rPr>
              <w:t>10</w:t>
            </w:r>
          </w:p>
        </w:tc>
        <w:tc>
          <w:tcPr>
            <w:tcW w:w="1460" w:type="dxa"/>
            <w:vAlign w:val="top"/>
          </w:tcPr>
          <w:p w14:paraId="1B892066">
            <w:pPr>
              <w:spacing w:line="282" w:lineRule="auto"/>
              <w:rPr>
                <w:rFonts w:ascii="Arial"/>
                <w:color w:val="auto"/>
                <w:sz w:val="21"/>
                <w:highlight w:val="none"/>
              </w:rPr>
            </w:pPr>
          </w:p>
          <w:p w14:paraId="18078001">
            <w:pPr>
              <w:spacing w:line="282" w:lineRule="auto"/>
              <w:rPr>
                <w:rFonts w:ascii="Arial"/>
                <w:color w:val="auto"/>
                <w:sz w:val="21"/>
                <w:highlight w:val="none"/>
              </w:rPr>
            </w:pPr>
          </w:p>
          <w:p w14:paraId="1823A789">
            <w:pPr>
              <w:pStyle w:val="131"/>
              <w:spacing w:before="65" w:line="228" w:lineRule="auto"/>
              <w:ind w:left="205"/>
              <w:rPr>
                <w:color w:val="auto"/>
                <w:highlight w:val="none"/>
              </w:rPr>
            </w:pPr>
            <w:r>
              <w:rPr>
                <w:color w:val="auto"/>
                <w:spacing w:val="8"/>
                <w:highlight w:val="none"/>
              </w:rPr>
              <w:t>满意度调查</w:t>
            </w:r>
          </w:p>
        </w:tc>
        <w:tc>
          <w:tcPr>
            <w:tcW w:w="5206" w:type="dxa"/>
            <w:vAlign w:val="top"/>
          </w:tcPr>
          <w:p w14:paraId="0FE218C1">
            <w:pPr>
              <w:pStyle w:val="131"/>
              <w:spacing w:before="194" w:line="349" w:lineRule="auto"/>
              <w:ind w:left="14" w:right="9"/>
              <w:jc w:val="both"/>
              <w:rPr>
                <w:color w:val="auto"/>
                <w:highlight w:val="none"/>
              </w:rPr>
            </w:pPr>
            <w:r>
              <w:rPr>
                <w:color w:val="auto"/>
                <w:spacing w:val="6"/>
                <w:highlight w:val="none"/>
              </w:rPr>
              <w:t>采取多种形式与业主或使用人进行沟通，每年的沟通面不</w:t>
            </w:r>
            <w:r>
              <w:rPr>
                <w:color w:val="auto"/>
                <w:spacing w:val="16"/>
                <w:highlight w:val="none"/>
              </w:rPr>
              <w:t xml:space="preserve"> </w:t>
            </w:r>
            <w:r>
              <w:rPr>
                <w:color w:val="auto"/>
                <w:spacing w:val="11"/>
                <w:highlight w:val="none"/>
              </w:rPr>
              <w:t>低于小区住户的</w:t>
            </w:r>
            <w:r>
              <w:rPr>
                <w:color w:val="auto"/>
                <w:spacing w:val="-33"/>
                <w:highlight w:val="none"/>
              </w:rPr>
              <w:t xml:space="preserve"> </w:t>
            </w:r>
            <w:r>
              <w:rPr>
                <w:color w:val="auto"/>
                <w:spacing w:val="11"/>
                <w:highlight w:val="none"/>
              </w:rPr>
              <w:t>60</w:t>
            </w:r>
            <w:r>
              <w:rPr>
                <w:color w:val="auto"/>
                <w:spacing w:val="-6"/>
                <w:highlight w:val="none"/>
              </w:rPr>
              <w:t>％</w:t>
            </w:r>
            <w:r>
              <w:rPr>
                <w:color w:val="auto"/>
                <w:spacing w:val="-42"/>
                <w:highlight w:val="none"/>
              </w:rPr>
              <w:t xml:space="preserve"> </w:t>
            </w:r>
            <w:r>
              <w:rPr>
                <w:color w:val="auto"/>
                <w:spacing w:val="-6"/>
                <w:highlight w:val="none"/>
              </w:rPr>
              <w:t>，</w:t>
            </w:r>
            <w:r>
              <w:rPr>
                <w:color w:val="auto"/>
                <w:spacing w:val="11"/>
                <w:highlight w:val="none"/>
              </w:rPr>
              <w:t>对沟通和测评结果进行分析并及</w:t>
            </w:r>
            <w:r>
              <w:rPr>
                <w:color w:val="auto"/>
                <w:highlight w:val="none"/>
              </w:rPr>
              <w:t xml:space="preserve"> </w:t>
            </w:r>
            <w:r>
              <w:rPr>
                <w:color w:val="auto"/>
                <w:spacing w:val="5"/>
                <w:highlight w:val="none"/>
              </w:rPr>
              <w:t>时整改。</w:t>
            </w:r>
          </w:p>
        </w:tc>
      </w:tr>
      <w:tr w14:paraId="045D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525E84E3">
            <w:pPr>
              <w:rPr>
                <w:rFonts w:ascii="Arial"/>
                <w:color w:val="auto"/>
                <w:sz w:val="21"/>
                <w:highlight w:val="none"/>
              </w:rPr>
            </w:pPr>
          </w:p>
        </w:tc>
        <w:tc>
          <w:tcPr>
            <w:tcW w:w="1182" w:type="dxa"/>
            <w:vMerge w:val="continue"/>
            <w:tcBorders>
              <w:top w:val="nil"/>
              <w:bottom w:val="nil"/>
            </w:tcBorders>
            <w:vAlign w:val="top"/>
          </w:tcPr>
          <w:p w14:paraId="62F38785">
            <w:pPr>
              <w:rPr>
                <w:rFonts w:ascii="Arial"/>
                <w:color w:val="auto"/>
                <w:sz w:val="21"/>
                <w:highlight w:val="none"/>
              </w:rPr>
            </w:pPr>
          </w:p>
        </w:tc>
        <w:tc>
          <w:tcPr>
            <w:tcW w:w="1072" w:type="dxa"/>
            <w:vAlign w:val="top"/>
          </w:tcPr>
          <w:p w14:paraId="46157BF4">
            <w:pPr>
              <w:spacing w:line="347" w:lineRule="auto"/>
              <w:rPr>
                <w:rFonts w:ascii="Arial"/>
                <w:color w:val="auto"/>
                <w:sz w:val="21"/>
                <w:highlight w:val="none"/>
              </w:rPr>
            </w:pPr>
          </w:p>
          <w:p w14:paraId="1CCCBC1F">
            <w:pPr>
              <w:pStyle w:val="131"/>
              <w:spacing w:before="65" w:line="270" w:lineRule="exact"/>
              <w:ind w:left="443"/>
              <w:rPr>
                <w:color w:val="auto"/>
                <w:highlight w:val="none"/>
              </w:rPr>
            </w:pPr>
            <w:r>
              <w:rPr>
                <w:color w:val="auto"/>
                <w:spacing w:val="-7"/>
                <w:position w:val="1"/>
                <w:highlight w:val="none"/>
              </w:rPr>
              <w:t>11</w:t>
            </w:r>
          </w:p>
        </w:tc>
        <w:tc>
          <w:tcPr>
            <w:tcW w:w="1460" w:type="dxa"/>
            <w:vAlign w:val="top"/>
          </w:tcPr>
          <w:p w14:paraId="3F14E1BD">
            <w:pPr>
              <w:spacing w:line="346" w:lineRule="auto"/>
              <w:rPr>
                <w:rFonts w:ascii="Arial"/>
                <w:color w:val="auto"/>
                <w:sz w:val="21"/>
                <w:highlight w:val="none"/>
              </w:rPr>
            </w:pPr>
          </w:p>
          <w:p w14:paraId="177801E5">
            <w:pPr>
              <w:pStyle w:val="131"/>
              <w:spacing w:before="65" w:line="228" w:lineRule="auto"/>
              <w:ind w:left="13"/>
              <w:rPr>
                <w:color w:val="auto"/>
                <w:highlight w:val="none"/>
              </w:rPr>
            </w:pPr>
            <w:r>
              <w:rPr>
                <w:color w:val="auto"/>
                <w:spacing w:val="3"/>
                <w:highlight w:val="none"/>
              </w:rPr>
              <w:t>特约、便民服务</w:t>
            </w:r>
          </w:p>
        </w:tc>
        <w:tc>
          <w:tcPr>
            <w:tcW w:w="5206" w:type="dxa"/>
            <w:vAlign w:val="top"/>
          </w:tcPr>
          <w:p w14:paraId="2D7A23CE">
            <w:pPr>
              <w:pStyle w:val="131"/>
              <w:spacing w:before="193" w:line="321" w:lineRule="auto"/>
              <w:ind w:left="14" w:firstLine="8"/>
              <w:rPr>
                <w:color w:val="auto"/>
                <w:highlight w:val="none"/>
              </w:rPr>
            </w:pPr>
            <w:r>
              <w:rPr>
                <w:color w:val="auto"/>
                <w:spacing w:val="-1"/>
                <w:highlight w:val="none"/>
              </w:rPr>
              <w:t>能提供两种以上特约服务（有偿）和两种以</w:t>
            </w:r>
            <w:r>
              <w:rPr>
                <w:color w:val="auto"/>
                <w:spacing w:val="-2"/>
                <w:highlight w:val="none"/>
              </w:rPr>
              <w:t>上便民（无偿）</w:t>
            </w:r>
            <w:r>
              <w:rPr>
                <w:color w:val="auto"/>
                <w:highlight w:val="none"/>
              </w:rPr>
              <w:t xml:space="preserve"> </w:t>
            </w:r>
            <w:r>
              <w:rPr>
                <w:color w:val="auto"/>
                <w:spacing w:val="1"/>
                <w:highlight w:val="none"/>
              </w:rPr>
              <w:t>服务。</w:t>
            </w:r>
          </w:p>
        </w:tc>
      </w:tr>
      <w:tr w14:paraId="3CE50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 w:hRule="atLeast"/>
          <w:jc w:val="center"/>
        </w:trPr>
        <w:tc>
          <w:tcPr>
            <w:tcW w:w="1141" w:type="dxa"/>
            <w:vMerge w:val="continue"/>
            <w:tcBorders>
              <w:top w:val="nil"/>
              <w:bottom w:val="nil"/>
            </w:tcBorders>
            <w:vAlign w:val="top"/>
          </w:tcPr>
          <w:p w14:paraId="7159465E">
            <w:pPr>
              <w:rPr>
                <w:rFonts w:ascii="Arial"/>
                <w:color w:val="auto"/>
                <w:sz w:val="21"/>
                <w:highlight w:val="none"/>
              </w:rPr>
            </w:pPr>
          </w:p>
        </w:tc>
        <w:tc>
          <w:tcPr>
            <w:tcW w:w="1182" w:type="dxa"/>
            <w:vMerge w:val="continue"/>
            <w:tcBorders>
              <w:top w:val="nil"/>
              <w:bottom w:val="nil"/>
            </w:tcBorders>
            <w:vAlign w:val="top"/>
          </w:tcPr>
          <w:p w14:paraId="41CAAA33">
            <w:pPr>
              <w:rPr>
                <w:rFonts w:ascii="Arial"/>
                <w:color w:val="auto"/>
                <w:sz w:val="21"/>
                <w:highlight w:val="none"/>
              </w:rPr>
            </w:pPr>
          </w:p>
        </w:tc>
        <w:tc>
          <w:tcPr>
            <w:tcW w:w="1072" w:type="dxa"/>
            <w:vAlign w:val="top"/>
          </w:tcPr>
          <w:p w14:paraId="5CCC98CF">
            <w:pPr>
              <w:spacing w:line="283" w:lineRule="auto"/>
              <w:rPr>
                <w:rFonts w:ascii="Arial"/>
                <w:color w:val="auto"/>
                <w:sz w:val="21"/>
                <w:highlight w:val="none"/>
              </w:rPr>
            </w:pPr>
          </w:p>
          <w:p w14:paraId="26B88AF4">
            <w:pPr>
              <w:spacing w:line="284" w:lineRule="auto"/>
              <w:rPr>
                <w:rFonts w:ascii="Arial"/>
                <w:color w:val="auto"/>
                <w:sz w:val="21"/>
                <w:highlight w:val="none"/>
              </w:rPr>
            </w:pPr>
          </w:p>
          <w:p w14:paraId="1E673D2D">
            <w:pPr>
              <w:pStyle w:val="131"/>
              <w:spacing w:before="65" w:line="270" w:lineRule="exact"/>
              <w:ind w:left="443"/>
              <w:rPr>
                <w:color w:val="auto"/>
                <w:highlight w:val="none"/>
              </w:rPr>
            </w:pPr>
            <w:r>
              <w:rPr>
                <w:color w:val="auto"/>
                <w:spacing w:val="-7"/>
                <w:position w:val="1"/>
                <w:highlight w:val="none"/>
              </w:rPr>
              <w:t>12</w:t>
            </w:r>
          </w:p>
        </w:tc>
        <w:tc>
          <w:tcPr>
            <w:tcW w:w="1460" w:type="dxa"/>
            <w:vAlign w:val="top"/>
          </w:tcPr>
          <w:p w14:paraId="327BB0C4">
            <w:pPr>
              <w:spacing w:line="283" w:lineRule="auto"/>
              <w:rPr>
                <w:rFonts w:ascii="Arial"/>
                <w:color w:val="auto"/>
                <w:sz w:val="21"/>
                <w:highlight w:val="none"/>
              </w:rPr>
            </w:pPr>
          </w:p>
          <w:p w14:paraId="14620085">
            <w:pPr>
              <w:spacing w:line="283" w:lineRule="auto"/>
              <w:rPr>
                <w:rFonts w:ascii="Arial"/>
                <w:color w:val="auto"/>
                <w:sz w:val="21"/>
                <w:highlight w:val="none"/>
              </w:rPr>
            </w:pPr>
          </w:p>
          <w:p w14:paraId="2A0A5F0A">
            <w:pPr>
              <w:pStyle w:val="131"/>
              <w:spacing w:before="65" w:line="228" w:lineRule="auto"/>
              <w:ind w:left="309"/>
              <w:rPr>
                <w:color w:val="auto"/>
                <w:highlight w:val="none"/>
              </w:rPr>
            </w:pPr>
            <w:r>
              <w:rPr>
                <w:color w:val="auto"/>
                <w:spacing w:val="7"/>
                <w:highlight w:val="none"/>
              </w:rPr>
              <w:t>档案管理</w:t>
            </w:r>
          </w:p>
        </w:tc>
        <w:tc>
          <w:tcPr>
            <w:tcW w:w="5206" w:type="dxa"/>
            <w:vAlign w:val="top"/>
          </w:tcPr>
          <w:p w14:paraId="20E7FDB9">
            <w:pPr>
              <w:pStyle w:val="131"/>
              <w:spacing w:before="197" w:line="348" w:lineRule="auto"/>
              <w:ind w:left="16"/>
              <w:jc w:val="both"/>
              <w:rPr>
                <w:color w:val="auto"/>
                <w:highlight w:val="none"/>
              </w:rPr>
            </w:pPr>
            <w:r>
              <w:rPr>
                <w:color w:val="auto"/>
                <w:spacing w:val="8"/>
                <w:highlight w:val="none"/>
              </w:rPr>
              <w:t>建立小区物业管理档案[包括物业竣工验收档案、设备管</w:t>
            </w:r>
            <w:r>
              <w:rPr>
                <w:color w:val="auto"/>
                <w:spacing w:val="14"/>
                <w:highlight w:val="none"/>
              </w:rPr>
              <w:t xml:space="preserve"> </w:t>
            </w:r>
            <w:r>
              <w:rPr>
                <w:color w:val="auto"/>
                <w:spacing w:val="7"/>
                <w:highlight w:val="none"/>
              </w:rPr>
              <w:t>理档案、业主资料档案（含业主或使用人房屋装修档</w:t>
            </w:r>
            <w:r>
              <w:rPr>
                <w:color w:val="auto"/>
                <w:spacing w:val="6"/>
                <w:highlight w:val="none"/>
              </w:rPr>
              <w:t>案）</w:t>
            </w:r>
            <w:r>
              <w:rPr>
                <w:color w:val="auto"/>
                <w:highlight w:val="none"/>
              </w:rPr>
              <w:t xml:space="preserve"> </w:t>
            </w:r>
            <w:r>
              <w:rPr>
                <w:color w:val="auto"/>
                <w:spacing w:val="1"/>
                <w:highlight w:val="none"/>
              </w:rPr>
              <w:t>等]。</w:t>
            </w:r>
          </w:p>
        </w:tc>
      </w:tr>
      <w:tr w14:paraId="06A3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149BBB45">
            <w:pPr>
              <w:rPr>
                <w:rFonts w:ascii="Arial"/>
                <w:color w:val="auto"/>
                <w:sz w:val="21"/>
                <w:highlight w:val="none"/>
              </w:rPr>
            </w:pPr>
          </w:p>
        </w:tc>
        <w:tc>
          <w:tcPr>
            <w:tcW w:w="1182" w:type="dxa"/>
            <w:vMerge w:val="continue"/>
            <w:tcBorders>
              <w:top w:val="nil"/>
              <w:bottom w:val="nil"/>
            </w:tcBorders>
            <w:vAlign w:val="top"/>
          </w:tcPr>
          <w:p w14:paraId="43B1D09C">
            <w:pPr>
              <w:rPr>
                <w:rFonts w:ascii="Arial"/>
                <w:color w:val="auto"/>
                <w:sz w:val="21"/>
                <w:highlight w:val="none"/>
              </w:rPr>
            </w:pPr>
          </w:p>
        </w:tc>
        <w:tc>
          <w:tcPr>
            <w:tcW w:w="1072" w:type="dxa"/>
            <w:vAlign w:val="top"/>
          </w:tcPr>
          <w:p w14:paraId="75F9072B">
            <w:pPr>
              <w:spacing w:line="349" w:lineRule="auto"/>
              <w:rPr>
                <w:rFonts w:ascii="Arial"/>
                <w:color w:val="auto"/>
                <w:sz w:val="21"/>
                <w:highlight w:val="none"/>
              </w:rPr>
            </w:pPr>
          </w:p>
          <w:p w14:paraId="4A4202B6">
            <w:pPr>
              <w:pStyle w:val="131"/>
              <w:spacing w:before="65" w:line="269" w:lineRule="exact"/>
              <w:ind w:left="443"/>
              <w:rPr>
                <w:color w:val="auto"/>
                <w:highlight w:val="none"/>
              </w:rPr>
            </w:pPr>
            <w:r>
              <w:rPr>
                <w:color w:val="auto"/>
                <w:spacing w:val="-7"/>
                <w:position w:val="1"/>
                <w:highlight w:val="none"/>
              </w:rPr>
              <w:t>13</w:t>
            </w:r>
          </w:p>
        </w:tc>
        <w:tc>
          <w:tcPr>
            <w:tcW w:w="1460" w:type="dxa"/>
            <w:vAlign w:val="top"/>
          </w:tcPr>
          <w:p w14:paraId="2894B241">
            <w:pPr>
              <w:spacing w:line="349" w:lineRule="auto"/>
              <w:rPr>
                <w:rFonts w:ascii="Arial"/>
                <w:color w:val="auto"/>
                <w:sz w:val="21"/>
                <w:highlight w:val="none"/>
              </w:rPr>
            </w:pPr>
          </w:p>
          <w:p w14:paraId="1E293FE2">
            <w:pPr>
              <w:pStyle w:val="131"/>
              <w:spacing w:before="65" w:line="228" w:lineRule="auto"/>
              <w:ind w:left="309"/>
              <w:rPr>
                <w:color w:val="auto"/>
                <w:highlight w:val="none"/>
              </w:rPr>
            </w:pPr>
            <w:r>
              <w:rPr>
                <w:color w:val="auto"/>
                <w:spacing w:val="7"/>
                <w:highlight w:val="none"/>
              </w:rPr>
              <w:t>财务管理</w:t>
            </w:r>
          </w:p>
        </w:tc>
        <w:tc>
          <w:tcPr>
            <w:tcW w:w="5206" w:type="dxa"/>
            <w:vAlign w:val="top"/>
          </w:tcPr>
          <w:p w14:paraId="3313E79B">
            <w:pPr>
              <w:pStyle w:val="131"/>
              <w:spacing w:before="195" w:line="320" w:lineRule="auto"/>
              <w:ind w:left="15" w:right="9" w:firstLine="1"/>
              <w:rPr>
                <w:color w:val="auto"/>
                <w:highlight w:val="none"/>
              </w:rPr>
            </w:pPr>
            <w:r>
              <w:rPr>
                <w:color w:val="auto"/>
                <w:spacing w:val="6"/>
                <w:highlight w:val="none"/>
              </w:rPr>
              <w:t>建立健全的财务管理制度，对物业服务费和其它费用的收</w:t>
            </w:r>
            <w:r>
              <w:rPr>
                <w:color w:val="auto"/>
                <w:spacing w:val="12"/>
                <w:highlight w:val="none"/>
              </w:rPr>
              <w:t xml:space="preserve"> </w:t>
            </w:r>
            <w:r>
              <w:rPr>
                <w:color w:val="auto"/>
                <w:spacing w:val="8"/>
                <w:highlight w:val="none"/>
              </w:rPr>
              <w:t>支进行财务管理，做到运作规范，账目清晰。</w:t>
            </w:r>
          </w:p>
        </w:tc>
      </w:tr>
      <w:tr w14:paraId="5B461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1141" w:type="dxa"/>
            <w:vMerge w:val="continue"/>
            <w:tcBorders>
              <w:top w:val="nil"/>
            </w:tcBorders>
            <w:vAlign w:val="top"/>
          </w:tcPr>
          <w:p w14:paraId="4F538994">
            <w:pPr>
              <w:rPr>
                <w:rFonts w:ascii="Arial"/>
                <w:color w:val="auto"/>
                <w:sz w:val="21"/>
                <w:highlight w:val="none"/>
              </w:rPr>
            </w:pPr>
          </w:p>
        </w:tc>
        <w:tc>
          <w:tcPr>
            <w:tcW w:w="1182" w:type="dxa"/>
            <w:vMerge w:val="continue"/>
            <w:tcBorders>
              <w:top w:val="nil"/>
            </w:tcBorders>
            <w:vAlign w:val="top"/>
          </w:tcPr>
          <w:p w14:paraId="05D0E35B">
            <w:pPr>
              <w:rPr>
                <w:rFonts w:ascii="Arial"/>
                <w:color w:val="auto"/>
                <w:sz w:val="21"/>
                <w:highlight w:val="none"/>
              </w:rPr>
            </w:pPr>
          </w:p>
        </w:tc>
        <w:tc>
          <w:tcPr>
            <w:tcW w:w="1072" w:type="dxa"/>
            <w:vAlign w:val="top"/>
          </w:tcPr>
          <w:p w14:paraId="6BBFF1AA">
            <w:pPr>
              <w:pStyle w:val="131"/>
              <w:spacing w:before="196"/>
              <w:ind w:left="443"/>
              <w:rPr>
                <w:color w:val="auto"/>
                <w:highlight w:val="none"/>
              </w:rPr>
            </w:pPr>
            <w:r>
              <w:rPr>
                <w:color w:val="auto"/>
                <w:spacing w:val="-7"/>
                <w:highlight w:val="none"/>
              </w:rPr>
              <w:t>14</w:t>
            </w:r>
          </w:p>
        </w:tc>
        <w:tc>
          <w:tcPr>
            <w:tcW w:w="1460" w:type="dxa"/>
            <w:vAlign w:val="top"/>
          </w:tcPr>
          <w:p w14:paraId="1B8C73E3">
            <w:pPr>
              <w:pStyle w:val="131"/>
              <w:spacing w:before="196" w:line="228" w:lineRule="auto"/>
              <w:ind w:left="311"/>
              <w:rPr>
                <w:color w:val="auto"/>
                <w:highlight w:val="none"/>
              </w:rPr>
            </w:pPr>
            <w:r>
              <w:rPr>
                <w:color w:val="auto"/>
                <w:spacing w:val="6"/>
                <w:highlight w:val="none"/>
              </w:rPr>
              <w:t>维修资金</w:t>
            </w:r>
          </w:p>
        </w:tc>
        <w:tc>
          <w:tcPr>
            <w:tcW w:w="5206" w:type="dxa"/>
            <w:vAlign w:val="top"/>
          </w:tcPr>
          <w:p w14:paraId="0F2F74B4">
            <w:pPr>
              <w:pStyle w:val="131"/>
              <w:spacing w:before="196" w:line="227" w:lineRule="auto"/>
              <w:ind w:left="14"/>
              <w:rPr>
                <w:color w:val="auto"/>
                <w:highlight w:val="none"/>
              </w:rPr>
            </w:pPr>
            <w:r>
              <w:rPr>
                <w:color w:val="auto"/>
                <w:spacing w:val="8"/>
                <w:highlight w:val="none"/>
              </w:rPr>
              <w:t>对小区房屋维修资金按照政府规定运作。</w:t>
            </w:r>
          </w:p>
        </w:tc>
      </w:tr>
      <w:tr w14:paraId="4FF86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9" w:hRule="atLeast"/>
          <w:jc w:val="center"/>
        </w:trPr>
        <w:tc>
          <w:tcPr>
            <w:tcW w:w="1141" w:type="dxa"/>
            <w:vMerge w:val="restart"/>
            <w:tcBorders>
              <w:bottom w:val="nil"/>
            </w:tcBorders>
            <w:vAlign w:val="top"/>
          </w:tcPr>
          <w:p w14:paraId="76AE4160">
            <w:pPr>
              <w:rPr>
                <w:rFonts w:ascii="Arial"/>
                <w:color w:val="auto"/>
                <w:sz w:val="21"/>
                <w:highlight w:val="none"/>
              </w:rPr>
            </w:pPr>
          </w:p>
        </w:tc>
        <w:tc>
          <w:tcPr>
            <w:tcW w:w="1182" w:type="dxa"/>
            <w:vMerge w:val="restart"/>
            <w:tcBorders>
              <w:bottom w:val="nil"/>
            </w:tcBorders>
            <w:vAlign w:val="top"/>
          </w:tcPr>
          <w:p w14:paraId="4E103654">
            <w:pPr>
              <w:rPr>
                <w:rFonts w:ascii="Arial"/>
                <w:color w:val="auto"/>
                <w:sz w:val="21"/>
                <w:highlight w:val="none"/>
              </w:rPr>
            </w:pPr>
          </w:p>
        </w:tc>
        <w:tc>
          <w:tcPr>
            <w:tcW w:w="1072" w:type="dxa"/>
            <w:vAlign w:val="top"/>
          </w:tcPr>
          <w:p w14:paraId="5923ADE3">
            <w:pPr>
              <w:spacing w:line="344" w:lineRule="auto"/>
              <w:rPr>
                <w:rFonts w:ascii="Arial"/>
                <w:color w:val="auto"/>
                <w:sz w:val="21"/>
                <w:highlight w:val="none"/>
              </w:rPr>
            </w:pPr>
          </w:p>
          <w:p w14:paraId="502EC7E1">
            <w:pPr>
              <w:pStyle w:val="131"/>
              <w:spacing w:before="65" w:line="268" w:lineRule="exact"/>
              <w:ind w:left="443"/>
              <w:rPr>
                <w:color w:val="auto"/>
                <w:highlight w:val="none"/>
              </w:rPr>
            </w:pPr>
            <w:r>
              <w:rPr>
                <w:color w:val="auto"/>
                <w:spacing w:val="-7"/>
                <w:position w:val="1"/>
                <w:highlight w:val="none"/>
              </w:rPr>
              <w:t>15</w:t>
            </w:r>
          </w:p>
        </w:tc>
        <w:tc>
          <w:tcPr>
            <w:tcW w:w="1460" w:type="dxa"/>
            <w:vAlign w:val="top"/>
          </w:tcPr>
          <w:p w14:paraId="38466941">
            <w:pPr>
              <w:spacing w:line="343" w:lineRule="auto"/>
              <w:rPr>
                <w:rFonts w:ascii="Arial"/>
                <w:color w:val="auto"/>
                <w:sz w:val="21"/>
                <w:highlight w:val="none"/>
              </w:rPr>
            </w:pPr>
          </w:p>
          <w:p w14:paraId="02666375">
            <w:pPr>
              <w:pStyle w:val="131"/>
              <w:spacing w:before="65" w:line="228" w:lineRule="auto"/>
              <w:ind w:left="308"/>
              <w:rPr>
                <w:color w:val="auto"/>
                <w:highlight w:val="none"/>
              </w:rPr>
            </w:pPr>
            <w:r>
              <w:rPr>
                <w:color w:val="auto"/>
                <w:spacing w:val="7"/>
                <w:highlight w:val="none"/>
              </w:rPr>
              <w:t>装修事项</w:t>
            </w:r>
          </w:p>
        </w:tc>
        <w:tc>
          <w:tcPr>
            <w:tcW w:w="5206" w:type="dxa"/>
            <w:vAlign w:val="top"/>
          </w:tcPr>
          <w:p w14:paraId="6A1A0F58">
            <w:pPr>
              <w:pStyle w:val="131"/>
              <w:spacing w:before="192" w:line="326" w:lineRule="auto"/>
              <w:ind w:left="23" w:right="12" w:hanging="4"/>
              <w:rPr>
                <w:color w:val="auto"/>
                <w:highlight w:val="none"/>
              </w:rPr>
            </w:pPr>
            <w:r>
              <w:rPr>
                <w:color w:val="auto"/>
                <w:spacing w:val="6"/>
                <w:highlight w:val="none"/>
              </w:rPr>
              <w:t>告知业主或使用人装修须知，对违规装修、违章搭建应及</w:t>
            </w:r>
            <w:r>
              <w:rPr>
                <w:color w:val="auto"/>
                <w:spacing w:val="8"/>
                <w:highlight w:val="none"/>
              </w:rPr>
              <w:t xml:space="preserve"> </w:t>
            </w:r>
            <w:r>
              <w:rPr>
                <w:color w:val="auto"/>
                <w:spacing w:val="7"/>
                <w:highlight w:val="none"/>
              </w:rPr>
              <w:t>时劝阻、制止并报告相关部门。</w:t>
            </w:r>
          </w:p>
        </w:tc>
      </w:tr>
      <w:tr w14:paraId="6F3F7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41" w:type="dxa"/>
            <w:vMerge w:val="continue"/>
            <w:tcBorders>
              <w:top w:val="nil"/>
            </w:tcBorders>
            <w:vAlign w:val="top"/>
          </w:tcPr>
          <w:p w14:paraId="0B3BC6C5">
            <w:pPr>
              <w:rPr>
                <w:rFonts w:ascii="Arial"/>
                <w:color w:val="auto"/>
                <w:sz w:val="21"/>
                <w:highlight w:val="none"/>
              </w:rPr>
            </w:pPr>
          </w:p>
        </w:tc>
        <w:tc>
          <w:tcPr>
            <w:tcW w:w="1182" w:type="dxa"/>
            <w:vMerge w:val="continue"/>
            <w:tcBorders>
              <w:top w:val="nil"/>
            </w:tcBorders>
            <w:vAlign w:val="top"/>
          </w:tcPr>
          <w:p w14:paraId="34CB334F">
            <w:pPr>
              <w:rPr>
                <w:rFonts w:ascii="Arial"/>
                <w:color w:val="auto"/>
                <w:sz w:val="21"/>
                <w:highlight w:val="none"/>
              </w:rPr>
            </w:pPr>
          </w:p>
        </w:tc>
        <w:tc>
          <w:tcPr>
            <w:tcW w:w="1072" w:type="dxa"/>
            <w:vAlign w:val="top"/>
          </w:tcPr>
          <w:p w14:paraId="1AC4F2E4">
            <w:pPr>
              <w:pStyle w:val="131"/>
              <w:spacing w:before="183" w:line="266" w:lineRule="exact"/>
              <w:ind w:left="443"/>
              <w:rPr>
                <w:color w:val="auto"/>
                <w:highlight w:val="none"/>
              </w:rPr>
            </w:pPr>
            <w:r>
              <w:rPr>
                <w:color w:val="auto"/>
                <w:spacing w:val="-7"/>
                <w:position w:val="1"/>
                <w:highlight w:val="none"/>
              </w:rPr>
              <w:t>16</w:t>
            </w:r>
          </w:p>
        </w:tc>
        <w:tc>
          <w:tcPr>
            <w:tcW w:w="1460" w:type="dxa"/>
            <w:vAlign w:val="top"/>
          </w:tcPr>
          <w:p w14:paraId="2D79B93B">
            <w:pPr>
              <w:pStyle w:val="131"/>
              <w:spacing w:before="182" w:line="228" w:lineRule="auto"/>
              <w:ind w:left="307"/>
              <w:rPr>
                <w:color w:val="auto"/>
                <w:highlight w:val="none"/>
              </w:rPr>
            </w:pPr>
            <w:r>
              <w:rPr>
                <w:color w:val="auto"/>
                <w:spacing w:val="7"/>
                <w:highlight w:val="none"/>
              </w:rPr>
              <w:t>接管项目</w:t>
            </w:r>
          </w:p>
        </w:tc>
        <w:tc>
          <w:tcPr>
            <w:tcW w:w="5206" w:type="dxa"/>
            <w:vAlign w:val="top"/>
          </w:tcPr>
          <w:p w14:paraId="3AA2ABF9">
            <w:pPr>
              <w:pStyle w:val="131"/>
              <w:spacing w:before="182" w:line="228" w:lineRule="auto"/>
              <w:jc w:val="right"/>
              <w:rPr>
                <w:color w:val="auto"/>
                <w:highlight w:val="none"/>
              </w:rPr>
            </w:pPr>
            <w:r>
              <w:rPr>
                <w:color w:val="auto"/>
                <w:spacing w:val="7"/>
                <w:highlight w:val="none"/>
              </w:rPr>
              <w:t>承接项目时，对小区共用部位、共用设施设备进行查验。</w:t>
            </w:r>
          </w:p>
        </w:tc>
      </w:tr>
      <w:tr w14:paraId="06F79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restart"/>
            <w:tcBorders>
              <w:bottom w:val="nil"/>
            </w:tcBorders>
            <w:vAlign w:val="top"/>
          </w:tcPr>
          <w:p w14:paraId="611F07FC">
            <w:pPr>
              <w:spacing w:line="244" w:lineRule="auto"/>
              <w:rPr>
                <w:rFonts w:ascii="Arial"/>
                <w:color w:val="auto"/>
                <w:sz w:val="21"/>
                <w:highlight w:val="none"/>
              </w:rPr>
            </w:pPr>
          </w:p>
          <w:p w14:paraId="7BA791ED">
            <w:pPr>
              <w:spacing w:line="244" w:lineRule="auto"/>
              <w:rPr>
                <w:rFonts w:ascii="Arial"/>
                <w:color w:val="auto"/>
                <w:sz w:val="21"/>
                <w:highlight w:val="none"/>
              </w:rPr>
            </w:pPr>
          </w:p>
          <w:p w14:paraId="23F73335">
            <w:pPr>
              <w:spacing w:line="244" w:lineRule="auto"/>
              <w:rPr>
                <w:rFonts w:ascii="Arial"/>
                <w:color w:val="auto"/>
                <w:sz w:val="21"/>
                <w:highlight w:val="none"/>
              </w:rPr>
            </w:pPr>
          </w:p>
          <w:p w14:paraId="527B0444">
            <w:pPr>
              <w:spacing w:line="244" w:lineRule="auto"/>
              <w:rPr>
                <w:rFonts w:ascii="Arial"/>
                <w:color w:val="auto"/>
                <w:sz w:val="21"/>
                <w:highlight w:val="none"/>
              </w:rPr>
            </w:pPr>
          </w:p>
          <w:p w14:paraId="542337A1">
            <w:pPr>
              <w:spacing w:line="244" w:lineRule="auto"/>
              <w:rPr>
                <w:rFonts w:ascii="Arial"/>
                <w:color w:val="auto"/>
                <w:sz w:val="21"/>
                <w:highlight w:val="none"/>
              </w:rPr>
            </w:pPr>
          </w:p>
          <w:p w14:paraId="7EF21F39">
            <w:pPr>
              <w:spacing w:line="244" w:lineRule="auto"/>
              <w:rPr>
                <w:rFonts w:ascii="Arial"/>
                <w:color w:val="auto"/>
                <w:sz w:val="21"/>
                <w:highlight w:val="none"/>
              </w:rPr>
            </w:pPr>
          </w:p>
          <w:p w14:paraId="0F6B242A">
            <w:pPr>
              <w:spacing w:line="244" w:lineRule="auto"/>
              <w:rPr>
                <w:rFonts w:ascii="Arial"/>
                <w:color w:val="auto"/>
                <w:sz w:val="21"/>
                <w:highlight w:val="none"/>
              </w:rPr>
            </w:pPr>
          </w:p>
          <w:p w14:paraId="17056D8A">
            <w:pPr>
              <w:spacing w:line="244" w:lineRule="auto"/>
              <w:rPr>
                <w:rFonts w:ascii="Arial"/>
                <w:color w:val="auto"/>
                <w:sz w:val="21"/>
                <w:highlight w:val="none"/>
              </w:rPr>
            </w:pPr>
          </w:p>
          <w:p w14:paraId="33A81737">
            <w:pPr>
              <w:spacing w:line="244" w:lineRule="auto"/>
              <w:rPr>
                <w:rFonts w:ascii="Arial"/>
                <w:color w:val="auto"/>
                <w:sz w:val="21"/>
                <w:highlight w:val="none"/>
              </w:rPr>
            </w:pPr>
          </w:p>
          <w:p w14:paraId="0597FE53">
            <w:pPr>
              <w:spacing w:line="244" w:lineRule="auto"/>
              <w:rPr>
                <w:rFonts w:ascii="Arial"/>
                <w:color w:val="auto"/>
                <w:sz w:val="21"/>
                <w:highlight w:val="none"/>
              </w:rPr>
            </w:pPr>
          </w:p>
          <w:p w14:paraId="545139A5">
            <w:pPr>
              <w:spacing w:line="244" w:lineRule="auto"/>
              <w:rPr>
                <w:rFonts w:ascii="Arial"/>
                <w:color w:val="auto"/>
                <w:sz w:val="21"/>
                <w:highlight w:val="none"/>
              </w:rPr>
            </w:pPr>
          </w:p>
          <w:p w14:paraId="6EFC17D4">
            <w:pPr>
              <w:spacing w:line="244" w:lineRule="auto"/>
              <w:rPr>
                <w:rFonts w:ascii="Arial"/>
                <w:color w:val="auto"/>
                <w:sz w:val="21"/>
                <w:highlight w:val="none"/>
              </w:rPr>
            </w:pPr>
          </w:p>
          <w:p w14:paraId="13708900">
            <w:pPr>
              <w:spacing w:line="244" w:lineRule="auto"/>
              <w:rPr>
                <w:rFonts w:ascii="Arial"/>
                <w:color w:val="auto"/>
                <w:sz w:val="21"/>
                <w:highlight w:val="none"/>
              </w:rPr>
            </w:pPr>
          </w:p>
          <w:p w14:paraId="2E282498">
            <w:pPr>
              <w:spacing w:line="244" w:lineRule="auto"/>
              <w:rPr>
                <w:rFonts w:ascii="Arial"/>
                <w:color w:val="auto"/>
                <w:sz w:val="21"/>
                <w:highlight w:val="none"/>
              </w:rPr>
            </w:pPr>
          </w:p>
          <w:p w14:paraId="74EA8A74">
            <w:pPr>
              <w:spacing w:line="244" w:lineRule="auto"/>
              <w:rPr>
                <w:rFonts w:ascii="Arial"/>
                <w:color w:val="auto"/>
                <w:sz w:val="21"/>
                <w:highlight w:val="none"/>
              </w:rPr>
            </w:pPr>
          </w:p>
          <w:p w14:paraId="65420E73">
            <w:pPr>
              <w:spacing w:line="244" w:lineRule="auto"/>
              <w:rPr>
                <w:rFonts w:ascii="Arial"/>
                <w:color w:val="auto"/>
                <w:sz w:val="21"/>
                <w:highlight w:val="none"/>
              </w:rPr>
            </w:pPr>
          </w:p>
          <w:p w14:paraId="409A0FF5">
            <w:pPr>
              <w:spacing w:line="245" w:lineRule="auto"/>
              <w:rPr>
                <w:rFonts w:ascii="Arial"/>
                <w:color w:val="auto"/>
                <w:sz w:val="21"/>
                <w:highlight w:val="none"/>
              </w:rPr>
            </w:pPr>
          </w:p>
          <w:p w14:paraId="20281CDA">
            <w:pPr>
              <w:spacing w:line="245" w:lineRule="auto"/>
              <w:rPr>
                <w:rFonts w:ascii="Arial"/>
                <w:color w:val="auto"/>
                <w:sz w:val="21"/>
                <w:highlight w:val="none"/>
              </w:rPr>
            </w:pPr>
          </w:p>
          <w:p w14:paraId="59CBD7FD">
            <w:pPr>
              <w:spacing w:line="245" w:lineRule="auto"/>
              <w:rPr>
                <w:rFonts w:ascii="Arial"/>
                <w:color w:val="auto"/>
                <w:sz w:val="21"/>
                <w:highlight w:val="none"/>
              </w:rPr>
            </w:pPr>
          </w:p>
          <w:p w14:paraId="2386AEA4">
            <w:pPr>
              <w:spacing w:line="245" w:lineRule="auto"/>
              <w:rPr>
                <w:rFonts w:ascii="Arial"/>
                <w:color w:val="auto"/>
                <w:sz w:val="21"/>
                <w:highlight w:val="none"/>
              </w:rPr>
            </w:pPr>
          </w:p>
          <w:p w14:paraId="7B4CAF7A">
            <w:pPr>
              <w:pStyle w:val="131"/>
              <w:spacing w:before="65" w:line="228" w:lineRule="auto"/>
              <w:ind w:left="53"/>
              <w:rPr>
                <w:color w:val="auto"/>
                <w:highlight w:val="none"/>
              </w:rPr>
            </w:pPr>
            <w:r>
              <w:rPr>
                <w:color w:val="auto"/>
                <w:spacing w:val="6"/>
                <w:highlight w:val="none"/>
              </w:rPr>
              <w:t>（二）公共</w:t>
            </w:r>
          </w:p>
          <w:p w14:paraId="11DC9699">
            <w:pPr>
              <w:pStyle w:val="131"/>
              <w:spacing w:before="192" w:line="228" w:lineRule="auto"/>
              <w:ind w:left="59"/>
              <w:rPr>
                <w:color w:val="auto"/>
                <w:highlight w:val="none"/>
              </w:rPr>
            </w:pPr>
            <w:r>
              <w:rPr>
                <w:color w:val="auto"/>
                <w:spacing w:val="5"/>
                <w:highlight w:val="none"/>
              </w:rPr>
              <w:t>区域秩序维</w:t>
            </w:r>
          </w:p>
          <w:p w14:paraId="7458DBD5">
            <w:pPr>
              <w:pStyle w:val="131"/>
              <w:spacing w:before="193" w:line="228" w:lineRule="auto"/>
              <w:ind w:left="44"/>
              <w:rPr>
                <w:color w:val="auto"/>
                <w:highlight w:val="none"/>
              </w:rPr>
            </w:pPr>
            <w:r>
              <w:rPr>
                <w:color w:val="auto"/>
                <w:spacing w:val="7"/>
                <w:highlight w:val="none"/>
              </w:rPr>
              <w:t>护服务标准</w:t>
            </w:r>
          </w:p>
        </w:tc>
        <w:tc>
          <w:tcPr>
            <w:tcW w:w="1182" w:type="dxa"/>
            <w:vMerge w:val="restart"/>
            <w:tcBorders>
              <w:bottom w:val="nil"/>
            </w:tcBorders>
            <w:vAlign w:val="top"/>
          </w:tcPr>
          <w:p w14:paraId="42A28ABB">
            <w:pPr>
              <w:spacing w:line="245" w:lineRule="auto"/>
              <w:rPr>
                <w:rFonts w:ascii="Arial"/>
                <w:color w:val="auto"/>
                <w:sz w:val="21"/>
                <w:highlight w:val="none"/>
              </w:rPr>
            </w:pPr>
          </w:p>
          <w:p w14:paraId="50192B6E">
            <w:pPr>
              <w:spacing w:line="245" w:lineRule="auto"/>
              <w:rPr>
                <w:rFonts w:ascii="Arial"/>
                <w:color w:val="auto"/>
                <w:sz w:val="21"/>
                <w:highlight w:val="none"/>
              </w:rPr>
            </w:pPr>
          </w:p>
          <w:p w14:paraId="664236C6">
            <w:pPr>
              <w:spacing w:line="245" w:lineRule="auto"/>
              <w:rPr>
                <w:rFonts w:ascii="Arial"/>
                <w:color w:val="auto"/>
                <w:sz w:val="21"/>
                <w:highlight w:val="none"/>
              </w:rPr>
            </w:pPr>
          </w:p>
          <w:p w14:paraId="3A861E62">
            <w:pPr>
              <w:spacing w:line="246" w:lineRule="auto"/>
              <w:rPr>
                <w:rFonts w:ascii="Arial"/>
                <w:color w:val="auto"/>
                <w:sz w:val="21"/>
                <w:highlight w:val="none"/>
              </w:rPr>
            </w:pPr>
          </w:p>
          <w:p w14:paraId="0201913A">
            <w:pPr>
              <w:spacing w:line="246" w:lineRule="auto"/>
              <w:rPr>
                <w:rFonts w:ascii="Arial"/>
                <w:color w:val="auto"/>
                <w:sz w:val="21"/>
                <w:highlight w:val="none"/>
              </w:rPr>
            </w:pPr>
          </w:p>
          <w:p w14:paraId="53E33EEB">
            <w:pPr>
              <w:spacing w:line="246" w:lineRule="auto"/>
              <w:rPr>
                <w:rFonts w:ascii="Arial"/>
                <w:color w:val="auto"/>
                <w:sz w:val="21"/>
                <w:highlight w:val="none"/>
              </w:rPr>
            </w:pPr>
          </w:p>
          <w:p w14:paraId="097386FC">
            <w:pPr>
              <w:spacing w:line="246" w:lineRule="auto"/>
              <w:rPr>
                <w:rFonts w:ascii="Arial"/>
                <w:color w:val="auto"/>
                <w:sz w:val="21"/>
                <w:highlight w:val="none"/>
              </w:rPr>
            </w:pPr>
          </w:p>
          <w:p w14:paraId="2D183203">
            <w:pPr>
              <w:pStyle w:val="131"/>
              <w:spacing w:before="65" w:line="229" w:lineRule="auto"/>
              <w:ind w:left="169"/>
              <w:rPr>
                <w:color w:val="auto"/>
                <w:highlight w:val="none"/>
              </w:rPr>
            </w:pPr>
            <w:r>
              <w:rPr>
                <w:color w:val="auto"/>
                <w:spacing w:val="6"/>
                <w:highlight w:val="none"/>
              </w:rPr>
              <w:t>人员要求</w:t>
            </w:r>
          </w:p>
        </w:tc>
        <w:tc>
          <w:tcPr>
            <w:tcW w:w="1072" w:type="dxa"/>
            <w:vAlign w:val="top"/>
          </w:tcPr>
          <w:p w14:paraId="238DDA90">
            <w:pPr>
              <w:spacing w:line="338" w:lineRule="auto"/>
              <w:rPr>
                <w:rFonts w:ascii="Arial"/>
                <w:color w:val="auto"/>
                <w:sz w:val="21"/>
                <w:highlight w:val="none"/>
              </w:rPr>
            </w:pPr>
          </w:p>
          <w:p w14:paraId="7D9A7993">
            <w:pPr>
              <w:pStyle w:val="131"/>
              <w:spacing w:before="65" w:line="270" w:lineRule="exact"/>
              <w:ind w:left="496"/>
              <w:rPr>
                <w:color w:val="auto"/>
                <w:highlight w:val="none"/>
              </w:rPr>
            </w:pPr>
            <w:r>
              <w:rPr>
                <w:color w:val="auto"/>
                <w:position w:val="1"/>
                <w:highlight w:val="none"/>
              </w:rPr>
              <w:t>1</w:t>
            </w:r>
          </w:p>
        </w:tc>
        <w:tc>
          <w:tcPr>
            <w:tcW w:w="1460" w:type="dxa"/>
            <w:vAlign w:val="top"/>
          </w:tcPr>
          <w:p w14:paraId="27C8BF1E">
            <w:pPr>
              <w:spacing w:line="338" w:lineRule="auto"/>
              <w:rPr>
                <w:rFonts w:ascii="Arial"/>
                <w:color w:val="auto"/>
                <w:sz w:val="21"/>
                <w:highlight w:val="none"/>
              </w:rPr>
            </w:pPr>
          </w:p>
          <w:p w14:paraId="110665D0">
            <w:pPr>
              <w:pStyle w:val="131"/>
              <w:spacing w:before="65" w:line="229" w:lineRule="auto"/>
              <w:ind w:left="310"/>
              <w:rPr>
                <w:color w:val="auto"/>
                <w:highlight w:val="none"/>
              </w:rPr>
            </w:pPr>
            <w:r>
              <w:rPr>
                <w:color w:val="auto"/>
                <w:spacing w:val="6"/>
                <w:highlight w:val="none"/>
              </w:rPr>
              <w:t>人员配备</w:t>
            </w:r>
          </w:p>
        </w:tc>
        <w:tc>
          <w:tcPr>
            <w:tcW w:w="5206" w:type="dxa"/>
            <w:vAlign w:val="top"/>
          </w:tcPr>
          <w:p w14:paraId="7F8485AD">
            <w:pPr>
              <w:pStyle w:val="131"/>
              <w:spacing w:before="184" w:line="325" w:lineRule="auto"/>
              <w:ind w:left="20" w:right="63" w:hanging="1"/>
              <w:rPr>
                <w:color w:val="auto"/>
                <w:highlight w:val="none"/>
              </w:rPr>
            </w:pPr>
            <w:r>
              <w:rPr>
                <w:color w:val="auto"/>
                <w:spacing w:val="8"/>
                <w:highlight w:val="none"/>
              </w:rPr>
              <w:t>安全护卫人员中</w:t>
            </w:r>
            <w:r>
              <w:rPr>
                <w:color w:val="auto"/>
                <w:spacing w:val="-31"/>
                <w:highlight w:val="none"/>
              </w:rPr>
              <w:t xml:space="preserve"> </w:t>
            </w:r>
            <w:r>
              <w:rPr>
                <w:color w:val="auto"/>
                <w:spacing w:val="8"/>
                <w:highlight w:val="none"/>
              </w:rPr>
              <w:t>45</w:t>
            </w:r>
            <w:r>
              <w:rPr>
                <w:color w:val="auto"/>
                <w:spacing w:val="-35"/>
                <w:highlight w:val="none"/>
              </w:rPr>
              <w:t xml:space="preserve"> </w:t>
            </w:r>
            <w:r>
              <w:rPr>
                <w:color w:val="auto"/>
                <w:spacing w:val="8"/>
                <w:highlight w:val="none"/>
              </w:rPr>
              <w:t>周岁以下的人员占总数的</w:t>
            </w:r>
            <w:r>
              <w:rPr>
                <w:color w:val="auto"/>
                <w:spacing w:val="-35"/>
                <w:highlight w:val="none"/>
              </w:rPr>
              <w:t xml:space="preserve"> </w:t>
            </w:r>
            <w:r>
              <w:rPr>
                <w:color w:val="auto"/>
                <w:spacing w:val="8"/>
                <w:highlight w:val="none"/>
              </w:rPr>
              <w:t>40%以上，</w:t>
            </w:r>
            <w:r>
              <w:rPr>
                <w:color w:val="auto"/>
                <w:highlight w:val="none"/>
              </w:rPr>
              <w:t xml:space="preserve"> </w:t>
            </w:r>
            <w:r>
              <w:rPr>
                <w:color w:val="auto"/>
                <w:spacing w:val="7"/>
                <w:highlight w:val="none"/>
              </w:rPr>
              <w:t>身体健康，工作认真负责。</w:t>
            </w:r>
          </w:p>
        </w:tc>
      </w:tr>
      <w:tr w14:paraId="583B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127DCDCC">
            <w:pPr>
              <w:rPr>
                <w:rFonts w:ascii="Arial"/>
                <w:color w:val="auto"/>
                <w:sz w:val="21"/>
                <w:highlight w:val="none"/>
              </w:rPr>
            </w:pPr>
          </w:p>
        </w:tc>
        <w:tc>
          <w:tcPr>
            <w:tcW w:w="1182" w:type="dxa"/>
            <w:vMerge w:val="continue"/>
            <w:tcBorders>
              <w:top w:val="nil"/>
              <w:bottom w:val="nil"/>
            </w:tcBorders>
            <w:vAlign w:val="top"/>
          </w:tcPr>
          <w:p w14:paraId="39D24576">
            <w:pPr>
              <w:rPr>
                <w:rFonts w:ascii="Arial"/>
                <w:color w:val="auto"/>
                <w:sz w:val="21"/>
                <w:highlight w:val="none"/>
              </w:rPr>
            </w:pPr>
          </w:p>
        </w:tc>
        <w:tc>
          <w:tcPr>
            <w:tcW w:w="1072" w:type="dxa"/>
            <w:vAlign w:val="top"/>
          </w:tcPr>
          <w:p w14:paraId="6EC3A57B">
            <w:pPr>
              <w:spacing w:line="338" w:lineRule="auto"/>
              <w:rPr>
                <w:rFonts w:ascii="Arial"/>
                <w:color w:val="auto"/>
                <w:sz w:val="21"/>
                <w:highlight w:val="none"/>
              </w:rPr>
            </w:pPr>
          </w:p>
          <w:p w14:paraId="47EAD833">
            <w:pPr>
              <w:pStyle w:val="131"/>
              <w:spacing w:before="65" w:line="270" w:lineRule="exact"/>
              <w:ind w:left="483"/>
              <w:rPr>
                <w:color w:val="auto"/>
                <w:highlight w:val="none"/>
              </w:rPr>
            </w:pPr>
            <w:r>
              <w:rPr>
                <w:color w:val="auto"/>
                <w:position w:val="1"/>
                <w:highlight w:val="none"/>
              </w:rPr>
              <w:t>2</w:t>
            </w:r>
          </w:p>
        </w:tc>
        <w:tc>
          <w:tcPr>
            <w:tcW w:w="1460" w:type="dxa"/>
            <w:vAlign w:val="top"/>
          </w:tcPr>
          <w:p w14:paraId="4050DCC9">
            <w:pPr>
              <w:spacing w:line="338" w:lineRule="auto"/>
              <w:rPr>
                <w:rFonts w:ascii="Arial"/>
                <w:color w:val="auto"/>
                <w:sz w:val="21"/>
                <w:highlight w:val="none"/>
              </w:rPr>
            </w:pPr>
          </w:p>
          <w:p w14:paraId="55500F35">
            <w:pPr>
              <w:pStyle w:val="131"/>
              <w:spacing w:before="65" w:line="228" w:lineRule="auto"/>
              <w:ind w:left="309"/>
              <w:rPr>
                <w:color w:val="auto"/>
                <w:highlight w:val="none"/>
              </w:rPr>
            </w:pPr>
            <w:r>
              <w:rPr>
                <w:color w:val="auto"/>
                <w:spacing w:val="7"/>
                <w:highlight w:val="none"/>
              </w:rPr>
              <w:t>技能训练</w:t>
            </w:r>
          </w:p>
        </w:tc>
        <w:tc>
          <w:tcPr>
            <w:tcW w:w="5206" w:type="dxa"/>
            <w:vAlign w:val="top"/>
          </w:tcPr>
          <w:p w14:paraId="6A778820">
            <w:pPr>
              <w:pStyle w:val="131"/>
              <w:spacing w:before="184" w:line="325" w:lineRule="auto"/>
              <w:ind w:left="15" w:right="12" w:firstLine="3"/>
              <w:rPr>
                <w:color w:val="auto"/>
                <w:highlight w:val="none"/>
              </w:rPr>
            </w:pPr>
            <w:r>
              <w:rPr>
                <w:color w:val="auto"/>
                <w:spacing w:val="6"/>
                <w:highlight w:val="none"/>
              </w:rPr>
              <w:t>安全护卫人员接受过安全技能训练（专项培训、岗中持续</w:t>
            </w:r>
            <w:r>
              <w:rPr>
                <w:color w:val="auto"/>
                <w:spacing w:val="8"/>
                <w:highlight w:val="none"/>
              </w:rPr>
              <w:t xml:space="preserve"> </w:t>
            </w:r>
            <w:r>
              <w:rPr>
                <w:color w:val="auto"/>
                <w:spacing w:val="4"/>
                <w:highlight w:val="none"/>
              </w:rPr>
              <w:t>培训）的比例为 50%</w:t>
            </w:r>
            <w:r>
              <w:rPr>
                <w:color w:val="auto"/>
                <w:spacing w:val="48"/>
                <w:highlight w:val="none"/>
              </w:rPr>
              <w:t xml:space="preserve"> </w:t>
            </w:r>
            <w:r>
              <w:rPr>
                <w:color w:val="auto"/>
                <w:spacing w:val="4"/>
                <w:highlight w:val="none"/>
              </w:rPr>
              <w:t>以上。</w:t>
            </w:r>
          </w:p>
        </w:tc>
      </w:tr>
      <w:tr w14:paraId="0638A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0D717BE6">
            <w:pPr>
              <w:rPr>
                <w:rFonts w:ascii="Arial"/>
                <w:color w:val="auto"/>
                <w:sz w:val="21"/>
                <w:highlight w:val="none"/>
              </w:rPr>
            </w:pPr>
          </w:p>
        </w:tc>
        <w:tc>
          <w:tcPr>
            <w:tcW w:w="1182" w:type="dxa"/>
            <w:vMerge w:val="continue"/>
            <w:tcBorders>
              <w:top w:val="nil"/>
              <w:bottom w:val="nil"/>
            </w:tcBorders>
            <w:vAlign w:val="top"/>
          </w:tcPr>
          <w:p w14:paraId="36283596">
            <w:pPr>
              <w:rPr>
                <w:rFonts w:ascii="Arial"/>
                <w:color w:val="auto"/>
                <w:sz w:val="21"/>
                <w:highlight w:val="none"/>
              </w:rPr>
            </w:pPr>
          </w:p>
        </w:tc>
        <w:tc>
          <w:tcPr>
            <w:tcW w:w="1072" w:type="dxa"/>
            <w:vAlign w:val="top"/>
          </w:tcPr>
          <w:p w14:paraId="567D8E70">
            <w:pPr>
              <w:spacing w:line="338" w:lineRule="auto"/>
              <w:rPr>
                <w:rFonts w:ascii="Arial"/>
                <w:color w:val="auto"/>
                <w:sz w:val="21"/>
                <w:highlight w:val="none"/>
              </w:rPr>
            </w:pPr>
          </w:p>
          <w:p w14:paraId="452C720A">
            <w:pPr>
              <w:pStyle w:val="131"/>
              <w:spacing w:before="65" w:line="269" w:lineRule="exact"/>
              <w:ind w:left="484"/>
              <w:rPr>
                <w:color w:val="auto"/>
                <w:highlight w:val="none"/>
              </w:rPr>
            </w:pPr>
            <w:r>
              <w:rPr>
                <w:color w:val="auto"/>
                <w:position w:val="1"/>
                <w:highlight w:val="none"/>
              </w:rPr>
              <w:t>3</w:t>
            </w:r>
          </w:p>
        </w:tc>
        <w:tc>
          <w:tcPr>
            <w:tcW w:w="1460" w:type="dxa"/>
            <w:vAlign w:val="top"/>
          </w:tcPr>
          <w:p w14:paraId="37B967DC">
            <w:pPr>
              <w:spacing w:line="338" w:lineRule="auto"/>
              <w:rPr>
                <w:rFonts w:ascii="Arial"/>
                <w:color w:val="auto"/>
                <w:sz w:val="21"/>
                <w:highlight w:val="none"/>
              </w:rPr>
            </w:pPr>
          </w:p>
          <w:p w14:paraId="56949183">
            <w:pPr>
              <w:pStyle w:val="131"/>
              <w:spacing w:before="65" w:line="228" w:lineRule="auto"/>
              <w:ind w:left="309"/>
              <w:rPr>
                <w:color w:val="auto"/>
                <w:highlight w:val="none"/>
              </w:rPr>
            </w:pPr>
            <w:r>
              <w:rPr>
                <w:color w:val="auto"/>
                <w:spacing w:val="7"/>
                <w:highlight w:val="none"/>
              </w:rPr>
              <w:t>技能水平</w:t>
            </w:r>
          </w:p>
        </w:tc>
        <w:tc>
          <w:tcPr>
            <w:tcW w:w="5206" w:type="dxa"/>
            <w:vAlign w:val="top"/>
          </w:tcPr>
          <w:p w14:paraId="23178515">
            <w:pPr>
              <w:pStyle w:val="131"/>
              <w:spacing w:before="184" w:line="325" w:lineRule="auto"/>
              <w:ind w:left="27" w:right="9" w:hanging="12"/>
              <w:rPr>
                <w:color w:val="auto"/>
                <w:highlight w:val="none"/>
              </w:rPr>
            </w:pPr>
            <w:r>
              <w:rPr>
                <w:color w:val="auto"/>
                <w:spacing w:val="6"/>
                <w:highlight w:val="none"/>
              </w:rPr>
              <w:t>有较强的安全防范能力，能正确使用各类消防、物防、技</w:t>
            </w:r>
            <w:r>
              <w:rPr>
                <w:color w:val="auto"/>
                <w:spacing w:val="14"/>
                <w:highlight w:val="none"/>
              </w:rPr>
              <w:t xml:space="preserve"> </w:t>
            </w:r>
            <w:r>
              <w:rPr>
                <w:color w:val="auto"/>
                <w:spacing w:val="5"/>
                <w:highlight w:val="none"/>
              </w:rPr>
              <w:t>防设备和器材。</w:t>
            </w:r>
          </w:p>
        </w:tc>
      </w:tr>
      <w:tr w14:paraId="758C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41" w:type="dxa"/>
            <w:vMerge w:val="continue"/>
            <w:tcBorders>
              <w:top w:val="nil"/>
              <w:bottom w:val="nil"/>
            </w:tcBorders>
            <w:vAlign w:val="top"/>
          </w:tcPr>
          <w:p w14:paraId="09DE5D16">
            <w:pPr>
              <w:rPr>
                <w:rFonts w:ascii="Arial"/>
                <w:color w:val="auto"/>
                <w:sz w:val="21"/>
                <w:highlight w:val="none"/>
              </w:rPr>
            </w:pPr>
          </w:p>
        </w:tc>
        <w:tc>
          <w:tcPr>
            <w:tcW w:w="1182" w:type="dxa"/>
            <w:vMerge w:val="continue"/>
            <w:tcBorders>
              <w:top w:val="nil"/>
              <w:bottom w:val="nil"/>
            </w:tcBorders>
            <w:vAlign w:val="top"/>
          </w:tcPr>
          <w:p w14:paraId="3D990A14">
            <w:pPr>
              <w:rPr>
                <w:rFonts w:ascii="Arial"/>
                <w:color w:val="auto"/>
                <w:sz w:val="21"/>
                <w:highlight w:val="none"/>
              </w:rPr>
            </w:pPr>
          </w:p>
        </w:tc>
        <w:tc>
          <w:tcPr>
            <w:tcW w:w="1072" w:type="dxa"/>
            <w:vAlign w:val="top"/>
          </w:tcPr>
          <w:p w14:paraId="18BF64E2">
            <w:pPr>
              <w:pStyle w:val="131"/>
              <w:spacing w:before="187" w:line="241" w:lineRule="auto"/>
              <w:ind w:left="479"/>
              <w:rPr>
                <w:color w:val="auto"/>
                <w:highlight w:val="none"/>
              </w:rPr>
            </w:pPr>
            <w:r>
              <w:rPr>
                <w:color w:val="auto"/>
                <w:highlight w:val="none"/>
              </w:rPr>
              <w:t>4</w:t>
            </w:r>
          </w:p>
        </w:tc>
        <w:tc>
          <w:tcPr>
            <w:tcW w:w="1460" w:type="dxa"/>
            <w:vAlign w:val="top"/>
          </w:tcPr>
          <w:p w14:paraId="2FB97CCF">
            <w:pPr>
              <w:pStyle w:val="131"/>
              <w:spacing w:before="187" w:line="228" w:lineRule="auto"/>
              <w:ind w:left="308"/>
              <w:rPr>
                <w:color w:val="auto"/>
                <w:highlight w:val="none"/>
              </w:rPr>
            </w:pPr>
            <w:r>
              <w:rPr>
                <w:color w:val="auto"/>
                <w:spacing w:val="7"/>
                <w:highlight w:val="none"/>
              </w:rPr>
              <w:t>服装仪容</w:t>
            </w:r>
          </w:p>
        </w:tc>
        <w:tc>
          <w:tcPr>
            <w:tcW w:w="5206" w:type="dxa"/>
            <w:vAlign w:val="top"/>
          </w:tcPr>
          <w:p w14:paraId="1AEABFE9">
            <w:pPr>
              <w:pStyle w:val="131"/>
              <w:spacing w:before="187" w:line="228" w:lineRule="auto"/>
              <w:ind w:left="16"/>
              <w:rPr>
                <w:color w:val="auto"/>
                <w:highlight w:val="none"/>
              </w:rPr>
            </w:pPr>
            <w:r>
              <w:rPr>
                <w:color w:val="auto"/>
                <w:spacing w:val="9"/>
                <w:highlight w:val="none"/>
              </w:rPr>
              <w:t>上岗时佩戴统一标志，穿戴统一服装，仪容仪表规范。</w:t>
            </w:r>
          </w:p>
        </w:tc>
      </w:tr>
      <w:tr w14:paraId="75121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141" w:type="dxa"/>
            <w:vMerge w:val="continue"/>
            <w:tcBorders>
              <w:top w:val="nil"/>
              <w:bottom w:val="nil"/>
            </w:tcBorders>
            <w:vAlign w:val="top"/>
          </w:tcPr>
          <w:p w14:paraId="7864B065">
            <w:pPr>
              <w:rPr>
                <w:rFonts w:ascii="Arial"/>
                <w:color w:val="auto"/>
                <w:sz w:val="21"/>
                <w:highlight w:val="none"/>
              </w:rPr>
            </w:pPr>
          </w:p>
        </w:tc>
        <w:tc>
          <w:tcPr>
            <w:tcW w:w="1182" w:type="dxa"/>
            <w:vMerge w:val="continue"/>
            <w:tcBorders>
              <w:top w:val="nil"/>
            </w:tcBorders>
            <w:vAlign w:val="top"/>
          </w:tcPr>
          <w:p w14:paraId="0D75C0D4">
            <w:pPr>
              <w:rPr>
                <w:rFonts w:ascii="Arial"/>
                <w:color w:val="auto"/>
                <w:sz w:val="21"/>
                <w:highlight w:val="none"/>
              </w:rPr>
            </w:pPr>
          </w:p>
        </w:tc>
        <w:tc>
          <w:tcPr>
            <w:tcW w:w="1072" w:type="dxa"/>
            <w:vAlign w:val="top"/>
          </w:tcPr>
          <w:p w14:paraId="76CD019F">
            <w:pPr>
              <w:pStyle w:val="131"/>
              <w:spacing w:before="188" w:line="241" w:lineRule="auto"/>
              <w:ind w:left="484"/>
              <w:rPr>
                <w:color w:val="auto"/>
                <w:highlight w:val="none"/>
              </w:rPr>
            </w:pPr>
            <w:r>
              <w:rPr>
                <w:color w:val="auto"/>
                <w:highlight w:val="none"/>
              </w:rPr>
              <w:t>5</w:t>
            </w:r>
          </w:p>
        </w:tc>
        <w:tc>
          <w:tcPr>
            <w:tcW w:w="1460" w:type="dxa"/>
            <w:vAlign w:val="top"/>
          </w:tcPr>
          <w:p w14:paraId="3DD70397">
            <w:pPr>
              <w:pStyle w:val="131"/>
              <w:spacing w:before="188" w:line="228" w:lineRule="auto"/>
              <w:ind w:left="308"/>
              <w:rPr>
                <w:color w:val="auto"/>
                <w:highlight w:val="none"/>
              </w:rPr>
            </w:pPr>
            <w:r>
              <w:rPr>
                <w:color w:val="auto"/>
                <w:spacing w:val="7"/>
                <w:highlight w:val="none"/>
              </w:rPr>
              <w:t>器械配备</w:t>
            </w:r>
          </w:p>
        </w:tc>
        <w:tc>
          <w:tcPr>
            <w:tcW w:w="5206" w:type="dxa"/>
            <w:vAlign w:val="top"/>
          </w:tcPr>
          <w:p w14:paraId="4AE1AFDA">
            <w:pPr>
              <w:pStyle w:val="131"/>
              <w:spacing w:before="188" w:line="228" w:lineRule="auto"/>
              <w:ind w:left="14"/>
              <w:rPr>
                <w:color w:val="auto"/>
                <w:highlight w:val="none"/>
              </w:rPr>
            </w:pPr>
            <w:r>
              <w:rPr>
                <w:color w:val="auto"/>
                <w:spacing w:val="8"/>
                <w:highlight w:val="none"/>
              </w:rPr>
              <w:t>配备对讲装置或必要的安全护卫器械。</w:t>
            </w:r>
          </w:p>
        </w:tc>
      </w:tr>
      <w:tr w14:paraId="26A4F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79AD7DDD">
            <w:pPr>
              <w:rPr>
                <w:rFonts w:ascii="Arial"/>
                <w:color w:val="auto"/>
                <w:sz w:val="21"/>
                <w:highlight w:val="none"/>
              </w:rPr>
            </w:pPr>
          </w:p>
        </w:tc>
        <w:tc>
          <w:tcPr>
            <w:tcW w:w="1182" w:type="dxa"/>
            <w:vMerge w:val="restart"/>
            <w:tcBorders>
              <w:bottom w:val="nil"/>
            </w:tcBorders>
            <w:vAlign w:val="top"/>
          </w:tcPr>
          <w:p w14:paraId="3E5FCB9A">
            <w:pPr>
              <w:spacing w:line="241" w:lineRule="auto"/>
              <w:rPr>
                <w:rFonts w:ascii="Arial"/>
                <w:color w:val="auto"/>
                <w:sz w:val="21"/>
                <w:highlight w:val="none"/>
              </w:rPr>
            </w:pPr>
          </w:p>
          <w:p w14:paraId="7322DD7C">
            <w:pPr>
              <w:spacing w:line="241" w:lineRule="auto"/>
              <w:rPr>
                <w:rFonts w:ascii="Arial"/>
                <w:color w:val="auto"/>
                <w:sz w:val="21"/>
                <w:highlight w:val="none"/>
              </w:rPr>
            </w:pPr>
          </w:p>
          <w:p w14:paraId="1279D7FF">
            <w:pPr>
              <w:spacing w:line="241" w:lineRule="auto"/>
              <w:rPr>
                <w:rFonts w:ascii="Arial"/>
                <w:color w:val="auto"/>
                <w:sz w:val="21"/>
                <w:highlight w:val="none"/>
              </w:rPr>
            </w:pPr>
          </w:p>
          <w:p w14:paraId="35B9FAD3">
            <w:pPr>
              <w:spacing w:line="241" w:lineRule="auto"/>
              <w:rPr>
                <w:rFonts w:ascii="Arial"/>
                <w:color w:val="auto"/>
                <w:sz w:val="21"/>
                <w:highlight w:val="none"/>
              </w:rPr>
            </w:pPr>
          </w:p>
          <w:p w14:paraId="539EA255">
            <w:pPr>
              <w:spacing w:line="241" w:lineRule="auto"/>
              <w:rPr>
                <w:rFonts w:ascii="Arial"/>
                <w:color w:val="auto"/>
                <w:sz w:val="21"/>
                <w:highlight w:val="none"/>
              </w:rPr>
            </w:pPr>
          </w:p>
          <w:p w14:paraId="69A2ACAD">
            <w:pPr>
              <w:spacing w:line="241" w:lineRule="auto"/>
              <w:rPr>
                <w:rFonts w:ascii="Arial"/>
                <w:color w:val="auto"/>
                <w:sz w:val="21"/>
                <w:highlight w:val="none"/>
              </w:rPr>
            </w:pPr>
          </w:p>
          <w:p w14:paraId="5FB020F2">
            <w:pPr>
              <w:spacing w:line="242" w:lineRule="auto"/>
              <w:rPr>
                <w:rFonts w:ascii="Arial"/>
                <w:color w:val="auto"/>
                <w:sz w:val="21"/>
                <w:highlight w:val="none"/>
              </w:rPr>
            </w:pPr>
          </w:p>
          <w:p w14:paraId="143A040A">
            <w:pPr>
              <w:pStyle w:val="131"/>
              <w:spacing w:before="65" w:line="228" w:lineRule="auto"/>
              <w:ind w:left="399"/>
              <w:rPr>
                <w:color w:val="auto"/>
                <w:highlight w:val="none"/>
              </w:rPr>
            </w:pPr>
            <w:r>
              <w:rPr>
                <w:color w:val="auto"/>
                <w:spacing w:val="-7"/>
                <w:highlight w:val="none"/>
              </w:rPr>
              <w:t>门岗</w:t>
            </w:r>
          </w:p>
        </w:tc>
        <w:tc>
          <w:tcPr>
            <w:tcW w:w="1072" w:type="dxa"/>
            <w:vAlign w:val="top"/>
          </w:tcPr>
          <w:p w14:paraId="13964ED3">
            <w:pPr>
              <w:spacing w:line="340" w:lineRule="auto"/>
              <w:rPr>
                <w:rFonts w:ascii="Arial"/>
                <w:color w:val="auto"/>
                <w:sz w:val="21"/>
                <w:highlight w:val="none"/>
              </w:rPr>
            </w:pPr>
          </w:p>
          <w:p w14:paraId="2736038F">
            <w:pPr>
              <w:pStyle w:val="131"/>
              <w:spacing w:before="65" w:line="269" w:lineRule="exact"/>
              <w:ind w:left="482"/>
              <w:rPr>
                <w:color w:val="auto"/>
                <w:highlight w:val="none"/>
              </w:rPr>
            </w:pPr>
            <w:r>
              <w:rPr>
                <w:color w:val="auto"/>
                <w:position w:val="1"/>
                <w:highlight w:val="none"/>
              </w:rPr>
              <w:t>6</w:t>
            </w:r>
          </w:p>
        </w:tc>
        <w:tc>
          <w:tcPr>
            <w:tcW w:w="1460" w:type="dxa"/>
            <w:vAlign w:val="top"/>
          </w:tcPr>
          <w:p w14:paraId="48A9A18F">
            <w:pPr>
              <w:spacing w:line="340" w:lineRule="auto"/>
              <w:rPr>
                <w:rFonts w:ascii="Arial"/>
                <w:color w:val="auto"/>
                <w:sz w:val="21"/>
                <w:highlight w:val="none"/>
              </w:rPr>
            </w:pPr>
          </w:p>
          <w:p w14:paraId="26C84388">
            <w:pPr>
              <w:pStyle w:val="131"/>
              <w:spacing w:before="65" w:line="228" w:lineRule="auto"/>
              <w:ind w:left="223"/>
              <w:rPr>
                <w:color w:val="auto"/>
                <w:highlight w:val="none"/>
              </w:rPr>
            </w:pPr>
            <w:r>
              <w:rPr>
                <w:color w:val="auto"/>
                <w:spacing w:val="4"/>
                <w:highlight w:val="none"/>
              </w:rPr>
              <w:t>出入口值守</w:t>
            </w:r>
          </w:p>
        </w:tc>
        <w:tc>
          <w:tcPr>
            <w:tcW w:w="5206" w:type="dxa"/>
            <w:vAlign w:val="top"/>
          </w:tcPr>
          <w:p w14:paraId="32164CB9">
            <w:pPr>
              <w:pStyle w:val="131"/>
              <w:spacing w:before="189" w:line="228" w:lineRule="auto"/>
              <w:ind w:left="16"/>
              <w:rPr>
                <w:color w:val="auto"/>
                <w:highlight w:val="none"/>
              </w:rPr>
            </w:pPr>
            <w:r>
              <w:rPr>
                <w:color w:val="auto"/>
                <w:spacing w:val="9"/>
                <w:highlight w:val="none"/>
              </w:rPr>
              <w:t>主出入口</w:t>
            </w:r>
            <w:r>
              <w:rPr>
                <w:color w:val="auto"/>
                <w:spacing w:val="-30"/>
                <w:highlight w:val="none"/>
              </w:rPr>
              <w:t xml:space="preserve"> </w:t>
            </w:r>
            <w:r>
              <w:rPr>
                <w:color w:val="auto"/>
                <w:spacing w:val="9"/>
                <w:highlight w:val="none"/>
              </w:rPr>
              <w:t>24</w:t>
            </w:r>
            <w:r>
              <w:rPr>
                <w:color w:val="auto"/>
                <w:spacing w:val="-30"/>
                <w:highlight w:val="none"/>
              </w:rPr>
              <w:t xml:space="preserve"> </w:t>
            </w:r>
            <w:r>
              <w:rPr>
                <w:color w:val="auto"/>
                <w:spacing w:val="9"/>
                <w:highlight w:val="none"/>
              </w:rPr>
              <w:t>小时有人值守，次出入口每日</w:t>
            </w:r>
            <w:r>
              <w:rPr>
                <w:color w:val="auto"/>
                <w:spacing w:val="-35"/>
                <w:highlight w:val="none"/>
              </w:rPr>
              <w:t xml:space="preserve"> </w:t>
            </w:r>
            <w:r>
              <w:rPr>
                <w:color w:val="auto"/>
                <w:spacing w:val="9"/>
                <w:highlight w:val="none"/>
              </w:rPr>
              <w:t>6：00～22：</w:t>
            </w:r>
          </w:p>
          <w:p w14:paraId="4ED48DFA">
            <w:pPr>
              <w:pStyle w:val="131"/>
              <w:spacing w:before="192" w:line="228" w:lineRule="auto"/>
              <w:ind w:left="16"/>
              <w:rPr>
                <w:color w:val="auto"/>
                <w:highlight w:val="none"/>
              </w:rPr>
            </w:pPr>
            <w:r>
              <w:rPr>
                <w:color w:val="auto"/>
                <w:spacing w:val="6"/>
                <w:highlight w:val="none"/>
              </w:rPr>
              <w:t>00</w:t>
            </w:r>
            <w:r>
              <w:rPr>
                <w:color w:val="auto"/>
                <w:spacing w:val="-25"/>
                <w:highlight w:val="none"/>
              </w:rPr>
              <w:t xml:space="preserve"> </w:t>
            </w:r>
            <w:r>
              <w:rPr>
                <w:color w:val="auto"/>
                <w:spacing w:val="6"/>
                <w:highlight w:val="none"/>
              </w:rPr>
              <w:t>有</w:t>
            </w:r>
            <w:r>
              <w:rPr>
                <w:color w:val="auto"/>
                <w:spacing w:val="-21"/>
                <w:highlight w:val="none"/>
              </w:rPr>
              <w:t xml:space="preserve"> </w:t>
            </w:r>
            <w:r>
              <w:rPr>
                <w:color w:val="auto"/>
                <w:spacing w:val="6"/>
                <w:highlight w:val="none"/>
              </w:rPr>
              <w:t>1</w:t>
            </w:r>
            <w:r>
              <w:rPr>
                <w:color w:val="auto"/>
                <w:spacing w:val="-39"/>
                <w:highlight w:val="none"/>
              </w:rPr>
              <w:t xml:space="preserve"> </w:t>
            </w:r>
            <w:r>
              <w:rPr>
                <w:color w:val="auto"/>
                <w:spacing w:val="6"/>
                <w:highlight w:val="none"/>
              </w:rPr>
              <w:t>人值守，有交接班记录，对外来车辆有登记。</w:t>
            </w:r>
          </w:p>
        </w:tc>
      </w:tr>
      <w:tr w14:paraId="35A7B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jc w:val="center"/>
        </w:trPr>
        <w:tc>
          <w:tcPr>
            <w:tcW w:w="1141" w:type="dxa"/>
            <w:vMerge w:val="continue"/>
            <w:tcBorders>
              <w:top w:val="nil"/>
              <w:bottom w:val="nil"/>
            </w:tcBorders>
            <w:vAlign w:val="top"/>
          </w:tcPr>
          <w:p w14:paraId="5ADD4722">
            <w:pPr>
              <w:rPr>
                <w:rFonts w:ascii="Arial"/>
                <w:color w:val="auto"/>
                <w:sz w:val="21"/>
                <w:highlight w:val="none"/>
              </w:rPr>
            </w:pPr>
          </w:p>
        </w:tc>
        <w:tc>
          <w:tcPr>
            <w:tcW w:w="1182" w:type="dxa"/>
            <w:vMerge w:val="continue"/>
            <w:tcBorders>
              <w:top w:val="nil"/>
              <w:bottom w:val="nil"/>
            </w:tcBorders>
            <w:vAlign w:val="top"/>
          </w:tcPr>
          <w:p w14:paraId="7CBDD48B">
            <w:pPr>
              <w:rPr>
                <w:rFonts w:ascii="Arial"/>
                <w:color w:val="auto"/>
                <w:sz w:val="21"/>
                <w:highlight w:val="none"/>
              </w:rPr>
            </w:pPr>
          </w:p>
        </w:tc>
        <w:tc>
          <w:tcPr>
            <w:tcW w:w="1072" w:type="dxa"/>
            <w:vAlign w:val="top"/>
          </w:tcPr>
          <w:p w14:paraId="1A510351">
            <w:pPr>
              <w:spacing w:line="280" w:lineRule="auto"/>
              <w:rPr>
                <w:rFonts w:ascii="Arial"/>
                <w:color w:val="auto"/>
                <w:sz w:val="21"/>
                <w:highlight w:val="none"/>
              </w:rPr>
            </w:pPr>
          </w:p>
          <w:p w14:paraId="35087658">
            <w:pPr>
              <w:spacing w:line="280" w:lineRule="auto"/>
              <w:rPr>
                <w:rFonts w:ascii="Arial"/>
                <w:color w:val="auto"/>
                <w:sz w:val="21"/>
                <w:highlight w:val="none"/>
              </w:rPr>
            </w:pPr>
          </w:p>
          <w:p w14:paraId="520C5232">
            <w:pPr>
              <w:pStyle w:val="131"/>
              <w:spacing w:before="65" w:line="269" w:lineRule="exact"/>
              <w:ind w:left="485"/>
              <w:rPr>
                <w:color w:val="auto"/>
                <w:highlight w:val="none"/>
              </w:rPr>
            </w:pPr>
            <w:r>
              <w:rPr>
                <w:color w:val="auto"/>
                <w:position w:val="1"/>
                <w:highlight w:val="none"/>
              </w:rPr>
              <w:t>7</w:t>
            </w:r>
          </w:p>
        </w:tc>
        <w:tc>
          <w:tcPr>
            <w:tcW w:w="1460" w:type="dxa"/>
            <w:vAlign w:val="top"/>
          </w:tcPr>
          <w:p w14:paraId="28A99B2D">
            <w:pPr>
              <w:spacing w:line="280" w:lineRule="auto"/>
              <w:rPr>
                <w:rFonts w:ascii="Arial"/>
                <w:color w:val="auto"/>
                <w:sz w:val="21"/>
                <w:highlight w:val="none"/>
              </w:rPr>
            </w:pPr>
          </w:p>
          <w:p w14:paraId="365EBCAF">
            <w:pPr>
              <w:spacing w:line="280" w:lineRule="auto"/>
              <w:rPr>
                <w:rFonts w:ascii="Arial"/>
                <w:color w:val="auto"/>
                <w:sz w:val="21"/>
                <w:highlight w:val="none"/>
              </w:rPr>
            </w:pPr>
          </w:p>
          <w:p w14:paraId="09C537C1">
            <w:pPr>
              <w:pStyle w:val="131"/>
              <w:spacing w:before="65" w:line="228" w:lineRule="auto"/>
              <w:ind w:left="98"/>
              <w:rPr>
                <w:color w:val="auto"/>
                <w:highlight w:val="none"/>
              </w:rPr>
            </w:pPr>
            <w:r>
              <w:rPr>
                <w:color w:val="auto"/>
                <w:spacing w:val="8"/>
                <w:highlight w:val="none"/>
              </w:rPr>
              <w:t>进出人员管理</w:t>
            </w:r>
          </w:p>
        </w:tc>
        <w:tc>
          <w:tcPr>
            <w:tcW w:w="5206" w:type="dxa"/>
            <w:vAlign w:val="top"/>
          </w:tcPr>
          <w:p w14:paraId="7677F5EB">
            <w:pPr>
              <w:pStyle w:val="131"/>
              <w:spacing w:before="189" w:line="228" w:lineRule="auto"/>
              <w:ind w:left="25"/>
              <w:rPr>
                <w:color w:val="auto"/>
                <w:highlight w:val="none"/>
              </w:rPr>
            </w:pPr>
            <w:r>
              <w:rPr>
                <w:color w:val="auto"/>
                <w:spacing w:val="8"/>
                <w:highlight w:val="none"/>
              </w:rPr>
              <w:t>（1）阻止小商小贩、外来人员随意进入小区。</w:t>
            </w:r>
          </w:p>
          <w:p w14:paraId="2153066F">
            <w:pPr>
              <w:pStyle w:val="131"/>
              <w:spacing w:before="191" w:line="317" w:lineRule="auto"/>
              <w:ind w:left="19" w:right="12" w:firstLine="5"/>
              <w:rPr>
                <w:color w:val="auto"/>
                <w:highlight w:val="none"/>
              </w:rPr>
            </w:pPr>
            <w:r>
              <w:rPr>
                <w:color w:val="auto"/>
                <w:spacing w:val="10"/>
                <w:highlight w:val="none"/>
              </w:rPr>
              <w:t>（2）对外来人员、送货人员进行登记，阻止未经许可的</w:t>
            </w:r>
            <w:r>
              <w:rPr>
                <w:color w:val="auto"/>
                <w:spacing w:val="2"/>
                <w:highlight w:val="none"/>
              </w:rPr>
              <w:t xml:space="preserve"> </w:t>
            </w:r>
            <w:r>
              <w:rPr>
                <w:color w:val="auto"/>
                <w:spacing w:val="8"/>
                <w:highlight w:val="none"/>
              </w:rPr>
              <w:t>外来人员进入小区，对大件物品搬出有记录。</w:t>
            </w:r>
          </w:p>
        </w:tc>
      </w:tr>
      <w:tr w14:paraId="02C33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jc w:val="center"/>
        </w:trPr>
        <w:tc>
          <w:tcPr>
            <w:tcW w:w="1141" w:type="dxa"/>
            <w:vMerge w:val="continue"/>
            <w:tcBorders>
              <w:top w:val="nil"/>
              <w:bottom w:val="nil"/>
            </w:tcBorders>
            <w:vAlign w:val="top"/>
          </w:tcPr>
          <w:p w14:paraId="119DDBA0">
            <w:pPr>
              <w:rPr>
                <w:rFonts w:ascii="Arial"/>
                <w:color w:val="auto"/>
                <w:sz w:val="21"/>
                <w:highlight w:val="none"/>
              </w:rPr>
            </w:pPr>
          </w:p>
        </w:tc>
        <w:tc>
          <w:tcPr>
            <w:tcW w:w="1182" w:type="dxa"/>
            <w:vMerge w:val="continue"/>
            <w:tcBorders>
              <w:top w:val="nil"/>
            </w:tcBorders>
            <w:vAlign w:val="top"/>
          </w:tcPr>
          <w:p w14:paraId="48A8F641">
            <w:pPr>
              <w:rPr>
                <w:rFonts w:ascii="Arial"/>
                <w:color w:val="auto"/>
                <w:sz w:val="21"/>
                <w:highlight w:val="none"/>
              </w:rPr>
            </w:pPr>
          </w:p>
        </w:tc>
        <w:tc>
          <w:tcPr>
            <w:tcW w:w="1072" w:type="dxa"/>
            <w:vAlign w:val="top"/>
          </w:tcPr>
          <w:p w14:paraId="3BA2F9D6">
            <w:pPr>
              <w:spacing w:line="281" w:lineRule="auto"/>
              <w:rPr>
                <w:rFonts w:ascii="Arial"/>
                <w:color w:val="auto"/>
                <w:sz w:val="21"/>
                <w:highlight w:val="none"/>
              </w:rPr>
            </w:pPr>
          </w:p>
          <w:p w14:paraId="00F258C6">
            <w:pPr>
              <w:spacing w:line="282" w:lineRule="auto"/>
              <w:rPr>
                <w:rFonts w:ascii="Arial"/>
                <w:color w:val="auto"/>
                <w:sz w:val="21"/>
                <w:highlight w:val="none"/>
              </w:rPr>
            </w:pPr>
          </w:p>
          <w:p w14:paraId="45276192">
            <w:pPr>
              <w:pStyle w:val="131"/>
              <w:spacing w:before="65" w:line="269" w:lineRule="exact"/>
              <w:ind w:left="481"/>
              <w:rPr>
                <w:color w:val="auto"/>
                <w:highlight w:val="none"/>
              </w:rPr>
            </w:pPr>
            <w:r>
              <w:rPr>
                <w:color w:val="auto"/>
                <w:position w:val="1"/>
                <w:highlight w:val="none"/>
              </w:rPr>
              <w:t>8</w:t>
            </w:r>
          </w:p>
        </w:tc>
        <w:tc>
          <w:tcPr>
            <w:tcW w:w="1460" w:type="dxa"/>
            <w:vAlign w:val="top"/>
          </w:tcPr>
          <w:p w14:paraId="16A8EBB2">
            <w:pPr>
              <w:spacing w:line="281" w:lineRule="auto"/>
              <w:rPr>
                <w:rFonts w:ascii="Arial"/>
                <w:color w:val="auto"/>
                <w:sz w:val="21"/>
                <w:highlight w:val="none"/>
              </w:rPr>
            </w:pPr>
          </w:p>
          <w:p w14:paraId="25A5F1A0">
            <w:pPr>
              <w:spacing w:line="282" w:lineRule="auto"/>
              <w:rPr>
                <w:rFonts w:ascii="Arial"/>
                <w:color w:val="auto"/>
                <w:sz w:val="21"/>
                <w:highlight w:val="none"/>
              </w:rPr>
            </w:pPr>
          </w:p>
          <w:p w14:paraId="037223E9">
            <w:pPr>
              <w:pStyle w:val="131"/>
              <w:spacing w:before="65" w:line="228" w:lineRule="auto"/>
              <w:ind w:left="310"/>
              <w:rPr>
                <w:color w:val="auto"/>
                <w:highlight w:val="none"/>
              </w:rPr>
            </w:pPr>
            <w:r>
              <w:rPr>
                <w:color w:val="auto"/>
                <w:spacing w:val="6"/>
                <w:highlight w:val="none"/>
              </w:rPr>
              <w:t>车辆疏导</w:t>
            </w:r>
          </w:p>
        </w:tc>
        <w:tc>
          <w:tcPr>
            <w:tcW w:w="5206" w:type="dxa"/>
            <w:vAlign w:val="top"/>
          </w:tcPr>
          <w:p w14:paraId="02F4EEA4">
            <w:pPr>
              <w:pStyle w:val="131"/>
              <w:spacing w:before="190" w:line="318" w:lineRule="auto"/>
              <w:ind w:left="24" w:right="12"/>
              <w:rPr>
                <w:color w:val="auto"/>
                <w:highlight w:val="none"/>
              </w:rPr>
            </w:pPr>
            <w:r>
              <w:rPr>
                <w:color w:val="auto"/>
                <w:spacing w:val="10"/>
                <w:highlight w:val="none"/>
              </w:rPr>
              <w:t>（1）对进出小区车辆进行管理、疏导，保持出入口道路</w:t>
            </w:r>
            <w:r>
              <w:rPr>
                <w:color w:val="auto"/>
                <w:spacing w:val="2"/>
                <w:highlight w:val="none"/>
              </w:rPr>
              <w:t xml:space="preserve"> </w:t>
            </w:r>
            <w:r>
              <w:rPr>
                <w:color w:val="auto"/>
                <w:spacing w:val="-1"/>
                <w:highlight w:val="none"/>
              </w:rPr>
              <w:t>畅通。</w:t>
            </w:r>
          </w:p>
          <w:p w14:paraId="13A96F5F">
            <w:pPr>
              <w:pStyle w:val="131"/>
              <w:spacing w:before="191" w:line="228" w:lineRule="auto"/>
              <w:ind w:left="25"/>
              <w:rPr>
                <w:color w:val="auto"/>
                <w:highlight w:val="none"/>
              </w:rPr>
            </w:pPr>
            <w:r>
              <w:rPr>
                <w:color w:val="auto"/>
                <w:spacing w:val="7"/>
                <w:highlight w:val="none"/>
              </w:rPr>
              <w:t>（2）对大件物品搬出进行登记。</w:t>
            </w:r>
          </w:p>
        </w:tc>
      </w:tr>
      <w:tr w14:paraId="2B3FE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jc w:val="center"/>
        </w:trPr>
        <w:tc>
          <w:tcPr>
            <w:tcW w:w="1141" w:type="dxa"/>
            <w:vMerge w:val="continue"/>
            <w:tcBorders>
              <w:top w:val="nil"/>
              <w:bottom w:val="nil"/>
            </w:tcBorders>
            <w:vAlign w:val="top"/>
          </w:tcPr>
          <w:p w14:paraId="6C13870B">
            <w:pPr>
              <w:rPr>
                <w:rFonts w:ascii="Arial"/>
                <w:color w:val="auto"/>
                <w:sz w:val="21"/>
                <w:highlight w:val="none"/>
              </w:rPr>
            </w:pPr>
          </w:p>
        </w:tc>
        <w:tc>
          <w:tcPr>
            <w:tcW w:w="1182" w:type="dxa"/>
            <w:vMerge w:val="restart"/>
            <w:tcBorders>
              <w:bottom w:val="nil"/>
            </w:tcBorders>
            <w:vAlign w:val="top"/>
          </w:tcPr>
          <w:p w14:paraId="69B5BDC8">
            <w:pPr>
              <w:spacing w:line="255" w:lineRule="auto"/>
              <w:rPr>
                <w:rFonts w:ascii="Arial"/>
                <w:color w:val="auto"/>
                <w:sz w:val="21"/>
                <w:highlight w:val="none"/>
              </w:rPr>
            </w:pPr>
          </w:p>
          <w:p w14:paraId="2958FED5">
            <w:pPr>
              <w:spacing w:line="255" w:lineRule="auto"/>
              <w:rPr>
                <w:rFonts w:ascii="Arial"/>
                <w:color w:val="auto"/>
                <w:sz w:val="21"/>
                <w:highlight w:val="none"/>
              </w:rPr>
            </w:pPr>
          </w:p>
          <w:p w14:paraId="2CE04272">
            <w:pPr>
              <w:spacing w:line="255" w:lineRule="auto"/>
              <w:rPr>
                <w:rFonts w:ascii="Arial"/>
                <w:color w:val="auto"/>
                <w:sz w:val="21"/>
                <w:highlight w:val="none"/>
              </w:rPr>
            </w:pPr>
          </w:p>
          <w:p w14:paraId="3EC24269">
            <w:pPr>
              <w:spacing w:line="255" w:lineRule="auto"/>
              <w:rPr>
                <w:rFonts w:ascii="Arial"/>
                <w:color w:val="auto"/>
                <w:sz w:val="21"/>
                <w:highlight w:val="none"/>
              </w:rPr>
            </w:pPr>
          </w:p>
          <w:p w14:paraId="7B184F1C">
            <w:pPr>
              <w:pStyle w:val="131"/>
              <w:spacing w:before="65" w:line="228" w:lineRule="auto"/>
              <w:ind w:left="271"/>
              <w:rPr>
                <w:color w:val="auto"/>
                <w:highlight w:val="none"/>
              </w:rPr>
            </w:pPr>
            <w:r>
              <w:rPr>
                <w:color w:val="auto"/>
                <w:spacing w:val="6"/>
                <w:highlight w:val="none"/>
              </w:rPr>
              <w:t>巡逻岗</w:t>
            </w:r>
          </w:p>
        </w:tc>
        <w:tc>
          <w:tcPr>
            <w:tcW w:w="1072" w:type="dxa"/>
            <w:vAlign w:val="top"/>
          </w:tcPr>
          <w:p w14:paraId="42E6F5B7">
            <w:pPr>
              <w:spacing w:line="282" w:lineRule="auto"/>
              <w:rPr>
                <w:rFonts w:ascii="Arial"/>
                <w:color w:val="auto"/>
                <w:sz w:val="21"/>
                <w:highlight w:val="none"/>
              </w:rPr>
            </w:pPr>
          </w:p>
          <w:p w14:paraId="3AD8BC72">
            <w:pPr>
              <w:spacing w:line="282" w:lineRule="auto"/>
              <w:rPr>
                <w:rFonts w:ascii="Arial"/>
                <w:color w:val="auto"/>
                <w:sz w:val="21"/>
                <w:highlight w:val="none"/>
              </w:rPr>
            </w:pPr>
          </w:p>
          <w:p w14:paraId="0F9C8EC0">
            <w:pPr>
              <w:pStyle w:val="131"/>
              <w:spacing w:before="65" w:line="268" w:lineRule="exact"/>
              <w:ind w:left="481"/>
              <w:rPr>
                <w:color w:val="auto"/>
                <w:highlight w:val="none"/>
              </w:rPr>
            </w:pPr>
            <w:r>
              <w:rPr>
                <w:color w:val="auto"/>
                <w:position w:val="1"/>
                <w:highlight w:val="none"/>
              </w:rPr>
              <w:t>9</w:t>
            </w:r>
          </w:p>
        </w:tc>
        <w:tc>
          <w:tcPr>
            <w:tcW w:w="1460" w:type="dxa"/>
            <w:vAlign w:val="top"/>
          </w:tcPr>
          <w:p w14:paraId="71E011DA">
            <w:pPr>
              <w:spacing w:line="282" w:lineRule="auto"/>
              <w:rPr>
                <w:rFonts w:ascii="Arial"/>
                <w:color w:val="auto"/>
                <w:sz w:val="21"/>
                <w:highlight w:val="none"/>
              </w:rPr>
            </w:pPr>
          </w:p>
          <w:p w14:paraId="045D4C27">
            <w:pPr>
              <w:spacing w:line="282" w:lineRule="auto"/>
              <w:rPr>
                <w:rFonts w:ascii="Arial"/>
                <w:color w:val="auto"/>
                <w:sz w:val="21"/>
                <w:highlight w:val="none"/>
              </w:rPr>
            </w:pPr>
          </w:p>
          <w:p w14:paraId="67DD2F83">
            <w:pPr>
              <w:pStyle w:val="131"/>
              <w:spacing w:before="65" w:line="229" w:lineRule="auto"/>
              <w:ind w:left="309"/>
              <w:rPr>
                <w:color w:val="auto"/>
                <w:highlight w:val="none"/>
              </w:rPr>
            </w:pPr>
            <w:r>
              <w:rPr>
                <w:color w:val="auto"/>
                <w:spacing w:val="7"/>
                <w:highlight w:val="none"/>
              </w:rPr>
              <w:t>巡逻要求</w:t>
            </w:r>
          </w:p>
        </w:tc>
        <w:tc>
          <w:tcPr>
            <w:tcW w:w="5206" w:type="dxa"/>
            <w:vAlign w:val="top"/>
          </w:tcPr>
          <w:p w14:paraId="32E01439">
            <w:pPr>
              <w:pStyle w:val="131"/>
              <w:spacing w:before="193" w:line="228" w:lineRule="auto"/>
              <w:jc w:val="right"/>
              <w:rPr>
                <w:color w:val="auto"/>
                <w:highlight w:val="none"/>
              </w:rPr>
            </w:pPr>
            <w:r>
              <w:rPr>
                <w:color w:val="auto"/>
                <w:spacing w:val="-5"/>
                <w:highlight w:val="none"/>
              </w:rPr>
              <w:t>（1）白天巡逻次数不少于四次，夜间巡逻次数不少于四次。</w:t>
            </w:r>
          </w:p>
          <w:p w14:paraId="37F032E4">
            <w:pPr>
              <w:pStyle w:val="131"/>
              <w:spacing w:before="192" w:line="228" w:lineRule="auto"/>
              <w:ind w:left="25"/>
              <w:rPr>
                <w:color w:val="auto"/>
                <w:highlight w:val="none"/>
              </w:rPr>
            </w:pPr>
            <w:r>
              <w:rPr>
                <w:color w:val="auto"/>
                <w:spacing w:val="1"/>
                <w:highlight w:val="none"/>
              </w:rPr>
              <w:t>（2）重点部位加强巡逻，有巡逻记录。</w:t>
            </w:r>
          </w:p>
          <w:p w14:paraId="3D305085">
            <w:pPr>
              <w:pStyle w:val="131"/>
              <w:spacing w:before="194" w:line="228" w:lineRule="auto"/>
              <w:ind w:left="25"/>
              <w:rPr>
                <w:color w:val="auto"/>
                <w:highlight w:val="none"/>
              </w:rPr>
            </w:pPr>
            <w:r>
              <w:rPr>
                <w:color w:val="auto"/>
                <w:spacing w:val="1"/>
                <w:highlight w:val="none"/>
              </w:rPr>
              <w:t>（3）接受业主（使用人）求助，回答住户的询问。</w:t>
            </w:r>
          </w:p>
        </w:tc>
      </w:tr>
      <w:tr w14:paraId="1265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55716B85">
            <w:pPr>
              <w:rPr>
                <w:rFonts w:ascii="Arial"/>
                <w:color w:val="auto"/>
                <w:sz w:val="21"/>
                <w:highlight w:val="none"/>
              </w:rPr>
            </w:pPr>
          </w:p>
        </w:tc>
        <w:tc>
          <w:tcPr>
            <w:tcW w:w="1182" w:type="dxa"/>
            <w:vMerge w:val="continue"/>
            <w:tcBorders>
              <w:top w:val="nil"/>
            </w:tcBorders>
            <w:vAlign w:val="top"/>
          </w:tcPr>
          <w:p w14:paraId="263D807A">
            <w:pPr>
              <w:rPr>
                <w:rFonts w:ascii="Arial"/>
                <w:color w:val="auto"/>
                <w:sz w:val="21"/>
                <w:highlight w:val="none"/>
              </w:rPr>
            </w:pPr>
          </w:p>
        </w:tc>
        <w:tc>
          <w:tcPr>
            <w:tcW w:w="1072" w:type="dxa"/>
            <w:vAlign w:val="top"/>
          </w:tcPr>
          <w:p w14:paraId="4418EB9F">
            <w:pPr>
              <w:spacing w:line="347" w:lineRule="auto"/>
              <w:rPr>
                <w:rFonts w:ascii="Arial"/>
                <w:color w:val="auto"/>
                <w:sz w:val="21"/>
                <w:highlight w:val="none"/>
              </w:rPr>
            </w:pPr>
          </w:p>
          <w:p w14:paraId="2DEA27A8">
            <w:pPr>
              <w:pStyle w:val="131"/>
              <w:spacing w:before="65" w:line="269" w:lineRule="exact"/>
              <w:ind w:left="443"/>
              <w:rPr>
                <w:color w:val="auto"/>
                <w:highlight w:val="none"/>
              </w:rPr>
            </w:pPr>
            <w:r>
              <w:rPr>
                <w:color w:val="auto"/>
                <w:spacing w:val="-7"/>
                <w:position w:val="1"/>
                <w:highlight w:val="none"/>
              </w:rPr>
              <w:t>10</w:t>
            </w:r>
          </w:p>
        </w:tc>
        <w:tc>
          <w:tcPr>
            <w:tcW w:w="1460" w:type="dxa"/>
            <w:vAlign w:val="top"/>
          </w:tcPr>
          <w:p w14:paraId="401199A2">
            <w:pPr>
              <w:spacing w:line="347" w:lineRule="auto"/>
              <w:rPr>
                <w:rFonts w:ascii="Arial"/>
                <w:color w:val="auto"/>
                <w:sz w:val="21"/>
                <w:highlight w:val="none"/>
              </w:rPr>
            </w:pPr>
          </w:p>
          <w:p w14:paraId="3E9B615C">
            <w:pPr>
              <w:pStyle w:val="131"/>
              <w:spacing w:before="65" w:line="230" w:lineRule="auto"/>
              <w:ind w:left="308"/>
              <w:rPr>
                <w:color w:val="auto"/>
                <w:highlight w:val="none"/>
              </w:rPr>
            </w:pPr>
            <w:r>
              <w:rPr>
                <w:color w:val="auto"/>
                <w:spacing w:val="7"/>
                <w:highlight w:val="none"/>
              </w:rPr>
              <w:t>应急处理</w:t>
            </w:r>
          </w:p>
        </w:tc>
        <w:tc>
          <w:tcPr>
            <w:tcW w:w="5206" w:type="dxa"/>
            <w:vAlign w:val="top"/>
          </w:tcPr>
          <w:p w14:paraId="56FED756">
            <w:pPr>
              <w:pStyle w:val="131"/>
              <w:spacing w:before="195" w:line="320" w:lineRule="auto"/>
              <w:ind w:left="24" w:right="9" w:hanging="10"/>
              <w:rPr>
                <w:color w:val="auto"/>
                <w:highlight w:val="none"/>
              </w:rPr>
            </w:pPr>
            <w:r>
              <w:rPr>
                <w:color w:val="auto"/>
                <w:spacing w:val="6"/>
                <w:highlight w:val="none"/>
              </w:rPr>
              <w:t>在遇到异常情况或突发事件时，采取相应的应对措施，及</w:t>
            </w:r>
            <w:r>
              <w:rPr>
                <w:color w:val="auto"/>
                <w:spacing w:val="16"/>
                <w:highlight w:val="none"/>
              </w:rPr>
              <w:t xml:space="preserve"> </w:t>
            </w:r>
            <w:r>
              <w:rPr>
                <w:color w:val="auto"/>
                <w:spacing w:val="7"/>
                <w:highlight w:val="none"/>
              </w:rPr>
              <w:t>时报告管理处和相关部门。</w:t>
            </w:r>
          </w:p>
        </w:tc>
      </w:tr>
      <w:tr w14:paraId="40D86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6" w:hRule="atLeast"/>
          <w:jc w:val="center"/>
        </w:trPr>
        <w:tc>
          <w:tcPr>
            <w:tcW w:w="1141" w:type="dxa"/>
            <w:vMerge w:val="continue"/>
            <w:tcBorders>
              <w:top w:val="nil"/>
            </w:tcBorders>
            <w:vAlign w:val="top"/>
          </w:tcPr>
          <w:p w14:paraId="4E036CDC">
            <w:pPr>
              <w:rPr>
                <w:rFonts w:ascii="Arial"/>
                <w:color w:val="auto"/>
                <w:sz w:val="21"/>
                <w:highlight w:val="none"/>
              </w:rPr>
            </w:pPr>
          </w:p>
        </w:tc>
        <w:tc>
          <w:tcPr>
            <w:tcW w:w="1182" w:type="dxa"/>
            <w:vAlign w:val="top"/>
          </w:tcPr>
          <w:p w14:paraId="0DEEEBC5">
            <w:pPr>
              <w:spacing w:line="348" w:lineRule="auto"/>
              <w:rPr>
                <w:rFonts w:ascii="Arial"/>
                <w:color w:val="auto"/>
                <w:sz w:val="21"/>
                <w:highlight w:val="none"/>
              </w:rPr>
            </w:pPr>
          </w:p>
          <w:p w14:paraId="6E086B8F">
            <w:pPr>
              <w:pStyle w:val="131"/>
              <w:spacing w:before="65" w:line="228" w:lineRule="auto"/>
              <w:ind w:left="271"/>
              <w:rPr>
                <w:color w:val="auto"/>
                <w:highlight w:val="none"/>
              </w:rPr>
            </w:pPr>
            <w:r>
              <w:rPr>
                <w:color w:val="auto"/>
                <w:spacing w:val="6"/>
                <w:highlight w:val="none"/>
              </w:rPr>
              <w:t>监控岗</w:t>
            </w:r>
          </w:p>
        </w:tc>
        <w:tc>
          <w:tcPr>
            <w:tcW w:w="1072" w:type="dxa"/>
            <w:vAlign w:val="top"/>
          </w:tcPr>
          <w:p w14:paraId="16F56EE6">
            <w:pPr>
              <w:spacing w:line="283" w:lineRule="auto"/>
              <w:rPr>
                <w:rFonts w:ascii="Arial"/>
                <w:color w:val="auto"/>
                <w:sz w:val="21"/>
                <w:highlight w:val="none"/>
              </w:rPr>
            </w:pPr>
          </w:p>
          <w:p w14:paraId="7B264F0C">
            <w:pPr>
              <w:spacing w:line="284" w:lineRule="auto"/>
              <w:rPr>
                <w:rFonts w:ascii="Arial"/>
                <w:color w:val="auto"/>
                <w:sz w:val="21"/>
                <w:highlight w:val="none"/>
              </w:rPr>
            </w:pPr>
          </w:p>
          <w:p w14:paraId="632617C3">
            <w:pPr>
              <w:pStyle w:val="131"/>
              <w:spacing w:before="65" w:line="270" w:lineRule="exact"/>
              <w:ind w:left="443"/>
              <w:rPr>
                <w:color w:val="auto"/>
                <w:highlight w:val="none"/>
              </w:rPr>
            </w:pPr>
            <w:r>
              <w:rPr>
                <w:color w:val="auto"/>
                <w:spacing w:val="-7"/>
                <w:position w:val="1"/>
                <w:highlight w:val="none"/>
              </w:rPr>
              <w:t>11</w:t>
            </w:r>
          </w:p>
        </w:tc>
        <w:tc>
          <w:tcPr>
            <w:tcW w:w="1460" w:type="dxa"/>
            <w:vAlign w:val="top"/>
          </w:tcPr>
          <w:p w14:paraId="125607EC">
            <w:pPr>
              <w:spacing w:line="283" w:lineRule="auto"/>
              <w:rPr>
                <w:rFonts w:ascii="Arial"/>
                <w:color w:val="auto"/>
                <w:sz w:val="21"/>
                <w:highlight w:val="none"/>
              </w:rPr>
            </w:pPr>
          </w:p>
          <w:p w14:paraId="631B1B2C">
            <w:pPr>
              <w:spacing w:line="284" w:lineRule="auto"/>
              <w:rPr>
                <w:rFonts w:ascii="Arial"/>
                <w:color w:val="auto"/>
                <w:sz w:val="21"/>
                <w:highlight w:val="none"/>
              </w:rPr>
            </w:pPr>
          </w:p>
          <w:p w14:paraId="6558B384">
            <w:pPr>
              <w:pStyle w:val="131"/>
              <w:spacing w:before="65" w:line="228" w:lineRule="auto"/>
              <w:ind w:left="309"/>
              <w:rPr>
                <w:color w:val="auto"/>
                <w:highlight w:val="none"/>
              </w:rPr>
            </w:pPr>
            <w:r>
              <w:rPr>
                <w:color w:val="auto"/>
                <w:spacing w:val="7"/>
                <w:highlight w:val="none"/>
              </w:rPr>
              <w:t>技防设施</w:t>
            </w:r>
          </w:p>
        </w:tc>
        <w:tc>
          <w:tcPr>
            <w:tcW w:w="5206" w:type="dxa"/>
            <w:vAlign w:val="top"/>
          </w:tcPr>
          <w:p w14:paraId="6B28A043">
            <w:pPr>
              <w:pStyle w:val="131"/>
              <w:spacing w:before="195" w:line="351" w:lineRule="auto"/>
              <w:ind w:left="27" w:right="12" w:hanging="7"/>
              <w:jc w:val="both"/>
              <w:rPr>
                <w:color w:val="auto"/>
                <w:highlight w:val="none"/>
              </w:rPr>
            </w:pPr>
            <w:r>
              <w:rPr>
                <w:color w:val="auto"/>
                <w:spacing w:val="9"/>
                <w:highlight w:val="none"/>
              </w:rPr>
              <w:t>小区的监控中心</w:t>
            </w:r>
            <w:r>
              <w:rPr>
                <w:color w:val="auto"/>
                <w:spacing w:val="-34"/>
                <w:highlight w:val="none"/>
              </w:rPr>
              <w:t xml:space="preserve"> </w:t>
            </w:r>
            <w:r>
              <w:rPr>
                <w:color w:val="auto"/>
                <w:spacing w:val="9"/>
                <w:highlight w:val="none"/>
              </w:rPr>
              <w:t>24</w:t>
            </w:r>
            <w:r>
              <w:rPr>
                <w:color w:val="auto"/>
                <w:spacing w:val="-32"/>
                <w:highlight w:val="none"/>
              </w:rPr>
              <w:t xml:space="preserve"> </w:t>
            </w:r>
            <w:r>
              <w:rPr>
                <w:color w:val="auto"/>
                <w:spacing w:val="9"/>
                <w:highlight w:val="none"/>
              </w:rPr>
              <w:t>小时有人值守，技术防范设施（</w:t>
            </w:r>
            <w:r>
              <w:rPr>
                <w:color w:val="auto"/>
                <w:spacing w:val="8"/>
                <w:highlight w:val="none"/>
              </w:rPr>
              <w:t>如安</w:t>
            </w:r>
            <w:r>
              <w:rPr>
                <w:color w:val="auto"/>
                <w:highlight w:val="none"/>
              </w:rPr>
              <w:t xml:space="preserve"> </w:t>
            </w:r>
            <w:r>
              <w:rPr>
                <w:color w:val="auto"/>
                <w:spacing w:val="6"/>
                <w:highlight w:val="none"/>
              </w:rPr>
              <w:t>防监控、楼宇对讲、周界报警等）能有效使用，对所反应</w:t>
            </w:r>
            <w:r>
              <w:rPr>
                <w:color w:val="auto"/>
                <w:highlight w:val="none"/>
              </w:rPr>
              <w:t xml:space="preserve"> </w:t>
            </w:r>
            <w:r>
              <w:rPr>
                <w:color w:val="auto"/>
                <w:spacing w:val="5"/>
                <w:highlight w:val="none"/>
              </w:rPr>
              <w:t>的信息实施管理。</w:t>
            </w:r>
          </w:p>
        </w:tc>
      </w:tr>
      <w:tr w14:paraId="454EA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8" w:hRule="atLeast"/>
          <w:jc w:val="center"/>
        </w:trPr>
        <w:tc>
          <w:tcPr>
            <w:tcW w:w="1141" w:type="dxa"/>
            <w:vMerge w:val="restart"/>
            <w:tcBorders>
              <w:bottom w:val="nil"/>
            </w:tcBorders>
            <w:vAlign w:val="top"/>
          </w:tcPr>
          <w:p w14:paraId="11E14FBA">
            <w:pPr>
              <w:rPr>
                <w:rFonts w:ascii="Arial"/>
                <w:color w:val="auto"/>
                <w:sz w:val="21"/>
                <w:highlight w:val="none"/>
              </w:rPr>
            </w:pPr>
          </w:p>
        </w:tc>
        <w:tc>
          <w:tcPr>
            <w:tcW w:w="1182" w:type="dxa"/>
            <w:vAlign w:val="top"/>
          </w:tcPr>
          <w:p w14:paraId="0D0EC3EF">
            <w:pPr>
              <w:rPr>
                <w:rFonts w:ascii="Arial"/>
                <w:color w:val="auto"/>
                <w:sz w:val="21"/>
                <w:highlight w:val="none"/>
              </w:rPr>
            </w:pPr>
          </w:p>
        </w:tc>
        <w:tc>
          <w:tcPr>
            <w:tcW w:w="1072" w:type="dxa"/>
            <w:vAlign w:val="top"/>
          </w:tcPr>
          <w:p w14:paraId="14374E2C">
            <w:pPr>
              <w:spacing w:line="261" w:lineRule="auto"/>
              <w:rPr>
                <w:rFonts w:ascii="Arial"/>
                <w:color w:val="auto"/>
                <w:sz w:val="21"/>
                <w:highlight w:val="none"/>
              </w:rPr>
            </w:pPr>
          </w:p>
          <w:p w14:paraId="0C4DEE23">
            <w:pPr>
              <w:spacing w:line="261" w:lineRule="auto"/>
              <w:rPr>
                <w:rFonts w:ascii="Arial"/>
                <w:color w:val="auto"/>
                <w:sz w:val="21"/>
                <w:highlight w:val="none"/>
              </w:rPr>
            </w:pPr>
          </w:p>
          <w:p w14:paraId="2CF2B317">
            <w:pPr>
              <w:spacing w:line="261" w:lineRule="auto"/>
              <w:rPr>
                <w:rFonts w:ascii="Arial"/>
                <w:color w:val="auto"/>
                <w:sz w:val="21"/>
                <w:highlight w:val="none"/>
              </w:rPr>
            </w:pPr>
          </w:p>
          <w:p w14:paraId="09D6BE42">
            <w:pPr>
              <w:pStyle w:val="131"/>
              <w:spacing w:before="65" w:line="270" w:lineRule="exact"/>
              <w:ind w:left="443"/>
              <w:rPr>
                <w:color w:val="auto"/>
                <w:highlight w:val="none"/>
              </w:rPr>
            </w:pPr>
            <w:r>
              <w:rPr>
                <w:color w:val="auto"/>
                <w:spacing w:val="-7"/>
                <w:position w:val="1"/>
                <w:highlight w:val="none"/>
              </w:rPr>
              <w:t>12</w:t>
            </w:r>
          </w:p>
        </w:tc>
        <w:tc>
          <w:tcPr>
            <w:tcW w:w="1460" w:type="dxa"/>
            <w:vAlign w:val="top"/>
          </w:tcPr>
          <w:p w14:paraId="73F78CA9">
            <w:pPr>
              <w:spacing w:line="260" w:lineRule="auto"/>
              <w:rPr>
                <w:rFonts w:ascii="Arial"/>
                <w:color w:val="auto"/>
                <w:sz w:val="21"/>
                <w:highlight w:val="none"/>
              </w:rPr>
            </w:pPr>
          </w:p>
          <w:p w14:paraId="34D8E1AC">
            <w:pPr>
              <w:spacing w:line="261" w:lineRule="auto"/>
              <w:rPr>
                <w:rFonts w:ascii="Arial"/>
                <w:color w:val="auto"/>
                <w:sz w:val="21"/>
                <w:highlight w:val="none"/>
              </w:rPr>
            </w:pPr>
          </w:p>
          <w:p w14:paraId="0C3094C3">
            <w:pPr>
              <w:spacing w:line="261" w:lineRule="auto"/>
              <w:rPr>
                <w:rFonts w:ascii="Arial"/>
                <w:color w:val="auto"/>
                <w:sz w:val="21"/>
                <w:highlight w:val="none"/>
              </w:rPr>
            </w:pPr>
          </w:p>
          <w:p w14:paraId="3BD59BE9">
            <w:pPr>
              <w:pStyle w:val="131"/>
              <w:spacing w:before="65" w:line="230" w:lineRule="auto"/>
              <w:ind w:left="308"/>
              <w:rPr>
                <w:color w:val="auto"/>
                <w:highlight w:val="none"/>
              </w:rPr>
            </w:pPr>
            <w:r>
              <w:rPr>
                <w:color w:val="auto"/>
                <w:spacing w:val="7"/>
                <w:highlight w:val="none"/>
              </w:rPr>
              <w:t>应急处理</w:t>
            </w:r>
          </w:p>
        </w:tc>
        <w:tc>
          <w:tcPr>
            <w:tcW w:w="5206" w:type="dxa"/>
            <w:vAlign w:val="top"/>
          </w:tcPr>
          <w:p w14:paraId="426F4E35">
            <w:pPr>
              <w:pStyle w:val="131"/>
              <w:spacing w:before="191" w:line="317" w:lineRule="auto"/>
              <w:ind w:left="16" w:right="12" w:firstLine="8"/>
              <w:rPr>
                <w:color w:val="auto"/>
                <w:highlight w:val="none"/>
              </w:rPr>
            </w:pPr>
            <w:r>
              <w:rPr>
                <w:color w:val="auto"/>
                <w:spacing w:val="10"/>
                <w:highlight w:val="none"/>
              </w:rPr>
              <w:t>（1）监控中心接到报警信号后，安护人员应按应急预案</w:t>
            </w:r>
            <w:r>
              <w:rPr>
                <w:color w:val="auto"/>
                <w:spacing w:val="2"/>
                <w:highlight w:val="none"/>
              </w:rPr>
              <w:t xml:space="preserve"> </w:t>
            </w:r>
            <w:r>
              <w:rPr>
                <w:color w:val="auto"/>
                <w:spacing w:val="8"/>
                <w:highlight w:val="none"/>
              </w:rPr>
              <w:t>等规定的时间及时赶到现场处理。</w:t>
            </w:r>
          </w:p>
          <w:p w14:paraId="116A53F8">
            <w:pPr>
              <w:pStyle w:val="131"/>
              <w:spacing w:before="192" w:line="318" w:lineRule="auto"/>
              <w:ind w:left="34" w:right="12" w:hanging="9"/>
              <w:rPr>
                <w:color w:val="auto"/>
                <w:highlight w:val="none"/>
              </w:rPr>
            </w:pPr>
            <w:r>
              <w:rPr>
                <w:color w:val="auto"/>
                <w:spacing w:val="10"/>
                <w:highlight w:val="none"/>
              </w:rPr>
              <w:t>（2）小区有火警、警情等紧急事件应急预案，并在监控</w:t>
            </w:r>
            <w:r>
              <w:rPr>
                <w:color w:val="auto"/>
                <w:spacing w:val="2"/>
                <w:highlight w:val="none"/>
              </w:rPr>
              <w:t xml:space="preserve"> </w:t>
            </w:r>
            <w:r>
              <w:rPr>
                <w:color w:val="auto"/>
                <w:spacing w:val="1"/>
                <w:highlight w:val="none"/>
              </w:rPr>
              <w:t>中心上墙。</w:t>
            </w:r>
          </w:p>
        </w:tc>
      </w:tr>
      <w:tr w14:paraId="06BBC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26B8768D">
            <w:pPr>
              <w:rPr>
                <w:rFonts w:ascii="Arial"/>
                <w:color w:val="auto"/>
                <w:sz w:val="21"/>
                <w:highlight w:val="none"/>
              </w:rPr>
            </w:pPr>
          </w:p>
        </w:tc>
        <w:tc>
          <w:tcPr>
            <w:tcW w:w="1182" w:type="dxa"/>
            <w:vMerge w:val="restart"/>
            <w:tcBorders>
              <w:bottom w:val="nil"/>
            </w:tcBorders>
            <w:vAlign w:val="top"/>
          </w:tcPr>
          <w:p w14:paraId="43BA9033">
            <w:pPr>
              <w:spacing w:line="264" w:lineRule="auto"/>
              <w:rPr>
                <w:rFonts w:ascii="Arial"/>
                <w:color w:val="auto"/>
                <w:sz w:val="21"/>
                <w:highlight w:val="none"/>
              </w:rPr>
            </w:pPr>
          </w:p>
          <w:p w14:paraId="63651498">
            <w:pPr>
              <w:spacing w:line="264" w:lineRule="auto"/>
              <w:rPr>
                <w:rFonts w:ascii="Arial"/>
                <w:color w:val="auto"/>
                <w:sz w:val="21"/>
                <w:highlight w:val="none"/>
              </w:rPr>
            </w:pPr>
          </w:p>
          <w:p w14:paraId="0259C39A">
            <w:pPr>
              <w:spacing w:line="264" w:lineRule="auto"/>
              <w:rPr>
                <w:rFonts w:ascii="Arial"/>
                <w:color w:val="auto"/>
                <w:sz w:val="21"/>
                <w:highlight w:val="none"/>
              </w:rPr>
            </w:pPr>
          </w:p>
          <w:p w14:paraId="63F074D9">
            <w:pPr>
              <w:pStyle w:val="131"/>
              <w:spacing w:before="65" w:line="228" w:lineRule="auto"/>
              <w:ind w:left="376"/>
              <w:rPr>
                <w:color w:val="auto"/>
                <w:highlight w:val="none"/>
              </w:rPr>
            </w:pPr>
            <w:r>
              <w:rPr>
                <w:color w:val="auto"/>
                <w:spacing w:val="4"/>
                <w:highlight w:val="none"/>
              </w:rPr>
              <w:t>专项</w:t>
            </w:r>
          </w:p>
          <w:p w14:paraId="7276DAA8">
            <w:pPr>
              <w:pStyle w:val="131"/>
              <w:spacing w:before="191" w:line="228" w:lineRule="auto"/>
              <w:ind w:left="169"/>
              <w:rPr>
                <w:color w:val="auto"/>
                <w:highlight w:val="none"/>
              </w:rPr>
            </w:pPr>
            <w:r>
              <w:rPr>
                <w:color w:val="auto"/>
                <w:spacing w:val="6"/>
                <w:highlight w:val="none"/>
              </w:rPr>
              <w:t>车辆管理</w:t>
            </w:r>
          </w:p>
        </w:tc>
        <w:tc>
          <w:tcPr>
            <w:tcW w:w="1072" w:type="dxa"/>
            <w:vAlign w:val="top"/>
          </w:tcPr>
          <w:p w14:paraId="748D545B">
            <w:pPr>
              <w:spacing w:line="336" w:lineRule="auto"/>
              <w:rPr>
                <w:rFonts w:ascii="Arial"/>
                <w:color w:val="auto"/>
                <w:sz w:val="21"/>
                <w:highlight w:val="none"/>
              </w:rPr>
            </w:pPr>
          </w:p>
          <w:p w14:paraId="732018F2">
            <w:pPr>
              <w:pStyle w:val="131"/>
              <w:spacing w:before="65" w:line="268" w:lineRule="exact"/>
              <w:ind w:left="443"/>
              <w:rPr>
                <w:color w:val="auto"/>
                <w:highlight w:val="none"/>
              </w:rPr>
            </w:pPr>
            <w:r>
              <w:rPr>
                <w:color w:val="auto"/>
                <w:spacing w:val="-7"/>
                <w:position w:val="1"/>
                <w:highlight w:val="none"/>
              </w:rPr>
              <w:t>13</w:t>
            </w:r>
          </w:p>
        </w:tc>
        <w:tc>
          <w:tcPr>
            <w:tcW w:w="1460" w:type="dxa"/>
            <w:vAlign w:val="top"/>
          </w:tcPr>
          <w:p w14:paraId="6E663EF4">
            <w:pPr>
              <w:spacing w:line="336" w:lineRule="auto"/>
              <w:rPr>
                <w:rFonts w:ascii="Arial"/>
                <w:color w:val="auto"/>
                <w:sz w:val="21"/>
                <w:highlight w:val="none"/>
              </w:rPr>
            </w:pPr>
          </w:p>
          <w:p w14:paraId="1C45E2B9">
            <w:pPr>
              <w:pStyle w:val="131"/>
              <w:spacing w:before="65" w:line="228" w:lineRule="auto"/>
              <w:ind w:left="313"/>
              <w:rPr>
                <w:color w:val="auto"/>
                <w:highlight w:val="none"/>
              </w:rPr>
            </w:pPr>
            <w:r>
              <w:rPr>
                <w:color w:val="auto"/>
                <w:spacing w:val="6"/>
                <w:highlight w:val="none"/>
              </w:rPr>
              <w:t>露天车位</w:t>
            </w:r>
          </w:p>
        </w:tc>
        <w:tc>
          <w:tcPr>
            <w:tcW w:w="5206" w:type="dxa"/>
            <w:vAlign w:val="top"/>
          </w:tcPr>
          <w:p w14:paraId="3D319EBB">
            <w:pPr>
              <w:pStyle w:val="131"/>
              <w:spacing w:before="184" w:line="325" w:lineRule="auto"/>
              <w:ind w:left="19" w:right="12" w:hanging="3"/>
              <w:rPr>
                <w:color w:val="auto"/>
                <w:highlight w:val="none"/>
              </w:rPr>
            </w:pPr>
            <w:r>
              <w:rPr>
                <w:color w:val="auto"/>
                <w:spacing w:val="6"/>
                <w:highlight w:val="none"/>
              </w:rPr>
              <w:t>按车辆道路行驶要求设立指示牌，车辆基本停放在规定的</w:t>
            </w:r>
            <w:r>
              <w:rPr>
                <w:color w:val="auto"/>
                <w:spacing w:val="11"/>
                <w:highlight w:val="none"/>
              </w:rPr>
              <w:t xml:space="preserve"> </w:t>
            </w:r>
            <w:r>
              <w:rPr>
                <w:color w:val="auto"/>
                <w:spacing w:val="3"/>
                <w:highlight w:val="none"/>
              </w:rPr>
              <w:t>范围内。</w:t>
            </w:r>
          </w:p>
        </w:tc>
      </w:tr>
      <w:tr w14:paraId="53207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 w:hRule="atLeast"/>
          <w:jc w:val="center"/>
        </w:trPr>
        <w:tc>
          <w:tcPr>
            <w:tcW w:w="1141" w:type="dxa"/>
            <w:vMerge w:val="continue"/>
            <w:tcBorders>
              <w:top w:val="nil"/>
            </w:tcBorders>
            <w:vAlign w:val="top"/>
          </w:tcPr>
          <w:p w14:paraId="5E247C6B">
            <w:pPr>
              <w:rPr>
                <w:rFonts w:ascii="Arial"/>
                <w:color w:val="auto"/>
                <w:sz w:val="21"/>
                <w:highlight w:val="none"/>
              </w:rPr>
            </w:pPr>
          </w:p>
        </w:tc>
        <w:tc>
          <w:tcPr>
            <w:tcW w:w="1182" w:type="dxa"/>
            <w:vMerge w:val="continue"/>
            <w:tcBorders>
              <w:top w:val="nil"/>
            </w:tcBorders>
            <w:vAlign w:val="top"/>
          </w:tcPr>
          <w:p w14:paraId="116EB65E">
            <w:pPr>
              <w:rPr>
                <w:rFonts w:ascii="Arial"/>
                <w:color w:val="auto"/>
                <w:sz w:val="21"/>
                <w:highlight w:val="none"/>
              </w:rPr>
            </w:pPr>
          </w:p>
        </w:tc>
        <w:tc>
          <w:tcPr>
            <w:tcW w:w="1072" w:type="dxa"/>
            <w:vAlign w:val="top"/>
          </w:tcPr>
          <w:p w14:paraId="06DA73B6">
            <w:pPr>
              <w:spacing w:line="278" w:lineRule="auto"/>
              <w:rPr>
                <w:rFonts w:ascii="Arial"/>
                <w:color w:val="auto"/>
                <w:sz w:val="21"/>
                <w:highlight w:val="none"/>
              </w:rPr>
            </w:pPr>
          </w:p>
          <w:p w14:paraId="6B7D23A5">
            <w:pPr>
              <w:spacing w:line="278" w:lineRule="auto"/>
              <w:rPr>
                <w:rFonts w:ascii="Arial"/>
                <w:color w:val="auto"/>
                <w:sz w:val="21"/>
                <w:highlight w:val="none"/>
              </w:rPr>
            </w:pPr>
          </w:p>
          <w:p w14:paraId="3BE3A188">
            <w:pPr>
              <w:pStyle w:val="131"/>
              <w:spacing w:before="65" w:line="270" w:lineRule="exact"/>
              <w:ind w:left="443"/>
              <w:rPr>
                <w:color w:val="auto"/>
                <w:highlight w:val="none"/>
              </w:rPr>
            </w:pPr>
            <w:r>
              <w:rPr>
                <w:color w:val="auto"/>
                <w:spacing w:val="-7"/>
                <w:position w:val="1"/>
                <w:highlight w:val="none"/>
              </w:rPr>
              <w:t>14</w:t>
            </w:r>
          </w:p>
        </w:tc>
        <w:tc>
          <w:tcPr>
            <w:tcW w:w="1460" w:type="dxa"/>
            <w:vAlign w:val="top"/>
          </w:tcPr>
          <w:p w14:paraId="3AA7C24F">
            <w:pPr>
              <w:spacing w:line="277" w:lineRule="auto"/>
              <w:rPr>
                <w:rFonts w:ascii="Arial"/>
                <w:color w:val="auto"/>
                <w:sz w:val="21"/>
                <w:highlight w:val="none"/>
              </w:rPr>
            </w:pPr>
          </w:p>
          <w:p w14:paraId="29AAC59D">
            <w:pPr>
              <w:spacing w:line="278" w:lineRule="auto"/>
              <w:rPr>
                <w:rFonts w:ascii="Arial"/>
                <w:color w:val="auto"/>
                <w:sz w:val="21"/>
                <w:highlight w:val="none"/>
              </w:rPr>
            </w:pPr>
          </w:p>
          <w:p w14:paraId="0A141E50">
            <w:pPr>
              <w:pStyle w:val="131"/>
              <w:spacing w:before="65" w:line="228" w:lineRule="auto"/>
              <w:jc w:val="right"/>
              <w:rPr>
                <w:color w:val="auto"/>
                <w:highlight w:val="none"/>
              </w:rPr>
            </w:pPr>
            <w:r>
              <w:rPr>
                <w:color w:val="auto"/>
                <w:spacing w:val="3"/>
                <w:highlight w:val="none"/>
              </w:rPr>
              <w:t>收费车库（棚）</w:t>
            </w:r>
          </w:p>
        </w:tc>
        <w:tc>
          <w:tcPr>
            <w:tcW w:w="5206" w:type="dxa"/>
            <w:vAlign w:val="top"/>
          </w:tcPr>
          <w:p w14:paraId="16C9AFD7">
            <w:pPr>
              <w:pStyle w:val="131"/>
              <w:spacing w:before="184" w:line="352" w:lineRule="auto"/>
              <w:ind w:left="14"/>
              <w:jc w:val="both"/>
              <w:rPr>
                <w:color w:val="auto"/>
                <w:highlight w:val="none"/>
              </w:rPr>
            </w:pPr>
            <w:r>
              <w:rPr>
                <w:color w:val="auto"/>
                <w:spacing w:val="1"/>
                <w:highlight w:val="none"/>
              </w:rPr>
              <w:t>应有专职人员</w:t>
            </w:r>
            <w:r>
              <w:rPr>
                <w:color w:val="auto"/>
                <w:spacing w:val="-18"/>
                <w:highlight w:val="none"/>
              </w:rPr>
              <w:t xml:space="preserve"> </w:t>
            </w:r>
            <w:r>
              <w:rPr>
                <w:color w:val="auto"/>
                <w:spacing w:val="1"/>
                <w:highlight w:val="none"/>
              </w:rPr>
              <w:t>24</w:t>
            </w:r>
            <w:r>
              <w:rPr>
                <w:color w:val="auto"/>
                <w:spacing w:val="-33"/>
                <w:highlight w:val="none"/>
              </w:rPr>
              <w:t xml:space="preserve"> </w:t>
            </w:r>
            <w:r>
              <w:rPr>
                <w:color w:val="auto"/>
                <w:spacing w:val="1"/>
                <w:highlight w:val="none"/>
              </w:rPr>
              <w:t>小时管理，车辆停放有序，车库内地面、</w:t>
            </w:r>
            <w:r>
              <w:rPr>
                <w:color w:val="auto"/>
                <w:highlight w:val="none"/>
              </w:rPr>
              <w:t xml:space="preserve"> </w:t>
            </w:r>
            <w:r>
              <w:rPr>
                <w:color w:val="auto"/>
                <w:spacing w:val="4"/>
                <w:highlight w:val="none"/>
              </w:rPr>
              <w:t>墙面有简易的车辆行驶指示牌和地标，备有必需的消防器</w:t>
            </w:r>
            <w:r>
              <w:rPr>
                <w:color w:val="auto"/>
                <w:spacing w:val="5"/>
                <w:highlight w:val="none"/>
              </w:rPr>
              <w:t xml:space="preserve"> </w:t>
            </w:r>
            <w:r>
              <w:rPr>
                <w:color w:val="auto"/>
                <w:spacing w:val="7"/>
                <w:highlight w:val="none"/>
              </w:rPr>
              <w:t>材，有照明，通风良好，无易燃、易爆及危险物</w:t>
            </w:r>
            <w:r>
              <w:rPr>
                <w:color w:val="auto"/>
                <w:spacing w:val="6"/>
                <w:highlight w:val="none"/>
              </w:rPr>
              <w:t>品存放。</w:t>
            </w:r>
          </w:p>
        </w:tc>
      </w:tr>
      <w:tr w14:paraId="457B2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restart"/>
            <w:tcBorders>
              <w:bottom w:val="nil"/>
            </w:tcBorders>
            <w:vAlign w:val="top"/>
          </w:tcPr>
          <w:p w14:paraId="0B2B887E">
            <w:pPr>
              <w:spacing w:line="250" w:lineRule="auto"/>
              <w:rPr>
                <w:rFonts w:ascii="Arial"/>
                <w:color w:val="auto"/>
                <w:sz w:val="21"/>
                <w:highlight w:val="none"/>
              </w:rPr>
            </w:pPr>
          </w:p>
          <w:p w14:paraId="6EF398B4">
            <w:pPr>
              <w:spacing w:line="250" w:lineRule="auto"/>
              <w:rPr>
                <w:rFonts w:ascii="Arial"/>
                <w:color w:val="auto"/>
                <w:sz w:val="21"/>
                <w:highlight w:val="none"/>
              </w:rPr>
            </w:pPr>
          </w:p>
          <w:p w14:paraId="6DFCBD09">
            <w:pPr>
              <w:spacing w:line="250" w:lineRule="auto"/>
              <w:rPr>
                <w:rFonts w:ascii="Arial"/>
                <w:color w:val="auto"/>
                <w:sz w:val="21"/>
                <w:highlight w:val="none"/>
              </w:rPr>
            </w:pPr>
          </w:p>
          <w:p w14:paraId="6249CC41">
            <w:pPr>
              <w:spacing w:line="250" w:lineRule="auto"/>
              <w:rPr>
                <w:rFonts w:ascii="Arial"/>
                <w:color w:val="auto"/>
                <w:sz w:val="21"/>
                <w:highlight w:val="none"/>
              </w:rPr>
            </w:pPr>
          </w:p>
          <w:p w14:paraId="3DD3351D">
            <w:pPr>
              <w:spacing w:line="250" w:lineRule="auto"/>
              <w:rPr>
                <w:rFonts w:ascii="Arial"/>
                <w:color w:val="auto"/>
                <w:sz w:val="21"/>
                <w:highlight w:val="none"/>
              </w:rPr>
            </w:pPr>
          </w:p>
          <w:p w14:paraId="5568A13B">
            <w:pPr>
              <w:spacing w:line="250" w:lineRule="auto"/>
              <w:rPr>
                <w:rFonts w:ascii="Arial"/>
                <w:color w:val="auto"/>
                <w:sz w:val="21"/>
                <w:highlight w:val="none"/>
              </w:rPr>
            </w:pPr>
          </w:p>
          <w:p w14:paraId="2F4AF95C">
            <w:pPr>
              <w:spacing w:line="250" w:lineRule="auto"/>
              <w:rPr>
                <w:rFonts w:ascii="Arial"/>
                <w:color w:val="auto"/>
                <w:sz w:val="21"/>
                <w:highlight w:val="none"/>
              </w:rPr>
            </w:pPr>
          </w:p>
          <w:p w14:paraId="36734424">
            <w:pPr>
              <w:spacing w:line="250" w:lineRule="auto"/>
              <w:rPr>
                <w:rFonts w:ascii="Arial"/>
                <w:color w:val="auto"/>
                <w:sz w:val="21"/>
                <w:highlight w:val="none"/>
              </w:rPr>
            </w:pPr>
          </w:p>
          <w:p w14:paraId="33EDBA75">
            <w:pPr>
              <w:spacing w:line="250" w:lineRule="auto"/>
              <w:rPr>
                <w:rFonts w:ascii="Arial"/>
                <w:color w:val="auto"/>
                <w:sz w:val="21"/>
                <w:highlight w:val="none"/>
              </w:rPr>
            </w:pPr>
          </w:p>
          <w:p w14:paraId="0B5F622E">
            <w:pPr>
              <w:spacing w:line="250" w:lineRule="auto"/>
              <w:rPr>
                <w:rFonts w:ascii="Arial"/>
                <w:color w:val="auto"/>
                <w:sz w:val="21"/>
                <w:highlight w:val="none"/>
              </w:rPr>
            </w:pPr>
          </w:p>
          <w:p w14:paraId="56800D06">
            <w:pPr>
              <w:spacing w:line="250" w:lineRule="auto"/>
              <w:rPr>
                <w:rFonts w:ascii="Arial"/>
                <w:color w:val="auto"/>
                <w:sz w:val="21"/>
                <w:highlight w:val="none"/>
              </w:rPr>
            </w:pPr>
          </w:p>
          <w:p w14:paraId="6362C32B">
            <w:pPr>
              <w:spacing w:line="250" w:lineRule="auto"/>
              <w:rPr>
                <w:rFonts w:ascii="Arial"/>
                <w:color w:val="auto"/>
                <w:sz w:val="21"/>
                <w:highlight w:val="none"/>
              </w:rPr>
            </w:pPr>
          </w:p>
          <w:p w14:paraId="62DAD915">
            <w:pPr>
              <w:spacing w:line="250" w:lineRule="auto"/>
              <w:rPr>
                <w:rFonts w:ascii="Arial"/>
                <w:color w:val="auto"/>
                <w:sz w:val="21"/>
                <w:highlight w:val="none"/>
              </w:rPr>
            </w:pPr>
          </w:p>
          <w:p w14:paraId="7EF2A7BF">
            <w:pPr>
              <w:spacing w:line="250" w:lineRule="auto"/>
              <w:rPr>
                <w:rFonts w:ascii="Arial"/>
                <w:color w:val="auto"/>
                <w:sz w:val="21"/>
                <w:highlight w:val="none"/>
              </w:rPr>
            </w:pPr>
          </w:p>
          <w:p w14:paraId="2CA881D9">
            <w:pPr>
              <w:spacing w:line="251" w:lineRule="auto"/>
              <w:rPr>
                <w:rFonts w:ascii="Arial"/>
                <w:color w:val="auto"/>
                <w:sz w:val="21"/>
                <w:highlight w:val="none"/>
              </w:rPr>
            </w:pPr>
          </w:p>
          <w:p w14:paraId="715FD049">
            <w:pPr>
              <w:spacing w:line="251" w:lineRule="auto"/>
              <w:rPr>
                <w:rFonts w:ascii="Arial"/>
                <w:color w:val="auto"/>
                <w:sz w:val="21"/>
                <w:highlight w:val="none"/>
              </w:rPr>
            </w:pPr>
          </w:p>
          <w:p w14:paraId="4F6EFC0F">
            <w:pPr>
              <w:spacing w:line="251" w:lineRule="auto"/>
              <w:rPr>
                <w:rFonts w:ascii="Arial"/>
                <w:color w:val="auto"/>
                <w:sz w:val="21"/>
                <w:highlight w:val="none"/>
              </w:rPr>
            </w:pPr>
          </w:p>
          <w:p w14:paraId="7AC05468">
            <w:pPr>
              <w:pStyle w:val="131"/>
              <w:spacing w:before="65" w:line="228" w:lineRule="auto"/>
              <w:ind w:left="53"/>
              <w:rPr>
                <w:color w:val="auto"/>
                <w:highlight w:val="none"/>
              </w:rPr>
            </w:pPr>
            <w:r>
              <w:rPr>
                <w:color w:val="auto"/>
                <w:spacing w:val="6"/>
                <w:highlight w:val="none"/>
              </w:rPr>
              <w:t>（三）公共</w:t>
            </w:r>
          </w:p>
          <w:p w14:paraId="417FACE5">
            <w:pPr>
              <w:pStyle w:val="131"/>
              <w:spacing w:before="192" w:line="228" w:lineRule="auto"/>
              <w:ind w:left="59"/>
              <w:rPr>
                <w:color w:val="auto"/>
                <w:highlight w:val="none"/>
              </w:rPr>
            </w:pPr>
            <w:r>
              <w:rPr>
                <w:color w:val="auto"/>
                <w:spacing w:val="5"/>
                <w:highlight w:val="none"/>
              </w:rPr>
              <w:t>区域清洁卫</w:t>
            </w:r>
          </w:p>
          <w:p w14:paraId="2A30F187">
            <w:pPr>
              <w:pStyle w:val="131"/>
              <w:spacing w:before="191" w:line="228" w:lineRule="auto"/>
              <w:ind w:left="45"/>
              <w:rPr>
                <w:color w:val="auto"/>
                <w:highlight w:val="none"/>
              </w:rPr>
            </w:pPr>
            <w:r>
              <w:rPr>
                <w:color w:val="auto"/>
                <w:spacing w:val="7"/>
                <w:highlight w:val="none"/>
              </w:rPr>
              <w:t>生服务标准</w:t>
            </w:r>
          </w:p>
        </w:tc>
        <w:tc>
          <w:tcPr>
            <w:tcW w:w="1182" w:type="dxa"/>
            <w:vMerge w:val="restart"/>
            <w:tcBorders>
              <w:bottom w:val="nil"/>
            </w:tcBorders>
            <w:vAlign w:val="top"/>
          </w:tcPr>
          <w:p w14:paraId="3EF1DF6B">
            <w:pPr>
              <w:spacing w:line="258" w:lineRule="auto"/>
              <w:rPr>
                <w:rFonts w:ascii="Arial"/>
                <w:color w:val="auto"/>
                <w:sz w:val="21"/>
                <w:highlight w:val="none"/>
              </w:rPr>
            </w:pPr>
          </w:p>
          <w:p w14:paraId="3DFDAD7C">
            <w:pPr>
              <w:spacing w:line="259" w:lineRule="auto"/>
              <w:rPr>
                <w:rFonts w:ascii="Arial"/>
                <w:color w:val="auto"/>
                <w:sz w:val="21"/>
                <w:highlight w:val="none"/>
              </w:rPr>
            </w:pPr>
          </w:p>
          <w:p w14:paraId="4680D923">
            <w:pPr>
              <w:spacing w:line="259" w:lineRule="auto"/>
              <w:rPr>
                <w:rFonts w:ascii="Arial"/>
                <w:color w:val="auto"/>
                <w:sz w:val="21"/>
                <w:highlight w:val="none"/>
              </w:rPr>
            </w:pPr>
          </w:p>
          <w:p w14:paraId="495AD8D3">
            <w:pPr>
              <w:spacing w:line="259" w:lineRule="auto"/>
              <w:rPr>
                <w:rFonts w:ascii="Arial"/>
                <w:color w:val="auto"/>
                <w:sz w:val="21"/>
                <w:highlight w:val="none"/>
              </w:rPr>
            </w:pPr>
          </w:p>
          <w:p w14:paraId="7FF73290">
            <w:pPr>
              <w:spacing w:line="259" w:lineRule="auto"/>
              <w:rPr>
                <w:rFonts w:ascii="Arial"/>
                <w:color w:val="auto"/>
                <w:sz w:val="21"/>
                <w:highlight w:val="none"/>
              </w:rPr>
            </w:pPr>
          </w:p>
          <w:p w14:paraId="294F27A0">
            <w:pPr>
              <w:spacing w:line="259" w:lineRule="auto"/>
              <w:rPr>
                <w:rFonts w:ascii="Arial"/>
                <w:color w:val="auto"/>
                <w:sz w:val="21"/>
                <w:highlight w:val="none"/>
              </w:rPr>
            </w:pPr>
          </w:p>
          <w:p w14:paraId="5004E681">
            <w:pPr>
              <w:spacing w:line="259" w:lineRule="auto"/>
              <w:rPr>
                <w:rFonts w:ascii="Arial"/>
                <w:color w:val="auto"/>
                <w:sz w:val="21"/>
                <w:highlight w:val="none"/>
              </w:rPr>
            </w:pPr>
          </w:p>
          <w:p w14:paraId="4FD074DE">
            <w:pPr>
              <w:spacing w:line="259" w:lineRule="auto"/>
              <w:rPr>
                <w:rFonts w:ascii="Arial"/>
                <w:color w:val="auto"/>
                <w:sz w:val="21"/>
                <w:highlight w:val="none"/>
              </w:rPr>
            </w:pPr>
          </w:p>
          <w:p w14:paraId="3E27A991">
            <w:pPr>
              <w:spacing w:line="259" w:lineRule="auto"/>
              <w:rPr>
                <w:rFonts w:ascii="Arial"/>
                <w:color w:val="auto"/>
                <w:sz w:val="21"/>
                <w:highlight w:val="none"/>
              </w:rPr>
            </w:pPr>
          </w:p>
          <w:p w14:paraId="3A74ADD3">
            <w:pPr>
              <w:spacing w:line="259" w:lineRule="auto"/>
              <w:rPr>
                <w:rFonts w:ascii="Arial"/>
                <w:color w:val="auto"/>
                <w:sz w:val="21"/>
                <w:highlight w:val="none"/>
              </w:rPr>
            </w:pPr>
          </w:p>
          <w:p w14:paraId="1BF10565">
            <w:pPr>
              <w:spacing w:line="259" w:lineRule="auto"/>
              <w:rPr>
                <w:rFonts w:ascii="Arial"/>
                <w:color w:val="auto"/>
                <w:sz w:val="21"/>
                <w:highlight w:val="none"/>
              </w:rPr>
            </w:pPr>
          </w:p>
          <w:p w14:paraId="5B2B5A2A">
            <w:pPr>
              <w:pStyle w:val="131"/>
              <w:spacing w:before="65" w:line="228" w:lineRule="auto"/>
              <w:ind w:left="166"/>
              <w:rPr>
                <w:color w:val="auto"/>
                <w:highlight w:val="none"/>
              </w:rPr>
            </w:pPr>
            <w:r>
              <w:rPr>
                <w:color w:val="auto"/>
                <w:spacing w:val="7"/>
                <w:highlight w:val="none"/>
              </w:rPr>
              <w:t>楼内公共</w:t>
            </w:r>
          </w:p>
          <w:p w14:paraId="3A9BE1E0">
            <w:pPr>
              <w:pStyle w:val="131"/>
              <w:spacing w:before="195" w:line="228" w:lineRule="auto"/>
              <w:ind w:left="391"/>
              <w:rPr>
                <w:color w:val="auto"/>
                <w:highlight w:val="none"/>
              </w:rPr>
            </w:pPr>
            <w:r>
              <w:rPr>
                <w:color w:val="auto"/>
                <w:spacing w:val="-3"/>
                <w:highlight w:val="none"/>
              </w:rPr>
              <w:t>区域</w:t>
            </w:r>
          </w:p>
        </w:tc>
        <w:tc>
          <w:tcPr>
            <w:tcW w:w="1072" w:type="dxa"/>
            <w:vAlign w:val="top"/>
          </w:tcPr>
          <w:p w14:paraId="55ABBBCD">
            <w:pPr>
              <w:spacing w:line="339" w:lineRule="auto"/>
              <w:rPr>
                <w:rFonts w:ascii="Arial"/>
                <w:color w:val="auto"/>
                <w:sz w:val="21"/>
                <w:highlight w:val="none"/>
              </w:rPr>
            </w:pPr>
          </w:p>
          <w:p w14:paraId="746F9551">
            <w:pPr>
              <w:pStyle w:val="131"/>
              <w:spacing w:before="65" w:line="270" w:lineRule="exact"/>
              <w:ind w:left="496"/>
              <w:rPr>
                <w:color w:val="auto"/>
                <w:highlight w:val="none"/>
              </w:rPr>
            </w:pPr>
            <w:r>
              <w:rPr>
                <w:color w:val="auto"/>
                <w:position w:val="1"/>
                <w:highlight w:val="none"/>
              </w:rPr>
              <w:t>1</w:t>
            </w:r>
          </w:p>
        </w:tc>
        <w:tc>
          <w:tcPr>
            <w:tcW w:w="1460" w:type="dxa"/>
            <w:vAlign w:val="top"/>
          </w:tcPr>
          <w:p w14:paraId="3DF50AF3">
            <w:pPr>
              <w:spacing w:line="339" w:lineRule="auto"/>
              <w:rPr>
                <w:rFonts w:ascii="Arial"/>
                <w:color w:val="auto"/>
                <w:sz w:val="21"/>
                <w:highlight w:val="none"/>
              </w:rPr>
            </w:pPr>
          </w:p>
          <w:p w14:paraId="629ACC9E">
            <w:pPr>
              <w:pStyle w:val="131"/>
              <w:spacing w:before="65" w:line="228" w:lineRule="auto"/>
              <w:ind w:left="101"/>
              <w:rPr>
                <w:color w:val="auto"/>
                <w:highlight w:val="none"/>
              </w:rPr>
            </w:pPr>
            <w:r>
              <w:rPr>
                <w:color w:val="auto"/>
                <w:spacing w:val="7"/>
                <w:highlight w:val="none"/>
              </w:rPr>
              <w:t>生活垃圾收集</w:t>
            </w:r>
          </w:p>
        </w:tc>
        <w:tc>
          <w:tcPr>
            <w:tcW w:w="5206" w:type="dxa"/>
            <w:vAlign w:val="top"/>
          </w:tcPr>
          <w:p w14:paraId="05CF840C">
            <w:pPr>
              <w:pStyle w:val="131"/>
              <w:spacing w:before="188" w:line="228" w:lineRule="auto"/>
              <w:ind w:left="25"/>
              <w:rPr>
                <w:color w:val="auto"/>
                <w:highlight w:val="none"/>
              </w:rPr>
            </w:pPr>
            <w:r>
              <w:rPr>
                <w:color w:val="auto"/>
                <w:spacing w:val="7"/>
                <w:highlight w:val="none"/>
              </w:rPr>
              <w:t>（1） 按物业管理需要设置垃圾收集点。</w:t>
            </w:r>
          </w:p>
          <w:p w14:paraId="3A8C3360">
            <w:pPr>
              <w:pStyle w:val="131"/>
              <w:spacing w:before="192" w:line="228" w:lineRule="auto"/>
              <w:ind w:left="25"/>
              <w:rPr>
                <w:color w:val="auto"/>
                <w:highlight w:val="none"/>
              </w:rPr>
            </w:pPr>
            <w:r>
              <w:rPr>
                <w:color w:val="auto"/>
                <w:spacing w:val="8"/>
                <w:highlight w:val="none"/>
              </w:rPr>
              <w:t>（2）装修垃圾定点堆放，每周清理一次。</w:t>
            </w:r>
          </w:p>
        </w:tc>
      </w:tr>
      <w:tr w14:paraId="7D42C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437E6E7E">
            <w:pPr>
              <w:rPr>
                <w:rFonts w:ascii="Arial"/>
                <w:color w:val="auto"/>
                <w:sz w:val="21"/>
                <w:highlight w:val="none"/>
              </w:rPr>
            </w:pPr>
          </w:p>
        </w:tc>
        <w:tc>
          <w:tcPr>
            <w:tcW w:w="1182" w:type="dxa"/>
            <w:vMerge w:val="continue"/>
            <w:tcBorders>
              <w:top w:val="nil"/>
              <w:bottom w:val="nil"/>
            </w:tcBorders>
            <w:vAlign w:val="top"/>
          </w:tcPr>
          <w:p w14:paraId="345663E0">
            <w:pPr>
              <w:rPr>
                <w:rFonts w:ascii="Arial"/>
                <w:color w:val="auto"/>
                <w:sz w:val="21"/>
                <w:highlight w:val="none"/>
              </w:rPr>
            </w:pPr>
          </w:p>
        </w:tc>
        <w:tc>
          <w:tcPr>
            <w:tcW w:w="1072" w:type="dxa"/>
            <w:vAlign w:val="top"/>
          </w:tcPr>
          <w:p w14:paraId="201E1232">
            <w:pPr>
              <w:spacing w:line="340" w:lineRule="auto"/>
              <w:rPr>
                <w:rFonts w:ascii="Arial"/>
                <w:color w:val="auto"/>
                <w:sz w:val="21"/>
                <w:highlight w:val="none"/>
              </w:rPr>
            </w:pPr>
          </w:p>
          <w:p w14:paraId="56BAF122">
            <w:pPr>
              <w:pStyle w:val="131"/>
              <w:spacing w:before="65" w:line="270" w:lineRule="exact"/>
              <w:ind w:left="483"/>
              <w:rPr>
                <w:color w:val="auto"/>
                <w:highlight w:val="none"/>
              </w:rPr>
            </w:pPr>
            <w:r>
              <w:rPr>
                <w:color w:val="auto"/>
                <w:position w:val="1"/>
                <w:highlight w:val="none"/>
              </w:rPr>
              <w:t>2</w:t>
            </w:r>
          </w:p>
        </w:tc>
        <w:tc>
          <w:tcPr>
            <w:tcW w:w="1460" w:type="dxa"/>
            <w:vAlign w:val="top"/>
          </w:tcPr>
          <w:p w14:paraId="201764DA">
            <w:pPr>
              <w:pStyle w:val="131"/>
              <w:spacing w:before="188" w:line="228" w:lineRule="auto"/>
              <w:ind w:left="99"/>
              <w:rPr>
                <w:color w:val="auto"/>
                <w:highlight w:val="none"/>
              </w:rPr>
            </w:pPr>
            <w:r>
              <w:rPr>
                <w:color w:val="auto"/>
                <w:spacing w:val="8"/>
                <w:highlight w:val="none"/>
              </w:rPr>
              <w:t>通道及楼梯台</w:t>
            </w:r>
          </w:p>
          <w:p w14:paraId="49D78B90">
            <w:pPr>
              <w:pStyle w:val="131"/>
              <w:spacing w:before="192" w:line="229" w:lineRule="auto"/>
              <w:ind w:left="634"/>
              <w:rPr>
                <w:color w:val="auto"/>
                <w:highlight w:val="none"/>
              </w:rPr>
            </w:pPr>
            <w:r>
              <w:rPr>
                <w:color w:val="auto"/>
                <w:highlight w:val="none"/>
              </w:rPr>
              <w:t>阶</w:t>
            </w:r>
          </w:p>
        </w:tc>
        <w:tc>
          <w:tcPr>
            <w:tcW w:w="5206" w:type="dxa"/>
            <w:vAlign w:val="top"/>
          </w:tcPr>
          <w:p w14:paraId="288EB87E">
            <w:pPr>
              <w:pStyle w:val="131"/>
              <w:spacing w:before="189" w:line="323" w:lineRule="auto"/>
              <w:ind w:left="14" w:right="12"/>
              <w:rPr>
                <w:color w:val="auto"/>
                <w:highlight w:val="none"/>
              </w:rPr>
            </w:pPr>
            <w:r>
              <w:rPr>
                <w:color w:val="auto"/>
                <w:spacing w:val="6"/>
                <w:highlight w:val="none"/>
              </w:rPr>
              <w:t>每周清扫三次，隔月楼梯间墙面除尘一次；单元门厅每天</w:t>
            </w:r>
            <w:r>
              <w:rPr>
                <w:color w:val="auto"/>
                <w:spacing w:val="13"/>
                <w:highlight w:val="none"/>
              </w:rPr>
              <w:t xml:space="preserve"> </w:t>
            </w:r>
            <w:r>
              <w:rPr>
                <w:color w:val="auto"/>
                <w:spacing w:val="8"/>
                <w:highlight w:val="none"/>
              </w:rPr>
              <w:t>清扫二次，每周拖洗二次。</w:t>
            </w:r>
          </w:p>
        </w:tc>
      </w:tr>
      <w:tr w14:paraId="37BE0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0C2BBD08">
            <w:pPr>
              <w:rPr>
                <w:rFonts w:ascii="Arial"/>
                <w:color w:val="auto"/>
                <w:sz w:val="21"/>
                <w:highlight w:val="none"/>
              </w:rPr>
            </w:pPr>
          </w:p>
        </w:tc>
        <w:tc>
          <w:tcPr>
            <w:tcW w:w="1182" w:type="dxa"/>
            <w:vMerge w:val="continue"/>
            <w:tcBorders>
              <w:top w:val="nil"/>
              <w:bottom w:val="nil"/>
            </w:tcBorders>
            <w:vAlign w:val="top"/>
          </w:tcPr>
          <w:p w14:paraId="6FF79C8F">
            <w:pPr>
              <w:rPr>
                <w:rFonts w:ascii="Arial"/>
                <w:color w:val="auto"/>
                <w:sz w:val="21"/>
                <w:highlight w:val="none"/>
              </w:rPr>
            </w:pPr>
          </w:p>
        </w:tc>
        <w:tc>
          <w:tcPr>
            <w:tcW w:w="1072" w:type="dxa"/>
            <w:vAlign w:val="top"/>
          </w:tcPr>
          <w:p w14:paraId="1782233C">
            <w:pPr>
              <w:spacing w:line="342" w:lineRule="auto"/>
              <w:rPr>
                <w:rFonts w:ascii="Arial"/>
                <w:color w:val="auto"/>
                <w:sz w:val="21"/>
                <w:highlight w:val="none"/>
              </w:rPr>
            </w:pPr>
          </w:p>
          <w:p w14:paraId="1A1DC4CB">
            <w:pPr>
              <w:pStyle w:val="131"/>
              <w:spacing w:before="65" w:line="269" w:lineRule="exact"/>
              <w:ind w:left="484"/>
              <w:rPr>
                <w:color w:val="auto"/>
                <w:highlight w:val="none"/>
              </w:rPr>
            </w:pPr>
            <w:r>
              <w:rPr>
                <w:color w:val="auto"/>
                <w:position w:val="1"/>
                <w:highlight w:val="none"/>
              </w:rPr>
              <w:t>3</w:t>
            </w:r>
          </w:p>
        </w:tc>
        <w:tc>
          <w:tcPr>
            <w:tcW w:w="1460" w:type="dxa"/>
            <w:vAlign w:val="top"/>
          </w:tcPr>
          <w:p w14:paraId="1C7D0A49">
            <w:pPr>
              <w:pStyle w:val="131"/>
              <w:spacing w:before="189" w:line="323" w:lineRule="auto"/>
              <w:ind w:left="14" w:right="9" w:firstLine="84"/>
              <w:rPr>
                <w:color w:val="auto"/>
                <w:highlight w:val="none"/>
              </w:rPr>
            </w:pPr>
            <w:r>
              <w:rPr>
                <w:color w:val="auto"/>
                <w:spacing w:val="8"/>
                <w:highlight w:val="none"/>
              </w:rPr>
              <w:t>楼梯扶手、栏</w:t>
            </w:r>
            <w:r>
              <w:rPr>
                <w:color w:val="auto"/>
                <w:highlight w:val="none"/>
              </w:rPr>
              <w:t xml:space="preserve">  </w:t>
            </w:r>
            <w:r>
              <w:rPr>
                <w:color w:val="auto"/>
                <w:spacing w:val="3"/>
                <w:highlight w:val="none"/>
              </w:rPr>
              <w:t>杆、窗台、开关</w:t>
            </w:r>
          </w:p>
        </w:tc>
        <w:tc>
          <w:tcPr>
            <w:tcW w:w="5206" w:type="dxa"/>
            <w:vAlign w:val="top"/>
          </w:tcPr>
          <w:p w14:paraId="3172C90E">
            <w:pPr>
              <w:pStyle w:val="131"/>
              <w:spacing w:before="189" w:line="323" w:lineRule="auto"/>
              <w:ind w:left="14" w:right="12"/>
              <w:rPr>
                <w:color w:val="auto"/>
                <w:highlight w:val="none"/>
              </w:rPr>
            </w:pPr>
            <w:r>
              <w:rPr>
                <w:color w:val="auto"/>
                <w:spacing w:val="6"/>
                <w:highlight w:val="none"/>
              </w:rPr>
              <w:t>每周擦抹二次，扶手、栏杆基本干净、无灰尘，清洁后用</w:t>
            </w:r>
            <w:r>
              <w:rPr>
                <w:color w:val="auto"/>
                <w:spacing w:val="13"/>
                <w:highlight w:val="none"/>
              </w:rPr>
              <w:t xml:space="preserve"> </w:t>
            </w:r>
            <w:r>
              <w:rPr>
                <w:color w:val="auto"/>
                <w:spacing w:val="8"/>
                <w:highlight w:val="none"/>
              </w:rPr>
              <w:t>抹布擦拭，窗台基本无尘。</w:t>
            </w:r>
          </w:p>
        </w:tc>
      </w:tr>
      <w:tr w14:paraId="0EA1D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44560751">
            <w:pPr>
              <w:rPr>
                <w:rFonts w:ascii="Arial"/>
                <w:color w:val="auto"/>
                <w:sz w:val="21"/>
                <w:highlight w:val="none"/>
              </w:rPr>
            </w:pPr>
          </w:p>
        </w:tc>
        <w:tc>
          <w:tcPr>
            <w:tcW w:w="1182" w:type="dxa"/>
            <w:vMerge w:val="continue"/>
            <w:tcBorders>
              <w:top w:val="nil"/>
              <w:bottom w:val="nil"/>
            </w:tcBorders>
            <w:vAlign w:val="top"/>
          </w:tcPr>
          <w:p w14:paraId="23CECDED">
            <w:pPr>
              <w:rPr>
                <w:rFonts w:ascii="Arial"/>
                <w:color w:val="auto"/>
                <w:sz w:val="21"/>
                <w:highlight w:val="none"/>
              </w:rPr>
            </w:pPr>
          </w:p>
        </w:tc>
        <w:tc>
          <w:tcPr>
            <w:tcW w:w="1072" w:type="dxa"/>
            <w:vAlign w:val="top"/>
          </w:tcPr>
          <w:p w14:paraId="08513E73">
            <w:pPr>
              <w:spacing w:line="343" w:lineRule="auto"/>
              <w:rPr>
                <w:rFonts w:ascii="Arial"/>
                <w:color w:val="auto"/>
                <w:sz w:val="21"/>
                <w:highlight w:val="none"/>
              </w:rPr>
            </w:pPr>
          </w:p>
          <w:p w14:paraId="73901869">
            <w:pPr>
              <w:pStyle w:val="131"/>
              <w:spacing w:before="65" w:line="270" w:lineRule="exact"/>
              <w:ind w:left="479"/>
              <w:rPr>
                <w:color w:val="auto"/>
                <w:highlight w:val="none"/>
              </w:rPr>
            </w:pPr>
            <w:r>
              <w:rPr>
                <w:color w:val="auto"/>
                <w:position w:val="1"/>
                <w:highlight w:val="none"/>
              </w:rPr>
              <w:t>4</w:t>
            </w:r>
          </w:p>
        </w:tc>
        <w:tc>
          <w:tcPr>
            <w:tcW w:w="1460" w:type="dxa"/>
            <w:vAlign w:val="top"/>
          </w:tcPr>
          <w:p w14:paraId="1D22CE62">
            <w:pPr>
              <w:spacing w:line="342" w:lineRule="auto"/>
              <w:rPr>
                <w:rFonts w:ascii="Arial"/>
                <w:color w:val="auto"/>
                <w:sz w:val="21"/>
                <w:highlight w:val="none"/>
              </w:rPr>
            </w:pPr>
          </w:p>
          <w:p w14:paraId="188B9BDA">
            <w:pPr>
              <w:pStyle w:val="131"/>
              <w:spacing w:before="65" w:line="228" w:lineRule="auto"/>
              <w:ind w:left="123"/>
              <w:rPr>
                <w:color w:val="auto"/>
                <w:highlight w:val="none"/>
              </w:rPr>
            </w:pPr>
            <w:r>
              <w:rPr>
                <w:color w:val="auto"/>
                <w:spacing w:val="4"/>
                <w:highlight w:val="none"/>
              </w:rPr>
              <w:t>门、窗等玻璃</w:t>
            </w:r>
          </w:p>
        </w:tc>
        <w:tc>
          <w:tcPr>
            <w:tcW w:w="5206" w:type="dxa"/>
            <w:vAlign w:val="top"/>
          </w:tcPr>
          <w:p w14:paraId="0F509C13">
            <w:pPr>
              <w:pStyle w:val="131"/>
              <w:spacing w:before="189" w:line="323" w:lineRule="auto"/>
              <w:ind w:left="17" w:right="9" w:hanging="3"/>
              <w:rPr>
                <w:color w:val="auto"/>
                <w:highlight w:val="none"/>
              </w:rPr>
            </w:pPr>
            <w:r>
              <w:rPr>
                <w:color w:val="auto"/>
                <w:spacing w:val="6"/>
                <w:highlight w:val="none"/>
              </w:rPr>
              <w:t>每月擦拭一次，其中单元门厅玻璃每月擦拭二次，目视明</w:t>
            </w:r>
            <w:r>
              <w:rPr>
                <w:color w:val="auto"/>
                <w:spacing w:val="15"/>
                <w:highlight w:val="none"/>
              </w:rPr>
              <w:t xml:space="preserve"> </w:t>
            </w:r>
            <w:r>
              <w:rPr>
                <w:color w:val="auto"/>
                <w:spacing w:val="6"/>
                <w:highlight w:val="none"/>
              </w:rPr>
              <w:t>亮、无污迹。</w:t>
            </w:r>
          </w:p>
        </w:tc>
      </w:tr>
      <w:tr w14:paraId="18D5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7AB08E10">
            <w:pPr>
              <w:rPr>
                <w:rFonts w:ascii="Arial"/>
                <w:color w:val="auto"/>
                <w:sz w:val="21"/>
                <w:highlight w:val="none"/>
              </w:rPr>
            </w:pPr>
          </w:p>
        </w:tc>
        <w:tc>
          <w:tcPr>
            <w:tcW w:w="1182" w:type="dxa"/>
            <w:vMerge w:val="continue"/>
            <w:tcBorders>
              <w:top w:val="nil"/>
              <w:bottom w:val="nil"/>
            </w:tcBorders>
            <w:vAlign w:val="top"/>
          </w:tcPr>
          <w:p w14:paraId="5982A2A6">
            <w:pPr>
              <w:rPr>
                <w:rFonts w:ascii="Arial"/>
                <w:color w:val="auto"/>
                <w:sz w:val="21"/>
                <w:highlight w:val="none"/>
              </w:rPr>
            </w:pPr>
          </w:p>
        </w:tc>
        <w:tc>
          <w:tcPr>
            <w:tcW w:w="1072" w:type="dxa"/>
            <w:vAlign w:val="top"/>
          </w:tcPr>
          <w:p w14:paraId="52146D02">
            <w:pPr>
              <w:spacing w:line="343" w:lineRule="auto"/>
              <w:rPr>
                <w:rFonts w:ascii="Arial"/>
                <w:color w:val="auto"/>
                <w:sz w:val="21"/>
                <w:highlight w:val="none"/>
              </w:rPr>
            </w:pPr>
          </w:p>
          <w:p w14:paraId="7ECD78A6">
            <w:pPr>
              <w:pStyle w:val="131"/>
              <w:spacing w:before="65" w:line="269" w:lineRule="exact"/>
              <w:ind w:left="484"/>
              <w:rPr>
                <w:color w:val="auto"/>
                <w:highlight w:val="none"/>
              </w:rPr>
            </w:pPr>
            <w:r>
              <w:rPr>
                <w:color w:val="auto"/>
                <w:position w:val="1"/>
                <w:highlight w:val="none"/>
              </w:rPr>
              <w:t>5</w:t>
            </w:r>
          </w:p>
        </w:tc>
        <w:tc>
          <w:tcPr>
            <w:tcW w:w="1460" w:type="dxa"/>
            <w:vAlign w:val="top"/>
          </w:tcPr>
          <w:p w14:paraId="5C594B76">
            <w:pPr>
              <w:pStyle w:val="131"/>
              <w:spacing w:before="193" w:line="321" w:lineRule="auto"/>
              <w:ind w:left="629" w:right="9" w:hanging="612"/>
              <w:rPr>
                <w:color w:val="auto"/>
                <w:highlight w:val="none"/>
              </w:rPr>
            </w:pPr>
            <w:r>
              <w:rPr>
                <w:color w:val="auto"/>
                <w:spacing w:val="2"/>
                <w:highlight w:val="none"/>
              </w:rPr>
              <w:t>天花板、公共灯</w:t>
            </w:r>
            <w:r>
              <w:rPr>
                <w:color w:val="auto"/>
                <w:spacing w:val="3"/>
                <w:highlight w:val="none"/>
              </w:rPr>
              <w:t xml:space="preserve"> </w:t>
            </w:r>
            <w:r>
              <w:rPr>
                <w:color w:val="auto"/>
                <w:highlight w:val="none"/>
              </w:rPr>
              <w:t>具</w:t>
            </w:r>
          </w:p>
        </w:tc>
        <w:tc>
          <w:tcPr>
            <w:tcW w:w="5206" w:type="dxa"/>
            <w:vAlign w:val="top"/>
          </w:tcPr>
          <w:p w14:paraId="7533E996">
            <w:pPr>
              <w:pStyle w:val="131"/>
              <w:spacing w:before="193" w:line="321" w:lineRule="auto"/>
              <w:ind w:left="16" w:firstLine="10"/>
              <w:rPr>
                <w:color w:val="auto"/>
                <w:highlight w:val="none"/>
              </w:rPr>
            </w:pPr>
            <w:r>
              <w:rPr>
                <w:color w:val="auto"/>
                <w:spacing w:val="6"/>
                <w:highlight w:val="none"/>
              </w:rPr>
              <w:t>隔月除尘一次，天花板、灯盖、灯罩、灯座目视无积尘、</w:t>
            </w:r>
            <w:r>
              <w:rPr>
                <w:color w:val="auto"/>
                <w:spacing w:val="12"/>
                <w:highlight w:val="none"/>
              </w:rPr>
              <w:t xml:space="preserve"> </w:t>
            </w:r>
            <w:r>
              <w:rPr>
                <w:color w:val="auto"/>
                <w:spacing w:val="6"/>
                <w:highlight w:val="none"/>
              </w:rPr>
              <w:t>无污迹、无蜘蛛网。</w:t>
            </w:r>
          </w:p>
        </w:tc>
      </w:tr>
      <w:tr w14:paraId="06B0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5FC7E9D3">
            <w:pPr>
              <w:rPr>
                <w:rFonts w:ascii="Arial"/>
                <w:color w:val="auto"/>
                <w:sz w:val="21"/>
                <w:highlight w:val="none"/>
              </w:rPr>
            </w:pPr>
          </w:p>
        </w:tc>
        <w:tc>
          <w:tcPr>
            <w:tcW w:w="1182" w:type="dxa"/>
            <w:vMerge w:val="continue"/>
            <w:tcBorders>
              <w:top w:val="nil"/>
              <w:bottom w:val="nil"/>
            </w:tcBorders>
            <w:vAlign w:val="top"/>
          </w:tcPr>
          <w:p w14:paraId="524F017E">
            <w:pPr>
              <w:rPr>
                <w:rFonts w:ascii="Arial"/>
                <w:color w:val="auto"/>
                <w:sz w:val="21"/>
                <w:highlight w:val="none"/>
              </w:rPr>
            </w:pPr>
          </w:p>
        </w:tc>
        <w:tc>
          <w:tcPr>
            <w:tcW w:w="1072" w:type="dxa"/>
            <w:vAlign w:val="top"/>
          </w:tcPr>
          <w:p w14:paraId="7B5B4F0F">
            <w:pPr>
              <w:spacing w:line="344" w:lineRule="auto"/>
              <w:rPr>
                <w:rFonts w:ascii="Arial"/>
                <w:color w:val="auto"/>
                <w:sz w:val="21"/>
                <w:highlight w:val="none"/>
              </w:rPr>
            </w:pPr>
          </w:p>
          <w:p w14:paraId="7887C12A">
            <w:pPr>
              <w:pStyle w:val="131"/>
              <w:spacing w:before="65" w:line="268" w:lineRule="exact"/>
              <w:ind w:left="482"/>
              <w:rPr>
                <w:color w:val="auto"/>
                <w:highlight w:val="none"/>
              </w:rPr>
            </w:pPr>
            <w:r>
              <w:rPr>
                <w:color w:val="auto"/>
                <w:position w:val="1"/>
                <w:highlight w:val="none"/>
              </w:rPr>
              <w:t>6</w:t>
            </w:r>
          </w:p>
        </w:tc>
        <w:tc>
          <w:tcPr>
            <w:tcW w:w="1460" w:type="dxa"/>
            <w:vAlign w:val="top"/>
          </w:tcPr>
          <w:p w14:paraId="0847766D">
            <w:pPr>
              <w:spacing w:line="344" w:lineRule="auto"/>
              <w:rPr>
                <w:rFonts w:ascii="Arial"/>
                <w:color w:val="auto"/>
                <w:sz w:val="21"/>
                <w:highlight w:val="none"/>
              </w:rPr>
            </w:pPr>
          </w:p>
          <w:p w14:paraId="39A26901">
            <w:pPr>
              <w:pStyle w:val="131"/>
              <w:spacing w:before="65" w:line="228" w:lineRule="auto"/>
              <w:ind w:left="124"/>
              <w:rPr>
                <w:color w:val="auto"/>
                <w:highlight w:val="none"/>
              </w:rPr>
            </w:pPr>
            <w:r>
              <w:rPr>
                <w:color w:val="auto"/>
                <w:spacing w:val="4"/>
                <w:highlight w:val="none"/>
              </w:rPr>
              <w:t>电梯及电梯厅</w:t>
            </w:r>
          </w:p>
        </w:tc>
        <w:tc>
          <w:tcPr>
            <w:tcW w:w="5206" w:type="dxa"/>
            <w:vAlign w:val="top"/>
          </w:tcPr>
          <w:p w14:paraId="7B050180">
            <w:pPr>
              <w:pStyle w:val="131"/>
              <w:spacing w:before="193" w:line="321" w:lineRule="auto"/>
              <w:ind w:left="14"/>
              <w:rPr>
                <w:color w:val="auto"/>
                <w:highlight w:val="none"/>
              </w:rPr>
            </w:pPr>
            <w:r>
              <w:rPr>
                <w:color w:val="auto"/>
                <w:spacing w:val="7"/>
                <w:highlight w:val="none"/>
              </w:rPr>
              <w:t>每天清扫二次，每月二次擦拭、清洁电梯内墙面和地面，</w:t>
            </w:r>
            <w:r>
              <w:rPr>
                <w:color w:val="auto"/>
                <w:highlight w:val="none"/>
              </w:rPr>
              <w:t xml:space="preserve"> </w:t>
            </w:r>
            <w:r>
              <w:rPr>
                <w:color w:val="auto"/>
                <w:spacing w:val="7"/>
                <w:highlight w:val="none"/>
              </w:rPr>
              <w:t>每月清洁一次轿箱顶部。</w:t>
            </w:r>
          </w:p>
        </w:tc>
      </w:tr>
      <w:tr w14:paraId="23D48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69D94E98">
            <w:pPr>
              <w:rPr>
                <w:rFonts w:ascii="Arial"/>
                <w:color w:val="auto"/>
                <w:sz w:val="21"/>
                <w:highlight w:val="none"/>
              </w:rPr>
            </w:pPr>
          </w:p>
        </w:tc>
        <w:tc>
          <w:tcPr>
            <w:tcW w:w="1182" w:type="dxa"/>
            <w:vMerge w:val="continue"/>
            <w:tcBorders>
              <w:top w:val="nil"/>
            </w:tcBorders>
            <w:vAlign w:val="top"/>
          </w:tcPr>
          <w:p w14:paraId="58D2FD10">
            <w:pPr>
              <w:rPr>
                <w:rFonts w:ascii="Arial"/>
                <w:color w:val="auto"/>
                <w:sz w:val="21"/>
                <w:highlight w:val="none"/>
              </w:rPr>
            </w:pPr>
          </w:p>
        </w:tc>
        <w:tc>
          <w:tcPr>
            <w:tcW w:w="1072" w:type="dxa"/>
            <w:vAlign w:val="top"/>
          </w:tcPr>
          <w:p w14:paraId="6B4D1E6F">
            <w:pPr>
              <w:spacing w:line="346" w:lineRule="auto"/>
              <w:rPr>
                <w:rFonts w:ascii="Arial"/>
                <w:color w:val="auto"/>
                <w:sz w:val="21"/>
                <w:highlight w:val="none"/>
              </w:rPr>
            </w:pPr>
          </w:p>
          <w:p w14:paraId="590AEA00">
            <w:pPr>
              <w:pStyle w:val="131"/>
              <w:spacing w:before="65" w:line="269" w:lineRule="exact"/>
              <w:ind w:left="485"/>
              <w:rPr>
                <w:color w:val="auto"/>
                <w:highlight w:val="none"/>
              </w:rPr>
            </w:pPr>
            <w:r>
              <w:rPr>
                <w:color w:val="auto"/>
                <w:position w:val="1"/>
                <w:highlight w:val="none"/>
              </w:rPr>
              <w:t>7</w:t>
            </w:r>
          </w:p>
        </w:tc>
        <w:tc>
          <w:tcPr>
            <w:tcW w:w="1460" w:type="dxa"/>
            <w:vAlign w:val="top"/>
          </w:tcPr>
          <w:p w14:paraId="11A813B8">
            <w:pPr>
              <w:pStyle w:val="131"/>
              <w:spacing w:before="193" w:line="321" w:lineRule="auto"/>
              <w:ind w:left="205" w:right="95" w:hanging="102"/>
              <w:rPr>
                <w:color w:val="auto"/>
                <w:highlight w:val="none"/>
              </w:rPr>
            </w:pPr>
            <w:r>
              <w:rPr>
                <w:color w:val="auto"/>
                <w:spacing w:val="7"/>
                <w:highlight w:val="none"/>
              </w:rPr>
              <w:t>消火栓、指示</w:t>
            </w:r>
            <w:r>
              <w:rPr>
                <w:color w:val="auto"/>
                <w:spacing w:val="2"/>
                <w:highlight w:val="none"/>
              </w:rPr>
              <w:t xml:space="preserve"> </w:t>
            </w:r>
            <w:r>
              <w:rPr>
                <w:color w:val="auto"/>
                <w:spacing w:val="7"/>
                <w:highlight w:val="none"/>
              </w:rPr>
              <w:t>牌、信报箱</w:t>
            </w:r>
          </w:p>
        </w:tc>
        <w:tc>
          <w:tcPr>
            <w:tcW w:w="5206" w:type="dxa"/>
            <w:vAlign w:val="top"/>
          </w:tcPr>
          <w:p w14:paraId="0A3871EF">
            <w:pPr>
              <w:spacing w:line="346" w:lineRule="auto"/>
              <w:rPr>
                <w:rFonts w:ascii="Arial"/>
                <w:color w:val="auto"/>
                <w:sz w:val="21"/>
                <w:highlight w:val="none"/>
              </w:rPr>
            </w:pPr>
          </w:p>
          <w:p w14:paraId="57326457">
            <w:pPr>
              <w:pStyle w:val="131"/>
              <w:spacing w:before="65" w:line="228" w:lineRule="auto"/>
              <w:ind w:left="14"/>
              <w:rPr>
                <w:color w:val="auto"/>
                <w:highlight w:val="none"/>
              </w:rPr>
            </w:pPr>
            <w:r>
              <w:rPr>
                <w:color w:val="auto"/>
                <w:spacing w:val="7"/>
                <w:highlight w:val="none"/>
              </w:rPr>
              <w:t>每周擦抹一次。</w:t>
            </w:r>
          </w:p>
        </w:tc>
      </w:tr>
      <w:tr w14:paraId="5AFAD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41" w:type="dxa"/>
            <w:vMerge w:val="continue"/>
            <w:tcBorders>
              <w:top w:val="nil"/>
              <w:bottom w:val="nil"/>
            </w:tcBorders>
            <w:vAlign w:val="top"/>
          </w:tcPr>
          <w:p w14:paraId="677B89BD">
            <w:pPr>
              <w:rPr>
                <w:rFonts w:ascii="Arial"/>
                <w:color w:val="auto"/>
                <w:sz w:val="21"/>
                <w:highlight w:val="none"/>
              </w:rPr>
            </w:pPr>
          </w:p>
        </w:tc>
        <w:tc>
          <w:tcPr>
            <w:tcW w:w="1182" w:type="dxa"/>
            <w:vMerge w:val="restart"/>
            <w:tcBorders>
              <w:bottom w:val="nil"/>
            </w:tcBorders>
            <w:vAlign w:val="top"/>
          </w:tcPr>
          <w:p w14:paraId="3FDC887D">
            <w:pPr>
              <w:spacing w:line="258" w:lineRule="auto"/>
              <w:rPr>
                <w:rFonts w:ascii="Arial"/>
                <w:color w:val="auto"/>
                <w:sz w:val="21"/>
                <w:highlight w:val="none"/>
              </w:rPr>
            </w:pPr>
          </w:p>
          <w:p w14:paraId="048D4B3C">
            <w:pPr>
              <w:spacing w:line="258" w:lineRule="auto"/>
              <w:rPr>
                <w:rFonts w:ascii="Arial"/>
                <w:color w:val="auto"/>
                <w:sz w:val="21"/>
                <w:highlight w:val="none"/>
              </w:rPr>
            </w:pPr>
          </w:p>
          <w:p w14:paraId="61873865">
            <w:pPr>
              <w:spacing w:line="259" w:lineRule="auto"/>
              <w:rPr>
                <w:rFonts w:ascii="Arial"/>
                <w:color w:val="auto"/>
                <w:sz w:val="21"/>
                <w:highlight w:val="none"/>
              </w:rPr>
            </w:pPr>
          </w:p>
          <w:p w14:paraId="5D586099">
            <w:pPr>
              <w:spacing w:line="259" w:lineRule="auto"/>
              <w:rPr>
                <w:rFonts w:ascii="Arial"/>
                <w:color w:val="auto"/>
                <w:sz w:val="21"/>
                <w:highlight w:val="none"/>
              </w:rPr>
            </w:pPr>
          </w:p>
          <w:p w14:paraId="731C6BBF">
            <w:pPr>
              <w:spacing w:line="259" w:lineRule="auto"/>
              <w:rPr>
                <w:rFonts w:ascii="Arial"/>
                <w:color w:val="auto"/>
                <w:sz w:val="21"/>
                <w:highlight w:val="none"/>
              </w:rPr>
            </w:pPr>
          </w:p>
          <w:p w14:paraId="2580F411">
            <w:pPr>
              <w:pStyle w:val="131"/>
              <w:spacing w:before="65" w:line="228" w:lineRule="auto"/>
              <w:ind w:left="166"/>
              <w:rPr>
                <w:color w:val="auto"/>
                <w:highlight w:val="none"/>
              </w:rPr>
            </w:pPr>
            <w:r>
              <w:rPr>
                <w:color w:val="auto"/>
                <w:spacing w:val="7"/>
                <w:highlight w:val="none"/>
              </w:rPr>
              <w:t>楼外公共</w:t>
            </w:r>
          </w:p>
          <w:p w14:paraId="502EA211">
            <w:pPr>
              <w:pStyle w:val="131"/>
              <w:spacing w:before="195" w:line="228" w:lineRule="auto"/>
              <w:ind w:left="391"/>
              <w:rPr>
                <w:color w:val="auto"/>
                <w:highlight w:val="none"/>
              </w:rPr>
            </w:pPr>
            <w:r>
              <w:rPr>
                <w:color w:val="auto"/>
                <w:spacing w:val="-3"/>
                <w:highlight w:val="none"/>
              </w:rPr>
              <w:t>区域</w:t>
            </w:r>
          </w:p>
        </w:tc>
        <w:tc>
          <w:tcPr>
            <w:tcW w:w="1072" w:type="dxa"/>
            <w:vAlign w:val="top"/>
          </w:tcPr>
          <w:p w14:paraId="5968488F">
            <w:pPr>
              <w:pStyle w:val="131"/>
              <w:spacing w:before="193" w:line="236" w:lineRule="auto"/>
              <w:ind w:left="481"/>
              <w:rPr>
                <w:color w:val="auto"/>
                <w:highlight w:val="none"/>
              </w:rPr>
            </w:pPr>
            <w:r>
              <w:rPr>
                <w:color w:val="auto"/>
                <w:highlight w:val="none"/>
              </w:rPr>
              <w:t>8</w:t>
            </w:r>
          </w:p>
        </w:tc>
        <w:tc>
          <w:tcPr>
            <w:tcW w:w="1460" w:type="dxa"/>
            <w:vAlign w:val="top"/>
          </w:tcPr>
          <w:p w14:paraId="26F9B254">
            <w:pPr>
              <w:pStyle w:val="131"/>
              <w:spacing w:before="193" w:line="228" w:lineRule="auto"/>
              <w:ind w:left="307"/>
              <w:rPr>
                <w:color w:val="auto"/>
                <w:highlight w:val="none"/>
              </w:rPr>
            </w:pPr>
            <w:r>
              <w:rPr>
                <w:color w:val="auto"/>
                <w:spacing w:val="7"/>
                <w:highlight w:val="none"/>
              </w:rPr>
              <w:t>道路地面</w:t>
            </w:r>
          </w:p>
        </w:tc>
        <w:tc>
          <w:tcPr>
            <w:tcW w:w="5206" w:type="dxa"/>
            <w:vAlign w:val="top"/>
          </w:tcPr>
          <w:p w14:paraId="589D6DCA">
            <w:pPr>
              <w:pStyle w:val="131"/>
              <w:spacing w:before="193" w:line="228" w:lineRule="auto"/>
              <w:ind w:left="14"/>
              <w:rPr>
                <w:color w:val="auto"/>
                <w:highlight w:val="none"/>
              </w:rPr>
            </w:pPr>
            <w:r>
              <w:rPr>
                <w:color w:val="auto"/>
                <w:spacing w:val="7"/>
                <w:highlight w:val="none"/>
              </w:rPr>
              <w:t>每天清扫一次。</w:t>
            </w:r>
          </w:p>
        </w:tc>
      </w:tr>
      <w:tr w14:paraId="478B2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45B6C833">
            <w:pPr>
              <w:rPr>
                <w:rFonts w:ascii="Arial"/>
                <w:color w:val="auto"/>
                <w:sz w:val="21"/>
                <w:highlight w:val="none"/>
              </w:rPr>
            </w:pPr>
          </w:p>
        </w:tc>
        <w:tc>
          <w:tcPr>
            <w:tcW w:w="1182" w:type="dxa"/>
            <w:vMerge w:val="continue"/>
            <w:tcBorders>
              <w:top w:val="nil"/>
              <w:bottom w:val="nil"/>
            </w:tcBorders>
            <w:vAlign w:val="top"/>
          </w:tcPr>
          <w:p w14:paraId="5663080C">
            <w:pPr>
              <w:rPr>
                <w:rFonts w:ascii="Arial"/>
                <w:color w:val="auto"/>
                <w:sz w:val="21"/>
                <w:highlight w:val="none"/>
              </w:rPr>
            </w:pPr>
          </w:p>
        </w:tc>
        <w:tc>
          <w:tcPr>
            <w:tcW w:w="1072" w:type="dxa"/>
            <w:vAlign w:val="top"/>
          </w:tcPr>
          <w:p w14:paraId="79C2E132">
            <w:pPr>
              <w:spacing w:line="348" w:lineRule="auto"/>
              <w:rPr>
                <w:rFonts w:ascii="Arial"/>
                <w:color w:val="auto"/>
                <w:sz w:val="21"/>
                <w:highlight w:val="none"/>
              </w:rPr>
            </w:pPr>
          </w:p>
          <w:p w14:paraId="06193BF9">
            <w:pPr>
              <w:pStyle w:val="131"/>
              <w:spacing w:before="65" w:line="268" w:lineRule="exact"/>
              <w:ind w:left="481"/>
              <w:rPr>
                <w:color w:val="auto"/>
                <w:highlight w:val="none"/>
              </w:rPr>
            </w:pPr>
            <w:r>
              <w:rPr>
                <w:color w:val="auto"/>
                <w:position w:val="1"/>
                <w:highlight w:val="none"/>
              </w:rPr>
              <w:t>9</w:t>
            </w:r>
          </w:p>
        </w:tc>
        <w:tc>
          <w:tcPr>
            <w:tcW w:w="1460" w:type="dxa"/>
            <w:vAlign w:val="top"/>
          </w:tcPr>
          <w:p w14:paraId="7E995159">
            <w:pPr>
              <w:spacing w:line="348" w:lineRule="auto"/>
              <w:rPr>
                <w:rFonts w:ascii="Arial"/>
                <w:color w:val="auto"/>
                <w:sz w:val="21"/>
                <w:highlight w:val="none"/>
              </w:rPr>
            </w:pPr>
          </w:p>
          <w:p w14:paraId="39589900">
            <w:pPr>
              <w:pStyle w:val="131"/>
              <w:spacing w:before="65" w:line="228" w:lineRule="auto"/>
              <w:ind w:left="207"/>
              <w:rPr>
                <w:color w:val="auto"/>
                <w:highlight w:val="none"/>
              </w:rPr>
            </w:pPr>
            <w:r>
              <w:rPr>
                <w:color w:val="auto"/>
                <w:spacing w:val="7"/>
                <w:highlight w:val="none"/>
              </w:rPr>
              <w:t>绿地、明沟</w:t>
            </w:r>
          </w:p>
        </w:tc>
        <w:tc>
          <w:tcPr>
            <w:tcW w:w="5206" w:type="dxa"/>
            <w:vAlign w:val="top"/>
          </w:tcPr>
          <w:p w14:paraId="39CFD5D1">
            <w:pPr>
              <w:pStyle w:val="131"/>
              <w:spacing w:before="195" w:line="320" w:lineRule="auto"/>
              <w:ind w:left="14" w:right="9" w:firstLine="19"/>
              <w:rPr>
                <w:color w:val="auto"/>
                <w:highlight w:val="none"/>
              </w:rPr>
            </w:pPr>
            <w:r>
              <w:rPr>
                <w:color w:val="auto"/>
                <w:spacing w:val="6"/>
                <w:highlight w:val="none"/>
              </w:rPr>
              <w:t>明沟每天清扫一次；绿地每天捡拾一次，秋冬</w:t>
            </w:r>
            <w:r>
              <w:rPr>
                <w:color w:val="auto"/>
                <w:spacing w:val="5"/>
                <w:highlight w:val="none"/>
              </w:rPr>
              <w:t>季节或落叶</w:t>
            </w:r>
            <w:r>
              <w:rPr>
                <w:color w:val="auto"/>
                <w:highlight w:val="none"/>
              </w:rPr>
              <w:t xml:space="preserve"> </w:t>
            </w:r>
            <w:r>
              <w:rPr>
                <w:color w:val="auto"/>
                <w:spacing w:val="8"/>
                <w:highlight w:val="none"/>
              </w:rPr>
              <w:t>较多季节适当增加捡拾次数。</w:t>
            </w:r>
          </w:p>
        </w:tc>
      </w:tr>
      <w:tr w14:paraId="060FE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atLeast"/>
          <w:jc w:val="center"/>
        </w:trPr>
        <w:tc>
          <w:tcPr>
            <w:tcW w:w="1141" w:type="dxa"/>
            <w:vMerge w:val="continue"/>
            <w:tcBorders>
              <w:top w:val="nil"/>
              <w:bottom w:val="nil"/>
            </w:tcBorders>
            <w:vAlign w:val="top"/>
          </w:tcPr>
          <w:p w14:paraId="1BC4D1E6">
            <w:pPr>
              <w:rPr>
                <w:rFonts w:ascii="Arial"/>
                <w:color w:val="auto"/>
                <w:sz w:val="21"/>
                <w:highlight w:val="none"/>
              </w:rPr>
            </w:pPr>
          </w:p>
        </w:tc>
        <w:tc>
          <w:tcPr>
            <w:tcW w:w="1182" w:type="dxa"/>
            <w:vMerge w:val="continue"/>
            <w:tcBorders>
              <w:top w:val="nil"/>
              <w:bottom w:val="nil"/>
            </w:tcBorders>
            <w:vAlign w:val="top"/>
          </w:tcPr>
          <w:p w14:paraId="2F3F6F5A">
            <w:pPr>
              <w:rPr>
                <w:rFonts w:ascii="Arial"/>
                <w:color w:val="auto"/>
                <w:sz w:val="21"/>
                <w:highlight w:val="none"/>
              </w:rPr>
            </w:pPr>
          </w:p>
        </w:tc>
        <w:tc>
          <w:tcPr>
            <w:tcW w:w="1072" w:type="dxa"/>
            <w:vAlign w:val="top"/>
          </w:tcPr>
          <w:p w14:paraId="3FE169D3">
            <w:pPr>
              <w:spacing w:line="360" w:lineRule="auto"/>
              <w:rPr>
                <w:rFonts w:ascii="Arial"/>
                <w:color w:val="auto"/>
                <w:sz w:val="21"/>
                <w:highlight w:val="none"/>
              </w:rPr>
            </w:pPr>
          </w:p>
          <w:p w14:paraId="27937511">
            <w:pPr>
              <w:pStyle w:val="131"/>
              <w:spacing w:before="65" w:line="269" w:lineRule="exact"/>
              <w:ind w:left="443"/>
              <w:rPr>
                <w:color w:val="auto"/>
                <w:highlight w:val="none"/>
              </w:rPr>
            </w:pPr>
            <w:r>
              <w:rPr>
                <w:color w:val="auto"/>
                <w:spacing w:val="-7"/>
                <w:position w:val="1"/>
                <w:highlight w:val="none"/>
              </w:rPr>
              <w:t>10</w:t>
            </w:r>
          </w:p>
        </w:tc>
        <w:tc>
          <w:tcPr>
            <w:tcW w:w="1460" w:type="dxa"/>
            <w:vAlign w:val="top"/>
          </w:tcPr>
          <w:p w14:paraId="2BA3A7C9">
            <w:pPr>
              <w:pStyle w:val="131"/>
              <w:spacing w:before="206" w:line="228" w:lineRule="auto"/>
              <w:jc w:val="right"/>
              <w:rPr>
                <w:color w:val="auto"/>
                <w:highlight w:val="none"/>
              </w:rPr>
            </w:pPr>
            <w:r>
              <w:rPr>
                <w:color w:val="auto"/>
                <w:spacing w:val="3"/>
                <w:highlight w:val="none"/>
              </w:rPr>
              <w:t>垃圾箱（桶）、</w:t>
            </w:r>
          </w:p>
          <w:p w14:paraId="2DD73E25">
            <w:pPr>
              <w:pStyle w:val="131"/>
              <w:spacing w:before="192" w:line="228" w:lineRule="auto"/>
              <w:ind w:left="418"/>
              <w:rPr>
                <w:color w:val="auto"/>
                <w:highlight w:val="none"/>
              </w:rPr>
            </w:pPr>
            <w:r>
              <w:rPr>
                <w:color w:val="auto"/>
                <w:spacing w:val="5"/>
                <w:highlight w:val="none"/>
              </w:rPr>
              <w:t>果皮箱</w:t>
            </w:r>
          </w:p>
        </w:tc>
        <w:tc>
          <w:tcPr>
            <w:tcW w:w="5206" w:type="dxa"/>
            <w:vAlign w:val="top"/>
          </w:tcPr>
          <w:p w14:paraId="2EAEE97B">
            <w:pPr>
              <w:pStyle w:val="131"/>
              <w:spacing w:before="207" w:line="325" w:lineRule="auto"/>
              <w:ind w:left="14" w:right="12"/>
              <w:rPr>
                <w:color w:val="auto"/>
                <w:highlight w:val="none"/>
              </w:rPr>
            </w:pPr>
            <w:r>
              <w:rPr>
                <w:color w:val="auto"/>
                <w:spacing w:val="6"/>
                <w:highlight w:val="none"/>
              </w:rPr>
              <w:t>每天清运二次，垃圾无漫溢，垃圾箱（桶）、果皮箱每周</w:t>
            </w:r>
            <w:r>
              <w:rPr>
                <w:color w:val="auto"/>
                <w:spacing w:val="13"/>
                <w:highlight w:val="none"/>
              </w:rPr>
              <w:t xml:space="preserve"> </w:t>
            </w:r>
            <w:r>
              <w:rPr>
                <w:color w:val="auto"/>
                <w:spacing w:val="8"/>
                <w:highlight w:val="none"/>
              </w:rPr>
              <w:t>抹洗一次；周围地面无垃圾、无污水。</w:t>
            </w:r>
          </w:p>
        </w:tc>
      </w:tr>
      <w:tr w14:paraId="6DF2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jc w:val="center"/>
        </w:trPr>
        <w:tc>
          <w:tcPr>
            <w:tcW w:w="1141" w:type="dxa"/>
            <w:vMerge w:val="continue"/>
            <w:tcBorders>
              <w:top w:val="nil"/>
            </w:tcBorders>
            <w:vAlign w:val="top"/>
          </w:tcPr>
          <w:p w14:paraId="14D168E9">
            <w:pPr>
              <w:rPr>
                <w:rFonts w:ascii="Arial"/>
                <w:color w:val="auto"/>
                <w:sz w:val="21"/>
                <w:highlight w:val="none"/>
              </w:rPr>
            </w:pPr>
          </w:p>
        </w:tc>
        <w:tc>
          <w:tcPr>
            <w:tcW w:w="1182" w:type="dxa"/>
            <w:vMerge w:val="continue"/>
            <w:tcBorders>
              <w:top w:val="nil"/>
            </w:tcBorders>
            <w:vAlign w:val="top"/>
          </w:tcPr>
          <w:p w14:paraId="134345CF">
            <w:pPr>
              <w:rPr>
                <w:rFonts w:ascii="Arial"/>
                <w:color w:val="auto"/>
                <w:sz w:val="21"/>
                <w:highlight w:val="none"/>
              </w:rPr>
            </w:pPr>
          </w:p>
        </w:tc>
        <w:tc>
          <w:tcPr>
            <w:tcW w:w="1072" w:type="dxa"/>
            <w:vAlign w:val="top"/>
          </w:tcPr>
          <w:p w14:paraId="61E403C6">
            <w:pPr>
              <w:spacing w:line="359" w:lineRule="auto"/>
              <w:rPr>
                <w:rFonts w:ascii="Arial"/>
                <w:color w:val="auto"/>
                <w:sz w:val="21"/>
                <w:highlight w:val="none"/>
              </w:rPr>
            </w:pPr>
          </w:p>
          <w:p w14:paraId="1FC01FE8">
            <w:pPr>
              <w:pStyle w:val="131"/>
              <w:spacing w:before="65" w:line="270" w:lineRule="exact"/>
              <w:ind w:left="443"/>
              <w:rPr>
                <w:color w:val="auto"/>
                <w:highlight w:val="none"/>
              </w:rPr>
            </w:pPr>
            <w:r>
              <w:rPr>
                <w:color w:val="auto"/>
                <w:spacing w:val="-7"/>
                <w:position w:val="1"/>
                <w:highlight w:val="none"/>
              </w:rPr>
              <w:t>11</w:t>
            </w:r>
          </w:p>
        </w:tc>
        <w:tc>
          <w:tcPr>
            <w:tcW w:w="1460" w:type="dxa"/>
            <w:vAlign w:val="top"/>
          </w:tcPr>
          <w:p w14:paraId="4DBFA779">
            <w:pPr>
              <w:spacing w:line="359" w:lineRule="auto"/>
              <w:rPr>
                <w:rFonts w:ascii="Arial"/>
                <w:color w:val="auto"/>
                <w:sz w:val="21"/>
                <w:highlight w:val="none"/>
              </w:rPr>
            </w:pPr>
          </w:p>
          <w:p w14:paraId="3FF81726">
            <w:pPr>
              <w:pStyle w:val="131"/>
              <w:spacing w:before="65" w:line="228" w:lineRule="auto"/>
              <w:ind w:left="103"/>
              <w:rPr>
                <w:color w:val="auto"/>
                <w:highlight w:val="none"/>
              </w:rPr>
            </w:pPr>
            <w:r>
              <w:rPr>
                <w:color w:val="auto"/>
                <w:spacing w:val="7"/>
                <w:highlight w:val="none"/>
              </w:rPr>
              <w:t>消灭鼠害蚊蝇</w:t>
            </w:r>
          </w:p>
        </w:tc>
        <w:tc>
          <w:tcPr>
            <w:tcW w:w="5206" w:type="dxa"/>
            <w:vAlign w:val="top"/>
          </w:tcPr>
          <w:p w14:paraId="6C137F1E">
            <w:pPr>
              <w:pStyle w:val="131"/>
              <w:spacing w:before="207" w:line="328" w:lineRule="auto"/>
              <w:ind w:left="19" w:right="39" w:hanging="5"/>
              <w:rPr>
                <w:color w:val="auto"/>
                <w:highlight w:val="none"/>
              </w:rPr>
            </w:pPr>
            <w:r>
              <w:rPr>
                <w:color w:val="auto"/>
                <w:spacing w:val="9"/>
                <w:highlight w:val="none"/>
              </w:rPr>
              <w:t>每季度对窨井、垃圾箱、明沟等喷洒药水一次，夏季（6</w:t>
            </w:r>
            <w:r>
              <w:rPr>
                <w:color w:val="auto"/>
                <w:spacing w:val="10"/>
                <w:highlight w:val="none"/>
              </w:rPr>
              <w:t xml:space="preserve"> </w:t>
            </w:r>
            <w:r>
              <w:rPr>
                <w:color w:val="auto"/>
                <w:spacing w:val="6"/>
                <w:highlight w:val="none"/>
              </w:rPr>
              <w:t>月、7</w:t>
            </w:r>
            <w:r>
              <w:rPr>
                <w:color w:val="auto"/>
                <w:spacing w:val="-16"/>
                <w:highlight w:val="none"/>
              </w:rPr>
              <w:t xml:space="preserve"> </w:t>
            </w:r>
            <w:r>
              <w:rPr>
                <w:color w:val="auto"/>
                <w:spacing w:val="6"/>
                <w:highlight w:val="none"/>
              </w:rPr>
              <w:t>月、8</w:t>
            </w:r>
            <w:r>
              <w:rPr>
                <w:color w:val="auto"/>
                <w:spacing w:val="-33"/>
                <w:highlight w:val="none"/>
              </w:rPr>
              <w:t xml:space="preserve"> </w:t>
            </w:r>
            <w:r>
              <w:rPr>
                <w:color w:val="auto"/>
                <w:spacing w:val="6"/>
                <w:highlight w:val="none"/>
              </w:rPr>
              <w:t>月）每月一次，每年灭鼠二次。</w:t>
            </w:r>
          </w:p>
        </w:tc>
      </w:tr>
      <w:tr w14:paraId="2DDDF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jc w:val="center"/>
        </w:trPr>
        <w:tc>
          <w:tcPr>
            <w:tcW w:w="1141" w:type="dxa"/>
            <w:vMerge w:val="restart"/>
            <w:tcBorders>
              <w:bottom w:val="nil"/>
            </w:tcBorders>
            <w:vAlign w:val="top"/>
          </w:tcPr>
          <w:p w14:paraId="62B555B2">
            <w:pPr>
              <w:rPr>
                <w:rFonts w:ascii="Arial"/>
                <w:color w:val="auto"/>
                <w:sz w:val="21"/>
                <w:highlight w:val="none"/>
              </w:rPr>
            </w:pPr>
          </w:p>
        </w:tc>
        <w:tc>
          <w:tcPr>
            <w:tcW w:w="1182" w:type="dxa"/>
            <w:vMerge w:val="restart"/>
            <w:tcBorders>
              <w:bottom w:val="nil"/>
            </w:tcBorders>
            <w:vAlign w:val="top"/>
          </w:tcPr>
          <w:p w14:paraId="0FC41AF4">
            <w:pPr>
              <w:rPr>
                <w:rFonts w:ascii="Arial"/>
                <w:color w:val="auto"/>
                <w:sz w:val="21"/>
                <w:highlight w:val="none"/>
              </w:rPr>
            </w:pPr>
          </w:p>
        </w:tc>
        <w:tc>
          <w:tcPr>
            <w:tcW w:w="1072" w:type="dxa"/>
            <w:vAlign w:val="top"/>
          </w:tcPr>
          <w:p w14:paraId="425632D3">
            <w:pPr>
              <w:spacing w:line="344" w:lineRule="auto"/>
              <w:rPr>
                <w:rFonts w:ascii="Arial"/>
                <w:color w:val="auto"/>
                <w:sz w:val="21"/>
                <w:highlight w:val="none"/>
              </w:rPr>
            </w:pPr>
          </w:p>
          <w:p w14:paraId="4E64483D">
            <w:pPr>
              <w:pStyle w:val="131"/>
              <w:spacing w:before="65" w:line="270" w:lineRule="exact"/>
              <w:ind w:left="443"/>
              <w:rPr>
                <w:color w:val="auto"/>
                <w:highlight w:val="none"/>
              </w:rPr>
            </w:pPr>
            <w:r>
              <w:rPr>
                <w:color w:val="auto"/>
                <w:spacing w:val="-7"/>
                <w:position w:val="1"/>
                <w:highlight w:val="none"/>
              </w:rPr>
              <w:t>12</w:t>
            </w:r>
          </w:p>
        </w:tc>
        <w:tc>
          <w:tcPr>
            <w:tcW w:w="1460" w:type="dxa"/>
            <w:vAlign w:val="top"/>
          </w:tcPr>
          <w:p w14:paraId="31FC594C">
            <w:pPr>
              <w:pStyle w:val="131"/>
              <w:spacing w:before="193" w:line="325" w:lineRule="auto"/>
              <w:ind w:left="624" w:right="9" w:hanging="605"/>
              <w:rPr>
                <w:color w:val="auto"/>
                <w:highlight w:val="none"/>
              </w:rPr>
            </w:pPr>
            <w:r>
              <w:rPr>
                <w:color w:val="auto"/>
                <w:spacing w:val="2"/>
                <w:highlight w:val="none"/>
              </w:rPr>
              <w:t>公共灯具、宣传</w:t>
            </w:r>
            <w:r>
              <w:rPr>
                <w:color w:val="auto"/>
                <w:highlight w:val="none"/>
              </w:rPr>
              <w:t xml:space="preserve"> 栏</w:t>
            </w:r>
          </w:p>
        </w:tc>
        <w:tc>
          <w:tcPr>
            <w:tcW w:w="5206" w:type="dxa"/>
            <w:vAlign w:val="top"/>
          </w:tcPr>
          <w:p w14:paraId="4261D788">
            <w:pPr>
              <w:pStyle w:val="131"/>
              <w:spacing w:before="193" w:line="325" w:lineRule="auto"/>
              <w:ind w:left="14" w:right="9"/>
              <w:rPr>
                <w:color w:val="auto"/>
                <w:highlight w:val="none"/>
              </w:rPr>
            </w:pPr>
            <w:r>
              <w:rPr>
                <w:color w:val="auto"/>
                <w:spacing w:val="6"/>
                <w:highlight w:val="none"/>
              </w:rPr>
              <w:t>每月擦抹二次，</w:t>
            </w:r>
            <w:r>
              <w:rPr>
                <w:color w:val="auto"/>
                <w:spacing w:val="-47"/>
                <w:highlight w:val="none"/>
              </w:rPr>
              <w:t xml:space="preserve"> </w:t>
            </w:r>
            <w:r>
              <w:rPr>
                <w:color w:val="auto"/>
                <w:spacing w:val="6"/>
                <w:highlight w:val="none"/>
              </w:rPr>
              <w:t>目视基本无灰尘（2</w:t>
            </w:r>
            <w:r>
              <w:rPr>
                <w:color w:val="auto"/>
                <w:spacing w:val="-38"/>
                <w:highlight w:val="none"/>
              </w:rPr>
              <w:t xml:space="preserve"> </w:t>
            </w:r>
            <w:r>
              <w:rPr>
                <w:color w:val="auto"/>
                <w:spacing w:val="6"/>
                <w:highlight w:val="none"/>
              </w:rPr>
              <w:t>米以上部分每季度擦</w:t>
            </w:r>
            <w:r>
              <w:rPr>
                <w:color w:val="auto"/>
                <w:highlight w:val="none"/>
              </w:rPr>
              <w:t xml:space="preserve"> </w:t>
            </w:r>
            <w:r>
              <w:rPr>
                <w:color w:val="auto"/>
                <w:spacing w:val="6"/>
                <w:highlight w:val="none"/>
              </w:rPr>
              <w:t>抹、除尘一次）。</w:t>
            </w:r>
          </w:p>
        </w:tc>
      </w:tr>
      <w:tr w14:paraId="5B2F5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atLeast"/>
          <w:jc w:val="center"/>
        </w:trPr>
        <w:tc>
          <w:tcPr>
            <w:tcW w:w="1141" w:type="dxa"/>
            <w:vMerge w:val="continue"/>
            <w:tcBorders>
              <w:top w:val="nil"/>
              <w:bottom w:val="nil"/>
            </w:tcBorders>
            <w:vAlign w:val="top"/>
          </w:tcPr>
          <w:p w14:paraId="65B20946">
            <w:pPr>
              <w:rPr>
                <w:rFonts w:ascii="Arial"/>
                <w:color w:val="auto"/>
                <w:sz w:val="21"/>
                <w:highlight w:val="none"/>
              </w:rPr>
            </w:pPr>
          </w:p>
        </w:tc>
        <w:tc>
          <w:tcPr>
            <w:tcW w:w="1182" w:type="dxa"/>
            <w:vMerge w:val="continue"/>
            <w:tcBorders>
              <w:top w:val="nil"/>
              <w:bottom w:val="nil"/>
            </w:tcBorders>
            <w:vAlign w:val="top"/>
          </w:tcPr>
          <w:p w14:paraId="30C71749">
            <w:pPr>
              <w:rPr>
                <w:rFonts w:ascii="Arial"/>
                <w:color w:val="auto"/>
                <w:sz w:val="21"/>
                <w:highlight w:val="none"/>
              </w:rPr>
            </w:pPr>
          </w:p>
        </w:tc>
        <w:tc>
          <w:tcPr>
            <w:tcW w:w="1072" w:type="dxa"/>
            <w:vAlign w:val="top"/>
          </w:tcPr>
          <w:p w14:paraId="7ED73A91">
            <w:pPr>
              <w:spacing w:line="268" w:lineRule="auto"/>
              <w:rPr>
                <w:rFonts w:ascii="Arial"/>
                <w:color w:val="auto"/>
                <w:sz w:val="21"/>
                <w:highlight w:val="none"/>
              </w:rPr>
            </w:pPr>
          </w:p>
          <w:p w14:paraId="7C8D6A8E">
            <w:pPr>
              <w:pStyle w:val="131"/>
              <w:spacing w:before="65" w:line="269" w:lineRule="exact"/>
              <w:ind w:left="443"/>
              <w:rPr>
                <w:color w:val="auto"/>
                <w:highlight w:val="none"/>
              </w:rPr>
            </w:pPr>
            <w:r>
              <w:rPr>
                <w:color w:val="auto"/>
                <w:spacing w:val="-7"/>
                <w:position w:val="1"/>
                <w:highlight w:val="none"/>
              </w:rPr>
              <w:t>13</w:t>
            </w:r>
          </w:p>
        </w:tc>
        <w:tc>
          <w:tcPr>
            <w:tcW w:w="1460" w:type="dxa"/>
            <w:vAlign w:val="top"/>
          </w:tcPr>
          <w:p w14:paraId="13813224">
            <w:pPr>
              <w:spacing w:line="269" w:lineRule="auto"/>
              <w:rPr>
                <w:rFonts w:ascii="Arial"/>
                <w:color w:val="auto"/>
                <w:sz w:val="21"/>
                <w:highlight w:val="none"/>
              </w:rPr>
            </w:pPr>
          </w:p>
          <w:p w14:paraId="5D528F5E">
            <w:pPr>
              <w:pStyle w:val="131"/>
              <w:spacing w:before="65" w:line="228" w:lineRule="auto"/>
              <w:ind w:left="103"/>
              <w:rPr>
                <w:color w:val="auto"/>
                <w:highlight w:val="none"/>
              </w:rPr>
            </w:pPr>
            <w:r>
              <w:rPr>
                <w:color w:val="auto"/>
                <w:spacing w:val="7"/>
                <w:highlight w:val="none"/>
              </w:rPr>
              <w:t>设施设备用房</w:t>
            </w:r>
          </w:p>
        </w:tc>
        <w:tc>
          <w:tcPr>
            <w:tcW w:w="5206" w:type="dxa"/>
            <w:vAlign w:val="top"/>
          </w:tcPr>
          <w:p w14:paraId="7C4F5B28">
            <w:pPr>
              <w:spacing w:line="268" w:lineRule="auto"/>
              <w:rPr>
                <w:rFonts w:ascii="Arial"/>
                <w:color w:val="auto"/>
                <w:sz w:val="21"/>
                <w:highlight w:val="none"/>
              </w:rPr>
            </w:pPr>
          </w:p>
          <w:p w14:paraId="6ED9C98F">
            <w:pPr>
              <w:pStyle w:val="131"/>
              <w:spacing w:before="65" w:line="228" w:lineRule="auto"/>
              <w:ind w:left="14"/>
              <w:rPr>
                <w:color w:val="auto"/>
                <w:highlight w:val="none"/>
              </w:rPr>
            </w:pPr>
            <w:r>
              <w:rPr>
                <w:color w:val="auto"/>
                <w:spacing w:val="7"/>
                <w:highlight w:val="none"/>
              </w:rPr>
              <w:t>每周清扫二次。</w:t>
            </w:r>
          </w:p>
        </w:tc>
      </w:tr>
      <w:tr w14:paraId="040E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509E7B57">
            <w:pPr>
              <w:rPr>
                <w:rFonts w:ascii="Arial"/>
                <w:color w:val="auto"/>
                <w:sz w:val="21"/>
                <w:highlight w:val="none"/>
              </w:rPr>
            </w:pPr>
          </w:p>
        </w:tc>
        <w:tc>
          <w:tcPr>
            <w:tcW w:w="1182" w:type="dxa"/>
            <w:vMerge w:val="continue"/>
            <w:tcBorders>
              <w:top w:val="nil"/>
              <w:bottom w:val="nil"/>
            </w:tcBorders>
            <w:vAlign w:val="top"/>
          </w:tcPr>
          <w:p w14:paraId="42EC76C2">
            <w:pPr>
              <w:rPr>
                <w:rFonts w:ascii="Arial"/>
                <w:color w:val="auto"/>
                <w:sz w:val="21"/>
                <w:highlight w:val="none"/>
              </w:rPr>
            </w:pPr>
          </w:p>
        </w:tc>
        <w:tc>
          <w:tcPr>
            <w:tcW w:w="1072" w:type="dxa"/>
            <w:vAlign w:val="top"/>
          </w:tcPr>
          <w:p w14:paraId="19BB9C7C">
            <w:pPr>
              <w:spacing w:line="339" w:lineRule="auto"/>
              <w:rPr>
                <w:rFonts w:ascii="Arial"/>
                <w:color w:val="auto"/>
                <w:sz w:val="21"/>
                <w:highlight w:val="none"/>
              </w:rPr>
            </w:pPr>
          </w:p>
          <w:p w14:paraId="34F5A372">
            <w:pPr>
              <w:pStyle w:val="131"/>
              <w:spacing w:before="65" w:line="270" w:lineRule="exact"/>
              <w:ind w:left="443"/>
              <w:rPr>
                <w:color w:val="auto"/>
                <w:highlight w:val="none"/>
              </w:rPr>
            </w:pPr>
            <w:r>
              <w:rPr>
                <w:color w:val="auto"/>
                <w:spacing w:val="-7"/>
                <w:position w:val="1"/>
                <w:highlight w:val="none"/>
              </w:rPr>
              <w:t>14</w:t>
            </w:r>
          </w:p>
        </w:tc>
        <w:tc>
          <w:tcPr>
            <w:tcW w:w="1460" w:type="dxa"/>
            <w:vAlign w:val="top"/>
          </w:tcPr>
          <w:p w14:paraId="4D6C4A15">
            <w:pPr>
              <w:pStyle w:val="131"/>
              <w:spacing w:before="184" w:line="325" w:lineRule="auto"/>
              <w:ind w:left="419" w:right="9" w:hanging="408"/>
              <w:rPr>
                <w:color w:val="auto"/>
                <w:highlight w:val="none"/>
              </w:rPr>
            </w:pPr>
            <w:r>
              <w:rPr>
                <w:color w:val="auto"/>
                <w:spacing w:val="3"/>
                <w:highlight w:val="none"/>
              </w:rPr>
              <w:t>休闲、娱乐、健</w:t>
            </w:r>
            <w:r>
              <w:rPr>
                <w:color w:val="auto"/>
                <w:spacing w:val="2"/>
                <w:highlight w:val="none"/>
              </w:rPr>
              <w:t xml:space="preserve"> </w:t>
            </w:r>
            <w:r>
              <w:rPr>
                <w:color w:val="auto"/>
                <w:spacing w:val="5"/>
                <w:highlight w:val="none"/>
              </w:rPr>
              <w:t>身设施</w:t>
            </w:r>
          </w:p>
        </w:tc>
        <w:tc>
          <w:tcPr>
            <w:tcW w:w="5206" w:type="dxa"/>
            <w:vAlign w:val="top"/>
          </w:tcPr>
          <w:p w14:paraId="32A8310C">
            <w:pPr>
              <w:spacing w:line="338" w:lineRule="auto"/>
              <w:rPr>
                <w:rFonts w:ascii="Arial"/>
                <w:color w:val="auto"/>
                <w:sz w:val="21"/>
                <w:highlight w:val="none"/>
              </w:rPr>
            </w:pPr>
          </w:p>
          <w:p w14:paraId="7D41E581">
            <w:pPr>
              <w:pStyle w:val="131"/>
              <w:spacing w:before="65" w:line="228" w:lineRule="auto"/>
              <w:jc w:val="right"/>
              <w:rPr>
                <w:color w:val="auto"/>
                <w:highlight w:val="none"/>
              </w:rPr>
            </w:pPr>
            <w:r>
              <w:rPr>
                <w:color w:val="auto"/>
                <w:spacing w:val="7"/>
                <w:highlight w:val="none"/>
              </w:rPr>
              <w:t>每周清洁一次（擦拭表面灰尘、清扫垃圾、擦拭座椅）。</w:t>
            </w:r>
          </w:p>
        </w:tc>
      </w:tr>
      <w:tr w14:paraId="4CB80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tcBorders>
            <w:vAlign w:val="top"/>
          </w:tcPr>
          <w:p w14:paraId="7B8F914B">
            <w:pPr>
              <w:rPr>
                <w:rFonts w:ascii="Arial"/>
                <w:color w:val="auto"/>
                <w:sz w:val="21"/>
                <w:highlight w:val="none"/>
              </w:rPr>
            </w:pPr>
          </w:p>
        </w:tc>
        <w:tc>
          <w:tcPr>
            <w:tcW w:w="1182" w:type="dxa"/>
            <w:vMerge w:val="continue"/>
            <w:tcBorders>
              <w:top w:val="nil"/>
            </w:tcBorders>
            <w:vAlign w:val="top"/>
          </w:tcPr>
          <w:p w14:paraId="0A3BCEFD">
            <w:pPr>
              <w:rPr>
                <w:rFonts w:ascii="Arial"/>
                <w:color w:val="auto"/>
                <w:sz w:val="21"/>
                <w:highlight w:val="none"/>
              </w:rPr>
            </w:pPr>
          </w:p>
        </w:tc>
        <w:tc>
          <w:tcPr>
            <w:tcW w:w="1072" w:type="dxa"/>
            <w:vAlign w:val="top"/>
          </w:tcPr>
          <w:p w14:paraId="470E3BE2">
            <w:pPr>
              <w:spacing w:line="339" w:lineRule="auto"/>
              <w:rPr>
                <w:rFonts w:ascii="Arial"/>
                <w:color w:val="auto"/>
                <w:sz w:val="21"/>
                <w:highlight w:val="none"/>
              </w:rPr>
            </w:pPr>
          </w:p>
          <w:p w14:paraId="6081B18B">
            <w:pPr>
              <w:pStyle w:val="131"/>
              <w:spacing w:before="65" w:line="269" w:lineRule="exact"/>
              <w:ind w:left="443"/>
              <w:rPr>
                <w:color w:val="auto"/>
                <w:highlight w:val="none"/>
              </w:rPr>
            </w:pPr>
            <w:r>
              <w:rPr>
                <w:color w:val="auto"/>
                <w:spacing w:val="-7"/>
                <w:position w:val="1"/>
                <w:highlight w:val="none"/>
              </w:rPr>
              <w:t>15</w:t>
            </w:r>
          </w:p>
        </w:tc>
        <w:tc>
          <w:tcPr>
            <w:tcW w:w="1460" w:type="dxa"/>
            <w:vAlign w:val="top"/>
          </w:tcPr>
          <w:p w14:paraId="68D3A38E">
            <w:pPr>
              <w:pStyle w:val="131"/>
              <w:spacing w:before="184" w:line="325" w:lineRule="auto"/>
              <w:ind w:left="206" w:right="95" w:hanging="106"/>
              <w:rPr>
                <w:color w:val="auto"/>
                <w:highlight w:val="none"/>
              </w:rPr>
            </w:pPr>
            <w:r>
              <w:rPr>
                <w:color w:val="auto"/>
                <w:spacing w:val="8"/>
                <w:highlight w:val="none"/>
              </w:rPr>
              <w:t>停车场或共用</w:t>
            </w:r>
            <w:r>
              <w:rPr>
                <w:color w:val="auto"/>
                <w:highlight w:val="none"/>
              </w:rPr>
              <w:t xml:space="preserve"> </w:t>
            </w:r>
            <w:r>
              <w:rPr>
                <w:color w:val="auto"/>
                <w:spacing w:val="5"/>
                <w:highlight w:val="none"/>
              </w:rPr>
              <w:t>车库（棚）</w:t>
            </w:r>
          </w:p>
        </w:tc>
        <w:tc>
          <w:tcPr>
            <w:tcW w:w="5206" w:type="dxa"/>
            <w:vAlign w:val="top"/>
          </w:tcPr>
          <w:p w14:paraId="50B38900">
            <w:pPr>
              <w:pStyle w:val="131"/>
              <w:spacing w:before="184" w:line="325" w:lineRule="auto"/>
              <w:ind w:left="14" w:right="9"/>
              <w:rPr>
                <w:color w:val="auto"/>
                <w:highlight w:val="none"/>
              </w:rPr>
            </w:pPr>
            <w:r>
              <w:rPr>
                <w:color w:val="auto"/>
                <w:spacing w:val="6"/>
                <w:highlight w:val="none"/>
              </w:rPr>
              <w:t>每两天清扫一次，及时清除地下室进出口的垃圾；发现油</w:t>
            </w:r>
            <w:r>
              <w:rPr>
                <w:color w:val="auto"/>
                <w:spacing w:val="15"/>
                <w:highlight w:val="none"/>
              </w:rPr>
              <w:t xml:space="preserve"> </w:t>
            </w:r>
            <w:r>
              <w:rPr>
                <w:color w:val="auto"/>
                <w:spacing w:val="8"/>
                <w:highlight w:val="none"/>
              </w:rPr>
              <w:t>迹、污迹、锈迹，应及时擦洗干净。</w:t>
            </w:r>
          </w:p>
        </w:tc>
      </w:tr>
      <w:tr w14:paraId="4DF8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41" w:type="dxa"/>
            <w:vMerge w:val="restart"/>
            <w:tcBorders>
              <w:bottom w:val="nil"/>
            </w:tcBorders>
            <w:vAlign w:val="top"/>
          </w:tcPr>
          <w:p w14:paraId="0E4EA85B">
            <w:pPr>
              <w:spacing w:line="243" w:lineRule="auto"/>
              <w:rPr>
                <w:rFonts w:ascii="Arial"/>
                <w:color w:val="auto"/>
                <w:sz w:val="21"/>
                <w:highlight w:val="none"/>
              </w:rPr>
            </w:pPr>
          </w:p>
          <w:p w14:paraId="162811E8">
            <w:pPr>
              <w:spacing w:line="243" w:lineRule="auto"/>
              <w:rPr>
                <w:rFonts w:ascii="Arial"/>
                <w:color w:val="auto"/>
                <w:sz w:val="21"/>
                <w:highlight w:val="none"/>
              </w:rPr>
            </w:pPr>
          </w:p>
          <w:p w14:paraId="7B031C98">
            <w:pPr>
              <w:spacing w:line="243" w:lineRule="auto"/>
              <w:rPr>
                <w:rFonts w:ascii="Arial"/>
                <w:color w:val="auto"/>
                <w:sz w:val="21"/>
                <w:highlight w:val="none"/>
              </w:rPr>
            </w:pPr>
          </w:p>
          <w:p w14:paraId="529F0846">
            <w:pPr>
              <w:spacing w:line="243" w:lineRule="auto"/>
              <w:rPr>
                <w:rFonts w:ascii="Arial"/>
                <w:color w:val="auto"/>
                <w:sz w:val="21"/>
                <w:highlight w:val="none"/>
              </w:rPr>
            </w:pPr>
          </w:p>
          <w:p w14:paraId="6E9F872A">
            <w:pPr>
              <w:spacing w:line="243" w:lineRule="auto"/>
              <w:rPr>
                <w:rFonts w:ascii="Arial"/>
                <w:color w:val="auto"/>
                <w:sz w:val="21"/>
                <w:highlight w:val="none"/>
              </w:rPr>
            </w:pPr>
          </w:p>
          <w:p w14:paraId="01EC6FCA">
            <w:pPr>
              <w:spacing w:line="243" w:lineRule="auto"/>
              <w:rPr>
                <w:rFonts w:ascii="Arial"/>
                <w:color w:val="auto"/>
                <w:sz w:val="21"/>
                <w:highlight w:val="none"/>
              </w:rPr>
            </w:pPr>
          </w:p>
          <w:p w14:paraId="3CA83E0A">
            <w:pPr>
              <w:spacing w:line="244" w:lineRule="auto"/>
              <w:rPr>
                <w:rFonts w:ascii="Arial"/>
                <w:color w:val="auto"/>
                <w:sz w:val="21"/>
                <w:highlight w:val="none"/>
              </w:rPr>
            </w:pPr>
          </w:p>
          <w:p w14:paraId="0AC4D636">
            <w:pPr>
              <w:spacing w:line="244" w:lineRule="auto"/>
              <w:rPr>
                <w:rFonts w:ascii="Arial"/>
                <w:color w:val="auto"/>
                <w:sz w:val="21"/>
                <w:highlight w:val="none"/>
              </w:rPr>
            </w:pPr>
          </w:p>
          <w:p w14:paraId="40605747">
            <w:pPr>
              <w:spacing w:line="244" w:lineRule="auto"/>
              <w:rPr>
                <w:rFonts w:ascii="Arial"/>
                <w:color w:val="auto"/>
                <w:sz w:val="21"/>
                <w:highlight w:val="none"/>
              </w:rPr>
            </w:pPr>
          </w:p>
          <w:p w14:paraId="562353AE">
            <w:pPr>
              <w:spacing w:line="244" w:lineRule="auto"/>
              <w:rPr>
                <w:rFonts w:ascii="Arial"/>
                <w:color w:val="auto"/>
                <w:sz w:val="21"/>
                <w:highlight w:val="none"/>
              </w:rPr>
            </w:pPr>
          </w:p>
          <w:p w14:paraId="5E801688">
            <w:pPr>
              <w:spacing w:line="244" w:lineRule="auto"/>
              <w:rPr>
                <w:rFonts w:ascii="Arial"/>
                <w:color w:val="auto"/>
                <w:sz w:val="21"/>
                <w:highlight w:val="none"/>
              </w:rPr>
            </w:pPr>
          </w:p>
          <w:p w14:paraId="650030B7">
            <w:pPr>
              <w:spacing w:line="244" w:lineRule="auto"/>
              <w:rPr>
                <w:rFonts w:ascii="Arial"/>
                <w:color w:val="auto"/>
                <w:sz w:val="21"/>
                <w:highlight w:val="none"/>
              </w:rPr>
            </w:pPr>
          </w:p>
          <w:p w14:paraId="00CB9224">
            <w:pPr>
              <w:pStyle w:val="131"/>
              <w:spacing w:before="65" w:line="228" w:lineRule="auto"/>
              <w:ind w:left="22"/>
              <w:rPr>
                <w:color w:val="auto"/>
                <w:highlight w:val="none"/>
              </w:rPr>
            </w:pPr>
            <w:r>
              <w:rPr>
                <w:color w:val="auto"/>
                <w:highlight w:val="none"/>
              </w:rPr>
              <w:t>（</w:t>
            </w:r>
            <w:r>
              <w:rPr>
                <w:color w:val="auto"/>
                <w:spacing w:val="-55"/>
                <w:highlight w:val="none"/>
              </w:rPr>
              <w:t xml:space="preserve"> </w:t>
            </w:r>
            <w:r>
              <w:rPr>
                <w:color w:val="auto"/>
                <w:highlight w:val="none"/>
              </w:rPr>
              <w:t>四</w:t>
            </w:r>
            <w:r>
              <w:rPr>
                <w:color w:val="auto"/>
                <w:spacing w:val="-53"/>
                <w:highlight w:val="none"/>
              </w:rPr>
              <w:t xml:space="preserve"> </w:t>
            </w:r>
            <w:r>
              <w:rPr>
                <w:color w:val="auto"/>
                <w:highlight w:val="none"/>
              </w:rPr>
              <w:t>）公共</w:t>
            </w:r>
          </w:p>
          <w:p w14:paraId="490AA409">
            <w:pPr>
              <w:pStyle w:val="131"/>
              <w:spacing w:before="195" w:line="228" w:lineRule="auto"/>
              <w:ind w:left="27"/>
              <w:rPr>
                <w:color w:val="auto"/>
                <w:highlight w:val="none"/>
              </w:rPr>
            </w:pPr>
            <w:r>
              <w:rPr>
                <w:color w:val="auto"/>
                <w:spacing w:val="17"/>
                <w:highlight w:val="none"/>
              </w:rPr>
              <w:t>区域绿化日</w:t>
            </w:r>
          </w:p>
          <w:p w14:paraId="1383B271">
            <w:pPr>
              <w:pStyle w:val="131"/>
              <w:spacing w:before="192" w:line="407" w:lineRule="auto"/>
              <w:ind w:left="13" w:right="10" w:firstLine="4"/>
              <w:rPr>
                <w:color w:val="auto"/>
                <w:highlight w:val="none"/>
              </w:rPr>
            </w:pPr>
            <w:r>
              <w:rPr>
                <w:color w:val="auto"/>
                <w:spacing w:val="19"/>
                <w:highlight w:val="none"/>
              </w:rPr>
              <w:t>常养护服务</w:t>
            </w:r>
            <w:r>
              <w:rPr>
                <w:color w:val="auto"/>
                <w:spacing w:val="2"/>
                <w:highlight w:val="none"/>
              </w:rPr>
              <w:t xml:space="preserve"> </w:t>
            </w:r>
            <w:r>
              <w:rPr>
                <w:color w:val="auto"/>
                <w:spacing w:val="4"/>
                <w:highlight w:val="none"/>
              </w:rPr>
              <w:t>标准</w:t>
            </w:r>
          </w:p>
        </w:tc>
        <w:tc>
          <w:tcPr>
            <w:tcW w:w="1182" w:type="dxa"/>
            <w:vMerge w:val="restart"/>
            <w:tcBorders>
              <w:bottom w:val="nil"/>
            </w:tcBorders>
            <w:vAlign w:val="top"/>
          </w:tcPr>
          <w:p w14:paraId="426EBA5D">
            <w:pPr>
              <w:spacing w:line="250" w:lineRule="auto"/>
              <w:rPr>
                <w:rFonts w:ascii="Arial"/>
                <w:color w:val="auto"/>
                <w:sz w:val="21"/>
                <w:highlight w:val="none"/>
              </w:rPr>
            </w:pPr>
          </w:p>
          <w:p w14:paraId="50C8E3D5">
            <w:pPr>
              <w:spacing w:line="250" w:lineRule="auto"/>
              <w:rPr>
                <w:rFonts w:ascii="Arial"/>
                <w:color w:val="auto"/>
                <w:sz w:val="21"/>
                <w:highlight w:val="none"/>
              </w:rPr>
            </w:pPr>
          </w:p>
          <w:p w14:paraId="54B02774">
            <w:pPr>
              <w:spacing w:line="251" w:lineRule="auto"/>
              <w:rPr>
                <w:rFonts w:ascii="Arial"/>
                <w:color w:val="auto"/>
                <w:sz w:val="21"/>
                <w:highlight w:val="none"/>
              </w:rPr>
            </w:pPr>
          </w:p>
          <w:p w14:paraId="4C0140A0">
            <w:pPr>
              <w:spacing w:line="251" w:lineRule="auto"/>
              <w:rPr>
                <w:rFonts w:ascii="Arial"/>
                <w:color w:val="auto"/>
                <w:sz w:val="21"/>
                <w:highlight w:val="none"/>
              </w:rPr>
            </w:pPr>
          </w:p>
          <w:p w14:paraId="2BDD9EE3">
            <w:pPr>
              <w:spacing w:line="251" w:lineRule="auto"/>
              <w:rPr>
                <w:rFonts w:ascii="Arial"/>
                <w:color w:val="auto"/>
                <w:sz w:val="21"/>
                <w:highlight w:val="none"/>
              </w:rPr>
            </w:pPr>
          </w:p>
          <w:p w14:paraId="1788150F">
            <w:pPr>
              <w:pStyle w:val="131"/>
              <w:spacing w:before="65" w:line="228" w:lineRule="auto"/>
              <w:ind w:left="377"/>
              <w:rPr>
                <w:color w:val="auto"/>
                <w:highlight w:val="none"/>
              </w:rPr>
            </w:pPr>
            <w:r>
              <w:rPr>
                <w:color w:val="auto"/>
                <w:spacing w:val="3"/>
                <w:highlight w:val="none"/>
              </w:rPr>
              <w:t>草坪</w:t>
            </w:r>
          </w:p>
        </w:tc>
        <w:tc>
          <w:tcPr>
            <w:tcW w:w="1072" w:type="dxa"/>
            <w:vAlign w:val="top"/>
          </w:tcPr>
          <w:p w14:paraId="21CE6DA3">
            <w:pPr>
              <w:pStyle w:val="131"/>
              <w:spacing w:before="186" w:line="263" w:lineRule="exact"/>
              <w:ind w:left="496"/>
              <w:rPr>
                <w:color w:val="auto"/>
                <w:highlight w:val="none"/>
              </w:rPr>
            </w:pPr>
            <w:r>
              <w:rPr>
                <w:color w:val="auto"/>
                <w:position w:val="1"/>
                <w:highlight w:val="none"/>
              </w:rPr>
              <w:t>1</w:t>
            </w:r>
          </w:p>
        </w:tc>
        <w:tc>
          <w:tcPr>
            <w:tcW w:w="1460" w:type="dxa"/>
            <w:vAlign w:val="top"/>
          </w:tcPr>
          <w:p w14:paraId="30ABD569">
            <w:pPr>
              <w:pStyle w:val="131"/>
              <w:spacing w:before="185" w:line="228" w:lineRule="auto"/>
              <w:ind w:left="414"/>
              <w:rPr>
                <w:color w:val="auto"/>
                <w:highlight w:val="none"/>
              </w:rPr>
            </w:pPr>
            <w:r>
              <w:rPr>
                <w:color w:val="auto"/>
                <w:spacing w:val="6"/>
                <w:highlight w:val="none"/>
              </w:rPr>
              <w:t>保存率</w:t>
            </w:r>
          </w:p>
        </w:tc>
        <w:tc>
          <w:tcPr>
            <w:tcW w:w="5206" w:type="dxa"/>
            <w:vAlign w:val="top"/>
          </w:tcPr>
          <w:p w14:paraId="7F6F63B3">
            <w:pPr>
              <w:pStyle w:val="131"/>
              <w:spacing w:before="185" w:line="228" w:lineRule="auto"/>
              <w:ind w:left="15"/>
              <w:rPr>
                <w:color w:val="auto"/>
                <w:highlight w:val="none"/>
              </w:rPr>
            </w:pPr>
            <w:r>
              <w:rPr>
                <w:color w:val="auto"/>
                <w:spacing w:val="5"/>
                <w:highlight w:val="none"/>
              </w:rPr>
              <w:t>保存率不低于</w:t>
            </w:r>
            <w:r>
              <w:rPr>
                <w:color w:val="auto"/>
                <w:spacing w:val="-32"/>
                <w:highlight w:val="none"/>
              </w:rPr>
              <w:t xml:space="preserve"> </w:t>
            </w:r>
            <w:r>
              <w:rPr>
                <w:color w:val="auto"/>
                <w:spacing w:val="5"/>
                <w:highlight w:val="none"/>
              </w:rPr>
              <w:t>90%。</w:t>
            </w:r>
          </w:p>
        </w:tc>
      </w:tr>
      <w:tr w14:paraId="0C4AA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41" w:type="dxa"/>
            <w:vMerge w:val="continue"/>
            <w:tcBorders>
              <w:top w:val="nil"/>
              <w:bottom w:val="nil"/>
            </w:tcBorders>
            <w:vAlign w:val="top"/>
          </w:tcPr>
          <w:p w14:paraId="0430BF87">
            <w:pPr>
              <w:rPr>
                <w:rFonts w:ascii="Arial"/>
                <w:color w:val="auto"/>
                <w:sz w:val="21"/>
                <w:highlight w:val="none"/>
              </w:rPr>
            </w:pPr>
          </w:p>
        </w:tc>
        <w:tc>
          <w:tcPr>
            <w:tcW w:w="1182" w:type="dxa"/>
            <w:vMerge w:val="continue"/>
            <w:tcBorders>
              <w:top w:val="nil"/>
              <w:bottom w:val="nil"/>
            </w:tcBorders>
            <w:vAlign w:val="top"/>
          </w:tcPr>
          <w:p w14:paraId="5A4B73BB">
            <w:pPr>
              <w:rPr>
                <w:rFonts w:ascii="Arial"/>
                <w:color w:val="auto"/>
                <w:sz w:val="21"/>
                <w:highlight w:val="none"/>
              </w:rPr>
            </w:pPr>
          </w:p>
        </w:tc>
        <w:tc>
          <w:tcPr>
            <w:tcW w:w="1072" w:type="dxa"/>
            <w:vAlign w:val="top"/>
          </w:tcPr>
          <w:p w14:paraId="15865CF3">
            <w:pPr>
              <w:pStyle w:val="131"/>
              <w:spacing w:before="187" w:line="241" w:lineRule="auto"/>
              <w:ind w:left="483"/>
              <w:rPr>
                <w:color w:val="auto"/>
                <w:highlight w:val="none"/>
              </w:rPr>
            </w:pPr>
            <w:r>
              <w:rPr>
                <w:color w:val="auto"/>
                <w:highlight w:val="none"/>
              </w:rPr>
              <w:t>2</w:t>
            </w:r>
          </w:p>
        </w:tc>
        <w:tc>
          <w:tcPr>
            <w:tcW w:w="1460" w:type="dxa"/>
            <w:vAlign w:val="top"/>
          </w:tcPr>
          <w:p w14:paraId="3F3C5BD6">
            <w:pPr>
              <w:pStyle w:val="131"/>
              <w:spacing w:before="187" w:line="228" w:lineRule="auto"/>
              <w:ind w:left="519"/>
              <w:rPr>
                <w:color w:val="auto"/>
                <w:highlight w:val="none"/>
              </w:rPr>
            </w:pPr>
            <w:r>
              <w:rPr>
                <w:color w:val="auto"/>
                <w:spacing w:val="4"/>
                <w:highlight w:val="none"/>
              </w:rPr>
              <w:t>修剪</w:t>
            </w:r>
          </w:p>
        </w:tc>
        <w:tc>
          <w:tcPr>
            <w:tcW w:w="5206" w:type="dxa"/>
            <w:vAlign w:val="top"/>
          </w:tcPr>
          <w:p w14:paraId="7AD5A85F">
            <w:pPr>
              <w:pStyle w:val="131"/>
              <w:spacing w:before="187" w:line="228" w:lineRule="auto"/>
              <w:ind w:left="14"/>
              <w:rPr>
                <w:color w:val="auto"/>
                <w:highlight w:val="none"/>
              </w:rPr>
            </w:pPr>
            <w:r>
              <w:rPr>
                <w:color w:val="auto"/>
                <w:spacing w:val="5"/>
                <w:highlight w:val="none"/>
              </w:rPr>
              <w:t>每年</w:t>
            </w:r>
            <w:r>
              <w:rPr>
                <w:color w:val="auto"/>
                <w:spacing w:val="-28"/>
                <w:highlight w:val="none"/>
              </w:rPr>
              <w:t xml:space="preserve"> </w:t>
            </w:r>
            <w:r>
              <w:rPr>
                <w:color w:val="auto"/>
                <w:spacing w:val="5"/>
                <w:highlight w:val="none"/>
              </w:rPr>
              <w:t>3</w:t>
            </w:r>
            <w:r>
              <w:rPr>
                <w:color w:val="auto"/>
                <w:spacing w:val="-33"/>
                <w:highlight w:val="none"/>
              </w:rPr>
              <w:t xml:space="preserve"> </w:t>
            </w:r>
            <w:r>
              <w:rPr>
                <w:color w:val="auto"/>
                <w:spacing w:val="5"/>
                <w:highlight w:val="none"/>
              </w:rPr>
              <w:t>次对草坪整治修剪。</w:t>
            </w:r>
          </w:p>
        </w:tc>
      </w:tr>
      <w:tr w14:paraId="6F4F6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41" w:type="dxa"/>
            <w:vMerge w:val="continue"/>
            <w:tcBorders>
              <w:top w:val="nil"/>
              <w:bottom w:val="nil"/>
            </w:tcBorders>
            <w:vAlign w:val="top"/>
          </w:tcPr>
          <w:p w14:paraId="2594DF1E">
            <w:pPr>
              <w:rPr>
                <w:rFonts w:ascii="Arial"/>
                <w:color w:val="auto"/>
                <w:sz w:val="21"/>
                <w:highlight w:val="none"/>
              </w:rPr>
            </w:pPr>
          </w:p>
        </w:tc>
        <w:tc>
          <w:tcPr>
            <w:tcW w:w="1182" w:type="dxa"/>
            <w:vMerge w:val="continue"/>
            <w:tcBorders>
              <w:top w:val="nil"/>
              <w:bottom w:val="nil"/>
            </w:tcBorders>
            <w:vAlign w:val="top"/>
          </w:tcPr>
          <w:p w14:paraId="1820E174">
            <w:pPr>
              <w:rPr>
                <w:rFonts w:ascii="Arial"/>
                <w:color w:val="auto"/>
                <w:sz w:val="21"/>
                <w:highlight w:val="none"/>
              </w:rPr>
            </w:pPr>
          </w:p>
        </w:tc>
        <w:tc>
          <w:tcPr>
            <w:tcW w:w="1072" w:type="dxa"/>
            <w:vAlign w:val="top"/>
          </w:tcPr>
          <w:p w14:paraId="6946D886">
            <w:pPr>
              <w:pStyle w:val="131"/>
              <w:spacing w:before="189"/>
              <w:ind w:left="484"/>
              <w:rPr>
                <w:color w:val="auto"/>
                <w:highlight w:val="none"/>
              </w:rPr>
            </w:pPr>
            <w:r>
              <w:rPr>
                <w:color w:val="auto"/>
                <w:highlight w:val="none"/>
              </w:rPr>
              <w:t>3</w:t>
            </w:r>
          </w:p>
        </w:tc>
        <w:tc>
          <w:tcPr>
            <w:tcW w:w="1460" w:type="dxa"/>
            <w:vAlign w:val="top"/>
          </w:tcPr>
          <w:p w14:paraId="0E7989F4">
            <w:pPr>
              <w:pStyle w:val="131"/>
              <w:spacing w:before="188" w:line="228" w:lineRule="auto"/>
              <w:ind w:left="414"/>
              <w:rPr>
                <w:color w:val="auto"/>
                <w:highlight w:val="none"/>
              </w:rPr>
            </w:pPr>
            <w:r>
              <w:rPr>
                <w:color w:val="auto"/>
                <w:spacing w:val="6"/>
                <w:highlight w:val="none"/>
              </w:rPr>
              <w:t>清杂草</w:t>
            </w:r>
          </w:p>
        </w:tc>
        <w:tc>
          <w:tcPr>
            <w:tcW w:w="5206" w:type="dxa"/>
            <w:vAlign w:val="top"/>
          </w:tcPr>
          <w:p w14:paraId="68C1F658">
            <w:pPr>
              <w:pStyle w:val="131"/>
              <w:spacing w:before="188" w:line="228" w:lineRule="auto"/>
              <w:ind w:left="14"/>
              <w:rPr>
                <w:color w:val="auto"/>
                <w:highlight w:val="none"/>
              </w:rPr>
            </w:pPr>
            <w:r>
              <w:rPr>
                <w:color w:val="auto"/>
                <w:spacing w:val="8"/>
                <w:highlight w:val="none"/>
              </w:rPr>
              <w:t>每年适时除杂草五遍以上。</w:t>
            </w:r>
          </w:p>
        </w:tc>
      </w:tr>
      <w:tr w14:paraId="2192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41" w:type="dxa"/>
            <w:vMerge w:val="continue"/>
            <w:tcBorders>
              <w:top w:val="nil"/>
              <w:bottom w:val="nil"/>
            </w:tcBorders>
            <w:vAlign w:val="top"/>
          </w:tcPr>
          <w:p w14:paraId="39CEA7F3">
            <w:pPr>
              <w:rPr>
                <w:rFonts w:ascii="Arial"/>
                <w:color w:val="auto"/>
                <w:sz w:val="21"/>
                <w:highlight w:val="none"/>
              </w:rPr>
            </w:pPr>
          </w:p>
        </w:tc>
        <w:tc>
          <w:tcPr>
            <w:tcW w:w="1182" w:type="dxa"/>
            <w:vMerge w:val="continue"/>
            <w:tcBorders>
              <w:top w:val="nil"/>
              <w:bottom w:val="nil"/>
            </w:tcBorders>
            <w:vAlign w:val="top"/>
          </w:tcPr>
          <w:p w14:paraId="1B3B5092">
            <w:pPr>
              <w:rPr>
                <w:rFonts w:ascii="Arial"/>
                <w:color w:val="auto"/>
                <w:sz w:val="21"/>
                <w:highlight w:val="none"/>
              </w:rPr>
            </w:pPr>
          </w:p>
        </w:tc>
        <w:tc>
          <w:tcPr>
            <w:tcW w:w="1072" w:type="dxa"/>
            <w:vAlign w:val="top"/>
          </w:tcPr>
          <w:p w14:paraId="4BD25BAD">
            <w:pPr>
              <w:pStyle w:val="131"/>
              <w:spacing w:before="190" w:line="239" w:lineRule="auto"/>
              <w:ind w:left="479"/>
              <w:rPr>
                <w:color w:val="auto"/>
                <w:highlight w:val="none"/>
              </w:rPr>
            </w:pPr>
            <w:r>
              <w:rPr>
                <w:color w:val="auto"/>
                <w:highlight w:val="none"/>
              </w:rPr>
              <w:t>4</w:t>
            </w:r>
          </w:p>
        </w:tc>
        <w:tc>
          <w:tcPr>
            <w:tcW w:w="1460" w:type="dxa"/>
            <w:vAlign w:val="top"/>
          </w:tcPr>
          <w:p w14:paraId="117879BE">
            <w:pPr>
              <w:pStyle w:val="131"/>
              <w:spacing w:before="189" w:line="228" w:lineRule="auto"/>
              <w:ind w:left="311"/>
              <w:rPr>
                <w:color w:val="auto"/>
                <w:highlight w:val="none"/>
              </w:rPr>
            </w:pPr>
            <w:r>
              <w:rPr>
                <w:color w:val="auto"/>
                <w:spacing w:val="6"/>
                <w:highlight w:val="none"/>
              </w:rPr>
              <w:t>灌、排水</w:t>
            </w:r>
          </w:p>
        </w:tc>
        <w:tc>
          <w:tcPr>
            <w:tcW w:w="5206" w:type="dxa"/>
            <w:vAlign w:val="top"/>
          </w:tcPr>
          <w:p w14:paraId="1E3DC89D">
            <w:pPr>
              <w:pStyle w:val="131"/>
              <w:spacing w:before="189" w:line="227" w:lineRule="auto"/>
              <w:jc w:val="right"/>
              <w:rPr>
                <w:color w:val="auto"/>
                <w:highlight w:val="none"/>
              </w:rPr>
            </w:pPr>
            <w:r>
              <w:rPr>
                <w:color w:val="auto"/>
                <w:spacing w:val="7"/>
                <w:highlight w:val="none"/>
              </w:rPr>
              <w:t>干旱、高温季节基本保持有效供水；雨季及时排出积水。</w:t>
            </w:r>
          </w:p>
        </w:tc>
      </w:tr>
      <w:tr w14:paraId="629BD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141" w:type="dxa"/>
            <w:vMerge w:val="continue"/>
            <w:tcBorders>
              <w:top w:val="nil"/>
              <w:bottom w:val="nil"/>
            </w:tcBorders>
            <w:vAlign w:val="top"/>
          </w:tcPr>
          <w:p w14:paraId="0350DF5D">
            <w:pPr>
              <w:rPr>
                <w:rFonts w:ascii="Arial"/>
                <w:color w:val="auto"/>
                <w:sz w:val="21"/>
                <w:highlight w:val="none"/>
              </w:rPr>
            </w:pPr>
          </w:p>
        </w:tc>
        <w:tc>
          <w:tcPr>
            <w:tcW w:w="1182" w:type="dxa"/>
            <w:vMerge w:val="continue"/>
            <w:tcBorders>
              <w:top w:val="nil"/>
            </w:tcBorders>
            <w:vAlign w:val="top"/>
          </w:tcPr>
          <w:p w14:paraId="7771C2BA">
            <w:pPr>
              <w:rPr>
                <w:rFonts w:ascii="Arial"/>
                <w:color w:val="auto"/>
                <w:sz w:val="21"/>
                <w:highlight w:val="none"/>
              </w:rPr>
            </w:pPr>
          </w:p>
        </w:tc>
        <w:tc>
          <w:tcPr>
            <w:tcW w:w="1072" w:type="dxa"/>
            <w:vAlign w:val="top"/>
          </w:tcPr>
          <w:p w14:paraId="470B326A">
            <w:pPr>
              <w:spacing w:line="313" w:lineRule="auto"/>
              <w:rPr>
                <w:rFonts w:ascii="Arial"/>
                <w:color w:val="auto"/>
                <w:sz w:val="21"/>
                <w:highlight w:val="none"/>
              </w:rPr>
            </w:pPr>
          </w:p>
          <w:p w14:paraId="10D29673">
            <w:pPr>
              <w:pStyle w:val="131"/>
              <w:spacing w:before="65" w:line="269" w:lineRule="exact"/>
              <w:ind w:left="484"/>
              <w:rPr>
                <w:color w:val="auto"/>
                <w:highlight w:val="none"/>
              </w:rPr>
            </w:pPr>
            <w:r>
              <w:rPr>
                <w:color w:val="auto"/>
                <w:position w:val="1"/>
                <w:highlight w:val="none"/>
              </w:rPr>
              <w:t>5</w:t>
            </w:r>
          </w:p>
        </w:tc>
        <w:tc>
          <w:tcPr>
            <w:tcW w:w="1460" w:type="dxa"/>
            <w:vAlign w:val="top"/>
          </w:tcPr>
          <w:p w14:paraId="3E26A04F">
            <w:pPr>
              <w:spacing w:line="314" w:lineRule="auto"/>
              <w:rPr>
                <w:rFonts w:ascii="Arial"/>
                <w:color w:val="auto"/>
                <w:sz w:val="21"/>
                <w:highlight w:val="none"/>
              </w:rPr>
            </w:pPr>
          </w:p>
          <w:p w14:paraId="09974174">
            <w:pPr>
              <w:pStyle w:val="131"/>
              <w:spacing w:before="65" w:line="228" w:lineRule="auto"/>
              <w:ind w:left="204"/>
              <w:rPr>
                <w:color w:val="auto"/>
                <w:highlight w:val="none"/>
              </w:rPr>
            </w:pPr>
            <w:r>
              <w:rPr>
                <w:color w:val="auto"/>
                <w:spacing w:val="8"/>
                <w:highlight w:val="none"/>
              </w:rPr>
              <w:t>病虫害防治</w:t>
            </w:r>
          </w:p>
        </w:tc>
        <w:tc>
          <w:tcPr>
            <w:tcW w:w="5206" w:type="dxa"/>
            <w:vAlign w:val="top"/>
          </w:tcPr>
          <w:p w14:paraId="6DD55554">
            <w:pPr>
              <w:spacing w:line="313" w:lineRule="auto"/>
              <w:rPr>
                <w:rFonts w:ascii="Arial"/>
                <w:color w:val="auto"/>
                <w:sz w:val="21"/>
                <w:highlight w:val="none"/>
              </w:rPr>
            </w:pPr>
          </w:p>
          <w:p w14:paraId="2C7CAFF9">
            <w:pPr>
              <w:pStyle w:val="131"/>
              <w:spacing w:before="65" w:line="228" w:lineRule="auto"/>
              <w:ind w:left="18"/>
              <w:rPr>
                <w:color w:val="auto"/>
                <w:highlight w:val="none"/>
              </w:rPr>
            </w:pPr>
            <w:r>
              <w:rPr>
                <w:color w:val="auto"/>
                <w:spacing w:val="7"/>
                <w:highlight w:val="none"/>
              </w:rPr>
              <w:t>发生病虫害时及时灭杀。</w:t>
            </w:r>
          </w:p>
        </w:tc>
      </w:tr>
      <w:tr w14:paraId="20798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jc w:val="center"/>
        </w:trPr>
        <w:tc>
          <w:tcPr>
            <w:tcW w:w="1141" w:type="dxa"/>
            <w:vMerge w:val="continue"/>
            <w:tcBorders>
              <w:top w:val="nil"/>
              <w:bottom w:val="nil"/>
            </w:tcBorders>
            <w:vAlign w:val="top"/>
          </w:tcPr>
          <w:p w14:paraId="03F55E4A">
            <w:pPr>
              <w:rPr>
                <w:rFonts w:ascii="Arial"/>
                <w:color w:val="auto"/>
                <w:sz w:val="21"/>
                <w:highlight w:val="none"/>
              </w:rPr>
            </w:pPr>
          </w:p>
        </w:tc>
        <w:tc>
          <w:tcPr>
            <w:tcW w:w="1182" w:type="dxa"/>
            <w:vMerge w:val="restart"/>
            <w:tcBorders>
              <w:bottom w:val="nil"/>
            </w:tcBorders>
            <w:vAlign w:val="top"/>
          </w:tcPr>
          <w:p w14:paraId="2A88C88E">
            <w:pPr>
              <w:spacing w:line="246" w:lineRule="auto"/>
              <w:rPr>
                <w:rFonts w:ascii="Arial"/>
                <w:color w:val="auto"/>
                <w:sz w:val="21"/>
                <w:highlight w:val="none"/>
              </w:rPr>
            </w:pPr>
          </w:p>
          <w:p w14:paraId="202EAD1E">
            <w:pPr>
              <w:spacing w:line="246" w:lineRule="auto"/>
              <w:rPr>
                <w:rFonts w:ascii="Arial"/>
                <w:color w:val="auto"/>
                <w:sz w:val="21"/>
                <w:highlight w:val="none"/>
              </w:rPr>
            </w:pPr>
          </w:p>
          <w:p w14:paraId="21A16F05">
            <w:pPr>
              <w:spacing w:line="246" w:lineRule="auto"/>
              <w:rPr>
                <w:rFonts w:ascii="Arial"/>
                <w:color w:val="auto"/>
                <w:sz w:val="21"/>
                <w:highlight w:val="none"/>
              </w:rPr>
            </w:pPr>
          </w:p>
          <w:p w14:paraId="0603D2A9">
            <w:pPr>
              <w:spacing w:line="246" w:lineRule="auto"/>
              <w:rPr>
                <w:rFonts w:ascii="Arial"/>
                <w:color w:val="auto"/>
                <w:sz w:val="21"/>
                <w:highlight w:val="none"/>
              </w:rPr>
            </w:pPr>
          </w:p>
          <w:p w14:paraId="47AC8411">
            <w:pPr>
              <w:spacing w:line="246" w:lineRule="auto"/>
              <w:rPr>
                <w:rFonts w:ascii="Arial"/>
                <w:color w:val="auto"/>
                <w:sz w:val="21"/>
                <w:highlight w:val="none"/>
              </w:rPr>
            </w:pPr>
          </w:p>
          <w:p w14:paraId="4FD8BEB9">
            <w:pPr>
              <w:spacing w:line="246" w:lineRule="auto"/>
              <w:rPr>
                <w:rFonts w:ascii="Arial"/>
                <w:color w:val="auto"/>
                <w:sz w:val="21"/>
                <w:highlight w:val="none"/>
              </w:rPr>
            </w:pPr>
          </w:p>
          <w:p w14:paraId="48117A00">
            <w:pPr>
              <w:spacing w:line="247" w:lineRule="auto"/>
              <w:rPr>
                <w:rFonts w:ascii="Arial"/>
                <w:color w:val="auto"/>
                <w:sz w:val="21"/>
                <w:highlight w:val="none"/>
              </w:rPr>
            </w:pPr>
          </w:p>
          <w:p w14:paraId="069DB99C">
            <w:pPr>
              <w:spacing w:line="247" w:lineRule="auto"/>
              <w:rPr>
                <w:rFonts w:ascii="Arial"/>
                <w:color w:val="auto"/>
                <w:sz w:val="21"/>
                <w:highlight w:val="none"/>
              </w:rPr>
            </w:pPr>
          </w:p>
          <w:p w14:paraId="6E63F4C8">
            <w:pPr>
              <w:spacing w:line="247" w:lineRule="auto"/>
              <w:rPr>
                <w:rFonts w:ascii="Arial"/>
                <w:color w:val="auto"/>
                <w:sz w:val="21"/>
                <w:highlight w:val="none"/>
              </w:rPr>
            </w:pPr>
          </w:p>
          <w:p w14:paraId="7608641B">
            <w:pPr>
              <w:pStyle w:val="131"/>
              <w:spacing w:before="65" w:line="228" w:lineRule="auto"/>
              <w:ind w:left="376"/>
              <w:rPr>
                <w:color w:val="auto"/>
                <w:highlight w:val="none"/>
              </w:rPr>
            </w:pPr>
            <w:r>
              <w:rPr>
                <w:color w:val="auto"/>
                <w:spacing w:val="4"/>
                <w:highlight w:val="none"/>
              </w:rPr>
              <w:t>树木</w:t>
            </w:r>
          </w:p>
        </w:tc>
        <w:tc>
          <w:tcPr>
            <w:tcW w:w="1072" w:type="dxa"/>
            <w:vAlign w:val="top"/>
          </w:tcPr>
          <w:p w14:paraId="7FB085BF">
            <w:pPr>
              <w:spacing w:line="278" w:lineRule="auto"/>
              <w:rPr>
                <w:rFonts w:ascii="Arial"/>
                <w:color w:val="auto"/>
                <w:sz w:val="21"/>
                <w:highlight w:val="none"/>
              </w:rPr>
            </w:pPr>
          </w:p>
          <w:p w14:paraId="77630D4F">
            <w:pPr>
              <w:pStyle w:val="131"/>
              <w:spacing w:before="65" w:line="268" w:lineRule="exact"/>
              <w:ind w:left="482"/>
              <w:rPr>
                <w:color w:val="auto"/>
                <w:highlight w:val="none"/>
              </w:rPr>
            </w:pPr>
            <w:r>
              <w:rPr>
                <w:color w:val="auto"/>
                <w:position w:val="1"/>
                <w:highlight w:val="none"/>
              </w:rPr>
              <w:t>6</w:t>
            </w:r>
          </w:p>
        </w:tc>
        <w:tc>
          <w:tcPr>
            <w:tcW w:w="1460" w:type="dxa"/>
            <w:vAlign w:val="top"/>
          </w:tcPr>
          <w:p w14:paraId="2954122A">
            <w:pPr>
              <w:spacing w:line="277" w:lineRule="auto"/>
              <w:rPr>
                <w:rFonts w:ascii="Arial"/>
                <w:color w:val="auto"/>
                <w:sz w:val="21"/>
                <w:highlight w:val="none"/>
              </w:rPr>
            </w:pPr>
          </w:p>
          <w:p w14:paraId="17C2A972">
            <w:pPr>
              <w:pStyle w:val="131"/>
              <w:spacing w:before="65" w:line="228" w:lineRule="auto"/>
              <w:ind w:left="414"/>
              <w:rPr>
                <w:color w:val="auto"/>
                <w:highlight w:val="none"/>
              </w:rPr>
            </w:pPr>
            <w:r>
              <w:rPr>
                <w:color w:val="auto"/>
                <w:spacing w:val="6"/>
                <w:highlight w:val="none"/>
              </w:rPr>
              <w:t>保存率</w:t>
            </w:r>
          </w:p>
        </w:tc>
        <w:tc>
          <w:tcPr>
            <w:tcW w:w="5206" w:type="dxa"/>
            <w:vAlign w:val="top"/>
          </w:tcPr>
          <w:p w14:paraId="523A2341">
            <w:pPr>
              <w:spacing w:line="277" w:lineRule="auto"/>
              <w:rPr>
                <w:rFonts w:ascii="Arial"/>
                <w:color w:val="auto"/>
                <w:sz w:val="21"/>
                <w:highlight w:val="none"/>
              </w:rPr>
            </w:pPr>
          </w:p>
          <w:p w14:paraId="32859B61">
            <w:pPr>
              <w:pStyle w:val="131"/>
              <w:spacing w:before="65" w:line="228" w:lineRule="auto"/>
              <w:ind w:left="15"/>
              <w:rPr>
                <w:color w:val="auto"/>
                <w:highlight w:val="none"/>
              </w:rPr>
            </w:pPr>
            <w:r>
              <w:rPr>
                <w:color w:val="auto"/>
                <w:spacing w:val="6"/>
                <w:highlight w:val="none"/>
              </w:rPr>
              <w:t>保存率不低于</w:t>
            </w:r>
            <w:r>
              <w:rPr>
                <w:color w:val="auto"/>
                <w:spacing w:val="-24"/>
                <w:highlight w:val="none"/>
              </w:rPr>
              <w:t xml:space="preserve"> </w:t>
            </w:r>
            <w:r>
              <w:rPr>
                <w:color w:val="auto"/>
                <w:spacing w:val="6"/>
                <w:highlight w:val="none"/>
              </w:rPr>
              <w:t>95%，生长正常。</w:t>
            </w:r>
          </w:p>
        </w:tc>
      </w:tr>
      <w:tr w14:paraId="4D67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549973ED">
            <w:pPr>
              <w:rPr>
                <w:rFonts w:ascii="Arial"/>
                <w:color w:val="auto"/>
                <w:sz w:val="21"/>
                <w:highlight w:val="none"/>
              </w:rPr>
            </w:pPr>
          </w:p>
        </w:tc>
        <w:tc>
          <w:tcPr>
            <w:tcW w:w="1182" w:type="dxa"/>
            <w:vMerge w:val="continue"/>
            <w:tcBorders>
              <w:top w:val="nil"/>
              <w:bottom w:val="nil"/>
            </w:tcBorders>
            <w:vAlign w:val="top"/>
          </w:tcPr>
          <w:p w14:paraId="4D790F1B">
            <w:pPr>
              <w:rPr>
                <w:rFonts w:ascii="Arial"/>
                <w:color w:val="auto"/>
                <w:sz w:val="21"/>
                <w:highlight w:val="none"/>
              </w:rPr>
            </w:pPr>
          </w:p>
        </w:tc>
        <w:tc>
          <w:tcPr>
            <w:tcW w:w="1072" w:type="dxa"/>
            <w:vAlign w:val="top"/>
          </w:tcPr>
          <w:p w14:paraId="40BE9E93">
            <w:pPr>
              <w:spacing w:line="346" w:lineRule="auto"/>
              <w:rPr>
                <w:rFonts w:ascii="Arial"/>
                <w:color w:val="auto"/>
                <w:sz w:val="21"/>
                <w:highlight w:val="none"/>
              </w:rPr>
            </w:pPr>
          </w:p>
          <w:p w14:paraId="4147249A">
            <w:pPr>
              <w:pStyle w:val="131"/>
              <w:spacing w:before="65" w:line="268" w:lineRule="exact"/>
              <w:ind w:left="485"/>
              <w:rPr>
                <w:color w:val="auto"/>
                <w:highlight w:val="none"/>
              </w:rPr>
            </w:pPr>
            <w:r>
              <w:rPr>
                <w:color w:val="auto"/>
                <w:position w:val="1"/>
                <w:highlight w:val="none"/>
              </w:rPr>
              <w:t>7</w:t>
            </w:r>
          </w:p>
        </w:tc>
        <w:tc>
          <w:tcPr>
            <w:tcW w:w="1460" w:type="dxa"/>
            <w:vAlign w:val="top"/>
          </w:tcPr>
          <w:p w14:paraId="34A05318">
            <w:pPr>
              <w:spacing w:line="345" w:lineRule="auto"/>
              <w:rPr>
                <w:rFonts w:ascii="Arial"/>
                <w:color w:val="auto"/>
                <w:sz w:val="21"/>
                <w:highlight w:val="none"/>
              </w:rPr>
            </w:pPr>
          </w:p>
          <w:p w14:paraId="3C5EECD1">
            <w:pPr>
              <w:pStyle w:val="131"/>
              <w:spacing w:before="65" w:line="228" w:lineRule="auto"/>
              <w:ind w:left="519"/>
              <w:rPr>
                <w:color w:val="auto"/>
                <w:highlight w:val="none"/>
              </w:rPr>
            </w:pPr>
            <w:r>
              <w:rPr>
                <w:color w:val="auto"/>
                <w:spacing w:val="4"/>
                <w:highlight w:val="none"/>
              </w:rPr>
              <w:t>修剪</w:t>
            </w:r>
          </w:p>
        </w:tc>
        <w:tc>
          <w:tcPr>
            <w:tcW w:w="5206" w:type="dxa"/>
            <w:vAlign w:val="top"/>
          </w:tcPr>
          <w:p w14:paraId="5350FD25">
            <w:pPr>
              <w:pStyle w:val="131"/>
              <w:spacing w:before="193" w:line="321" w:lineRule="auto"/>
              <w:ind w:left="15" w:right="146"/>
              <w:rPr>
                <w:color w:val="auto"/>
                <w:highlight w:val="none"/>
              </w:rPr>
            </w:pPr>
            <w:r>
              <w:rPr>
                <w:color w:val="auto"/>
                <w:spacing w:val="9"/>
                <w:highlight w:val="none"/>
              </w:rPr>
              <w:t>乔木根据需要适时修剪，灌木每年适时整形修剪二遍以</w:t>
            </w:r>
            <w:r>
              <w:rPr>
                <w:color w:val="auto"/>
                <w:spacing w:val="11"/>
                <w:highlight w:val="none"/>
              </w:rPr>
              <w:t xml:space="preserve"> </w:t>
            </w:r>
            <w:r>
              <w:rPr>
                <w:color w:val="auto"/>
                <w:spacing w:val="8"/>
                <w:highlight w:val="none"/>
              </w:rPr>
              <w:t>上，篱、球每年修剪三次以上。</w:t>
            </w:r>
          </w:p>
        </w:tc>
      </w:tr>
      <w:tr w14:paraId="08642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41" w:type="dxa"/>
            <w:vMerge w:val="continue"/>
            <w:tcBorders>
              <w:top w:val="nil"/>
              <w:bottom w:val="nil"/>
            </w:tcBorders>
            <w:vAlign w:val="top"/>
          </w:tcPr>
          <w:p w14:paraId="066A111E">
            <w:pPr>
              <w:rPr>
                <w:rFonts w:ascii="Arial"/>
                <w:color w:val="auto"/>
                <w:sz w:val="21"/>
                <w:highlight w:val="none"/>
              </w:rPr>
            </w:pPr>
          </w:p>
        </w:tc>
        <w:tc>
          <w:tcPr>
            <w:tcW w:w="1182" w:type="dxa"/>
            <w:vMerge w:val="continue"/>
            <w:tcBorders>
              <w:top w:val="nil"/>
              <w:bottom w:val="nil"/>
            </w:tcBorders>
            <w:vAlign w:val="top"/>
          </w:tcPr>
          <w:p w14:paraId="2C51FDC0">
            <w:pPr>
              <w:rPr>
                <w:rFonts w:ascii="Arial"/>
                <w:color w:val="auto"/>
                <w:sz w:val="21"/>
                <w:highlight w:val="none"/>
              </w:rPr>
            </w:pPr>
          </w:p>
        </w:tc>
        <w:tc>
          <w:tcPr>
            <w:tcW w:w="1072" w:type="dxa"/>
            <w:vAlign w:val="top"/>
          </w:tcPr>
          <w:p w14:paraId="11F67421">
            <w:pPr>
              <w:pStyle w:val="131"/>
              <w:spacing w:before="195" w:line="234" w:lineRule="auto"/>
              <w:ind w:left="481"/>
              <w:rPr>
                <w:color w:val="auto"/>
                <w:highlight w:val="none"/>
              </w:rPr>
            </w:pPr>
            <w:r>
              <w:rPr>
                <w:color w:val="auto"/>
                <w:highlight w:val="none"/>
              </w:rPr>
              <w:t>8</w:t>
            </w:r>
          </w:p>
        </w:tc>
        <w:tc>
          <w:tcPr>
            <w:tcW w:w="1460" w:type="dxa"/>
            <w:vAlign w:val="top"/>
          </w:tcPr>
          <w:p w14:paraId="0DDA15CA">
            <w:pPr>
              <w:pStyle w:val="131"/>
              <w:spacing w:before="194" w:line="228" w:lineRule="auto"/>
              <w:ind w:left="414"/>
              <w:rPr>
                <w:color w:val="auto"/>
                <w:highlight w:val="none"/>
              </w:rPr>
            </w:pPr>
            <w:r>
              <w:rPr>
                <w:color w:val="auto"/>
                <w:spacing w:val="6"/>
                <w:highlight w:val="none"/>
              </w:rPr>
              <w:t>清杂草</w:t>
            </w:r>
          </w:p>
        </w:tc>
        <w:tc>
          <w:tcPr>
            <w:tcW w:w="5206" w:type="dxa"/>
            <w:vAlign w:val="top"/>
          </w:tcPr>
          <w:p w14:paraId="716BE293">
            <w:pPr>
              <w:pStyle w:val="131"/>
              <w:spacing w:before="194" w:line="228" w:lineRule="auto"/>
              <w:ind w:left="14"/>
              <w:rPr>
                <w:color w:val="auto"/>
                <w:highlight w:val="none"/>
              </w:rPr>
            </w:pPr>
            <w:r>
              <w:rPr>
                <w:color w:val="auto"/>
                <w:spacing w:val="8"/>
                <w:highlight w:val="none"/>
              </w:rPr>
              <w:t>每年适时除杂草三次以上。</w:t>
            </w:r>
          </w:p>
        </w:tc>
      </w:tr>
      <w:tr w14:paraId="6F02B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281225CD">
            <w:pPr>
              <w:rPr>
                <w:rFonts w:ascii="Arial"/>
                <w:color w:val="auto"/>
                <w:sz w:val="21"/>
                <w:highlight w:val="none"/>
              </w:rPr>
            </w:pPr>
          </w:p>
        </w:tc>
        <w:tc>
          <w:tcPr>
            <w:tcW w:w="1182" w:type="dxa"/>
            <w:vMerge w:val="continue"/>
            <w:tcBorders>
              <w:top w:val="nil"/>
              <w:bottom w:val="nil"/>
            </w:tcBorders>
            <w:vAlign w:val="top"/>
          </w:tcPr>
          <w:p w14:paraId="6EEE6C27">
            <w:pPr>
              <w:rPr>
                <w:rFonts w:ascii="Arial"/>
                <w:color w:val="auto"/>
                <w:sz w:val="21"/>
                <w:highlight w:val="none"/>
              </w:rPr>
            </w:pPr>
          </w:p>
        </w:tc>
        <w:tc>
          <w:tcPr>
            <w:tcW w:w="1072" w:type="dxa"/>
            <w:vAlign w:val="top"/>
          </w:tcPr>
          <w:p w14:paraId="4D12E55B">
            <w:pPr>
              <w:spacing w:line="347" w:lineRule="auto"/>
              <w:rPr>
                <w:rFonts w:ascii="Arial"/>
                <w:color w:val="auto"/>
                <w:sz w:val="21"/>
                <w:highlight w:val="none"/>
              </w:rPr>
            </w:pPr>
          </w:p>
          <w:p w14:paraId="5122BF5A">
            <w:pPr>
              <w:pStyle w:val="131"/>
              <w:spacing w:before="65" w:line="269" w:lineRule="exact"/>
              <w:ind w:left="481"/>
              <w:rPr>
                <w:color w:val="auto"/>
                <w:highlight w:val="none"/>
              </w:rPr>
            </w:pPr>
            <w:r>
              <w:rPr>
                <w:color w:val="auto"/>
                <w:position w:val="1"/>
                <w:highlight w:val="none"/>
              </w:rPr>
              <w:t>9</w:t>
            </w:r>
          </w:p>
        </w:tc>
        <w:tc>
          <w:tcPr>
            <w:tcW w:w="1460" w:type="dxa"/>
            <w:vAlign w:val="top"/>
          </w:tcPr>
          <w:p w14:paraId="6EC14009">
            <w:pPr>
              <w:spacing w:line="347" w:lineRule="auto"/>
              <w:rPr>
                <w:rFonts w:ascii="Arial"/>
                <w:color w:val="auto"/>
                <w:sz w:val="21"/>
                <w:highlight w:val="none"/>
              </w:rPr>
            </w:pPr>
          </w:p>
          <w:p w14:paraId="20C83AD8">
            <w:pPr>
              <w:pStyle w:val="131"/>
              <w:spacing w:before="65" w:line="227" w:lineRule="auto"/>
              <w:ind w:left="518"/>
              <w:rPr>
                <w:color w:val="auto"/>
                <w:highlight w:val="none"/>
              </w:rPr>
            </w:pPr>
            <w:r>
              <w:rPr>
                <w:color w:val="auto"/>
                <w:spacing w:val="5"/>
                <w:highlight w:val="none"/>
              </w:rPr>
              <w:t>施肥</w:t>
            </w:r>
          </w:p>
        </w:tc>
        <w:tc>
          <w:tcPr>
            <w:tcW w:w="5206" w:type="dxa"/>
            <w:vAlign w:val="top"/>
          </w:tcPr>
          <w:p w14:paraId="08CB0234">
            <w:pPr>
              <w:pStyle w:val="131"/>
              <w:spacing w:before="195" w:line="320" w:lineRule="auto"/>
              <w:ind w:left="14" w:right="12" w:firstLine="2"/>
              <w:rPr>
                <w:color w:val="auto"/>
                <w:highlight w:val="none"/>
              </w:rPr>
            </w:pPr>
            <w:r>
              <w:rPr>
                <w:color w:val="auto"/>
                <w:spacing w:val="6"/>
                <w:highlight w:val="none"/>
              </w:rPr>
              <w:t>生长期按植物品种、生长状况、土壤条件适当施肥，每年</w:t>
            </w:r>
            <w:r>
              <w:rPr>
                <w:color w:val="auto"/>
                <w:spacing w:val="11"/>
                <w:highlight w:val="none"/>
              </w:rPr>
              <w:t xml:space="preserve"> </w:t>
            </w:r>
            <w:r>
              <w:rPr>
                <w:color w:val="auto"/>
                <w:spacing w:val="9"/>
                <w:highlight w:val="none"/>
              </w:rPr>
              <w:t>普施有机肥一遍。部分花灌木增施追肥一遍。</w:t>
            </w:r>
          </w:p>
        </w:tc>
      </w:tr>
      <w:tr w14:paraId="523FD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1141" w:type="dxa"/>
            <w:vMerge w:val="continue"/>
            <w:tcBorders>
              <w:top w:val="nil"/>
              <w:bottom w:val="nil"/>
            </w:tcBorders>
            <w:vAlign w:val="top"/>
          </w:tcPr>
          <w:p w14:paraId="582BC998">
            <w:pPr>
              <w:rPr>
                <w:rFonts w:ascii="Arial"/>
                <w:color w:val="auto"/>
                <w:sz w:val="21"/>
                <w:highlight w:val="none"/>
              </w:rPr>
            </w:pPr>
          </w:p>
        </w:tc>
        <w:tc>
          <w:tcPr>
            <w:tcW w:w="1182" w:type="dxa"/>
            <w:vMerge w:val="continue"/>
            <w:tcBorders>
              <w:top w:val="nil"/>
              <w:bottom w:val="nil"/>
            </w:tcBorders>
            <w:vAlign w:val="top"/>
          </w:tcPr>
          <w:p w14:paraId="24FB9038">
            <w:pPr>
              <w:rPr>
                <w:rFonts w:ascii="Arial"/>
                <w:color w:val="auto"/>
                <w:sz w:val="21"/>
                <w:highlight w:val="none"/>
              </w:rPr>
            </w:pPr>
          </w:p>
        </w:tc>
        <w:tc>
          <w:tcPr>
            <w:tcW w:w="1072" w:type="dxa"/>
            <w:vAlign w:val="top"/>
          </w:tcPr>
          <w:p w14:paraId="4A84572E">
            <w:pPr>
              <w:spacing w:line="348" w:lineRule="auto"/>
              <w:rPr>
                <w:rFonts w:ascii="Arial"/>
                <w:color w:val="auto"/>
                <w:sz w:val="21"/>
                <w:highlight w:val="none"/>
              </w:rPr>
            </w:pPr>
          </w:p>
          <w:p w14:paraId="5D4A8DC6">
            <w:pPr>
              <w:pStyle w:val="131"/>
              <w:spacing w:before="65" w:line="268" w:lineRule="exact"/>
              <w:ind w:left="443"/>
              <w:rPr>
                <w:color w:val="auto"/>
                <w:highlight w:val="none"/>
              </w:rPr>
            </w:pPr>
            <w:r>
              <w:rPr>
                <w:color w:val="auto"/>
                <w:spacing w:val="-7"/>
                <w:position w:val="1"/>
                <w:highlight w:val="none"/>
              </w:rPr>
              <w:t>10</w:t>
            </w:r>
          </w:p>
        </w:tc>
        <w:tc>
          <w:tcPr>
            <w:tcW w:w="1460" w:type="dxa"/>
            <w:vAlign w:val="top"/>
          </w:tcPr>
          <w:p w14:paraId="65B83ECF">
            <w:pPr>
              <w:spacing w:line="348" w:lineRule="auto"/>
              <w:rPr>
                <w:rFonts w:ascii="Arial"/>
                <w:color w:val="auto"/>
                <w:sz w:val="21"/>
                <w:highlight w:val="none"/>
              </w:rPr>
            </w:pPr>
          </w:p>
          <w:p w14:paraId="5E1418F3">
            <w:pPr>
              <w:pStyle w:val="131"/>
              <w:spacing w:before="65" w:line="228" w:lineRule="auto"/>
              <w:ind w:left="204"/>
              <w:rPr>
                <w:color w:val="auto"/>
                <w:highlight w:val="none"/>
              </w:rPr>
            </w:pPr>
            <w:r>
              <w:rPr>
                <w:color w:val="auto"/>
                <w:spacing w:val="8"/>
                <w:highlight w:val="none"/>
              </w:rPr>
              <w:t>病虫害防治</w:t>
            </w:r>
          </w:p>
        </w:tc>
        <w:tc>
          <w:tcPr>
            <w:tcW w:w="5206" w:type="dxa"/>
            <w:vAlign w:val="top"/>
          </w:tcPr>
          <w:p w14:paraId="6865A04B">
            <w:pPr>
              <w:pStyle w:val="131"/>
              <w:spacing w:before="197" w:line="319" w:lineRule="auto"/>
              <w:ind w:left="15" w:right="9"/>
              <w:rPr>
                <w:color w:val="auto"/>
                <w:highlight w:val="none"/>
              </w:rPr>
            </w:pPr>
            <w:r>
              <w:rPr>
                <w:color w:val="auto"/>
                <w:spacing w:val="6"/>
                <w:highlight w:val="none"/>
              </w:rPr>
              <w:t>有针对性及时灭治病虫害，每年喷洒农药不少于二次，控</w:t>
            </w:r>
            <w:r>
              <w:rPr>
                <w:color w:val="auto"/>
                <w:spacing w:val="14"/>
                <w:highlight w:val="none"/>
              </w:rPr>
              <w:t xml:space="preserve"> </w:t>
            </w:r>
            <w:r>
              <w:rPr>
                <w:color w:val="auto"/>
                <w:spacing w:val="7"/>
                <w:highlight w:val="none"/>
              </w:rPr>
              <w:t>制大面积病虫害发生。</w:t>
            </w:r>
          </w:p>
        </w:tc>
      </w:tr>
      <w:tr w14:paraId="5DBF5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1141" w:type="dxa"/>
            <w:vMerge w:val="continue"/>
            <w:tcBorders>
              <w:top w:val="nil"/>
            </w:tcBorders>
            <w:vAlign w:val="top"/>
          </w:tcPr>
          <w:p w14:paraId="1F40496D">
            <w:pPr>
              <w:rPr>
                <w:rFonts w:ascii="Arial"/>
                <w:color w:val="auto"/>
                <w:sz w:val="21"/>
                <w:highlight w:val="none"/>
              </w:rPr>
            </w:pPr>
          </w:p>
        </w:tc>
        <w:tc>
          <w:tcPr>
            <w:tcW w:w="1182" w:type="dxa"/>
            <w:vMerge w:val="continue"/>
            <w:tcBorders>
              <w:top w:val="nil"/>
            </w:tcBorders>
            <w:vAlign w:val="top"/>
          </w:tcPr>
          <w:p w14:paraId="583CE54D">
            <w:pPr>
              <w:rPr>
                <w:rFonts w:ascii="Arial"/>
                <w:color w:val="auto"/>
                <w:sz w:val="21"/>
                <w:highlight w:val="none"/>
              </w:rPr>
            </w:pPr>
          </w:p>
        </w:tc>
        <w:tc>
          <w:tcPr>
            <w:tcW w:w="1072" w:type="dxa"/>
            <w:vAlign w:val="top"/>
          </w:tcPr>
          <w:p w14:paraId="27D6D70E">
            <w:pPr>
              <w:pStyle w:val="131"/>
              <w:spacing w:before="300" w:line="270" w:lineRule="exact"/>
              <w:ind w:left="443"/>
              <w:rPr>
                <w:color w:val="auto"/>
                <w:highlight w:val="none"/>
              </w:rPr>
            </w:pPr>
            <w:r>
              <w:rPr>
                <w:color w:val="auto"/>
                <w:spacing w:val="-7"/>
                <w:position w:val="1"/>
                <w:highlight w:val="none"/>
              </w:rPr>
              <w:t>11</w:t>
            </w:r>
          </w:p>
        </w:tc>
        <w:tc>
          <w:tcPr>
            <w:tcW w:w="1460" w:type="dxa"/>
            <w:vAlign w:val="top"/>
          </w:tcPr>
          <w:p w14:paraId="03571D2F">
            <w:pPr>
              <w:pStyle w:val="131"/>
              <w:spacing w:before="300" w:line="229" w:lineRule="auto"/>
              <w:ind w:left="520"/>
              <w:rPr>
                <w:color w:val="auto"/>
                <w:highlight w:val="none"/>
              </w:rPr>
            </w:pPr>
            <w:r>
              <w:rPr>
                <w:color w:val="auto"/>
                <w:spacing w:val="4"/>
                <w:highlight w:val="none"/>
              </w:rPr>
              <w:t>其它</w:t>
            </w:r>
          </w:p>
        </w:tc>
        <w:tc>
          <w:tcPr>
            <w:tcW w:w="5206" w:type="dxa"/>
            <w:vAlign w:val="top"/>
          </w:tcPr>
          <w:p w14:paraId="54ADBA05">
            <w:pPr>
              <w:pStyle w:val="131"/>
              <w:spacing w:before="300" w:line="228" w:lineRule="auto"/>
              <w:ind w:left="31"/>
              <w:rPr>
                <w:color w:val="auto"/>
                <w:highlight w:val="none"/>
              </w:rPr>
            </w:pPr>
            <w:r>
              <w:rPr>
                <w:color w:val="auto"/>
                <w:spacing w:val="8"/>
                <w:highlight w:val="none"/>
              </w:rPr>
              <w:t>因人为或风害等因素造成的树木倾斜及时予以扶正。</w:t>
            </w:r>
          </w:p>
        </w:tc>
      </w:tr>
    </w:tbl>
    <w:p w14:paraId="0BDBFA4A">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说明：</w:t>
      </w:r>
    </w:p>
    <w:p w14:paraId="7A4D381A">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1、急修是指对房屋及设施设备临时发生的严重影响业主生活的项目的维修，如自来水 设施跑水、下水管道和垃圾道堵塞、供暖设备漏水、电源线路和照明设备故障等。</w:t>
      </w:r>
    </w:p>
    <w:p w14:paraId="21D7ADBE">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2、小修是指可以及时修复的小损小坏， 以保持房屋及设施设备正常使用功能为目的的 日常养护工作。</w:t>
      </w:r>
    </w:p>
    <w:p w14:paraId="118CDC19">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3、标准所涉及的维修均指针对共用部位及共用设施设备的维修。</w:t>
      </w:r>
    </w:p>
    <w:p w14:paraId="7DDC6238">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4、车辆管理人员和各类收费停车（场）库（包括机动车与非机动车）所发生的各类费 用不包含在物业综合服务费中，应在物业公司收取的停车管理服务费中开支。</w:t>
      </w:r>
    </w:p>
    <w:p w14:paraId="0F386436">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5、保存率＝现植物存活率÷物业企业接管该项目时的植物存活率。</w:t>
      </w:r>
    </w:p>
    <w:p w14:paraId="20D97D39">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6、绿地面积的计算以建设单位提供的绿化竣工图为主， 以实地丈量为辅。</w:t>
      </w:r>
    </w:p>
    <w:p w14:paraId="28F1250A">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7、因修剪等产生的废弃物，整理集中堆放，清运及时；树上悬挂物及时清除；发现死 树及时清除、适时补种，保持绿地内清洁整齐。</w:t>
      </w:r>
    </w:p>
    <w:p w14:paraId="0B2703B7">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8、使用化学药剂，必须严格执行国家现行有关规定，并在喷药前提前两天发安民告示。</w:t>
      </w:r>
    </w:p>
    <w:p w14:paraId="29EC70D0">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jc w:val="both"/>
        <w:textAlignment w:val="auto"/>
        <w:outlineLvl w:val="1"/>
        <w:rPr>
          <w:rFonts w:hint="eastAsia" w:ascii="宋体" w:hAnsi="Times New Roman" w:eastAsia="宋体" w:cs="Times New Roman"/>
          <w:b/>
          <w:color w:val="auto"/>
          <w:sz w:val="24"/>
          <w:szCs w:val="24"/>
          <w:highlight w:val="none"/>
          <w:lang w:val="en-US" w:eastAsia="zh-CN"/>
        </w:rPr>
      </w:pPr>
      <w:r>
        <w:rPr>
          <w:rFonts w:hint="eastAsia" w:ascii="宋体" w:hAnsi="Times New Roman" w:eastAsia="宋体" w:cs="Times New Roman"/>
          <w:b/>
          <w:color w:val="auto"/>
          <w:sz w:val="24"/>
          <w:szCs w:val="24"/>
          <w:highlight w:val="none"/>
          <w:lang w:val="en-US" w:eastAsia="zh-CN"/>
        </w:rPr>
        <w:t>九、共用部位、共用设施设备日常运行、保养、维修服务标准</w:t>
      </w:r>
    </w:p>
    <w:tbl>
      <w:tblPr>
        <w:tblStyle w:val="130"/>
        <w:tblW w:w="99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
        <w:gridCol w:w="801"/>
        <w:gridCol w:w="145"/>
        <w:gridCol w:w="81"/>
        <w:gridCol w:w="159"/>
        <w:gridCol w:w="719"/>
        <w:gridCol w:w="859"/>
        <w:gridCol w:w="117"/>
        <w:gridCol w:w="186"/>
        <w:gridCol w:w="1087"/>
        <w:gridCol w:w="2447"/>
        <w:gridCol w:w="1513"/>
        <w:gridCol w:w="1436"/>
        <w:gridCol w:w="131"/>
        <w:gridCol w:w="14"/>
        <w:gridCol w:w="40"/>
      </w:tblGrid>
      <w:tr w14:paraId="1B623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185" w:type="dxa"/>
          <w:trHeight w:val="889" w:hRule="atLeast"/>
          <w:jc w:val="center"/>
        </w:trPr>
        <w:tc>
          <w:tcPr>
            <w:tcW w:w="1059" w:type="dxa"/>
            <w:gridSpan w:val="2"/>
            <w:shd w:val="clear" w:color="auto" w:fill="C0C0C0"/>
            <w:vAlign w:val="top"/>
          </w:tcPr>
          <w:p w14:paraId="773C0E64">
            <w:pPr>
              <w:spacing w:before="178" w:line="229" w:lineRule="auto"/>
              <w:ind w:left="324"/>
              <w:rPr>
                <w:rFonts w:ascii="黑体" w:hAnsi="黑体" w:eastAsia="黑体" w:cs="黑体"/>
                <w:color w:val="auto"/>
                <w:sz w:val="20"/>
                <w:szCs w:val="20"/>
                <w:highlight w:val="none"/>
              </w:rPr>
            </w:pPr>
            <w:r>
              <w:rPr>
                <w:rFonts w:ascii="黑体" w:hAnsi="黑体" w:eastAsia="黑体" w:cs="黑体"/>
                <w:b/>
                <w:bCs/>
                <w:color w:val="auto"/>
                <w:spacing w:val="4"/>
                <w:sz w:val="20"/>
                <w:szCs w:val="20"/>
                <w:highlight w:val="none"/>
              </w:rPr>
              <w:t>服务</w:t>
            </w:r>
          </w:p>
          <w:p w14:paraId="1094418F">
            <w:pPr>
              <w:spacing w:before="191" w:line="229" w:lineRule="auto"/>
              <w:ind w:left="326"/>
              <w:rPr>
                <w:rFonts w:ascii="黑体" w:hAnsi="黑体" w:eastAsia="黑体" w:cs="黑体"/>
                <w:color w:val="auto"/>
                <w:sz w:val="20"/>
                <w:szCs w:val="20"/>
                <w:highlight w:val="none"/>
              </w:rPr>
            </w:pPr>
            <w:r>
              <w:rPr>
                <w:rFonts w:ascii="黑体" w:hAnsi="黑体" w:eastAsia="黑体" w:cs="黑体"/>
                <w:b/>
                <w:bCs/>
                <w:color w:val="auto"/>
                <w:spacing w:val="3"/>
                <w:sz w:val="20"/>
                <w:szCs w:val="20"/>
                <w:highlight w:val="none"/>
              </w:rPr>
              <w:t>级别</w:t>
            </w:r>
          </w:p>
        </w:tc>
        <w:tc>
          <w:tcPr>
            <w:tcW w:w="1104" w:type="dxa"/>
            <w:gridSpan w:val="4"/>
            <w:shd w:val="clear" w:color="auto" w:fill="C0C0C0"/>
            <w:vAlign w:val="top"/>
          </w:tcPr>
          <w:p w14:paraId="637FDD18">
            <w:pPr>
              <w:spacing w:line="329" w:lineRule="auto"/>
              <w:rPr>
                <w:rFonts w:ascii="Arial"/>
                <w:color w:val="auto"/>
                <w:sz w:val="21"/>
                <w:highlight w:val="none"/>
              </w:rPr>
            </w:pPr>
          </w:p>
          <w:p w14:paraId="1873691C">
            <w:pPr>
              <w:spacing w:before="65" w:line="229" w:lineRule="auto"/>
              <w:ind w:left="133"/>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服务项目</w:t>
            </w:r>
          </w:p>
        </w:tc>
        <w:tc>
          <w:tcPr>
            <w:tcW w:w="859" w:type="dxa"/>
            <w:shd w:val="clear" w:color="auto" w:fill="C0C0C0"/>
            <w:vAlign w:val="top"/>
          </w:tcPr>
          <w:p w14:paraId="67C11700">
            <w:pPr>
              <w:spacing w:line="329" w:lineRule="auto"/>
              <w:rPr>
                <w:rFonts w:ascii="Arial"/>
                <w:color w:val="auto"/>
                <w:sz w:val="21"/>
                <w:highlight w:val="none"/>
              </w:rPr>
            </w:pPr>
          </w:p>
          <w:p w14:paraId="05013D11">
            <w:pPr>
              <w:spacing w:before="65" w:line="231" w:lineRule="auto"/>
              <w:ind w:left="223"/>
              <w:rPr>
                <w:rFonts w:ascii="黑体" w:hAnsi="黑体" w:eastAsia="黑体" w:cs="黑体"/>
                <w:color w:val="auto"/>
                <w:sz w:val="20"/>
                <w:szCs w:val="20"/>
                <w:highlight w:val="none"/>
              </w:rPr>
            </w:pPr>
            <w:r>
              <w:rPr>
                <w:rFonts w:ascii="黑体" w:hAnsi="黑体" w:eastAsia="黑体" w:cs="黑体"/>
                <w:b/>
                <w:bCs/>
                <w:color w:val="auto"/>
                <w:spacing w:val="3"/>
                <w:sz w:val="20"/>
                <w:szCs w:val="20"/>
                <w:highlight w:val="none"/>
              </w:rPr>
              <w:t>序号</w:t>
            </w:r>
          </w:p>
        </w:tc>
        <w:tc>
          <w:tcPr>
            <w:tcW w:w="1390" w:type="dxa"/>
            <w:gridSpan w:val="3"/>
            <w:shd w:val="clear" w:color="auto" w:fill="C0C0C0"/>
            <w:vAlign w:val="top"/>
          </w:tcPr>
          <w:p w14:paraId="66DF3403">
            <w:pPr>
              <w:spacing w:line="329" w:lineRule="auto"/>
              <w:rPr>
                <w:rFonts w:ascii="Arial"/>
                <w:color w:val="auto"/>
                <w:sz w:val="21"/>
                <w:highlight w:val="none"/>
              </w:rPr>
            </w:pPr>
          </w:p>
          <w:p w14:paraId="5379F356">
            <w:pPr>
              <w:spacing w:before="65" w:line="231" w:lineRule="auto"/>
              <w:ind w:left="500"/>
              <w:rPr>
                <w:rFonts w:ascii="黑体" w:hAnsi="黑体" w:eastAsia="黑体" w:cs="黑体"/>
                <w:color w:val="auto"/>
                <w:sz w:val="20"/>
                <w:szCs w:val="20"/>
                <w:highlight w:val="none"/>
              </w:rPr>
            </w:pPr>
            <w:r>
              <w:rPr>
                <w:rFonts w:ascii="黑体" w:hAnsi="黑体" w:eastAsia="黑体" w:cs="黑体"/>
                <w:b/>
                <w:bCs/>
                <w:color w:val="auto"/>
                <w:spacing w:val="-3"/>
                <w:sz w:val="20"/>
                <w:szCs w:val="20"/>
                <w:highlight w:val="none"/>
              </w:rPr>
              <w:t>内容</w:t>
            </w:r>
          </w:p>
        </w:tc>
        <w:tc>
          <w:tcPr>
            <w:tcW w:w="3960" w:type="dxa"/>
            <w:gridSpan w:val="2"/>
            <w:shd w:val="clear" w:color="auto" w:fill="C0C0C0"/>
            <w:vAlign w:val="top"/>
          </w:tcPr>
          <w:p w14:paraId="413CAC22">
            <w:pPr>
              <w:spacing w:line="329" w:lineRule="auto"/>
              <w:rPr>
                <w:rFonts w:ascii="Arial"/>
                <w:color w:val="auto"/>
                <w:sz w:val="21"/>
                <w:highlight w:val="none"/>
              </w:rPr>
            </w:pPr>
          </w:p>
          <w:p w14:paraId="78DA1E1F">
            <w:pPr>
              <w:spacing w:before="65" w:line="229" w:lineRule="auto"/>
              <w:ind w:left="1564"/>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服务标准</w:t>
            </w:r>
          </w:p>
        </w:tc>
        <w:tc>
          <w:tcPr>
            <w:tcW w:w="1436" w:type="dxa"/>
            <w:shd w:val="clear" w:color="auto" w:fill="C0C0C0"/>
            <w:vAlign w:val="top"/>
          </w:tcPr>
          <w:p w14:paraId="0CEF419F">
            <w:pPr>
              <w:spacing w:line="329" w:lineRule="auto"/>
              <w:rPr>
                <w:rFonts w:ascii="Arial"/>
                <w:color w:val="auto"/>
                <w:sz w:val="21"/>
                <w:highlight w:val="none"/>
              </w:rPr>
            </w:pPr>
          </w:p>
          <w:p w14:paraId="2687C8AC">
            <w:pPr>
              <w:spacing w:before="65" w:line="230" w:lineRule="auto"/>
              <w:ind w:left="513"/>
              <w:rPr>
                <w:rFonts w:ascii="黑体" w:hAnsi="黑体" w:eastAsia="黑体" w:cs="黑体"/>
                <w:color w:val="auto"/>
                <w:sz w:val="20"/>
                <w:szCs w:val="20"/>
                <w:highlight w:val="none"/>
              </w:rPr>
            </w:pPr>
            <w:r>
              <w:rPr>
                <w:rFonts w:ascii="黑体" w:hAnsi="黑体" w:eastAsia="黑体" w:cs="黑体"/>
                <w:b/>
                <w:bCs/>
                <w:color w:val="auto"/>
                <w:spacing w:val="3"/>
                <w:sz w:val="20"/>
                <w:szCs w:val="20"/>
                <w:highlight w:val="none"/>
              </w:rPr>
              <w:t>备注</w:t>
            </w:r>
          </w:p>
        </w:tc>
      </w:tr>
      <w:tr w14:paraId="100D0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185" w:type="dxa"/>
          <w:trHeight w:val="1324" w:hRule="atLeast"/>
          <w:jc w:val="center"/>
        </w:trPr>
        <w:tc>
          <w:tcPr>
            <w:tcW w:w="1059" w:type="dxa"/>
            <w:gridSpan w:val="2"/>
            <w:vMerge w:val="restart"/>
            <w:tcBorders>
              <w:bottom w:val="nil"/>
            </w:tcBorders>
            <w:vAlign w:val="top"/>
          </w:tcPr>
          <w:p w14:paraId="61E2F627">
            <w:pPr>
              <w:spacing w:line="249" w:lineRule="auto"/>
              <w:rPr>
                <w:rFonts w:ascii="Arial"/>
                <w:color w:val="auto"/>
                <w:sz w:val="21"/>
                <w:highlight w:val="none"/>
              </w:rPr>
            </w:pPr>
          </w:p>
          <w:p w14:paraId="5891DA60">
            <w:pPr>
              <w:spacing w:line="249" w:lineRule="auto"/>
              <w:rPr>
                <w:rFonts w:ascii="Arial"/>
                <w:color w:val="auto"/>
                <w:sz w:val="21"/>
                <w:highlight w:val="none"/>
              </w:rPr>
            </w:pPr>
          </w:p>
          <w:p w14:paraId="560040A4">
            <w:pPr>
              <w:spacing w:line="249" w:lineRule="auto"/>
              <w:rPr>
                <w:rFonts w:ascii="Arial"/>
                <w:color w:val="auto"/>
                <w:sz w:val="21"/>
                <w:highlight w:val="none"/>
              </w:rPr>
            </w:pPr>
          </w:p>
          <w:p w14:paraId="046CDBE2">
            <w:pPr>
              <w:spacing w:line="249" w:lineRule="auto"/>
              <w:rPr>
                <w:rFonts w:ascii="Arial"/>
                <w:color w:val="auto"/>
                <w:sz w:val="21"/>
                <w:highlight w:val="none"/>
              </w:rPr>
            </w:pPr>
          </w:p>
          <w:p w14:paraId="5C3F3A4C">
            <w:pPr>
              <w:spacing w:line="249" w:lineRule="auto"/>
              <w:rPr>
                <w:rFonts w:ascii="Arial"/>
                <w:color w:val="auto"/>
                <w:sz w:val="21"/>
                <w:highlight w:val="none"/>
              </w:rPr>
            </w:pPr>
          </w:p>
          <w:p w14:paraId="5D53039F">
            <w:pPr>
              <w:spacing w:line="249" w:lineRule="auto"/>
              <w:rPr>
                <w:rFonts w:ascii="Arial"/>
                <w:color w:val="auto"/>
                <w:sz w:val="21"/>
                <w:highlight w:val="none"/>
              </w:rPr>
            </w:pPr>
          </w:p>
          <w:p w14:paraId="5E3130DA">
            <w:pPr>
              <w:spacing w:line="249" w:lineRule="auto"/>
              <w:rPr>
                <w:rFonts w:ascii="Arial"/>
                <w:color w:val="auto"/>
                <w:sz w:val="21"/>
                <w:highlight w:val="none"/>
              </w:rPr>
            </w:pPr>
          </w:p>
          <w:p w14:paraId="21DDB0E5">
            <w:pPr>
              <w:spacing w:line="249" w:lineRule="auto"/>
              <w:rPr>
                <w:rFonts w:ascii="Arial"/>
                <w:color w:val="auto"/>
                <w:sz w:val="21"/>
                <w:highlight w:val="none"/>
              </w:rPr>
            </w:pPr>
          </w:p>
          <w:p w14:paraId="316E08DC">
            <w:pPr>
              <w:spacing w:line="249" w:lineRule="auto"/>
              <w:rPr>
                <w:rFonts w:ascii="Arial"/>
                <w:color w:val="auto"/>
                <w:sz w:val="21"/>
                <w:highlight w:val="none"/>
              </w:rPr>
            </w:pPr>
          </w:p>
          <w:p w14:paraId="067EF274">
            <w:pPr>
              <w:spacing w:line="249" w:lineRule="auto"/>
              <w:rPr>
                <w:rFonts w:ascii="Arial"/>
                <w:color w:val="auto"/>
                <w:sz w:val="21"/>
                <w:highlight w:val="none"/>
              </w:rPr>
            </w:pPr>
          </w:p>
          <w:p w14:paraId="09B2188D">
            <w:pPr>
              <w:spacing w:line="250" w:lineRule="auto"/>
              <w:rPr>
                <w:rFonts w:ascii="Arial"/>
                <w:color w:val="auto"/>
                <w:sz w:val="21"/>
                <w:highlight w:val="none"/>
              </w:rPr>
            </w:pPr>
          </w:p>
          <w:p w14:paraId="40879E23">
            <w:pPr>
              <w:spacing w:line="250" w:lineRule="auto"/>
              <w:rPr>
                <w:rFonts w:ascii="Arial"/>
                <w:color w:val="auto"/>
                <w:sz w:val="21"/>
                <w:highlight w:val="none"/>
              </w:rPr>
            </w:pPr>
          </w:p>
          <w:p w14:paraId="23124E13">
            <w:pPr>
              <w:spacing w:line="250" w:lineRule="auto"/>
              <w:rPr>
                <w:rFonts w:ascii="Arial"/>
                <w:color w:val="auto"/>
                <w:sz w:val="21"/>
                <w:highlight w:val="none"/>
              </w:rPr>
            </w:pPr>
          </w:p>
          <w:p w14:paraId="5E67656D">
            <w:pPr>
              <w:spacing w:line="250" w:lineRule="auto"/>
              <w:rPr>
                <w:rFonts w:ascii="Arial"/>
                <w:color w:val="auto"/>
                <w:sz w:val="21"/>
                <w:highlight w:val="none"/>
              </w:rPr>
            </w:pPr>
          </w:p>
          <w:p w14:paraId="1FCD5DEF">
            <w:pPr>
              <w:pStyle w:val="131"/>
              <w:spacing w:before="65" w:line="228" w:lineRule="auto"/>
              <w:ind w:left="328"/>
              <w:rPr>
                <w:color w:val="auto"/>
                <w:highlight w:val="none"/>
              </w:rPr>
            </w:pPr>
            <w:r>
              <w:rPr>
                <w:color w:val="auto"/>
                <w:spacing w:val="3"/>
                <w:highlight w:val="none"/>
              </w:rPr>
              <w:t>二类</w:t>
            </w:r>
          </w:p>
        </w:tc>
        <w:tc>
          <w:tcPr>
            <w:tcW w:w="1104" w:type="dxa"/>
            <w:gridSpan w:val="4"/>
            <w:vMerge w:val="restart"/>
            <w:tcBorders>
              <w:bottom w:val="nil"/>
            </w:tcBorders>
            <w:vAlign w:val="top"/>
          </w:tcPr>
          <w:p w14:paraId="0FEE9B0E">
            <w:pPr>
              <w:spacing w:line="249" w:lineRule="auto"/>
              <w:rPr>
                <w:rFonts w:ascii="Arial"/>
                <w:color w:val="auto"/>
                <w:sz w:val="21"/>
                <w:highlight w:val="none"/>
              </w:rPr>
            </w:pPr>
          </w:p>
          <w:p w14:paraId="66E1781A">
            <w:pPr>
              <w:spacing w:line="249" w:lineRule="auto"/>
              <w:rPr>
                <w:rFonts w:ascii="Arial"/>
                <w:color w:val="auto"/>
                <w:sz w:val="21"/>
                <w:highlight w:val="none"/>
              </w:rPr>
            </w:pPr>
          </w:p>
          <w:p w14:paraId="35B075A1">
            <w:pPr>
              <w:spacing w:line="249" w:lineRule="auto"/>
              <w:rPr>
                <w:rFonts w:ascii="Arial"/>
                <w:color w:val="auto"/>
                <w:sz w:val="21"/>
                <w:highlight w:val="none"/>
              </w:rPr>
            </w:pPr>
          </w:p>
          <w:p w14:paraId="61A4A4F6">
            <w:pPr>
              <w:spacing w:line="249" w:lineRule="auto"/>
              <w:rPr>
                <w:rFonts w:ascii="Arial"/>
                <w:color w:val="auto"/>
                <w:sz w:val="21"/>
                <w:highlight w:val="none"/>
              </w:rPr>
            </w:pPr>
          </w:p>
          <w:p w14:paraId="1625E347">
            <w:pPr>
              <w:spacing w:line="249" w:lineRule="auto"/>
              <w:rPr>
                <w:rFonts w:ascii="Arial"/>
                <w:color w:val="auto"/>
                <w:sz w:val="21"/>
                <w:highlight w:val="none"/>
              </w:rPr>
            </w:pPr>
          </w:p>
          <w:p w14:paraId="34235D9F">
            <w:pPr>
              <w:spacing w:line="249" w:lineRule="auto"/>
              <w:rPr>
                <w:rFonts w:ascii="Arial"/>
                <w:color w:val="auto"/>
                <w:sz w:val="21"/>
                <w:highlight w:val="none"/>
              </w:rPr>
            </w:pPr>
          </w:p>
          <w:p w14:paraId="5B1FC672">
            <w:pPr>
              <w:spacing w:line="249" w:lineRule="auto"/>
              <w:rPr>
                <w:rFonts w:ascii="Arial"/>
                <w:color w:val="auto"/>
                <w:sz w:val="21"/>
                <w:highlight w:val="none"/>
              </w:rPr>
            </w:pPr>
          </w:p>
          <w:p w14:paraId="3A721FC5">
            <w:pPr>
              <w:spacing w:line="249" w:lineRule="auto"/>
              <w:rPr>
                <w:rFonts w:ascii="Arial"/>
                <w:color w:val="auto"/>
                <w:sz w:val="21"/>
                <w:highlight w:val="none"/>
              </w:rPr>
            </w:pPr>
          </w:p>
          <w:p w14:paraId="563BD82C">
            <w:pPr>
              <w:spacing w:line="249" w:lineRule="auto"/>
              <w:rPr>
                <w:rFonts w:ascii="Arial"/>
                <w:color w:val="auto"/>
                <w:sz w:val="21"/>
                <w:highlight w:val="none"/>
              </w:rPr>
            </w:pPr>
          </w:p>
          <w:p w14:paraId="11BFCD26">
            <w:pPr>
              <w:spacing w:line="249" w:lineRule="auto"/>
              <w:rPr>
                <w:rFonts w:ascii="Arial"/>
                <w:color w:val="auto"/>
                <w:sz w:val="21"/>
                <w:highlight w:val="none"/>
              </w:rPr>
            </w:pPr>
          </w:p>
          <w:p w14:paraId="207CE6FA">
            <w:pPr>
              <w:spacing w:line="250" w:lineRule="auto"/>
              <w:rPr>
                <w:rFonts w:ascii="Arial"/>
                <w:color w:val="auto"/>
                <w:sz w:val="21"/>
                <w:highlight w:val="none"/>
              </w:rPr>
            </w:pPr>
          </w:p>
          <w:p w14:paraId="609467F1">
            <w:pPr>
              <w:spacing w:line="250" w:lineRule="auto"/>
              <w:rPr>
                <w:rFonts w:ascii="Arial"/>
                <w:color w:val="auto"/>
                <w:sz w:val="21"/>
                <w:highlight w:val="none"/>
              </w:rPr>
            </w:pPr>
          </w:p>
          <w:p w14:paraId="43A01DA8">
            <w:pPr>
              <w:spacing w:line="250" w:lineRule="auto"/>
              <w:rPr>
                <w:rFonts w:ascii="Arial"/>
                <w:color w:val="auto"/>
                <w:sz w:val="21"/>
                <w:highlight w:val="none"/>
              </w:rPr>
            </w:pPr>
          </w:p>
          <w:p w14:paraId="5B113545">
            <w:pPr>
              <w:spacing w:line="250" w:lineRule="auto"/>
              <w:rPr>
                <w:rFonts w:ascii="Arial"/>
                <w:color w:val="auto"/>
                <w:sz w:val="21"/>
                <w:highlight w:val="none"/>
              </w:rPr>
            </w:pPr>
          </w:p>
          <w:p w14:paraId="133DA26C">
            <w:pPr>
              <w:pStyle w:val="131"/>
              <w:spacing w:before="65" w:line="228" w:lineRule="auto"/>
              <w:ind w:left="141"/>
              <w:rPr>
                <w:color w:val="auto"/>
                <w:highlight w:val="none"/>
              </w:rPr>
            </w:pPr>
            <w:r>
              <w:rPr>
                <w:color w:val="auto"/>
                <w:spacing w:val="5"/>
                <w:highlight w:val="none"/>
              </w:rPr>
              <w:t>公共部位</w:t>
            </w:r>
          </w:p>
        </w:tc>
        <w:tc>
          <w:tcPr>
            <w:tcW w:w="859" w:type="dxa"/>
            <w:vAlign w:val="top"/>
          </w:tcPr>
          <w:p w14:paraId="4007292C">
            <w:pPr>
              <w:spacing w:line="272" w:lineRule="auto"/>
              <w:rPr>
                <w:rFonts w:ascii="Arial"/>
                <w:color w:val="auto"/>
                <w:sz w:val="21"/>
                <w:highlight w:val="none"/>
              </w:rPr>
            </w:pPr>
          </w:p>
          <w:p w14:paraId="53E42B0D">
            <w:pPr>
              <w:spacing w:line="273" w:lineRule="auto"/>
              <w:rPr>
                <w:rFonts w:ascii="Arial"/>
                <w:color w:val="auto"/>
                <w:sz w:val="21"/>
                <w:highlight w:val="none"/>
              </w:rPr>
            </w:pPr>
          </w:p>
          <w:p w14:paraId="33440CE8">
            <w:pPr>
              <w:pStyle w:val="131"/>
              <w:spacing w:before="65" w:line="270" w:lineRule="exact"/>
              <w:ind w:left="397"/>
              <w:rPr>
                <w:color w:val="auto"/>
                <w:highlight w:val="none"/>
              </w:rPr>
            </w:pPr>
            <w:r>
              <w:rPr>
                <w:color w:val="auto"/>
                <w:position w:val="1"/>
                <w:highlight w:val="none"/>
              </w:rPr>
              <w:t>1</w:t>
            </w:r>
          </w:p>
        </w:tc>
        <w:tc>
          <w:tcPr>
            <w:tcW w:w="1390" w:type="dxa"/>
            <w:gridSpan w:val="3"/>
            <w:vAlign w:val="top"/>
          </w:tcPr>
          <w:p w14:paraId="15D26A1B">
            <w:pPr>
              <w:spacing w:line="272" w:lineRule="auto"/>
              <w:rPr>
                <w:rFonts w:ascii="Arial"/>
                <w:color w:val="auto"/>
                <w:sz w:val="21"/>
                <w:highlight w:val="none"/>
              </w:rPr>
            </w:pPr>
          </w:p>
          <w:p w14:paraId="361499BC">
            <w:pPr>
              <w:spacing w:line="273" w:lineRule="auto"/>
              <w:rPr>
                <w:rFonts w:ascii="Arial"/>
                <w:color w:val="auto"/>
                <w:sz w:val="21"/>
                <w:highlight w:val="none"/>
              </w:rPr>
            </w:pPr>
          </w:p>
          <w:p w14:paraId="1AA9BE49">
            <w:pPr>
              <w:pStyle w:val="131"/>
              <w:spacing w:before="65" w:line="228" w:lineRule="auto"/>
              <w:ind w:left="279"/>
              <w:rPr>
                <w:color w:val="auto"/>
                <w:highlight w:val="none"/>
              </w:rPr>
            </w:pPr>
            <w:r>
              <w:rPr>
                <w:color w:val="auto"/>
                <w:spacing w:val="7"/>
                <w:highlight w:val="none"/>
              </w:rPr>
              <w:t>房屋结构</w:t>
            </w:r>
          </w:p>
        </w:tc>
        <w:tc>
          <w:tcPr>
            <w:tcW w:w="3960" w:type="dxa"/>
            <w:gridSpan w:val="2"/>
            <w:vAlign w:val="top"/>
          </w:tcPr>
          <w:p w14:paraId="28B011E8">
            <w:pPr>
              <w:pStyle w:val="131"/>
              <w:spacing w:before="173" w:line="351" w:lineRule="auto"/>
              <w:ind w:left="117" w:right="104" w:hanging="5"/>
              <w:jc w:val="both"/>
              <w:rPr>
                <w:color w:val="auto"/>
                <w:highlight w:val="none"/>
              </w:rPr>
            </w:pPr>
            <w:r>
              <w:rPr>
                <w:color w:val="auto"/>
                <w:spacing w:val="7"/>
                <w:highlight w:val="none"/>
              </w:rPr>
              <w:t>每年二次以上对房屋结构、涉及使用安全</w:t>
            </w:r>
            <w:r>
              <w:rPr>
                <w:color w:val="auto"/>
                <w:spacing w:val="9"/>
                <w:highlight w:val="none"/>
              </w:rPr>
              <w:t xml:space="preserve"> </w:t>
            </w:r>
            <w:r>
              <w:rPr>
                <w:color w:val="auto"/>
                <w:spacing w:val="10"/>
                <w:highlight w:val="none"/>
              </w:rPr>
              <w:t>的部位进行检查并有记录,发现损坏及时</w:t>
            </w:r>
            <w:r>
              <w:rPr>
                <w:color w:val="auto"/>
                <w:spacing w:val="13"/>
                <w:highlight w:val="none"/>
              </w:rPr>
              <w:t xml:space="preserve"> </w:t>
            </w:r>
            <w:r>
              <w:rPr>
                <w:color w:val="auto"/>
                <w:spacing w:val="7"/>
                <w:highlight w:val="none"/>
              </w:rPr>
              <w:t>告知相关业主、使用人并安排专项维修。</w:t>
            </w:r>
          </w:p>
        </w:tc>
        <w:tc>
          <w:tcPr>
            <w:tcW w:w="1436" w:type="dxa"/>
            <w:vMerge w:val="restart"/>
            <w:tcBorders>
              <w:bottom w:val="nil"/>
            </w:tcBorders>
            <w:vAlign w:val="top"/>
          </w:tcPr>
          <w:p w14:paraId="0CA22D23">
            <w:pPr>
              <w:spacing w:line="244" w:lineRule="auto"/>
              <w:rPr>
                <w:rFonts w:ascii="Arial"/>
                <w:color w:val="auto"/>
                <w:sz w:val="21"/>
                <w:highlight w:val="none"/>
              </w:rPr>
            </w:pPr>
          </w:p>
          <w:p w14:paraId="3DB0818B">
            <w:pPr>
              <w:spacing w:line="245" w:lineRule="auto"/>
              <w:rPr>
                <w:rFonts w:ascii="Arial"/>
                <w:color w:val="auto"/>
                <w:sz w:val="21"/>
                <w:highlight w:val="none"/>
              </w:rPr>
            </w:pPr>
          </w:p>
          <w:p w14:paraId="56CABD3D">
            <w:pPr>
              <w:spacing w:line="245" w:lineRule="auto"/>
              <w:rPr>
                <w:rFonts w:ascii="Arial"/>
                <w:color w:val="auto"/>
                <w:sz w:val="21"/>
                <w:highlight w:val="none"/>
              </w:rPr>
            </w:pPr>
          </w:p>
          <w:p w14:paraId="0CEA0A5F">
            <w:pPr>
              <w:spacing w:line="245" w:lineRule="auto"/>
              <w:rPr>
                <w:rFonts w:ascii="Arial"/>
                <w:color w:val="auto"/>
                <w:sz w:val="21"/>
                <w:highlight w:val="none"/>
              </w:rPr>
            </w:pPr>
          </w:p>
          <w:p w14:paraId="0AB78FA2">
            <w:pPr>
              <w:spacing w:line="245" w:lineRule="auto"/>
              <w:rPr>
                <w:rFonts w:ascii="Arial"/>
                <w:color w:val="auto"/>
                <w:sz w:val="21"/>
                <w:highlight w:val="none"/>
              </w:rPr>
            </w:pPr>
          </w:p>
          <w:p w14:paraId="18B7348D">
            <w:pPr>
              <w:spacing w:line="245" w:lineRule="auto"/>
              <w:rPr>
                <w:rFonts w:ascii="Arial"/>
                <w:color w:val="auto"/>
                <w:sz w:val="21"/>
                <w:highlight w:val="none"/>
              </w:rPr>
            </w:pPr>
          </w:p>
          <w:p w14:paraId="35B0821B">
            <w:pPr>
              <w:spacing w:line="245" w:lineRule="auto"/>
              <w:rPr>
                <w:rFonts w:ascii="Arial"/>
                <w:color w:val="auto"/>
                <w:sz w:val="21"/>
                <w:highlight w:val="none"/>
              </w:rPr>
            </w:pPr>
          </w:p>
          <w:p w14:paraId="5853B6A5">
            <w:pPr>
              <w:spacing w:line="245" w:lineRule="auto"/>
              <w:rPr>
                <w:rFonts w:ascii="Arial"/>
                <w:color w:val="auto"/>
                <w:sz w:val="21"/>
                <w:highlight w:val="none"/>
              </w:rPr>
            </w:pPr>
          </w:p>
          <w:p w14:paraId="5484B2F3">
            <w:pPr>
              <w:pStyle w:val="131"/>
              <w:spacing w:before="65" w:line="228" w:lineRule="auto"/>
              <w:ind w:left="118"/>
              <w:rPr>
                <w:color w:val="auto"/>
                <w:highlight w:val="none"/>
              </w:rPr>
            </w:pPr>
            <w:r>
              <w:rPr>
                <w:color w:val="auto"/>
                <w:highlight w:val="none"/>
              </w:rPr>
              <w:t>二、三类零星</w:t>
            </w:r>
          </w:p>
          <w:p w14:paraId="6E0F4B34">
            <w:pPr>
              <w:pStyle w:val="131"/>
              <w:spacing w:before="194" w:line="228" w:lineRule="auto"/>
              <w:ind w:left="202"/>
              <w:rPr>
                <w:color w:val="auto"/>
                <w:highlight w:val="none"/>
              </w:rPr>
            </w:pPr>
            <w:r>
              <w:rPr>
                <w:color w:val="auto"/>
                <w:spacing w:val="7"/>
                <w:highlight w:val="none"/>
              </w:rPr>
              <w:t>维修的范围</w:t>
            </w:r>
          </w:p>
          <w:p w14:paraId="17F22C31">
            <w:pPr>
              <w:pStyle w:val="131"/>
              <w:spacing w:before="192" w:line="228" w:lineRule="auto"/>
              <w:ind w:left="198"/>
              <w:rPr>
                <w:color w:val="auto"/>
                <w:highlight w:val="none"/>
              </w:rPr>
            </w:pPr>
            <w:r>
              <w:rPr>
                <w:color w:val="auto"/>
                <w:spacing w:val="8"/>
                <w:highlight w:val="none"/>
              </w:rPr>
              <w:t>在一类基础</w:t>
            </w:r>
          </w:p>
          <w:p w14:paraId="5248293A">
            <w:pPr>
              <w:pStyle w:val="131"/>
              <w:spacing w:before="192" w:line="227" w:lineRule="auto"/>
              <w:ind w:left="117"/>
              <w:rPr>
                <w:color w:val="auto"/>
                <w:highlight w:val="none"/>
              </w:rPr>
            </w:pPr>
            <w:r>
              <w:rPr>
                <w:color w:val="auto"/>
                <w:highlight w:val="none"/>
              </w:rPr>
              <w:t>上，还包括本</w:t>
            </w:r>
          </w:p>
          <w:p w14:paraId="2C9D7376">
            <w:pPr>
              <w:pStyle w:val="131"/>
              <w:spacing w:before="195" w:line="228" w:lineRule="auto"/>
              <w:ind w:left="199"/>
              <w:rPr>
                <w:color w:val="auto"/>
                <w:highlight w:val="none"/>
              </w:rPr>
            </w:pPr>
            <w:r>
              <w:rPr>
                <w:color w:val="auto"/>
                <w:spacing w:val="8"/>
                <w:highlight w:val="none"/>
              </w:rPr>
              <w:t>类中涉及的</w:t>
            </w:r>
          </w:p>
          <w:p w14:paraId="2DD17780">
            <w:pPr>
              <w:pStyle w:val="131"/>
              <w:spacing w:before="192" w:line="228" w:lineRule="auto"/>
              <w:ind w:left="200"/>
              <w:rPr>
                <w:color w:val="auto"/>
                <w:highlight w:val="none"/>
              </w:rPr>
            </w:pPr>
            <w:r>
              <w:rPr>
                <w:color w:val="auto"/>
                <w:spacing w:val="7"/>
                <w:highlight w:val="none"/>
              </w:rPr>
              <w:t>其它共用部</w:t>
            </w:r>
          </w:p>
          <w:p w14:paraId="623EDD85">
            <w:pPr>
              <w:pStyle w:val="131"/>
              <w:spacing w:before="192" w:line="229" w:lineRule="auto"/>
              <w:ind w:left="199"/>
              <w:rPr>
                <w:color w:val="auto"/>
                <w:highlight w:val="none"/>
              </w:rPr>
            </w:pPr>
            <w:r>
              <w:rPr>
                <w:color w:val="auto"/>
                <w:spacing w:val="8"/>
                <w:highlight w:val="none"/>
              </w:rPr>
              <w:t>位或设施的</w:t>
            </w:r>
          </w:p>
          <w:p w14:paraId="366C0C17">
            <w:pPr>
              <w:pStyle w:val="131"/>
              <w:spacing w:before="193" w:line="228" w:lineRule="auto"/>
              <w:ind w:left="200"/>
              <w:rPr>
                <w:color w:val="auto"/>
                <w:highlight w:val="none"/>
              </w:rPr>
            </w:pPr>
            <w:r>
              <w:rPr>
                <w:color w:val="auto"/>
                <w:spacing w:val="5"/>
                <w:highlight w:val="none"/>
              </w:rPr>
              <w:t>零星维修。</w:t>
            </w:r>
          </w:p>
          <w:p w14:paraId="47AB708C">
            <w:pPr>
              <w:pStyle w:val="131"/>
              <w:spacing w:before="193" w:line="228" w:lineRule="auto"/>
              <w:ind w:left="149"/>
              <w:rPr>
                <w:color w:val="auto"/>
                <w:highlight w:val="none"/>
              </w:rPr>
            </w:pPr>
            <w:r>
              <w:rPr>
                <w:color w:val="auto"/>
                <w:spacing w:val="6"/>
                <w:highlight w:val="none"/>
              </w:rPr>
              <w:t>2、零星维修</w:t>
            </w:r>
          </w:p>
          <w:p w14:paraId="3E61CDF1">
            <w:pPr>
              <w:pStyle w:val="131"/>
              <w:spacing w:before="193" w:line="228" w:lineRule="auto"/>
              <w:ind w:left="198"/>
              <w:rPr>
                <w:color w:val="auto"/>
                <w:highlight w:val="none"/>
              </w:rPr>
            </w:pPr>
            <w:r>
              <w:rPr>
                <w:color w:val="auto"/>
                <w:spacing w:val="8"/>
                <w:highlight w:val="none"/>
              </w:rPr>
              <w:t>难以达到服</w:t>
            </w:r>
          </w:p>
          <w:p w14:paraId="3D8959C5">
            <w:pPr>
              <w:pStyle w:val="131"/>
              <w:spacing w:before="193" w:line="228" w:lineRule="auto"/>
              <w:ind w:left="117"/>
              <w:rPr>
                <w:color w:val="auto"/>
                <w:highlight w:val="none"/>
              </w:rPr>
            </w:pPr>
            <w:r>
              <w:rPr>
                <w:color w:val="auto"/>
                <w:highlight w:val="none"/>
              </w:rPr>
              <w:t>务标准的，根</w:t>
            </w:r>
          </w:p>
          <w:p w14:paraId="7127ED2F">
            <w:pPr>
              <w:pStyle w:val="131"/>
              <w:spacing w:before="193" w:line="228" w:lineRule="auto"/>
              <w:ind w:left="198"/>
              <w:rPr>
                <w:color w:val="auto"/>
                <w:highlight w:val="none"/>
              </w:rPr>
            </w:pPr>
            <w:r>
              <w:rPr>
                <w:color w:val="auto"/>
                <w:spacing w:val="8"/>
                <w:highlight w:val="none"/>
              </w:rPr>
              <w:t>据有关规定</w:t>
            </w:r>
          </w:p>
        </w:tc>
      </w:tr>
      <w:tr w14:paraId="6619E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185" w:type="dxa"/>
          <w:trHeight w:val="1052" w:hRule="atLeast"/>
          <w:jc w:val="center"/>
        </w:trPr>
        <w:tc>
          <w:tcPr>
            <w:tcW w:w="1059" w:type="dxa"/>
            <w:gridSpan w:val="2"/>
            <w:vMerge w:val="continue"/>
            <w:tcBorders>
              <w:top w:val="nil"/>
              <w:bottom w:val="nil"/>
            </w:tcBorders>
            <w:vAlign w:val="top"/>
          </w:tcPr>
          <w:p w14:paraId="5D95DFA0">
            <w:pPr>
              <w:rPr>
                <w:rFonts w:ascii="Arial"/>
                <w:color w:val="auto"/>
                <w:sz w:val="21"/>
                <w:highlight w:val="none"/>
              </w:rPr>
            </w:pPr>
          </w:p>
        </w:tc>
        <w:tc>
          <w:tcPr>
            <w:tcW w:w="1104" w:type="dxa"/>
            <w:gridSpan w:val="4"/>
            <w:vMerge w:val="continue"/>
            <w:tcBorders>
              <w:top w:val="nil"/>
              <w:bottom w:val="nil"/>
            </w:tcBorders>
            <w:vAlign w:val="top"/>
          </w:tcPr>
          <w:p w14:paraId="517DB231">
            <w:pPr>
              <w:rPr>
                <w:rFonts w:ascii="Arial"/>
                <w:color w:val="auto"/>
                <w:sz w:val="21"/>
                <w:highlight w:val="none"/>
              </w:rPr>
            </w:pPr>
          </w:p>
        </w:tc>
        <w:tc>
          <w:tcPr>
            <w:tcW w:w="859" w:type="dxa"/>
            <w:vAlign w:val="top"/>
          </w:tcPr>
          <w:p w14:paraId="5626EC16">
            <w:pPr>
              <w:spacing w:line="409" w:lineRule="auto"/>
              <w:rPr>
                <w:rFonts w:ascii="Arial"/>
                <w:color w:val="auto"/>
                <w:sz w:val="21"/>
                <w:highlight w:val="none"/>
              </w:rPr>
            </w:pPr>
          </w:p>
          <w:p w14:paraId="17B0B063">
            <w:pPr>
              <w:pStyle w:val="131"/>
              <w:spacing w:before="65" w:line="270" w:lineRule="exact"/>
              <w:ind w:left="384"/>
              <w:rPr>
                <w:color w:val="auto"/>
                <w:highlight w:val="none"/>
              </w:rPr>
            </w:pPr>
            <w:r>
              <w:rPr>
                <w:color w:val="auto"/>
                <w:position w:val="1"/>
                <w:highlight w:val="none"/>
              </w:rPr>
              <w:t>2</w:t>
            </w:r>
          </w:p>
        </w:tc>
        <w:tc>
          <w:tcPr>
            <w:tcW w:w="1390" w:type="dxa"/>
            <w:gridSpan w:val="3"/>
            <w:vAlign w:val="top"/>
          </w:tcPr>
          <w:p w14:paraId="51CE6839">
            <w:pPr>
              <w:spacing w:line="410" w:lineRule="auto"/>
              <w:rPr>
                <w:rFonts w:ascii="Arial"/>
                <w:color w:val="auto"/>
                <w:sz w:val="21"/>
                <w:highlight w:val="none"/>
              </w:rPr>
            </w:pPr>
          </w:p>
          <w:p w14:paraId="51517A5B">
            <w:pPr>
              <w:pStyle w:val="131"/>
              <w:spacing w:before="65" w:line="228" w:lineRule="auto"/>
              <w:ind w:left="513"/>
              <w:rPr>
                <w:color w:val="auto"/>
                <w:highlight w:val="none"/>
              </w:rPr>
            </w:pPr>
            <w:r>
              <w:rPr>
                <w:color w:val="auto"/>
                <w:spacing w:val="-7"/>
                <w:highlight w:val="none"/>
              </w:rPr>
              <w:t>门窗</w:t>
            </w:r>
          </w:p>
        </w:tc>
        <w:tc>
          <w:tcPr>
            <w:tcW w:w="3960" w:type="dxa"/>
            <w:gridSpan w:val="2"/>
            <w:vAlign w:val="top"/>
          </w:tcPr>
          <w:p w14:paraId="2DA09093">
            <w:pPr>
              <w:pStyle w:val="131"/>
              <w:spacing w:before="258" w:line="228" w:lineRule="auto"/>
              <w:ind w:left="112"/>
              <w:rPr>
                <w:color w:val="auto"/>
                <w:highlight w:val="none"/>
              </w:rPr>
            </w:pPr>
            <w:r>
              <w:rPr>
                <w:color w:val="auto"/>
                <w:spacing w:val="7"/>
                <w:highlight w:val="none"/>
              </w:rPr>
              <w:t>每月二次巡视楼内公共部位门窗，保持开</w:t>
            </w:r>
          </w:p>
          <w:p w14:paraId="53F61938">
            <w:pPr>
              <w:pStyle w:val="131"/>
              <w:spacing w:before="192" w:line="228" w:lineRule="auto"/>
              <w:ind w:left="1587"/>
              <w:rPr>
                <w:color w:val="auto"/>
                <w:highlight w:val="none"/>
              </w:rPr>
            </w:pPr>
            <w:r>
              <w:rPr>
                <w:color w:val="auto"/>
                <w:highlight w:val="none"/>
              </w:rPr>
              <w:t>闭正常。</w:t>
            </w:r>
          </w:p>
        </w:tc>
        <w:tc>
          <w:tcPr>
            <w:tcW w:w="1436" w:type="dxa"/>
            <w:vMerge w:val="continue"/>
            <w:tcBorders>
              <w:top w:val="nil"/>
              <w:bottom w:val="nil"/>
            </w:tcBorders>
            <w:vAlign w:val="top"/>
          </w:tcPr>
          <w:p w14:paraId="15277D1B">
            <w:pPr>
              <w:rPr>
                <w:rFonts w:ascii="Arial"/>
                <w:color w:val="auto"/>
                <w:sz w:val="21"/>
                <w:highlight w:val="none"/>
              </w:rPr>
            </w:pPr>
          </w:p>
        </w:tc>
      </w:tr>
      <w:tr w14:paraId="5450E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185" w:type="dxa"/>
          <w:trHeight w:val="1324" w:hRule="atLeast"/>
          <w:jc w:val="center"/>
        </w:trPr>
        <w:tc>
          <w:tcPr>
            <w:tcW w:w="1059" w:type="dxa"/>
            <w:gridSpan w:val="2"/>
            <w:vMerge w:val="continue"/>
            <w:tcBorders>
              <w:top w:val="nil"/>
              <w:bottom w:val="nil"/>
            </w:tcBorders>
            <w:vAlign w:val="top"/>
          </w:tcPr>
          <w:p w14:paraId="5A84E9B7">
            <w:pPr>
              <w:rPr>
                <w:rFonts w:ascii="Arial"/>
                <w:color w:val="auto"/>
                <w:sz w:val="21"/>
                <w:highlight w:val="none"/>
              </w:rPr>
            </w:pPr>
          </w:p>
        </w:tc>
        <w:tc>
          <w:tcPr>
            <w:tcW w:w="1104" w:type="dxa"/>
            <w:gridSpan w:val="4"/>
            <w:vMerge w:val="continue"/>
            <w:tcBorders>
              <w:top w:val="nil"/>
              <w:bottom w:val="nil"/>
            </w:tcBorders>
            <w:vAlign w:val="top"/>
          </w:tcPr>
          <w:p w14:paraId="0FFEF177">
            <w:pPr>
              <w:rPr>
                <w:rFonts w:ascii="Arial"/>
                <w:color w:val="auto"/>
                <w:sz w:val="21"/>
                <w:highlight w:val="none"/>
              </w:rPr>
            </w:pPr>
          </w:p>
        </w:tc>
        <w:tc>
          <w:tcPr>
            <w:tcW w:w="859" w:type="dxa"/>
            <w:vAlign w:val="top"/>
          </w:tcPr>
          <w:p w14:paraId="46BD72DB">
            <w:pPr>
              <w:spacing w:line="273" w:lineRule="auto"/>
              <w:rPr>
                <w:rFonts w:ascii="Arial"/>
                <w:color w:val="auto"/>
                <w:sz w:val="21"/>
                <w:highlight w:val="none"/>
              </w:rPr>
            </w:pPr>
          </w:p>
          <w:p w14:paraId="0B3A5A99">
            <w:pPr>
              <w:spacing w:line="274" w:lineRule="auto"/>
              <w:rPr>
                <w:rFonts w:ascii="Arial"/>
                <w:color w:val="auto"/>
                <w:sz w:val="21"/>
                <w:highlight w:val="none"/>
              </w:rPr>
            </w:pPr>
          </w:p>
          <w:p w14:paraId="59C8032F">
            <w:pPr>
              <w:pStyle w:val="131"/>
              <w:spacing w:before="65" w:line="268" w:lineRule="exact"/>
              <w:ind w:left="386"/>
              <w:rPr>
                <w:color w:val="auto"/>
                <w:highlight w:val="none"/>
              </w:rPr>
            </w:pPr>
            <w:r>
              <w:rPr>
                <w:color w:val="auto"/>
                <w:position w:val="1"/>
                <w:highlight w:val="none"/>
              </w:rPr>
              <w:t>3</w:t>
            </w:r>
          </w:p>
        </w:tc>
        <w:tc>
          <w:tcPr>
            <w:tcW w:w="1390" w:type="dxa"/>
            <w:gridSpan w:val="3"/>
            <w:vAlign w:val="top"/>
          </w:tcPr>
          <w:p w14:paraId="4C7E33E6">
            <w:pPr>
              <w:spacing w:line="273" w:lineRule="auto"/>
              <w:rPr>
                <w:rFonts w:ascii="Arial"/>
                <w:color w:val="auto"/>
                <w:sz w:val="21"/>
                <w:highlight w:val="none"/>
              </w:rPr>
            </w:pPr>
          </w:p>
          <w:p w14:paraId="49CE598B">
            <w:pPr>
              <w:spacing w:line="273" w:lineRule="auto"/>
              <w:rPr>
                <w:rFonts w:ascii="Arial"/>
                <w:color w:val="auto"/>
                <w:sz w:val="21"/>
                <w:highlight w:val="none"/>
              </w:rPr>
            </w:pPr>
          </w:p>
          <w:p w14:paraId="2FD977EA">
            <w:pPr>
              <w:pStyle w:val="131"/>
              <w:spacing w:before="65" w:line="228" w:lineRule="auto"/>
              <w:ind w:left="491"/>
              <w:rPr>
                <w:color w:val="auto"/>
                <w:highlight w:val="none"/>
              </w:rPr>
            </w:pPr>
            <w:r>
              <w:rPr>
                <w:color w:val="auto"/>
                <w:spacing w:val="3"/>
                <w:highlight w:val="none"/>
              </w:rPr>
              <w:t>屋顶</w:t>
            </w:r>
          </w:p>
        </w:tc>
        <w:tc>
          <w:tcPr>
            <w:tcW w:w="3960" w:type="dxa"/>
            <w:gridSpan w:val="2"/>
            <w:vAlign w:val="top"/>
          </w:tcPr>
          <w:p w14:paraId="20D4A72B">
            <w:pPr>
              <w:pStyle w:val="131"/>
              <w:spacing w:before="176" w:line="228" w:lineRule="auto"/>
              <w:ind w:left="112"/>
              <w:rPr>
                <w:color w:val="auto"/>
                <w:highlight w:val="none"/>
              </w:rPr>
            </w:pPr>
            <w:r>
              <w:rPr>
                <w:color w:val="auto"/>
                <w:spacing w:val="8"/>
                <w:highlight w:val="none"/>
              </w:rPr>
              <w:t>每年检查二次，发现屋顶防水层碎裂、隔</w:t>
            </w:r>
          </w:p>
          <w:p w14:paraId="51570794">
            <w:pPr>
              <w:pStyle w:val="131"/>
              <w:spacing w:before="192" w:line="226" w:lineRule="auto"/>
              <w:ind w:left="205"/>
              <w:rPr>
                <w:color w:val="auto"/>
                <w:highlight w:val="none"/>
              </w:rPr>
            </w:pPr>
            <w:r>
              <w:rPr>
                <w:color w:val="auto"/>
                <w:spacing w:val="9"/>
                <w:highlight w:val="none"/>
              </w:rPr>
              <w:t>热板断裂缺损和屋面瓦破碎应及时告知</w:t>
            </w:r>
          </w:p>
          <w:p w14:paraId="02E51937">
            <w:pPr>
              <w:pStyle w:val="131"/>
              <w:spacing w:before="193" w:line="228" w:lineRule="auto"/>
              <w:ind w:left="307"/>
              <w:rPr>
                <w:color w:val="auto"/>
                <w:highlight w:val="none"/>
              </w:rPr>
            </w:pPr>
            <w:r>
              <w:rPr>
                <w:color w:val="auto"/>
                <w:spacing w:val="8"/>
                <w:highlight w:val="none"/>
              </w:rPr>
              <w:t>相关业主、使用人并安排专项维修。</w:t>
            </w:r>
          </w:p>
        </w:tc>
        <w:tc>
          <w:tcPr>
            <w:tcW w:w="1436" w:type="dxa"/>
            <w:vMerge w:val="continue"/>
            <w:tcBorders>
              <w:top w:val="nil"/>
              <w:bottom w:val="nil"/>
            </w:tcBorders>
            <w:vAlign w:val="top"/>
          </w:tcPr>
          <w:p w14:paraId="6BDABC8F">
            <w:pPr>
              <w:rPr>
                <w:rFonts w:ascii="Arial"/>
                <w:color w:val="auto"/>
                <w:sz w:val="21"/>
                <w:highlight w:val="none"/>
              </w:rPr>
            </w:pPr>
          </w:p>
        </w:tc>
      </w:tr>
      <w:tr w14:paraId="634C3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185" w:type="dxa"/>
          <w:trHeight w:val="1764" w:hRule="atLeast"/>
          <w:jc w:val="center"/>
        </w:trPr>
        <w:tc>
          <w:tcPr>
            <w:tcW w:w="1059" w:type="dxa"/>
            <w:gridSpan w:val="2"/>
            <w:vMerge w:val="continue"/>
            <w:tcBorders>
              <w:top w:val="nil"/>
              <w:bottom w:val="nil"/>
            </w:tcBorders>
            <w:vAlign w:val="top"/>
          </w:tcPr>
          <w:p w14:paraId="1CE49531">
            <w:pPr>
              <w:rPr>
                <w:rFonts w:ascii="Arial"/>
                <w:color w:val="auto"/>
                <w:sz w:val="21"/>
                <w:highlight w:val="none"/>
              </w:rPr>
            </w:pPr>
          </w:p>
        </w:tc>
        <w:tc>
          <w:tcPr>
            <w:tcW w:w="1104" w:type="dxa"/>
            <w:gridSpan w:val="4"/>
            <w:vMerge w:val="continue"/>
            <w:tcBorders>
              <w:top w:val="nil"/>
              <w:bottom w:val="nil"/>
            </w:tcBorders>
            <w:vAlign w:val="top"/>
          </w:tcPr>
          <w:p w14:paraId="5763DE33">
            <w:pPr>
              <w:rPr>
                <w:rFonts w:ascii="Arial"/>
                <w:color w:val="auto"/>
                <w:sz w:val="21"/>
                <w:highlight w:val="none"/>
              </w:rPr>
            </w:pPr>
          </w:p>
        </w:tc>
        <w:tc>
          <w:tcPr>
            <w:tcW w:w="859" w:type="dxa"/>
            <w:vAlign w:val="top"/>
          </w:tcPr>
          <w:p w14:paraId="0FB3F797">
            <w:pPr>
              <w:spacing w:line="255" w:lineRule="auto"/>
              <w:rPr>
                <w:rFonts w:ascii="Arial"/>
                <w:color w:val="auto"/>
                <w:sz w:val="21"/>
                <w:highlight w:val="none"/>
              </w:rPr>
            </w:pPr>
          </w:p>
          <w:p w14:paraId="55814FCD">
            <w:pPr>
              <w:spacing w:line="256" w:lineRule="auto"/>
              <w:rPr>
                <w:rFonts w:ascii="Arial"/>
                <w:color w:val="auto"/>
                <w:sz w:val="21"/>
                <w:highlight w:val="none"/>
              </w:rPr>
            </w:pPr>
          </w:p>
          <w:p w14:paraId="011E6C34">
            <w:pPr>
              <w:spacing w:line="256" w:lineRule="auto"/>
              <w:rPr>
                <w:rFonts w:ascii="Arial"/>
                <w:color w:val="auto"/>
                <w:sz w:val="21"/>
                <w:highlight w:val="none"/>
              </w:rPr>
            </w:pPr>
          </w:p>
          <w:p w14:paraId="07DC2A3E">
            <w:pPr>
              <w:pStyle w:val="131"/>
              <w:spacing w:before="65" w:line="270" w:lineRule="exact"/>
              <w:ind w:left="381"/>
              <w:rPr>
                <w:color w:val="auto"/>
                <w:highlight w:val="none"/>
              </w:rPr>
            </w:pPr>
            <w:r>
              <w:rPr>
                <w:color w:val="auto"/>
                <w:position w:val="1"/>
                <w:highlight w:val="none"/>
              </w:rPr>
              <w:t>4</w:t>
            </w:r>
          </w:p>
        </w:tc>
        <w:tc>
          <w:tcPr>
            <w:tcW w:w="1390" w:type="dxa"/>
            <w:gridSpan w:val="3"/>
            <w:vAlign w:val="top"/>
          </w:tcPr>
          <w:p w14:paraId="6FF8B29D">
            <w:pPr>
              <w:spacing w:line="273" w:lineRule="auto"/>
              <w:rPr>
                <w:rFonts w:ascii="Arial"/>
                <w:color w:val="auto"/>
                <w:sz w:val="21"/>
                <w:highlight w:val="none"/>
              </w:rPr>
            </w:pPr>
          </w:p>
          <w:p w14:paraId="31DAE057">
            <w:pPr>
              <w:spacing w:line="274" w:lineRule="auto"/>
              <w:rPr>
                <w:rFonts w:ascii="Arial"/>
                <w:color w:val="auto"/>
                <w:sz w:val="21"/>
                <w:highlight w:val="none"/>
              </w:rPr>
            </w:pPr>
          </w:p>
          <w:p w14:paraId="7DA43F97">
            <w:pPr>
              <w:pStyle w:val="131"/>
              <w:spacing w:before="65" w:line="228" w:lineRule="auto"/>
              <w:ind w:left="112"/>
              <w:rPr>
                <w:color w:val="auto"/>
                <w:highlight w:val="none"/>
              </w:rPr>
            </w:pPr>
            <w:r>
              <w:rPr>
                <w:color w:val="auto"/>
                <w:spacing w:val="6"/>
                <w:highlight w:val="none"/>
              </w:rPr>
              <w:t>道路、路面、</w:t>
            </w:r>
          </w:p>
          <w:p w14:paraId="10DC0185">
            <w:pPr>
              <w:pStyle w:val="131"/>
              <w:spacing w:before="192" w:line="228" w:lineRule="auto"/>
              <w:ind w:left="111"/>
              <w:rPr>
                <w:color w:val="auto"/>
                <w:highlight w:val="none"/>
              </w:rPr>
            </w:pPr>
            <w:r>
              <w:rPr>
                <w:color w:val="auto"/>
                <w:spacing w:val="-6"/>
                <w:highlight w:val="none"/>
              </w:rPr>
              <w:t>侧石、窨井盖</w:t>
            </w:r>
          </w:p>
        </w:tc>
        <w:tc>
          <w:tcPr>
            <w:tcW w:w="3960" w:type="dxa"/>
            <w:gridSpan w:val="2"/>
            <w:vAlign w:val="top"/>
          </w:tcPr>
          <w:p w14:paraId="7F7A698B">
            <w:pPr>
              <w:pStyle w:val="131"/>
              <w:spacing w:before="176" w:line="228" w:lineRule="auto"/>
              <w:ind w:left="112"/>
              <w:rPr>
                <w:color w:val="auto"/>
                <w:highlight w:val="none"/>
              </w:rPr>
            </w:pPr>
            <w:r>
              <w:rPr>
                <w:color w:val="auto"/>
                <w:spacing w:val="7"/>
                <w:highlight w:val="none"/>
              </w:rPr>
              <w:t>每半月一次对道路、路面、侧石、窨井盖</w:t>
            </w:r>
          </w:p>
          <w:p w14:paraId="643C6D2D">
            <w:pPr>
              <w:pStyle w:val="131"/>
              <w:spacing w:before="192" w:line="226" w:lineRule="auto"/>
              <w:ind w:left="114"/>
              <w:rPr>
                <w:color w:val="auto"/>
                <w:highlight w:val="none"/>
              </w:rPr>
            </w:pPr>
            <w:r>
              <w:rPr>
                <w:color w:val="auto"/>
                <w:spacing w:val="7"/>
                <w:highlight w:val="none"/>
              </w:rPr>
              <w:t>等设施进行巡检，发现损坏及时告知相关</w:t>
            </w:r>
          </w:p>
          <w:p w14:paraId="51FA8ADB">
            <w:pPr>
              <w:pStyle w:val="131"/>
              <w:spacing w:before="193" w:line="228" w:lineRule="auto"/>
              <w:ind w:left="112"/>
              <w:rPr>
                <w:color w:val="auto"/>
                <w:highlight w:val="none"/>
              </w:rPr>
            </w:pPr>
            <w:r>
              <w:rPr>
                <w:color w:val="auto"/>
                <w:spacing w:val="7"/>
                <w:highlight w:val="none"/>
              </w:rPr>
              <w:t>业主、使用人并安排专项维修。井盖不缺</w:t>
            </w:r>
          </w:p>
          <w:p w14:paraId="279A6FDC">
            <w:pPr>
              <w:pStyle w:val="131"/>
              <w:spacing w:before="194" w:line="228" w:lineRule="auto"/>
              <w:ind w:left="1147"/>
              <w:rPr>
                <w:color w:val="auto"/>
                <w:highlight w:val="none"/>
              </w:rPr>
            </w:pPr>
            <w:r>
              <w:rPr>
                <w:color w:val="auto"/>
                <w:spacing w:val="7"/>
                <w:highlight w:val="none"/>
              </w:rPr>
              <w:t>损，能正常使用。</w:t>
            </w:r>
          </w:p>
        </w:tc>
        <w:tc>
          <w:tcPr>
            <w:tcW w:w="1436" w:type="dxa"/>
            <w:vMerge w:val="continue"/>
            <w:tcBorders>
              <w:top w:val="nil"/>
              <w:bottom w:val="nil"/>
            </w:tcBorders>
            <w:vAlign w:val="top"/>
          </w:tcPr>
          <w:p w14:paraId="0F1409B8">
            <w:pPr>
              <w:rPr>
                <w:rFonts w:ascii="Arial"/>
                <w:color w:val="auto"/>
                <w:sz w:val="21"/>
                <w:highlight w:val="none"/>
              </w:rPr>
            </w:pPr>
          </w:p>
        </w:tc>
      </w:tr>
      <w:tr w14:paraId="421DC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185" w:type="dxa"/>
          <w:trHeight w:val="1767" w:hRule="atLeast"/>
          <w:jc w:val="center"/>
        </w:trPr>
        <w:tc>
          <w:tcPr>
            <w:tcW w:w="1059" w:type="dxa"/>
            <w:gridSpan w:val="2"/>
            <w:vMerge w:val="continue"/>
            <w:tcBorders>
              <w:top w:val="nil"/>
            </w:tcBorders>
            <w:vAlign w:val="top"/>
          </w:tcPr>
          <w:p w14:paraId="76F9F802">
            <w:pPr>
              <w:rPr>
                <w:rFonts w:ascii="Arial"/>
                <w:color w:val="auto"/>
                <w:sz w:val="21"/>
                <w:highlight w:val="none"/>
              </w:rPr>
            </w:pPr>
          </w:p>
        </w:tc>
        <w:tc>
          <w:tcPr>
            <w:tcW w:w="1104" w:type="dxa"/>
            <w:gridSpan w:val="4"/>
            <w:vMerge w:val="continue"/>
            <w:tcBorders>
              <w:top w:val="nil"/>
            </w:tcBorders>
            <w:vAlign w:val="top"/>
          </w:tcPr>
          <w:p w14:paraId="14278005">
            <w:pPr>
              <w:rPr>
                <w:rFonts w:ascii="Arial"/>
                <w:color w:val="auto"/>
                <w:sz w:val="21"/>
                <w:highlight w:val="none"/>
              </w:rPr>
            </w:pPr>
          </w:p>
        </w:tc>
        <w:tc>
          <w:tcPr>
            <w:tcW w:w="859" w:type="dxa"/>
            <w:vAlign w:val="top"/>
          </w:tcPr>
          <w:p w14:paraId="507AB7F6">
            <w:pPr>
              <w:spacing w:line="255" w:lineRule="auto"/>
              <w:rPr>
                <w:rFonts w:ascii="Arial"/>
                <w:color w:val="auto"/>
                <w:sz w:val="21"/>
                <w:highlight w:val="none"/>
              </w:rPr>
            </w:pPr>
          </w:p>
          <w:p w14:paraId="799FCA82">
            <w:pPr>
              <w:spacing w:line="256" w:lineRule="auto"/>
              <w:rPr>
                <w:rFonts w:ascii="Arial"/>
                <w:color w:val="auto"/>
                <w:sz w:val="21"/>
                <w:highlight w:val="none"/>
              </w:rPr>
            </w:pPr>
          </w:p>
          <w:p w14:paraId="7D80F554">
            <w:pPr>
              <w:spacing w:line="256" w:lineRule="auto"/>
              <w:rPr>
                <w:rFonts w:ascii="Arial"/>
                <w:color w:val="auto"/>
                <w:sz w:val="21"/>
                <w:highlight w:val="none"/>
              </w:rPr>
            </w:pPr>
          </w:p>
          <w:p w14:paraId="4970B9FA">
            <w:pPr>
              <w:pStyle w:val="131"/>
              <w:spacing w:before="65" w:line="268" w:lineRule="exact"/>
              <w:ind w:left="386"/>
              <w:rPr>
                <w:color w:val="auto"/>
                <w:highlight w:val="none"/>
              </w:rPr>
            </w:pPr>
            <w:r>
              <w:rPr>
                <w:color w:val="auto"/>
                <w:position w:val="1"/>
                <w:highlight w:val="none"/>
              </w:rPr>
              <w:t>5</w:t>
            </w:r>
          </w:p>
        </w:tc>
        <w:tc>
          <w:tcPr>
            <w:tcW w:w="1390" w:type="dxa"/>
            <w:gridSpan w:val="3"/>
            <w:vAlign w:val="top"/>
          </w:tcPr>
          <w:p w14:paraId="2DFF98BC">
            <w:pPr>
              <w:spacing w:line="329" w:lineRule="auto"/>
              <w:rPr>
                <w:rFonts w:ascii="Arial"/>
                <w:color w:val="auto"/>
                <w:sz w:val="21"/>
                <w:highlight w:val="none"/>
              </w:rPr>
            </w:pPr>
          </w:p>
          <w:p w14:paraId="40F55386">
            <w:pPr>
              <w:pStyle w:val="131"/>
              <w:spacing w:before="65" w:line="407" w:lineRule="auto"/>
              <w:ind w:left="174" w:right="56" w:hanging="59"/>
              <w:rPr>
                <w:color w:val="auto"/>
                <w:highlight w:val="none"/>
              </w:rPr>
            </w:pPr>
            <w:r>
              <w:rPr>
                <w:color w:val="auto"/>
                <w:spacing w:val="2"/>
                <w:highlight w:val="none"/>
              </w:rPr>
              <w:t>屋面泄水沟、</w:t>
            </w:r>
            <w:r>
              <w:rPr>
                <w:color w:val="auto"/>
                <w:highlight w:val="none"/>
              </w:rPr>
              <w:t xml:space="preserve"> </w:t>
            </w:r>
            <w:r>
              <w:rPr>
                <w:color w:val="auto"/>
                <w:spacing w:val="8"/>
                <w:highlight w:val="none"/>
              </w:rPr>
              <w:t>楼外排水管</w:t>
            </w:r>
          </w:p>
          <w:p w14:paraId="69A8E82D">
            <w:pPr>
              <w:pStyle w:val="131"/>
              <w:spacing w:line="227" w:lineRule="auto"/>
              <w:ind w:left="174"/>
              <w:rPr>
                <w:color w:val="auto"/>
                <w:highlight w:val="none"/>
              </w:rPr>
            </w:pPr>
            <w:r>
              <w:rPr>
                <w:color w:val="auto"/>
                <w:spacing w:val="8"/>
                <w:highlight w:val="none"/>
              </w:rPr>
              <w:t>道及化粪池</w:t>
            </w:r>
          </w:p>
        </w:tc>
        <w:tc>
          <w:tcPr>
            <w:tcW w:w="3960" w:type="dxa"/>
            <w:gridSpan w:val="2"/>
            <w:vAlign w:val="top"/>
          </w:tcPr>
          <w:p w14:paraId="733380F2">
            <w:pPr>
              <w:pStyle w:val="131"/>
              <w:spacing w:before="176" w:line="228" w:lineRule="auto"/>
              <w:ind w:left="112"/>
              <w:rPr>
                <w:color w:val="auto"/>
                <w:highlight w:val="none"/>
              </w:rPr>
            </w:pPr>
            <w:r>
              <w:rPr>
                <w:color w:val="auto"/>
                <w:spacing w:val="8"/>
                <w:highlight w:val="none"/>
              </w:rPr>
              <w:t>每季对屋面泄水沟、楼外排水管道清扫、</w:t>
            </w:r>
          </w:p>
          <w:p w14:paraId="34A14A4D">
            <w:pPr>
              <w:pStyle w:val="131"/>
              <w:spacing w:before="194" w:line="228" w:lineRule="auto"/>
              <w:ind w:left="113"/>
              <w:rPr>
                <w:color w:val="auto"/>
                <w:highlight w:val="none"/>
              </w:rPr>
            </w:pPr>
            <w:r>
              <w:rPr>
                <w:color w:val="auto"/>
                <w:spacing w:val="7"/>
                <w:highlight w:val="none"/>
              </w:rPr>
              <w:t>疏通一次；化粪池每年清理二次，保证化</w:t>
            </w:r>
          </w:p>
          <w:p w14:paraId="59D84D52">
            <w:pPr>
              <w:pStyle w:val="131"/>
              <w:spacing w:before="192" w:line="228" w:lineRule="auto"/>
              <w:ind w:left="114"/>
              <w:rPr>
                <w:color w:val="auto"/>
                <w:highlight w:val="none"/>
              </w:rPr>
            </w:pPr>
            <w:r>
              <w:rPr>
                <w:color w:val="auto"/>
                <w:spacing w:val="7"/>
                <w:highlight w:val="none"/>
              </w:rPr>
              <w:t>粪池出入口畅通，每月二次清扫明沟内的</w:t>
            </w:r>
          </w:p>
          <w:p w14:paraId="5FF68CF1">
            <w:pPr>
              <w:pStyle w:val="131"/>
              <w:spacing w:before="192" w:line="228" w:lineRule="auto"/>
              <w:ind w:left="1357"/>
              <w:rPr>
                <w:color w:val="auto"/>
                <w:highlight w:val="none"/>
              </w:rPr>
            </w:pPr>
            <w:r>
              <w:rPr>
                <w:color w:val="auto"/>
                <w:spacing w:val="6"/>
                <w:highlight w:val="none"/>
              </w:rPr>
              <w:t>泥沙等垃圾。</w:t>
            </w:r>
          </w:p>
        </w:tc>
        <w:tc>
          <w:tcPr>
            <w:tcW w:w="1436" w:type="dxa"/>
            <w:vMerge w:val="continue"/>
            <w:tcBorders>
              <w:top w:val="nil"/>
            </w:tcBorders>
            <w:vAlign w:val="top"/>
          </w:tcPr>
          <w:p w14:paraId="648E1904">
            <w:pPr>
              <w:rPr>
                <w:rFonts w:ascii="Arial"/>
                <w:color w:val="auto"/>
                <w:sz w:val="21"/>
                <w:highlight w:val="none"/>
              </w:rPr>
            </w:pPr>
          </w:p>
        </w:tc>
      </w:tr>
      <w:tr w14:paraId="0D32D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185" w:type="dxa"/>
          <w:trHeight w:val="1328" w:hRule="atLeast"/>
          <w:jc w:val="center"/>
        </w:trPr>
        <w:tc>
          <w:tcPr>
            <w:tcW w:w="1059" w:type="dxa"/>
            <w:gridSpan w:val="2"/>
            <w:vMerge w:val="restart"/>
            <w:tcBorders>
              <w:bottom w:val="nil"/>
            </w:tcBorders>
            <w:vAlign w:val="top"/>
          </w:tcPr>
          <w:p w14:paraId="3617DD9B">
            <w:pPr>
              <w:rPr>
                <w:rFonts w:ascii="Arial"/>
                <w:color w:val="auto"/>
                <w:sz w:val="21"/>
                <w:highlight w:val="none"/>
              </w:rPr>
            </w:pPr>
          </w:p>
        </w:tc>
        <w:tc>
          <w:tcPr>
            <w:tcW w:w="1104" w:type="dxa"/>
            <w:gridSpan w:val="4"/>
            <w:vMerge w:val="restart"/>
            <w:tcBorders>
              <w:bottom w:val="nil"/>
            </w:tcBorders>
            <w:vAlign w:val="top"/>
          </w:tcPr>
          <w:p w14:paraId="792E52A1">
            <w:pPr>
              <w:rPr>
                <w:rFonts w:ascii="Arial"/>
                <w:color w:val="auto"/>
                <w:sz w:val="21"/>
                <w:highlight w:val="none"/>
              </w:rPr>
            </w:pPr>
          </w:p>
        </w:tc>
        <w:tc>
          <w:tcPr>
            <w:tcW w:w="859" w:type="dxa"/>
            <w:vAlign w:val="top"/>
          </w:tcPr>
          <w:p w14:paraId="0362C681">
            <w:pPr>
              <w:spacing w:line="274" w:lineRule="auto"/>
              <w:rPr>
                <w:rFonts w:ascii="Arial"/>
                <w:color w:val="auto"/>
                <w:sz w:val="21"/>
                <w:highlight w:val="none"/>
              </w:rPr>
            </w:pPr>
          </w:p>
          <w:p w14:paraId="72894CF2">
            <w:pPr>
              <w:spacing w:line="275" w:lineRule="auto"/>
              <w:rPr>
                <w:rFonts w:ascii="Arial"/>
                <w:color w:val="auto"/>
                <w:sz w:val="21"/>
                <w:highlight w:val="none"/>
              </w:rPr>
            </w:pPr>
          </w:p>
          <w:p w14:paraId="0B868398">
            <w:pPr>
              <w:pStyle w:val="131"/>
              <w:spacing w:before="65" w:line="269" w:lineRule="exact"/>
              <w:ind w:left="383"/>
              <w:rPr>
                <w:color w:val="auto"/>
                <w:highlight w:val="none"/>
              </w:rPr>
            </w:pPr>
            <w:r>
              <w:rPr>
                <w:color w:val="auto"/>
                <w:position w:val="1"/>
                <w:highlight w:val="none"/>
              </w:rPr>
              <w:t>6</w:t>
            </w:r>
          </w:p>
        </w:tc>
        <w:tc>
          <w:tcPr>
            <w:tcW w:w="1390" w:type="dxa"/>
            <w:gridSpan w:val="3"/>
            <w:vAlign w:val="top"/>
          </w:tcPr>
          <w:p w14:paraId="00DEA3CE">
            <w:pPr>
              <w:spacing w:line="329" w:lineRule="auto"/>
              <w:rPr>
                <w:rFonts w:ascii="Arial"/>
                <w:color w:val="auto"/>
                <w:sz w:val="21"/>
                <w:highlight w:val="none"/>
              </w:rPr>
            </w:pPr>
          </w:p>
          <w:p w14:paraId="42654659">
            <w:pPr>
              <w:pStyle w:val="131"/>
              <w:spacing w:before="65" w:line="228" w:lineRule="auto"/>
              <w:ind w:left="175"/>
              <w:rPr>
                <w:color w:val="auto"/>
                <w:highlight w:val="none"/>
              </w:rPr>
            </w:pPr>
            <w:r>
              <w:rPr>
                <w:color w:val="auto"/>
                <w:spacing w:val="8"/>
                <w:highlight w:val="none"/>
              </w:rPr>
              <w:t>地面排水沟</w:t>
            </w:r>
          </w:p>
          <w:p w14:paraId="54861849">
            <w:pPr>
              <w:pStyle w:val="131"/>
              <w:spacing w:before="192" w:line="228" w:lineRule="auto"/>
              <w:ind w:left="388"/>
              <w:rPr>
                <w:color w:val="auto"/>
                <w:highlight w:val="none"/>
              </w:rPr>
            </w:pPr>
            <w:r>
              <w:rPr>
                <w:color w:val="auto"/>
                <w:spacing w:val="5"/>
                <w:highlight w:val="none"/>
              </w:rPr>
              <w:t>与围墙</w:t>
            </w:r>
          </w:p>
        </w:tc>
        <w:tc>
          <w:tcPr>
            <w:tcW w:w="3960" w:type="dxa"/>
            <w:gridSpan w:val="2"/>
            <w:vAlign w:val="top"/>
          </w:tcPr>
          <w:p w14:paraId="325E7472">
            <w:pPr>
              <w:pStyle w:val="131"/>
              <w:spacing w:before="176" w:line="228" w:lineRule="auto"/>
              <w:ind w:left="125"/>
              <w:rPr>
                <w:color w:val="auto"/>
                <w:highlight w:val="none"/>
              </w:rPr>
            </w:pPr>
            <w:r>
              <w:rPr>
                <w:color w:val="auto"/>
                <w:spacing w:val="7"/>
                <w:highlight w:val="none"/>
              </w:rPr>
              <w:t>隔月一次巡查、清理地面排水沟的泥砂与</w:t>
            </w:r>
          </w:p>
          <w:p w14:paraId="4CA20133">
            <w:pPr>
              <w:pStyle w:val="131"/>
              <w:spacing w:before="194" w:line="228" w:lineRule="auto"/>
              <w:ind w:left="114"/>
              <w:rPr>
                <w:color w:val="auto"/>
                <w:highlight w:val="none"/>
              </w:rPr>
            </w:pPr>
            <w:r>
              <w:rPr>
                <w:color w:val="auto"/>
                <w:spacing w:val="7"/>
                <w:highlight w:val="none"/>
              </w:rPr>
              <w:t>杂物，围墙每月巡查一次。发现损坏及时</w:t>
            </w:r>
          </w:p>
          <w:p w14:paraId="445623FB">
            <w:pPr>
              <w:pStyle w:val="131"/>
              <w:spacing w:before="192" w:line="228" w:lineRule="auto"/>
              <w:ind w:left="1672"/>
              <w:rPr>
                <w:color w:val="auto"/>
                <w:highlight w:val="none"/>
              </w:rPr>
            </w:pPr>
            <w:r>
              <w:rPr>
                <w:color w:val="auto"/>
                <w:spacing w:val="3"/>
                <w:highlight w:val="none"/>
              </w:rPr>
              <w:t>修复。</w:t>
            </w:r>
          </w:p>
        </w:tc>
        <w:tc>
          <w:tcPr>
            <w:tcW w:w="1436" w:type="dxa"/>
            <w:vMerge w:val="restart"/>
            <w:tcBorders>
              <w:bottom w:val="nil"/>
            </w:tcBorders>
            <w:vAlign w:val="top"/>
          </w:tcPr>
          <w:p w14:paraId="68AFCCE7">
            <w:pPr>
              <w:pStyle w:val="131"/>
              <w:spacing w:before="176" w:line="228" w:lineRule="auto"/>
              <w:ind w:left="200"/>
              <w:rPr>
                <w:color w:val="auto"/>
                <w:highlight w:val="none"/>
              </w:rPr>
            </w:pPr>
            <w:r>
              <w:rPr>
                <w:color w:val="auto"/>
                <w:spacing w:val="7"/>
                <w:highlight w:val="none"/>
              </w:rPr>
              <w:t>使用专项维</w:t>
            </w:r>
          </w:p>
          <w:p w14:paraId="0F1EBD11">
            <w:pPr>
              <w:pStyle w:val="131"/>
              <w:spacing w:before="194" w:line="228" w:lineRule="auto"/>
              <w:ind w:left="304"/>
              <w:rPr>
                <w:color w:val="auto"/>
                <w:highlight w:val="none"/>
              </w:rPr>
            </w:pPr>
            <w:r>
              <w:rPr>
                <w:color w:val="auto"/>
                <w:spacing w:val="5"/>
                <w:highlight w:val="none"/>
              </w:rPr>
              <w:t>修资金。</w:t>
            </w:r>
          </w:p>
          <w:p w14:paraId="02C7D7EA">
            <w:pPr>
              <w:pStyle w:val="131"/>
              <w:spacing w:before="192" w:line="228" w:lineRule="auto"/>
              <w:ind w:left="150"/>
              <w:rPr>
                <w:color w:val="auto"/>
                <w:highlight w:val="none"/>
              </w:rPr>
            </w:pPr>
            <w:r>
              <w:rPr>
                <w:color w:val="auto"/>
                <w:spacing w:val="6"/>
                <w:highlight w:val="none"/>
              </w:rPr>
              <w:t>3、前期物业</w:t>
            </w:r>
          </w:p>
          <w:p w14:paraId="7D76E444">
            <w:pPr>
              <w:pStyle w:val="131"/>
              <w:spacing w:before="191" w:line="228" w:lineRule="auto"/>
              <w:ind w:left="204"/>
              <w:rPr>
                <w:color w:val="auto"/>
                <w:highlight w:val="none"/>
              </w:rPr>
            </w:pPr>
            <w:r>
              <w:rPr>
                <w:color w:val="auto"/>
                <w:spacing w:val="7"/>
                <w:highlight w:val="none"/>
              </w:rPr>
              <w:t>管理中按有</w:t>
            </w:r>
          </w:p>
          <w:p w14:paraId="6B9577A6">
            <w:pPr>
              <w:pStyle w:val="131"/>
              <w:spacing w:before="195" w:line="228" w:lineRule="auto"/>
              <w:ind w:left="202"/>
              <w:rPr>
                <w:color w:val="auto"/>
                <w:highlight w:val="none"/>
              </w:rPr>
            </w:pPr>
            <w:r>
              <w:rPr>
                <w:color w:val="auto"/>
                <w:spacing w:val="7"/>
                <w:highlight w:val="none"/>
              </w:rPr>
              <w:t>关规定属建</w:t>
            </w:r>
          </w:p>
          <w:p w14:paraId="36D76A09">
            <w:pPr>
              <w:pStyle w:val="131"/>
              <w:spacing w:before="191" w:line="228" w:lineRule="auto"/>
              <w:ind w:left="202"/>
              <w:rPr>
                <w:color w:val="auto"/>
                <w:highlight w:val="none"/>
              </w:rPr>
            </w:pPr>
            <w:r>
              <w:rPr>
                <w:color w:val="auto"/>
                <w:spacing w:val="7"/>
                <w:highlight w:val="none"/>
              </w:rPr>
              <w:t>设单位负责</w:t>
            </w:r>
          </w:p>
          <w:p w14:paraId="5902A937">
            <w:pPr>
              <w:pStyle w:val="131"/>
              <w:spacing w:before="193" w:line="228" w:lineRule="auto"/>
              <w:ind w:left="116"/>
              <w:rPr>
                <w:color w:val="auto"/>
                <w:highlight w:val="none"/>
              </w:rPr>
            </w:pPr>
            <w:r>
              <w:rPr>
                <w:color w:val="auto"/>
                <w:spacing w:val="1"/>
                <w:highlight w:val="none"/>
              </w:rPr>
              <w:t>保养（修）设</w:t>
            </w:r>
          </w:p>
          <w:p w14:paraId="4B0CC315">
            <w:pPr>
              <w:pStyle w:val="131"/>
              <w:spacing w:before="195" w:line="228" w:lineRule="auto"/>
              <w:ind w:left="114"/>
              <w:rPr>
                <w:color w:val="auto"/>
                <w:highlight w:val="none"/>
              </w:rPr>
            </w:pPr>
            <w:r>
              <w:rPr>
                <w:color w:val="auto"/>
                <w:spacing w:val="1"/>
                <w:highlight w:val="none"/>
              </w:rPr>
              <w:t>施（备）的费</w:t>
            </w:r>
          </w:p>
          <w:p w14:paraId="6EBEFFCF">
            <w:pPr>
              <w:pStyle w:val="131"/>
              <w:spacing w:before="192" w:line="228" w:lineRule="auto"/>
              <w:ind w:left="201"/>
              <w:rPr>
                <w:color w:val="auto"/>
                <w:highlight w:val="none"/>
              </w:rPr>
            </w:pPr>
            <w:r>
              <w:rPr>
                <w:color w:val="auto"/>
                <w:spacing w:val="7"/>
                <w:highlight w:val="none"/>
              </w:rPr>
              <w:t>用由建设单</w:t>
            </w:r>
          </w:p>
          <w:p w14:paraId="6DF74B9B">
            <w:pPr>
              <w:pStyle w:val="131"/>
              <w:spacing w:before="192" w:line="228" w:lineRule="auto"/>
              <w:ind w:left="304"/>
              <w:rPr>
                <w:color w:val="auto"/>
                <w:highlight w:val="none"/>
              </w:rPr>
            </w:pPr>
            <w:r>
              <w:rPr>
                <w:color w:val="auto"/>
                <w:spacing w:val="5"/>
                <w:highlight w:val="none"/>
              </w:rPr>
              <w:t>位承担。</w:t>
            </w:r>
          </w:p>
        </w:tc>
      </w:tr>
      <w:tr w14:paraId="0A6E7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185" w:type="dxa"/>
          <w:trHeight w:val="1324" w:hRule="atLeast"/>
          <w:jc w:val="center"/>
        </w:trPr>
        <w:tc>
          <w:tcPr>
            <w:tcW w:w="1059" w:type="dxa"/>
            <w:gridSpan w:val="2"/>
            <w:vMerge w:val="continue"/>
            <w:tcBorders>
              <w:top w:val="nil"/>
              <w:bottom w:val="nil"/>
            </w:tcBorders>
            <w:vAlign w:val="top"/>
          </w:tcPr>
          <w:p w14:paraId="4E8FDFD6">
            <w:pPr>
              <w:rPr>
                <w:rFonts w:ascii="Arial"/>
                <w:color w:val="auto"/>
                <w:sz w:val="21"/>
                <w:highlight w:val="none"/>
              </w:rPr>
            </w:pPr>
          </w:p>
        </w:tc>
        <w:tc>
          <w:tcPr>
            <w:tcW w:w="1104" w:type="dxa"/>
            <w:gridSpan w:val="4"/>
            <w:vMerge w:val="continue"/>
            <w:tcBorders>
              <w:top w:val="nil"/>
              <w:bottom w:val="nil"/>
            </w:tcBorders>
            <w:vAlign w:val="top"/>
          </w:tcPr>
          <w:p w14:paraId="5C891401">
            <w:pPr>
              <w:rPr>
                <w:rFonts w:ascii="Arial"/>
                <w:color w:val="auto"/>
                <w:sz w:val="21"/>
                <w:highlight w:val="none"/>
              </w:rPr>
            </w:pPr>
          </w:p>
        </w:tc>
        <w:tc>
          <w:tcPr>
            <w:tcW w:w="859" w:type="dxa"/>
            <w:vAlign w:val="top"/>
          </w:tcPr>
          <w:p w14:paraId="3883FE9C">
            <w:pPr>
              <w:spacing w:line="273" w:lineRule="auto"/>
              <w:rPr>
                <w:rFonts w:ascii="Arial"/>
                <w:color w:val="auto"/>
                <w:sz w:val="21"/>
                <w:highlight w:val="none"/>
              </w:rPr>
            </w:pPr>
          </w:p>
          <w:p w14:paraId="434438A4">
            <w:pPr>
              <w:spacing w:line="273" w:lineRule="auto"/>
              <w:rPr>
                <w:rFonts w:ascii="Arial"/>
                <w:color w:val="auto"/>
                <w:sz w:val="21"/>
                <w:highlight w:val="none"/>
              </w:rPr>
            </w:pPr>
          </w:p>
          <w:p w14:paraId="5F3FF427">
            <w:pPr>
              <w:pStyle w:val="131"/>
              <w:spacing w:before="65" w:line="268" w:lineRule="exact"/>
              <w:ind w:left="386"/>
              <w:rPr>
                <w:color w:val="auto"/>
                <w:highlight w:val="none"/>
              </w:rPr>
            </w:pPr>
            <w:r>
              <w:rPr>
                <w:color w:val="auto"/>
                <w:position w:val="1"/>
                <w:highlight w:val="none"/>
              </w:rPr>
              <w:t>7</w:t>
            </w:r>
          </w:p>
        </w:tc>
        <w:tc>
          <w:tcPr>
            <w:tcW w:w="1390" w:type="dxa"/>
            <w:gridSpan w:val="3"/>
            <w:vAlign w:val="top"/>
          </w:tcPr>
          <w:p w14:paraId="7B73A469">
            <w:pPr>
              <w:pStyle w:val="131"/>
              <w:spacing w:before="176" w:line="405" w:lineRule="auto"/>
              <w:ind w:left="177" w:right="108" w:hanging="65"/>
              <w:rPr>
                <w:color w:val="auto"/>
                <w:highlight w:val="none"/>
              </w:rPr>
            </w:pPr>
            <w:r>
              <w:rPr>
                <w:color w:val="auto"/>
                <w:spacing w:val="-6"/>
                <w:highlight w:val="none"/>
              </w:rPr>
              <w:t>楼梯间、公用</w:t>
            </w:r>
            <w:r>
              <w:rPr>
                <w:color w:val="auto"/>
                <w:highlight w:val="none"/>
              </w:rPr>
              <w:t xml:space="preserve"> </w:t>
            </w:r>
            <w:r>
              <w:rPr>
                <w:color w:val="auto"/>
                <w:spacing w:val="7"/>
                <w:highlight w:val="none"/>
              </w:rPr>
              <w:t>走廊的室内</w:t>
            </w:r>
          </w:p>
          <w:p w14:paraId="707E2FF7">
            <w:pPr>
              <w:pStyle w:val="131"/>
              <w:spacing w:line="229" w:lineRule="auto"/>
              <w:ind w:left="384"/>
              <w:rPr>
                <w:color w:val="auto"/>
                <w:highlight w:val="none"/>
              </w:rPr>
            </w:pPr>
            <w:r>
              <w:rPr>
                <w:color w:val="auto"/>
                <w:spacing w:val="6"/>
                <w:highlight w:val="none"/>
              </w:rPr>
              <w:t>墙地面</w:t>
            </w:r>
          </w:p>
        </w:tc>
        <w:tc>
          <w:tcPr>
            <w:tcW w:w="3960" w:type="dxa"/>
            <w:gridSpan w:val="2"/>
            <w:vAlign w:val="top"/>
          </w:tcPr>
          <w:p w14:paraId="6E85A4C9">
            <w:pPr>
              <w:spacing w:line="326" w:lineRule="auto"/>
              <w:rPr>
                <w:rFonts w:ascii="Arial"/>
                <w:color w:val="auto"/>
                <w:sz w:val="21"/>
                <w:highlight w:val="none"/>
              </w:rPr>
            </w:pPr>
          </w:p>
          <w:p w14:paraId="39BDECE1">
            <w:pPr>
              <w:pStyle w:val="131"/>
              <w:spacing w:before="65" w:line="228" w:lineRule="auto"/>
              <w:ind w:left="112"/>
              <w:rPr>
                <w:color w:val="auto"/>
                <w:highlight w:val="none"/>
              </w:rPr>
            </w:pPr>
            <w:r>
              <w:rPr>
                <w:color w:val="auto"/>
                <w:spacing w:val="7"/>
                <w:highlight w:val="none"/>
              </w:rPr>
              <w:t>墙面、顶面粉刷层无明显剥落，面砖、地</w:t>
            </w:r>
          </w:p>
          <w:p w14:paraId="4799C2BE">
            <w:pPr>
              <w:pStyle w:val="131"/>
              <w:spacing w:before="194" w:line="228" w:lineRule="auto"/>
              <w:ind w:left="412"/>
              <w:rPr>
                <w:color w:val="auto"/>
                <w:highlight w:val="none"/>
              </w:rPr>
            </w:pPr>
            <w:r>
              <w:rPr>
                <w:color w:val="auto"/>
                <w:spacing w:val="8"/>
                <w:highlight w:val="none"/>
              </w:rPr>
              <w:t>砖平整不起壳，有缺损及时修补。</w:t>
            </w:r>
          </w:p>
        </w:tc>
        <w:tc>
          <w:tcPr>
            <w:tcW w:w="1436" w:type="dxa"/>
            <w:vMerge w:val="continue"/>
            <w:tcBorders>
              <w:top w:val="nil"/>
              <w:bottom w:val="nil"/>
            </w:tcBorders>
            <w:vAlign w:val="top"/>
          </w:tcPr>
          <w:p w14:paraId="31B2341C">
            <w:pPr>
              <w:rPr>
                <w:rFonts w:ascii="Arial"/>
                <w:color w:val="auto"/>
                <w:sz w:val="21"/>
                <w:highlight w:val="none"/>
              </w:rPr>
            </w:pPr>
          </w:p>
        </w:tc>
      </w:tr>
      <w:tr w14:paraId="3053D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185" w:type="dxa"/>
          <w:trHeight w:val="884" w:hRule="atLeast"/>
          <w:jc w:val="center"/>
        </w:trPr>
        <w:tc>
          <w:tcPr>
            <w:tcW w:w="1059" w:type="dxa"/>
            <w:gridSpan w:val="2"/>
            <w:vMerge w:val="continue"/>
            <w:tcBorders>
              <w:top w:val="nil"/>
              <w:bottom w:val="nil"/>
            </w:tcBorders>
            <w:vAlign w:val="top"/>
          </w:tcPr>
          <w:p w14:paraId="2116B15F">
            <w:pPr>
              <w:rPr>
                <w:rFonts w:ascii="Arial"/>
                <w:color w:val="auto"/>
                <w:sz w:val="21"/>
                <w:highlight w:val="none"/>
              </w:rPr>
            </w:pPr>
          </w:p>
        </w:tc>
        <w:tc>
          <w:tcPr>
            <w:tcW w:w="1104" w:type="dxa"/>
            <w:gridSpan w:val="4"/>
            <w:vMerge w:val="continue"/>
            <w:tcBorders>
              <w:top w:val="nil"/>
              <w:bottom w:val="nil"/>
            </w:tcBorders>
            <w:vAlign w:val="top"/>
          </w:tcPr>
          <w:p w14:paraId="113343D4">
            <w:pPr>
              <w:rPr>
                <w:rFonts w:ascii="Arial"/>
                <w:color w:val="auto"/>
                <w:sz w:val="21"/>
                <w:highlight w:val="none"/>
              </w:rPr>
            </w:pPr>
          </w:p>
        </w:tc>
        <w:tc>
          <w:tcPr>
            <w:tcW w:w="859" w:type="dxa"/>
            <w:vAlign w:val="top"/>
          </w:tcPr>
          <w:p w14:paraId="26AB5771">
            <w:pPr>
              <w:spacing w:line="327" w:lineRule="auto"/>
              <w:rPr>
                <w:rFonts w:ascii="Arial"/>
                <w:color w:val="auto"/>
                <w:sz w:val="21"/>
                <w:highlight w:val="none"/>
              </w:rPr>
            </w:pPr>
          </w:p>
          <w:p w14:paraId="3DBE3218">
            <w:pPr>
              <w:pStyle w:val="131"/>
              <w:spacing w:before="65" w:line="268" w:lineRule="exact"/>
              <w:ind w:left="382"/>
              <w:rPr>
                <w:color w:val="auto"/>
                <w:highlight w:val="none"/>
              </w:rPr>
            </w:pPr>
            <w:r>
              <w:rPr>
                <w:color w:val="auto"/>
                <w:position w:val="1"/>
                <w:highlight w:val="none"/>
              </w:rPr>
              <w:t>8</w:t>
            </w:r>
          </w:p>
        </w:tc>
        <w:tc>
          <w:tcPr>
            <w:tcW w:w="1390" w:type="dxa"/>
            <w:gridSpan w:val="3"/>
            <w:vAlign w:val="top"/>
          </w:tcPr>
          <w:p w14:paraId="3740E9F4">
            <w:pPr>
              <w:pStyle w:val="131"/>
              <w:spacing w:before="176" w:line="322" w:lineRule="auto"/>
              <w:ind w:left="278" w:right="108" w:hanging="167"/>
              <w:rPr>
                <w:color w:val="auto"/>
                <w:highlight w:val="none"/>
              </w:rPr>
            </w:pPr>
            <w:r>
              <w:rPr>
                <w:color w:val="auto"/>
                <w:spacing w:val="-6"/>
                <w:highlight w:val="none"/>
              </w:rPr>
              <w:t>休闲椅、室外</w:t>
            </w:r>
            <w:r>
              <w:rPr>
                <w:color w:val="auto"/>
                <w:highlight w:val="none"/>
              </w:rPr>
              <w:t xml:space="preserve"> </w:t>
            </w:r>
            <w:r>
              <w:rPr>
                <w:color w:val="auto"/>
                <w:spacing w:val="7"/>
                <w:highlight w:val="none"/>
              </w:rPr>
              <w:t>健身设施</w:t>
            </w:r>
          </w:p>
        </w:tc>
        <w:tc>
          <w:tcPr>
            <w:tcW w:w="3960" w:type="dxa"/>
            <w:gridSpan w:val="2"/>
            <w:vAlign w:val="top"/>
          </w:tcPr>
          <w:p w14:paraId="33205478">
            <w:pPr>
              <w:pStyle w:val="131"/>
              <w:spacing w:before="176" w:line="322" w:lineRule="auto"/>
              <w:ind w:left="113" w:right="103" w:hanging="1"/>
              <w:rPr>
                <w:color w:val="auto"/>
                <w:highlight w:val="none"/>
              </w:rPr>
            </w:pPr>
            <w:r>
              <w:rPr>
                <w:color w:val="auto"/>
                <w:spacing w:val="7"/>
                <w:highlight w:val="none"/>
              </w:rPr>
              <w:t>每月巡查一次休闲椅、室外健身设施，发</w:t>
            </w:r>
            <w:r>
              <w:rPr>
                <w:color w:val="auto"/>
                <w:spacing w:val="11"/>
                <w:highlight w:val="none"/>
              </w:rPr>
              <w:t xml:space="preserve"> </w:t>
            </w:r>
            <w:r>
              <w:rPr>
                <w:color w:val="auto"/>
                <w:spacing w:val="7"/>
                <w:highlight w:val="none"/>
              </w:rPr>
              <w:t>现损坏及时修理，并保证设施安全使用。</w:t>
            </w:r>
          </w:p>
        </w:tc>
        <w:tc>
          <w:tcPr>
            <w:tcW w:w="1436" w:type="dxa"/>
            <w:vMerge w:val="continue"/>
            <w:tcBorders>
              <w:top w:val="nil"/>
              <w:bottom w:val="nil"/>
            </w:tcBorders>
            <w:vAlign w:val="top"/>
          </w:tcPr>
          <w:p w14:paraId="260E0F06">
            <w:pPr>
              <w:rPr>
                <w:rFonts w:ascii="Arial"/>
                <w:color w:val="auto"/>
                <w:sz w:val="21"/>
                <w:highlight w:val="none"/>
              </w:rPr>
            </w:pPr>
          </w:p>
        </w:tc>
      </w:tr>
      <w:tr w14:paraId="7C2BA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185" w:type="dxa"/>
          <w:trHeight w:val="1768" w:hRule="atLeast"/>
          <w:jc w:val="center"/>
        </w:trPr>
        <w:tc>
          <w:tcPr>
            <w:tcW w:w="1059" w:type="dxa"/>
            <w:gridSpan w:val="2"/>
            <w:vMerge w:val="continue"/>
            <w:tcBorders>
              <w:top w:val="nil"/>
            </w:tcBorders>
            <w:vAlign w:val="top"/>
          </w:tcPr>
          <w:p w14:paraId="2569C106">
            <w:pPr>
              <w:rPr>
                <w:rFonts w:ascii="Arial"/>
                <w:color w:val="auto"/>
                <w:sz w:val="21"/>
                <w:highlight w:val="none"/>
              </w:rPr>
            </w:pPr>
          </w:p>
        </w:tc>
        <w:tc>
          <w:tcPr>
            <w:tcW w:w="1104" w:type="dxa"/>
            <w:gridSpan w:val="4"/>
            <w:vMerge w:val="continue"/>
            <w:tcBorders>
              <w:top w:val="nil"/>
            </w:tcBorders>
            <w:vAlign w:val="top"/>
          </w:tcPr>
          <w:p w14:paraId="2E8E9BC2">
            <w:pPr>
              <w:rPr>
                <w:rFonts w:ascii="Arial"/>
                <w:color w:val="auto"/>
                <w:sz w:val="21"/>
                <w:highlight w:val="none"/>
              </w:rPr>
            </w:pPr>
          </w:p>
        </w:tc>
        <w:tc>
          <w:tcPr>
            <w:tcW w:w="859" w:type="dxa"/>
            <w:vAlign w:val="top"/>
          </w:tcPr>
          <w:p w14:paraId="3447A2F2">
            <w:pPr>
              <w:spacing w:line="255" w:lineRule="auto"/>
              <w:rPr>
                <w:rFonts w:ascii="Arial"/>
                <w:color w:val="auto"/>
                <w:sz w:val="21"/>
                <w:highlight w:val="none"/>
              </w:rPr>
            </w:pPr>
          </w:p>
          <w:p w14:paraId="4D5B860E">
            <w:pPr>
              <w:spacing w:line="256" w:lineRule="auto"/>
              <w:rPr>
                <w:rFonts w:ascii="Arial"/>
                <w:color w:val="auto"/>
                <w:sz w:val="21"/>
                <w:highlight w:val="none"/>
              </w:rPr>
            </w:pPr>
          </w:p>
          <w:p w14:paraId="59094FBF">
            <w:pPr>
              <w:spacing w:line="256" w:lineRule="auto"/>
              <w:rPr>
                <w:rFonts w:ascii="Arial"/>
                <w:color w:val="auto"/>
                <w:sz w:val="21"/>
                <w:highlight w:val="none"/>
              </w:rPr>
            </w:pPr>
          </w:p>
          <w:p w14:paraId="728A4AA3">
            <w:pPr>
              <w:pStyle w:val="131"/>
              <w:spacing w:before="65" w:line="269" w:lineRule="exact"/>
              <w:ind w:left="382"/>
              <w:rPr>
                <w:color w:val="auto"/>
                <w:highlight w:val="none"/>
              </w:rPr>
            </w:pPr>
            <w:r>
              <w:rPr>
                <w:color w:val="auto"/>
                <w:position w:val="1"/>
                <w:highlight w:val="none"/>
              </w:rPr>
              <w:t>9</w:t>
            </w:r>
          </w:p>
        </w:tc>
        <w:tc>
          <w:tcPr>
            <w:tcW w:w="1390" w:type="dxa"/>
            <w:gridSpan w:val="3"/>
            <w:vAlign w:val="top"/>
          </w:tcPr>
          <w:p w14:paraId="2E00F3DC">
            <w:pPr>
              <w:spacing w:line="256" w:lineRule="auto"/>
              <w:rPr>
                <w:rFonts w:ascii="Arial"/>
                <w:color w:val="auto"/>
                <w:sz w:val="21"/>
                <w:highlight w:val="none"/>
              </w:rPr>
            </w:pPr>
          </w:p>
          <w:p w14:paraId="7C164B08">
            <w:pPr>
              <w:spacing w:line="256" w:lineRule="auto"/>
              <w:rPr>
                <w:rFonts w:ascii="Arial"/>
                <w:color w:val="auto"/>
                <w:sz w:val="21"/>
                <w:highlight w:val="none"/>
              </w:rPr>
            </w:pPr>
          </w:p>
          <w:p w14:paraId="203B2732">
            <w:pPr>
              <w:spacing w:line="256" w:lineRule="auto"/>
              <w:rPr>
                <w:rFonts w:ascii="Arial"/>
                <w:color w:val="auto"/>
                <w:sz w:val="21"/>
                <w:highlight w:val="none"/>
              </w:rPr>
            </w:pPr>
          </w:p>
          <w:p w14:paraId="6D43973D">
            <w:pPr>
              <w:pStyle w:val="131"/>
              <w:spacing w:before="65" w:line="228" w:lineRule="auto"/>
              <w:ind w:left="283"/>
              <w:rPr>
                <w:color w:val="auto"/>
                <w:highlight w:val="none"/>
              </w:rPr>
            </w:pPr>
            <w:r>
              <w:rPr>
                <w:color w:val="auto"/>
                <w:spacing w:val="6"/>
                <w:highlight w:val="none"/>
              </w:rPr>
              <w:t>安全标志</w:t>
            </w:r>
          </w:p>
        </w:tc>
        <w:tc>
          <w:tcPr>
            <w:tcW w:w="3960" w:type="dxa"/>
            <w:gridSpan w:val="2"/>
            <w:vAlign w:val="top"/>
          </w:tcPr>
          <w:p w14:paraId="63C907AF">
            <w:pPr>
              <w:pStyle w:val="131"/>
              <w:spacing w:before="177" w:line="228" w:lineRule="auto"/>
              <w:ind w:left="112"/>
              <w:rPr>
                <w:color w:val="auto"/>
                <w:highlight w:val="none"/>
              </w:rPr>
            </w:pPr>
            <w:r>
              <w:rPr>
                <w:color w:val="auto"/>
                <w:spacing w:val="8"/>
                <w:highlight w:val="none"/>
              </w:rPr>
              <w:t>对危险隐患部位设置安全防范警示标志，</w:t>
            </w:r>
          </w:p>
          <w:p w14:paraId="67A98F8E">
            <w:pPr>
              <w:pStyle w:val="131"/>
              <w:spacing w:before="192" w:line="228" w:lineRule="auto"/>
              <w:ind w:left="206"/>
              <w:rPr>
                <w:color w:val="auto"/>
                <w:highlight w:val="none"/>
              </w:rPr>
            </w:pPr>
            <w:r>
              <w:rPr>
                <w:color w:val="auto"/>
                <w:spacing w:val="9"/>
                <w:highlight w:val="none"/>
              </w:rPr>
              <w:t>并在主要通道设置安全疏散指示和事故</w:t>
            </w:r>
          </w:p>
          <w:p w14:paraId="7DFED127">
            <w:pPr>
              <w:pStyle w:val="131"/>
              <w:spacing w:before="192" w:line="228" w:lineRule="auto"/>
              <w:ind w:right="11"/>
              <w:jc w:val="right"/>
              <w:rPr>
                <w:color w:val="auto"/>
                <w:highlight w:val="none"/>
              </w:rPr>
            </w:pPr>
            <w:r>
              <w:rPr>
                <w:color w:val="auto"/>
                <w:spacing w:val="1"/>
                <w:highlight w:val="none"/>
              </w:rPr>
              <w:t>照明设施，每月检查一次，缺损及时补齐，</w:t>
            </w:r>
          </w:p>
          <w:p w14:paraId="743EDF50">
            <w:pPr>
              <w:pStyle w:val="131"/>
              <w:spacing w:before="194" w:line="228" w:lineRule="auto"/>
              <w:ind w:left="1042"/>
              <w:rPr>
                <w:color w:val="auto"/>
                <w:highlight w:val="none"/>
              </w:rPr>
            </w:pPr>
            <w:r>
              <w:rPr>
                <w:color w:val="auto"/>
                <w:spacing w:val="7"/>
                <w:highlight w:val="none"/>
              </w:rPr>
              <w:t>保证标志清晰完整。</w:t>
            </w:r>
          </w:p>
        </w:tc>
        <w:tc>
          <w:tcPr>
            <w:tcW w:w="1436" w:type="dxa"/>
            <w:vMerge w:val="continue"/>
            <w:tcBorders>
              <w:top w:val="nil"/>
            </w:tcBorders>
            <w:vAlign w:val="top"/>
          </w:tcPr>
          <w:p w14:paraId="40C20A0E">
            <w:pPr>
              <w:rPr>
                <w:rFonts w:ascii="Arial"/>
                <w:color w:val="auto"/>
                <w:sz w:val="21"/>
                <w:highlight w:val="none"/>
              </w:rPr>
            </w:pPr>
          </w:p>
        </w:tc>
      </w:tr>
      <w:tr w14:paraId="2ADDB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4" w:type="dxa"/>
          <w:trHeight w:val="581" w:hRule="atLeast"/>
          <w:jc w:val="center"/>
        </w:trPr>
        <w:tc>
          <w:tcPr>
            <w:tcW w:w="1204" w:type="dxa"/>
            <w:gridSpan w:val="3"/>
            <w:shd w:val="clear" w:color="auto" w:fill="C0C0C0"/>
            <w:vAlign w:val="top"/>
          </w:tcPr>
          <w:p w14:paraId="0527AA72">
            <w:pPr>
              <w:spacing w:before="244" w:line="229" w:lineRule="auto"/>
              <w:ind w:left="185"/>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服务项目</w:t>
            </w:r>
          </w:p>
        </w:tc>
        <w:tc>
          <w:tcPr>
            <w:tcW w:w="8735" w:type="dxa"/>
            <w:gridSpan w:val="11"/>
            <w:shd w:val="clear" w:color="auto" w:fill="C0C0C0"/>
            <w:vAlign w:val="top"/>
          </w:tcPr>
          <w:p w14:paraId="4E874D28">
            <w:pPr>
              <w:spacing w:before="244" w:line="229" w:lineRule="auto"/>
              <w:ind w:left="3949"/>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服务标准</w:t>
            </w:r>
          </w:p>
        </w:tc>
      </w:tr>
      <w:tr w14:paraId="4F783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54" w:type="dxa"/>
          <w:trHeight w:val="6165" w:hRule="atLeast"/>
          <w:jc w:val="center"/>
        </w:trPr>
        <w:tc>
          <w:tcPr>
            <w:tcW w:w="1204" w:type="dxa"/>
            <w:gridSpan w:val="3"/>
            <w:vAlign w:val="top"/>
          </w:tcPr>
          <w:p w14:paraId="31D9320A">
            <w:pPr>
              <w:spacing w:line="245" w:lineRule="auto"/>
              <w:rPr>
                <w:rFonts w:ascii="Arial"/>
                <w:color w:val="auto"/>
                <w:sz w:val="21"/>
                <w:highlight w:val="none"/>
              </w:rPr>
            </w:pPr>
          </w:p>
          <w:p w14:paraId="5C5B48CC">
            <w:pPr>
              <w:spacing w:line="245" w:lineRule="auto"/>
              <w:rPr>
                <w:rFonts w:ascii="Arial"/>
                <w:color w:val="auto"/>
                <w:sz w:val="21"/>
                <w:highlight w:val="none"/>
              </w:rPr>
            </w:pPr>
          </w:p>
          <w:p w14:paraId="29F25D64">
            <w:pPr>
              <w:spacing w:line="245" w:lineRule="auto"/>
              <w:rPr>
                <w:rFonts w:ascii="Arial"/>
                <w:color w:val="auto"/>
                <w:sz w:val="21"/>
                <w:highlight w:val="none"/>
              </w:rPr>
            </w:pPr>
          </w:p>
          <w:p w14:paraId="0ACB1521">
            <w:pPr>
              <w:spacing w:line="246" w:lineRule="auto"/>
              <w:rPr>
                <w:rFonts w:ascii="Arial"/>
                <w:color w:val="auto"/>
                <w:sz w:val="21"/>
                <w:highlight w:val="none"/>
              </w:rPr>
            </w:pPr>
          </w:p>
          <w:p w14:paraId="596C85D2">
            <w:pPr>
              <w:spacing w:line="246" w:lineRule="auto"/>
              <w:rPr>
                <w:rFonts w:ascii="Arial"/>
                <w:color w:val="auto"/>
                <w:sz w:val="21"/>
                <w:highlight w:val="none"/>
              </w:rPr>
            </w:pPr>
          </w:p>
          <w:p w14:paraId="5CCA375C">
            <w:pPr>
              <w:spacing w:line="246" w:lineRule="auto"/>
              <w:rPr>
                <w:rFonts w:ascii="Arial"/>
                <w:color w:val="auto"/>
                <w:sz w:val="21"/>
                <w:highlight w:val="none"/>
              </w:rPr>
            </w:pPr>
          </w:p>
          <w:p w14:paraId="076C821D">
            <w:pPr>
              <w:spacing w:line="246" w:lineRule="auto"/>
              <w:rPr>
                <w:rFonts w:ascii="Arial"/>
                <w:color w:val="auto"/>
                <w:sz w:val="21"/>
                <w:highlight w:val="none"/>
              </w:rPr>
            </w:pPr>
          </w:p>
          <w:p w14:paraId="3D483A1A">
            <w:pPr>
              <w:spacing w:line="246" w:lineRule="auto"/>
              <w:rPr>
                <w:rFonts w:ascii="Arial"/>
                <w:color w:val="auto"/>
                <w:sz w:val="21"/>
                <w:highlight w:val="none"/>
              </w:rPr>
            </w:pPr>
          </w:p>
          <w:p w14:paraId="5D95F62D">
            <w:pPr>
              <w:spacing w:line="246" w:lineRule="auto"/>
              <w:rPr>
                <w:rFonts w:ascii="Arial"/>
                <w:color w:val="auto"/>
                <w:sz w:val="21"/>
                <w:highlight w:val="none"/>
              </w:rPr>
            </w:pPr>
          </w:p>
          <w:p w14:paraId="05E88800">
            <w:pPr>
              <w:spacing w:line="246" w:lineRule="auto"/>
              <w:rPr>
                <w:rFonts w:ascii="Arial"/>
                <w:color w:val="auto"/>
                <w:sz w:val="21"/>
                <w:highlight w:val="none"/>
              </w:rPr>
            </w:pPr>
          </w:p>
          <w:p w14:paraId="3E29C043">
            <w:pPr>
              <w:spacing w:line="246" w:lineRule="auto"/>
              <w:rPr>
                <w:rFonts w:ascii="Arial"/>
                <w:color w:val="auto"/>
                <w:sz w:val="21"/>
                <w:highlight w:val="none"/>
              </w:rPr>
            </w:pPr>
          </w:p>
          <w:p w14:paraId="3BA18562">
            <w:pPr>
              <w:spacing w:line="246" w:lineRule="auto"/>
              <w:rPr>
                <w:rFonts w:ascii="Arial"/>
                <w:color w:val="auto"/>
                <w:sz w:val="21"/>
                <w:highlight w:val="none"/>
              </w:rPr>
            </w:pPr>
          </w:p>
          <w:p w14:paraId="08FC6FFE">
            <w:pPr>
              <w:pStyle w:val="131"/>
              <w:spacing w:before="65" w:line="228" w:lineRule="auto"/>
              <w:ind w:left="421"/>
              <w:rPr>
                <w:color w:val="auto"/>
                <w:highlight w:val="none"/>
              </w:rPr>
            </w:pPr>
            <w:r>
              <w:rPr>
                <w:color w:val="auto"/>
                <w:spacing w:val="-8"/>
                <w:highlight w:val="none"/>
              </w:rPr>
              <w:t>电梯</w:t>
            </w:r>
          </w:p>
        </w:tc>
        <w:tc>
          <w:tcPr>
            <w:tcW w:w="8735" w:type="dxa"/>
            <w:gridSpan w:val="11"/>
            <w:vAlign w:val="top"/>
          </w:tcPr>
          <w:p w14:paraId="669E6859">
            <w:pPr>
              <w:pStyle w:val="131"/>
              <w:spacing w:before="173" w:line="317" w:lineRule="auto"/>
              <w:ind w:left="114" w:right="122" w:firstLine="7"/>
              <w:rPr>
                <w:color w:val="auto"/>
                <w:highlight w:val="none"/>
              </w:rPr>
            </w:pPr>
            <w:r>
              <w:rPr>
                <w:color w:val="auto"/>
                <w:spacing w:val="9"/>
                <w:highlight w:val="none"/>
              </w:rPr>
              <w:t>（1）遇电梯发生一般故障的，专业维修人员二小时内到达现场修理，发生电梯困人或其它重</w:t>
            </w:r>
            <w:r>
              <w:rPr>
                <w:color w:val="auto"/>
                <w:spacing w:val="14"/>
                <w:highlight w:val="none"/>
              </w:rPr>
              <w:t xml:space="preserve"> </w:t>
            </w:r>
            <w:r>
              <w:rPr>
                <w:color w:val="auto"/>
                <w:spacing w:val="9"/>
                <w:highlight w:val="none"/>
              </w:rPr>
              <w:t>大事件时，物业管理人员</w:t>
            </w:r>
            <w:r>
              <w:rPr>
                <w:color w:val="auto"/>
                <w:spacing w:val="-18"/>
                <w:highlight w:val="none"/>
              </w:rPr>
              <w:t xml:space="preserve"> </w:t>
            </w:r>
            <w:r>
              <w:rPr>
                <w:color w:val="auto"/>
                <w:spacing w:val="9"/>
                <w:highlight w:val="none"/>
              </w:rPr>
              <w:t>5</w:t>
            </w:r>
            <w:r>
              <w:rPr>
                <w:color w:val="auto"/>
                <w:spacing w:val="-35"/>
                <w:highlight w:val="none"/>
              </w:rPr>
              <w:t xml:space="preserve"> </w:t>
            </w:r>
            <w:r>
              <w:rPr>
                <w:color w:val="auto"/>
                <w:spacing w:val="9"/>
                <w:highlight w:val="none"/>
              </w:rPr>
              <w:t>分钟之内到场应急处理，专业人员45</w:t>
            </w:r>
            <w:r>
              <w:rPr>
                <w:color w:val="auto"/>
                <w:spacing w:val="-36"/>
                <w:highlight w:val="none"/>
              </w:rPr>
              <w:t xml:space="preserve"> </w:t>
            </w:r>
            <w:r>
              <w:rPr>
                <w:color w:val="auto"/>
                <w:spacing w:val="9"/>
                <w:highlight w:val="none"/>
              </w:rPr>
              <w:t>分钟之内到场进行救助。</w:t>
            </w:r>
          </w:p>
          <w:p w14:paraId="4B48DE73">
            <w:pPr>
              <w:pStyle w:val="131"/>
              <w:spacing w:before="192" w:line="228" w:lineRule="auto"/>
              <w:ind w:left="122"/>
              <w:rPr>
                <w:color w:val="auto"/>
                <w:highlight w:val="none"/>
              </w:rPr>
            </w:pPr>
            <w:r>
              <w:rPr>
                <w:color w:val="auto"/>
                <w:spacing w:val="8"/>
                <w:highlight w:val="none"/>
              </w:rPr>
              <w:t>（2）每天应进行检查，检查记录存档。</w:t>
            </w:r>
          </w:p>
          <w:p w14:paraId="43FE2564">
            <w:pPr>
              <w:pStyle w:val="131"/>
              <w:spacing w:before="194" w:line="228" w:lineRule="auto"/>
              <w:ind w:left="122"/>
              <w:rPr>
                <w:color w:val="auto"/>
                <w:highlight w:val="none"/>
              </w:rPr>
            </w:pPr>
            <w:r>
              <w:rPr>
                <w:color w:val="auto"/>
                <w:spacing w:val="8"/>
                <w:highlight w:val="none"/>
              </w:rPr>
              <w:t>（3）保证电梯</w:t>
            </w:r>
            <w:r>
              <w:rPr>
                <w:color w:val="auto"/>
                <w:spacing w:val="-37"/>
                <w:highlight w:val="none"/>
              </w:rPr>
              <w:t xml:space="preserve"> </w:t>
            </w:r>
            <w:r>
              <w:rPr>
                <w:color w:val="auto"/>
                <w:spacing w:val="8"/>
                <w:highlight w:val="none"/>
              </w:rPr>
              <w:t>24</w:t>
            </w:r>
            <w:r>
              <w:rPr>
                <w:color w:val="auto"/>
                <w:spacing w:val="-32"/>
                <w:highlight w:val="none"/>
              </w:rPr>
              <w:t xml:space="preserve"> </w:t>
            </w:r>
            <w:r>
              <w:rPr>
                <w:color w:val="auto"/>
                <w:spacing w:val="8"/>
                <w:highlight w:val="none"/>
              </w:rPr>
              <w:t>小时完好，轿箱内按钮、灯具等配件保持完好，轿箱整</w:t>
            </w:r>
            <w:r>
              <w:rPr>
                <w:color w:val="auto"/>
                <w:spacing w:val="7"/>
                <w:highlight w:val="none"/>
              </w:rPr>
              <w:t>洁。</w:t>
            </w:r>
          </w:p>
          <w:p w14:paraId="0571B896">
            <w:pPr>
              <w:pStyle w:val="131"/>
              <w:spacing w:before="192" w:line="228" w:lineRule="auto"/>
              <w:ind w:left="122"/>
              <w:rPr>
                <w:color w:val="auto"/>
                <w:highlight w:val="none"/>
              </w:rPr>
            </w:pPr>
            <w:r>
              <w:rPr>
                <w:color w:val="auto"/>
                <w:spacing w:val="8"/>
                <w:highlight w:val="none"/>
              </w:rPr>
              <w:t>（4） 设置紧急呼救装置的，应保证</w:t>
            </w:r>
            <w:r>
              <w:rPr>
                <w:color w:val="auto"/>
                <w:spacing w:val="-36"/>
                <w:highlight w:val="none"/>
              </w:rPr>
              <w:t xml:space="preserve"> </w:t>
            </w:r>
            <w:r>
              <w:rPr>
                <w:color w:val="auto"/>
                <w:spacing w:val="8"/>
                <w:highlight w:val="none"/>
              </w:rPr>
              <w:t>24</w:t>
            </w:r>
            <w:r>
              <w:rPr>
                <w:color w:val="auto"/>
                <w:spacing w:val="-33"/>
                <w:highlight w:val="none"/>
              </w:rPr>
              <w:t xml:space="preserve"> </w:t>
            </w:r>
            <w:r>
              <w:rPr>
                <w:color w:val="auto"/>
                <w:spacing w:val="8"/>
                <w:highlight w:val="none"/>
              </w:rPr>
              <w:t>小时完好，发生故障时应确保三</w:t>
            </w:r>
            <w:r>
              <w:rPr>
                <w:color w:val="auto"/>
                <w:spacing w:val="7"/>
                <w:highlight w:val="none"/>
              </w:rPr>
              <w:t>方通话。</w:t>
            </w:r>
          </w:p>
          <w:p w14:paraId="5568EE0C">
            <w:pPr>
              <w:pStyle w:val="131"/>
              <w:spacing w:before="191" w:line="318" w:lineRule="auto"/>
              <w:ind w:left="112" w:right="53" w:firstLine="10"/>
              <w:rPr>
                <w:color w:val="auto"/>
                <w:highlight w:val="none"/>
              </w:rPr>
            </w:pPr>
            <w:r>
              <w:rPr>
                <w:color w:val="auto"/>
                <w:spacing w:val="6"/>
                <w:highlight w:val="none"/>
              </w:rPr>
              <w:t>（5）委托专业维修保养单位进行定期保养，每年进行安全检测并张贴《安全检验合格》标志，</w:t>
            </w:r>
            <w:r>
              <w:rPr>
                <w:color w:val="auto"/>
                <w:highlight w:val="none"/>
              </w:rPr>
              <w:t xml:space="preserve"> </w:t>
            </w:r>
            <w:r>
              <w:rPr>
                <w:color w:val="auto"/>
                <w:spacing w:val="9"/>
                <w:highlight w:val="none"/>
              </w:rPr>
              <w:t>物业公司应有专人对电梯保养进行监督，对电梯运行进行管理并对情况进行记录。</w:t>
            </w:r>
          </w:p>
          <w:p w14:paraId="19EB83A6">
            <w:pPr>
              <w:pStyle w:val="131"/>
              <w:spacing w:before="192" w:line="347" w:lineRule="auto"/>
              <w:ind w:left="113" w:right="110" w:firstLine="9"/>
              <w:rPr>
                <w:color w:val="auto"/>
                <w:highlight w:val="none"/>
              </w:rPr>
            </w:pPr>
            <w:r>
              <w:rPr>
                <w:color w:val="auto"/>
                <w:spacing w:val="9"/>
                <w:highlight w:val="none"/>
              </w:rPr>
              <w:t>（6）确定合理的电梯运行时间，随时监督电梯运行状况，加强日常维修保养，适时降温、通</w:t>
            </w:r>
            <w:r>
              <w:rPr>
                <w:color w:val="auto"/>
                <w:spacing w:val="14"/>
                <w:highlight w:val="none"/>
              </w:rPr>
              <w:t xml:space="preserve"> </w:t>
            </w:r>
            <w:r>
              <w:rPr>
                <w:color w:val="auto"/>
                <w:spacing w:val="7"/>
                <w:highlight w:val="none"/>
              </w:rPr>
              <w:t>风、防雨，做好运行服务，经常巡查楼层，防止地面水流入电梯井，值班监督，防止违章使用</w:t>
            </w:r>
            <w:r>
              <w:rPr>
                <w:color w:val="auto"/>
                <w:spacing w:val="18"/>
                <w:highlight w:val="none"/>
              </w:rPr>
              <w:t xml:space="preserve"> </w:t>
            </w:r>
            <w:r>
              <w:rPr>
                <w:color w:val="auto"/>
                <w:spacing w:val="8"/>
                <w:highlight w:val="none"/>
              </w:rPr>
              <w:t>电梯；记录每日电梯运行情况，建档备案。</w:t>
            </w:r>
          </w:p>
          <w:p w14:paraId="30EEA898">
            <w:pPr>
              <w:pStyle w:val="131"/>
              <w:spacing w:before="192" w:line="227" w:lineRule="auto"/>
              <w:ind w:left="122"/>
              <w:rPr>
                <w:color w:val="auto"/>
                <w:highlight w:val="none"/>
              </w:rPr>
            </w:pPr>
            <w:r>
              <w:rPr>
                <w:color w:val="auto"/>
                <w:spacing w:val="9"/>
                <w:highlight w:val="none"/>
              </w:rPr>
              <w:t>（7）定期对机房、轿箱顶和底坑进行检查，发现问题及时处理，并做好</w:t>
            </w:r>
            <w:r>
              <w:rPr>
                <w:color w:val="auto"/>
                <w:spacing w:val="8"/>
                <w:highlight w:val="none"/>
              </w:rPr>
              <w:t>记录。</w:t>
            </w:r>
          </w:p>
          <w:p w14:paraId="292BD29C">
            <w:pPr>
              <w:pStyle w:val="131"/>
              <w:spacing w:before="195" w:line="319" w:lineRule="auto"/>
              <w:ind w:left="122" w:right="122"/>
              <w:rPr>
                <w:color w:val="auto"/>
                <w:highlight w:val="none"/>
              </w:rPr>
            </w:pPr>
            <w:r>
              <w:rPr>
                <w:color w:val="auto"/>
                <w:spacing w:val="8"/>
                <w:highlight w:val="none"/>
              </w:rPr>
              <w:t>（8）</w:t>
            </w:r>
            <w:r>
              <w:rPr>
                <w:color w:val="auto"/>
                <w:spacing w:val="-45"/>
                <w:highlight w:val="none"/>
              </w:rPr>
              <w:t xml:space="preserve"> </w:t>
            </w:r>
            <w:r>
              <w:rPr>
                <w:color w:val="auto"/>
                <w:spacing w:val="8"/>
                <w:highlight w:val="none"/>
              </w:rPr>
              <w:t>电梯维护保养提前一天通知业主或使用人，并尽可能减少对业主或使用人正常生活的影</w:t>
            </w:r>
            <w:r>
              <w:rPr>
                <w:color w:val="auto"/>
                <w:highlight w:val="none"/>
              </w:rPr>
              <w:t xml:space="preserve"> </w:t>
            </w:r>
            <w:r>
              <w:rPr>
                <w:color w:val="auto"/>
                <w:spacing w:val="-5"/>
                <w:highlight w:val="none"/>
              </w:rPr>
              <w:t>响。</w:t>
            </w:r>
          </w:p>
          <w:p w14:paraId="3BC880C5">
            <w:pPr>
              <w:pStyle w:val="131"/>
              <w:spacing w:before="188" w:line="228" w:lineRule="auto"/>
              <w:ind w:left="122"/>
              <w:rPr>
                <w:color w:val="auto"/>
                <w:highlight w:val="none"/>
              </w:rPr>
            </w:pPr>
            <w:r>
              <w:rPr>
                <w:color w:val="auto"/>
                <w:spacing w:val="9"/>
                <w:highlight w:val="none"/>
              </w:rPr>
              <w:t>（9）建立电梯运行档案，记录电梯运行情况和维修</w:t>
            </w:r>
            <w:r>
              <w:rPr>
                <w:color w:val="auto"/>
                <w:spacing w:val="8"/>
                <w:highlight w:val="none"/>
              </w:rPr>
              <w:t>保养工作内容。</w:t>
            </w:r>
          </w:p>
        </w:tc>
      </w:tr>
      <w:tr w14:paraId="6C98A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613" w:hRule="atLeast"/>
          <w:jc w:val="center"/>
        </w:trPr>
        <w:tc>
          <w:tcPr>
            <w:tcW w:w="1285" w:type="dxa"/>
            <w:gridSpan w:val="4"/>
            <w:shd w:val="clear" w:color="auto" w:fill="C0C0C0"/>
            <w:vAlign w:val="top"/>
          </w:tcPr>
          <w:p w14:paraId="472C51C2">
            <w:pPr>
              <w:spacing w:before="260" w:line="229" w:lineRule="auto"/>
              <w:ind w:left="178"/>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服务项目</w:t>
            </w:r>
          </w:p>
        </w:tc>
        <w:tc>
          <w:tcPr>
            <w:tcW w:w="1854" w:type="dxa"/>
            <w:gridSpan w:val="4"/>
            <w:shd w:val="clear" w:color="auto" w:fill="C0C0C0"/>
            <w:vAlign w:val="top"/>
          </w:tcPr>
          <w:p w14:paraId="4F686171">
            <w:pPr>
              <w:spacing w:before="260" w:line="229" w:lineRule="auto"/>
              <w:ind w:left="509"/>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服务级别</w:t>
            </w:r>
          </w:p>
        </w:tc>
        <w:tc>
          <w:tcPr>
            <w:tcW w:w="3720" w:type="dxa"/>
            <w:gridSpan w:val="3"/>
            <w:shd w:val="clear" w:color="auto" w:fill="C0C0C0"/>
            <w:vAlign w:val="top"/>
          </w:tcPr>
          <w:p w14:paraId="7B953832">
            <w:pPr>
              <w:spacing w:before="260" w:line="229" w:lineRule="auto"/>
              <w:ind w:left="1442"/>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服务标准</w:t>
            </w:r>
          </w:p>
        </w:tc>
        <w:tc>
          <w:tcPr>
            <w:tcW w:w="3094" w:type="dxa"/>
            <w:gridSpan w:val="4"/>
            <w:shd w:val="clear" w:color="auto" w:fill="C0C0C0"/>
            <w:vAlign w:val="top"/>
          </w:tcPr>
          <w:p w14:paraId="02FE8A37">
            <w:pPr>
              <w:spacing w:before="260" w:line="230" w:lineRule="auto"/>
              <w:ind w:left="1339"/>
              <w:rPr>
                <w:rFonts w:ascii="黑体" w:hAnsi="黑体" w:eastAsia="黑体" w:cs="黑体"/>
                <w:color w:val="auto"/>
                <w:sz w:val="20"/>
                <w:szCs w:val="20"/>
                <w:highlight w:val="none"/>
              </w:rPr>
            </w:pPr>
            <w:r>
              <w:rPr>
                <w:rFonts w:ascii="黑体" w:hAnsi="黑体" w:eastAsia="黑体" w:cs="黑体"/>
                <w:b/>
                <w:bCs/>
                <w:color w:val="auto"/>
                <w:spacing w:val="3"/>
                <w:sz w:val="20"/>
                <w:szCs w:val="20"/>
                <w:highlight w:val="none"/>
              </w:rPr>
              <w:t>备注</w:t>
            </w:r>
          </w:p>
        </w:tc>
      </w:tr>
      <w:tr w14:paraId="6466C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4845" w:hRule="atLeast"/>
          <w:jc w:val="center"/>
        </w:trPr>
        <w:tc>
          <w:tcPr>
            <w:tcW w:w="1285" w:type="dxa"/>
            <w:gridSpan w:val="4"/>
            <w:vAlign w:val="top"/>
          </w:tcPr>
          <w:p w14:paraId="45AA2020">
            <w:pPr>
              <w:spacing w:line="259" w:lineRule="auto"/>
              <w:rPr>
                <w:rFonts w:ascii="Arial"/>
                <w:color w:val="auto"/>
                <w:sz w:val="21"/>
                <w:highlight w:val="none"/>
              </w:rPr>
            </w:pPr>
          </w:p>
          <w:p w14:paraId="78ABF09E">
            <w:pPr>
              <w:spacing w:line="259" w:lineRule="auto"/>
              <w:rPr>
                <w:rFonts w:ascii="Arial"/>
                <w:color w:val="auto"/>
                <w:sz w:val="21"/>
                <w:highlight w:val="none"/>
              </w:rPr>
            </w:pPr>
          </w:p>
          <w:p w14:paraId="459A9FE2">
            <w:pPr>
              <w:spacing w:line="259" w:lineRule="auto"/>
              <w:rPr>
                <w:rFonts w:ascii="Arial"/>
                <w:color w:val="auto"/>
                <w:sz w:val="21"/>
                <w:highlight w:val="none"/>
              </w:rPr>
            </w:pPr>
          </w:p>
          <w:p w14:paraId="140ADC54">
            <w:pPr>
              <w:spacing w:line="259" w:lineRule="auto"/>
              <w:rPr>
                <w:rFonts w:ascii="Arial"/>
                <w:color w:val="auto"/>
                <w:sz w:val="21"/>
                <w:highlight w:val="none"/>
              </w:rPr>
            </w:pPr>
          </w:p>
          <w:p w14:paraId="7207FA8F">
            <w:pPr>
              <w:spacing w:line="259" w:lineRule="auto"/>
              <w:rPr>
                <w:rFonts w:ascii="Arial"/>
                <w:color w:val="auto"/>
                <w:sz w:val="21"/>
                <w:highlight w:val="none"/>
              </w:rPr>
            </w:pPr>
          </w:p>
          <w:p w14:paraId="31DBDA4F">
            <w:pPr>
              <w:spacing w:line="259" w:lineRule="auto"/>
              <w:rPr>
                <w:rFonts w:ascii="Arial"/>
                <w:color w:val="auto"/>
                <w:sz w:val="21"/>
                <w:highlight w:val="none"/>
              </w:rPr>
            </w:pPr>
          </w:p>
          <w:p w14:paraId="4E0293EA">
            <w:pPr>
              <w:spacing w:line="260" w:lineRule="auto"/>
              <w:rPr>
                <w:rFonts w:ascii="Arial"/>
                <w:color w:val="auto"/>
                <w:sz w:val="21"/>
                <w:highlight w:val="none"/>
              </w:rPr>
            </w:pPr>
          </w:p>
          <w:p w14:paraId="7D3EEF63">
            <w:pPr>
              <w:spacing w:line="260" w:lineRule="auto"/>
              <w:rPr>
                <w:rFonts w:ascii="Arial"/>
                <w:color w:val="auto"/>
                <w:sz w:val="21"/>
                <w:highlight w:val="none"/>
              </w:rPr>
            </w:pPr>
          </w:p>
          <w:p w14:paraId="0FFEC7F2">
            <w:pPr>
              <w:pStyle w:val="131"/>
              <w:spacing w:before="65" w:line="410" w:lineRule="auto"/>
              <w:ind w:left="121" w:right="109" w:firstLine="203"/>
              <w:rPr>
                <w:color w:val="auto"/>
                <w:highlight w:val="none"/>
              </w:rPr>
            </w:pPr>
            <w:r>
              <w:rPr>
                <w:color w:val="auto"/>
                <w:spacing w:val="-2"/>
                <w:highlight w:val="none"/>
              </w:rPr>
              <w:t>供</w:t>
            </w:r>
            <w:r>
              <w:rPr>
                <w:color w:val="auto"/>
                <w:spacing w:val="-22"/>
                <w:highlight w:val="none"/>
              </w:rPr>
              <w:t xml:space="preserve"> </w:t>
            </w:r>
            <w:r>
              <w:rPr>
                <w:color w:val="auto"/>
                <w:spacing w:val="-2"/>
                <w:highlight w:val="none"/>
              </w:rPr>
              <w:t>水</w:t>
            </w:r>
            <w:r>
              <w:rPr>
                <w:color w:val="auto"/>
                <w:spacing w:val="-23"/>
                <w:highlight w:val="none"/>
              </w:rPr>
              <w:t xml:space="preserve"> </w:t>
            </w:r>
            <w:r>
              <w:rPr>
                <w:color w:val="auto"/>
                <w:spacing w:val="-2"/>
                <w:highlight w:val="none"/>
              </w:rPr>
              <w:t>系</w:t>
            </w:r>
            <w:r>
              <w:rPr>
                <w:color w:val="auto"/>
                <w:highlight w:val="none"/>
              </w:rPr>
              <w:t xml:space="preserve"> 统</w:t>
            </w:r>
          </w:p>
        </w:tc>
        <w:tc>
          <w:tcPr>
            <w:tcW w:w="1854" w:type="dxa"/>
            <w:gridSpan w:val="4"/>
            <w:vAlign w:val="top"/>
          </w:tcPr>
          <w:p w14:paraId="3D2E271E">
            <w:pPr>
              <w:spacing w:line="254" w:lineRule="auto"/>
              <w:rPr>
                <w:rFonts w:ascii="Arial"/>
                <w:color w:val="auto"/>
                <w:sz w:val="21"/>
                <w:highlight w:val="none"/>
              </w:rPr>
            </w:pPr>
          </w:p>
          <w:p w14:paraId="3AB61978">
            <w:pPr>
              <w:spacing w:line="254" w:lineRule="auto"/>
              <w:rPr>
                <w:rFonts w:ascii="Arial"/>
                <w:color w:val="auto"/>
                <w:sz w:val="21"/>
                <w:highlight w:val="none"/>
              </w:rPr>
            </w:pPr>
          </w:p>
          <w:p w14:paraId="6B8401C7">
            <w:pPr>
              <w:spacing w:line="255" w:lineRule="auto"/>
              <w:rPr>
                <w:rFonts w:ascii="Arial"/>
                <w:color w:val="auto"/>
                <w:sz w:val="21"/>
                <w:highlight w:val="none"/>
              </w:rPr>
            </w:pPr>
          </w:p>
          <w:p w14:paraId="26D56A6C">
            <w:pPr>
              <w:spacing w:line="255" w:lineRule="auto"/>
              <w:rPr>
                <w:rFonts w:ascii="Arial"/>
                <w:color w:val="auto"/>
                <w:sz w:val="21"/>
                <w:highlight w:val="none"/>
              </w:rPr>
            </w:pPr>
          </w:p>
          <w:p w14:paraId="1F90BAE5">
            <w:pPr>
              <w:spacing w:line="255" w:lineRule="auto"/>
              <w:rPr>
                <w:rFonts w:ascii="Arial"/>
                <w:color w:val="auto"/>
                <w:sz w:val="21"/>
                <w:highlight w:val="none"/>
              </w:rPr>
            </w:pPr>
          </w:p>
          <w:p w14:paraId="2DBAEC0B">
            <w:pPr>
              <w:spacing w:line="255" w:lineRule="auto"/>
              <w:rPr>
                <w:rFonts w:ascii="Arial"/>
                <w:color w:val="auto"/>
                <w:sz w:val="21"/>
                <w:highlight w:val="none"/>
              </w:rPr>
            </w:pPr>
          </w:p>
          <w:p w14:paraId="2A54BB50">
            <w:pPr>
              <w:spacing w:line="255" w:lineRule="auto"/>
              <w:rPr>
                <w:rFonts w:ascii="Arial"/>
                <w:color w:val="auto"/>
                <w:sz w:val="21"/>
                <w:highlight w:val="none"/>
              </w:rPr>
            </w:pPr>
          </w:p>
          <w:p w14:paraId="1ADD5749">
            <w:pPr>
              <w:spacing w:line="255" w:lineRule="auto"/>
              <w:rPr>
                <w:rFonts w:ascii="Arial"/>
                <w:color w:val="auto"/>
                <w:sz w:val="21"/>
                <w:highlight w:val="none"/>
              </w:rPr>
            </w:pPr>
          </w:p>
          <w:p w14:paraId="1E401550">
            <w:pPr>
              <w:spacing w:line="255" w:lineRule="auto"/>
              <w:rPr>
                <w:rFonts w:ascii="Arial"/>
                <w:color w:val="auto"/>
                <w:sz w:val="21"/>
                <w:highlight w:val="none"/>
              </w:rPr>
            </w:pPr>
          </w:p>
          <w:p w14:paraId="2D18627E">
            <w:pPr>
              <w:pStyle w:val="131"/>
              <w:spacing w:before="65" w:line="228" w:lineRule="auto"/>
              <w:ind w:left="725"/>
              <w:rPr>
                <w:color w:val="auto"/>
                <w:highlight w:val="none"/>
              </w:rPr>
            </w:pPr>
            <w:r>
              <w:rPr>
                <w:color w:val="auto"/>
                <w:spacing w:val="3"/>
                <w:highlight w:val="none"/>
              </w:rPr>
              <w:t>二类</w:t>
            </w:r>
          </w:p>
        </w:tc>
        <w:tc>
          <w:tcPr>
            <w:tcW w:w="3720" w:type="dxa"/>
            <w:gridSpan w:val="3"/>
            <w:vAlign w:val="top"/>
          </w:tcPr>
          <w:p w14:paraId="476702D3">
            <w:pPr>
              <w:pStyle w:val="131"/>
              <w:spacing w:before="172" w:line="227" w:lineRule="auto"/>
              <w:ind w:left="123"/>
              <w:rPr>
                <w:color w:val="auto"/>
                <w:highlight w:val="none"/>
              </w:rPr>
            </w:pPr>
            <w:r>
              <w:rPr>
                <w:color w:val="auto"/>
                <w:spacing w:val="7"/>
                <w:highlight w:val="none"/>
              </w:rPr>
              <w:t>（1）总体供水设施每季度检查一次。</w:t>
            </w:r>
          </w:p>
          <w:p w14:paraId="75B96119">
            <w:pPr>
              <w:pStyle w:val="131"/>
              <w:spacing w:before="195" w:line="228" w:lineRule="auto"/>
              <w:ind w:left="123"/>
              <w:rPr>
                <w:color w:val="auto"/>
                <w:highlight w:val="none"/>
              </w:rPr>
            </w:pPr>
            <w:r>
              <w:rPr>
                <w:color w:val="auto"/>
                <w:spacing w:val="7"/>
                <w:highlight w:val="none"/>
              </w:rPr>
              <w:t>（2）泵每两年油漆一次。</w:t>
            </w:r>
          </w:p>
          <w:p w14:paraId="25733730">
            <w:pPr>
              <w:pStyle w:val="131"/>
              <w:spacing w:before="191" w:line="362" w:lineRule="auto"/>
              <w:ind w:left="113" w:right="105" w:firstLine="10"/>
              <w:rPr>
                <w:color w:val="auto"/>
                <w:highlight w:val="none"/>
              </w:rPr>
            </w:pPr>
            <w:r>
              <w:rPr>
                <w:color w:val="auto"/>
                <w:spacing w:val="9"/>
                <w:highlight w:val="none"/>
              </w:rPr>
              <w:t>（3）水泵和饮用水水池（箱</w:t>
            </w:r>
            <w:r>
              <w:rPr>
                <w:color w:val="auto"/>
                <w:spacing w:val="3"/>
                <w:highlight w:val="none"/>
              </w:rPr>
              <w:t>）</w:t>
            </w:r>
            <w:r>
              <w:rPr>
                <w:color w:val="auto"/>
                <w:spacing w:val="-57"/>
                <w:highlight w:val="none"/>
              </w:rPr>
              <w:t xml:space="preserve"> </w:t>
            </w:r>
            <w:r>
              <w:rPr>
                <w:color w:val="auto"/>
                <w:spacing w:val="3"/>
                <w:highlight w:val="none"/>
              </w:rPr>
              <w:t>：</w:t>
            </w:r>
            <w:r>
              <w:rPr>
                <w:color w:val="auto"/>
                <w:spacing w:val="9"/>
                <w:highlight w:val="none"/>
              </w:rPr>
              <w:t>水泵</w:t>
            </w:r>
            <w:r>
              <w:rPr>
                <w:color w:val="auto"/>
                <w:highlight w:val="none"/>
              </w:rPr>
              <w:t xml:space="preserve"> </w:t>
            </w:r>
            <w:r>
              <w:rPr>
                <w:color w:val="auto"/>
                <w:spacing w:val="5"/>
                <w:highlight w:val="none"/>
              </w:rPr>
              <w:t>每年保养一次，饮用水水池（箱）每年</w:t>
            </w:r>
            <w:r>
              <w:rPr>
                <w:color w:val="auto"/>
                <w:spacing w:val="7"/>
                <w:highlight w:val="none"/>
              </w:rPr>
              <w:t xml:space="preserve"> </w:t>
            </w:r>
            <w:r>
              <w:rPr>
                <w:color w:val="auto"/>
                <w:spacing w:val="5"/>
                <w:highlight w:val="none"/>
              </w:rPr>
              <w:t>清洗、消毒、水质化验一次，水质符合</w:t>
            </w:r>
            <w:r>
              <w:rPr>
                <w:color w:val="auto"/>
                <w:spacing w:val="7"/>
                <w:highlight w:val="none"/>
              </w:rPr>
              <w:t xml:space="preserve"> </w:t>
            </w:r>
            <w:r>
              <w:rPr>
                <w:color w:val="auto"/>
                <w:spacing w:val="5"/>
                <w:highlight w:val="none"/>
              </w:rPr>
              <w:t>国家标准。</w:t>
            </w:r>
          </w:p>
          <w:p w14:paraId="42CBCB0A">
            <w:pPr>
              <w:pStyle w:val="131"/>
              <w:spacing w:before="192" w:line="350" w:lineRule="auto"/>
              <w:ind w:left="115" w:right="105" w:firstLine="7"/>
              <w:rPr>
                <w:color w:val="auto"/>
                <w:highlight w:val="none"/>
              </w:rPr>
            </w:pPr>
            <w:r>
              <w:rPr>
                <w:color w:val="auto"/>
                <w:spacing w:val="10"/>
                <w:highlight w:val="none"/>
              </w:rPr>
              <w:t>（4）水箱蓄水池应盖板加锁，溢流管</w:t>
            </w:r>
            <w:r>
              <w:rPr>
                <w:color w:val="auto"/>
                <w:spacing w:val="14"/>
                <w:highlight w:val="none"/>
              </w:rPr>
              <w:t xml:space="preserve"> </w:t>
            </w:r>
            <w:r>
              <w:rPr>
                <w:color w:val="auto"/>
                <w:spacing w:val="18"/>
                <w:highlight w:val="none"/>
              </w:rPr>
              <w:t>口安装金属防护网。做好冬季防冻处</w:t>
            </w:r>
            <w:r>
              <w:rPr>
                <w:color w:val="auto"/>
                <w:spacing w:val="4"/>
                <w:highlight w:val="none"/>
              </w:rPr>
              <w:t xml:space="preserve"> </w:t>
            </w:r>
            <w:r>
              <w:rPr>
                <w:color w:val="auto"/>
                <w:spacing w:val="-1"/>
                <w:highlight w:val="none"/>
              </w:rPr>
              <w:t>理。</w:t>
            </w:r>
          </w:p>
          <w:p w14:paraId="034CB69E">
            <w:pPr>
              <w:pStyle w:val="131"/>
              <w:spacing w:before="180" w:line="318" w:lineRule="auto"/>
              <w:ind w:left="114" w:right="105" w:firstLine="9"/>
              <w:rPr>
                <w:color w:val="auto"/>
                <w:highlight w:val="none"/>
              </w:rPr>
            </w:pPr>
            <w:r>
              <w:rPr>
                <w:color w:val="auto"/>
                <w:spacing w:val="10"/>
                <w:highlight w:val="none"/>
              </w:rPr>
              <w:t>（5）高层房屋减压阀调压每半年一次</w:t>
            </w:r>
            <w:r>
              <w:rPr>
                <w:color w:val="auto"/>
                <w:spacing w:val="14"/>
                <w:highlight w:val="none"/>
              </w:rPr>
              <w:t xml:space="preserve"> </w:t>
            </w:r>
            <w:r>
              <w:rPr>
                <w:color w:val="auto"/>
                <w:spacing w:val="7"/>
                <w:highlight w:val="none"/>
              </w:rPr>
              <w:t>测压并做好记录。</w:t>
            </w:r>
          </w:p>
        </w:tc>
        <w:tc>
          <w:tcPr>
            <w:tcW w:w="3094" w:type="dxa"/>
            <w:gridSpan w:val="4"/>
            <w:vAlign w:val="top"/>
          </w:tcPr>
          <w:p w14:paraId="2754903C">
            <w:pPr>
              <w:pStyle w:val="131"/>
              <w:spacing w:before="172" w:line="227" w:lineRule="auto"/>
              <w:ind w:left="115"/>
              <w:rPr>
                <w:color w:val="auto"/>
                <w:highlight w:val="none"/>
              </w:rPr>
            </w:pPr>
            <w:r>
              <w:rPr>
                <w:color w:val="auto"/>
                <w:spacing w:val="7"/>
                <w:highlight w:val="none"/>
              </w:rPr>
              <w:t>供水系统成本构成：</w:t>
            </w:r>
          </w:p>
          <w:p w14:paraId="49A64C13">
            <w:pPr>
              <w:pStyle w:val="131"/>
              <w:spacing w:before="195" w:line="228" w:lineRule="auto"/>
              <w:ind w:left="131"/>
              <w:rPr>
                <w:color w:val="auto"/>
                <w:highlight w:val="none"/>
              </w:rPr>
            </w:pPr>
            <w:r>
              <w:rPr>
                <w:color w:val="auto"/>
                <w:spacing w:val="4"/>
                <w:highlight w:val="none"/>
              </w:rPr>
              <w:t>1、普通水泵：</w:t>
            </w:r>
          </w:p>
          <w:p w14:paraId="76D1B689">
            <w:pPr>
              <w:pStyle w:val="131"/>
              <w:spacing w:before="192" w:line="227" w:lineRule="auto"/>
              <w:ind w:left="125"/>
              <w:rPr>
                <w:color w:val="auto"/>
                <w:highlight w:val="none"/>
              </w:rPr>
            </w:pPr>
            <w:r>
              <w:rPr>
                <w:color w:val="auto"/>
                <w:spacing w:val="6"/>
                <w:highlight w:val="none"/>
              </w:rPr>
              <w:t>（1）供水设备保养。</w:t>
            </w:r>
          </w:p>
          <w:p w14:paraId="232817CB">
            <w:pPr>
              <w:pStyle w:val="131"/>
              <w:spacing w:before="192" w:line="318" w:lineRule="auto"/>
              <w:ind w:left="120" w:right="108" w:firstLine="5"/>
              <w:rPr>
                <w:color w:val="auto"/>
                <w:highlight w:val="none"/>
              </w:rPr>
            </w:pPr>
            <w:r>
              <w:rPr>
                <w:color w:val="auto"/>
                <w:spacing w:val="11"/>
                <w:highlight w:val="none"/>
              </w:rPr>
              <w:t>（2）水池、水箱的清洗、消毒</w:t>
            </w:r>
            <w:r>
              <w:rPr>
                <w:color w:val="auto"/>
                <w:highlight w:val="none"/>
              </w:rPr>
              <w:t xml:space="preserve"> </w:t>
            </w:r>
            <w:r>
              <w:rPr>
                <w:color w:val="auto"/>
                <w:spacing w:val="7"/>
                <w:highlight w:val="none"/>
              </w:rPr>
              <w:t>并进行水质抽样化验。</w:t>
            </w:r>
          </w:p>
          <w:p w14:paraId="5DA1D9C9">
            <w:pPr>
              <w:pStyle w:val="131"/>
              <w:spacing w:before="192" w:line="228" w:lineRule="auto"/>
              <w:ind w:left="118"/>
              <w:rPr>
                <w:color w:val="auto"/>
                <w:highlight w:val="none"/>
              </w:rPr>
            </w:pPr>
            <w:r>
              <w:rPr>
                <w:color w:val="auto"/>
                <w:spacing w:val="5"/>
                <w:highlight w:val="none"/>
              </w:rPr>
              <w:t>2、变频水泵：</w:t>
            </w:r>
          </w:p>
          <w:p w14:paraId="3E6783AB">
            <w:pPr>
              <w:pStyle w:val="131"/>
              <w:spacing w:before="192" w:line="227" w:lineRule="auto"/>
              <w:ind w:left="125"/>
              <w:rPr>
                <w:color w:val="auto"/>
                <w:highlight w:val="none"/>
              </w:rPr>
            </w:pPr>
            <w:r>
              <w:rPr>
                <w:color w:val="auto"/>
                <w:spacing w:val="6"/>
                <w:highlight w:val="none"/>
              </w:rPr>
              <w:t>（1）供水设备保养。</w:t>
            </w:r>
          </w:p>
          <w:p w14:paraId="12668E83">
            <w:pPr>
              <w:pStyle w:val="131"/>
              <w:spacing w:before="195" w:line="317" w:lineRule="auto"/>
              <w:ind w:left="120" w:right="108" w:firstLine="5"/>
              <w:rPr>
                <w:color w:val="auto"/>
                <w:highlight w:val="none"/>
              </w:rPr>
            </w:pPr>
            <w:r>
              <w:rPr>
                <w:color w:val="auto"/>
                <w:spacing w:val="11"/>
                <w:highlight w:val="none"/>
              </w:rPr>
              <w:t>（2）水池、水箱的清洗、消毒</w:t>
            </w:r>
            <w:r>
              <w:rPr>
                <w:color w:val="auto"/>
                <w:highlight w:val="none"/>
              </w:rPr>
              <w:t xml:space="preserve"> </w:t>
            </w:r>
            <w:r>
              <w:rPr>
                <w:color w:val="auto"/>
                <w:spacing w:val="7"/>
                <w:highlight w:val="none"/>
              </w:rPr>
              <w:t>并进行水质抽样化验。</w:t>
            </w:r>
          </w:p>
          <w:p w14:paraId="6EB3B498">
            <w:pPr>
              <w:pStyle w:val="131"/>
              <w:spacing w:before="193" w:line="324" w:lineRule="auto"/>
              <w:ind w:left="119" w:right="108"/>
              <w:rPr>
                <w:color w:val="auto"/>
                <w:highlight w:val="none"/>
              </w:rPr>
            </w:pPr>
            <w:r>
              <w:rPr>
                <w:color w:val="auto"/>
                <w:spacing w:val="11"/>
                <w:highlight w:val="none"/>
              </w:rPr>
              <w:t>3、若为小高层与高层，标准从</w:t>
            </w:r>
            <w:r>
              <w:rPr>
                <w:color w:val="auto"/>
                <w:spacing w:val="5"/>
                <w:highlight w:val="none"/>
              </w:rPr>
              <w:t xml:space="preserve"> </w:t>
            </w:r>
            <w:r>
              <w:rPr>
                <w:color w:val="auto"/>
                <w:spacing w:val="6"/>
                <w:highlight w:val="none"/>
              </w:rPr>
              <w:t>二类开始选择。</w:t>
            </w:r>
          </w:p>
        </w:tc>
      </w:tr>
      <w:tr w14:paraId="74853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58" w:type="dxa"/>
          <w:trHeight w:val="644" w:hRule="atLeast"/>
          <w:jc w:val="center"/>
        </w:trPr>
        <w:tc>
          <w:tcPr>
            <w:tcW w:w="1186" w:type="dxa"/>
            <w:gridSpan w:val="4"/>
            <w:shd w:val="clear" w:color="auto" w:fill="C0C0C0"/>
            <w:vAlign w:val="top"/>
          </w:tcPr>
          <w:p w14:paraId="3C0CB9FD">
            <w:pPr>
              <w:spacing w:before="275" w:line="229" w:lineRule="auto"/>
              <w:ind w:left="175"/>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服务项目</w:t>
            </w:r>
          </w:p>
        </w:tc>
        <w:tc>
          <w:tcPr>
            <w:tcW w:w="1881" w:type="dxa"/>
            <w:gridSpan w:val="4"/>
            <w:shd w:val="clear" w:color="auto" w:fill="C0C0C0"/>
            <w:vAlign w:val="top"/>
          </w:tcPr>
          <w:p w14:paraId="1C57402C">
            <w:pPr>
              <w:spacing w:before="275" w:line="229" w:lineRule="auto"/>
              <w:ind w:left="521"/>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服务等级</w:t>
            </w:r>
          </w:p>
        </w:tc>
        <w:tc>
          <w:tcPr>
            <w:tcW w:w="6668" w:type="dxa"/>
            <w:gridSpan w:val="7"/>
            <w:shd w:val="clear" w:color="auto" w:fill="C0C0C0"/>
            <w:vAlign w:val="top"/>
          </w:tcPr>
          <w:p w14:paraId="3F0B8D44">
            <w:pPr>
              <w:spacing w:before="275" w:line="229" w:lineRule="auto"/>
              <w:ind w:left="2916"/>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服务标准</w:t>
            </w:r>
          </w:p>
        </w:tc>
      </w:tr>
      <w:tr w14:paraId="46DF8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58" w:type="dxa"/>
          <w:trHeight w:val="1766" w:hRule="atLeast"/>
          <w:jc w:val="center"/>
        </w:trPr>
        <w:tc>
          <w:tcPr>
            <w:tcW w:w="1186" w:type="dxa"/>
            <w:gridSpan w:val="4"/>
            <w:vAlign w:val="top"/>
          </w:tcPr>
          <w:p w14:paraId="14195293">
            <w:pPr>
              <w:spacing w:line="272" w:lineRule="auto"/>
              <w:rPr>
                <w:rFonts w:ascii="Arial"/>
                <w:color w:val="auto"/>
                <w:sz w:val="21"/>
                <w:highlight w:val="none"/>
              </w:rPr>
            </w:pPr>
          </w:p>
          <w:p w14:paraId="094C20F4">
            <w:pPr>
              <w:spacing w:line="273" w:lineRule="auto"/>
              <w:rPr>
                <w:rFonts w:ascii="Arial"/>
                <w:color w:val="auto"/>
                <w:sz w:val="21"/>
                <w:highlight w:val="none"/>
              </w:rPr>
            </w:pPr>
          </w:p>
          <w:p w14:paraId="6FAFF1CB">
            <w:pPr>
              <w:pStyle w:val="131"/>
              <w:spacing w:before="65" w:line="228" w:lineRule="auto"/>
              <w:ind w:left="185"/>
              <w:rPr>
                <w:color w:val="auto"/>
                <w:highlight w:val="none"/>
              </w:rPr>
            </w:pPr>
            <w:r>
              <w:rPr>
                <w:color w:val="auto"/>
                <w:spacing w:val="5"/>
                <w:highlight w:val="none"/>
              </w:rPr>
              <w:t>公共照明</w:t>
            </w:r>
          </w:p>
          <w:p w14:paraId="619F4F78">
            <w:pPr>
              <w:pStyle w:val="131"/>
              <w:spacing w:before="192" w:line="229" w:lineRule="auto"/>
              <w:ind w:left="183"/>
              <w:rPr>
                <w:color w:val="auto"/>
                <w:highlight w:val="none"/>
              </w:rPr>
            </w:pPr>
            <w:r>
              <w:rPr>
                <w:color w:val="auto"/>
                <w:spacing w:val="-2"/>
                <w:highlight w:val="none"/>
              </w:rPr>
              <w:t>系</w:t>
            </w:r>
            <w:r>
              <w:rPr>
                <w:color w:val="auto"/>
                <w:spacing w:val="8"/>
                <w:highlight w:val="none"/>
              </w:rPr>
              <w:t xml:space="preserve">    </w:t>
            </w:r>
            <w:r>
              <w:rPr>
                <w:color w:val="auto"/>
                <w:spacing w:val="-2"/>
                <w:highlight w:val="none"/>
              </w:rPr>
              <w:t>统</w:t>
            </w:r>
          </w:p>
        </w:tc>
        <w:tc>
          <w:tcPr>
            <w:tcW w:w="1881" w:type="dxa"/>
            <w:gridSpan w:val="4"/>
            <w:vAlign w:val="top"/>
          </w:tcPr>
          <w:p w14:paraId="050532A4">
            <w:pPr>
              <w:spacing w:line="255" w:lineRule="auto"/>
              <w:rPr>
                <w:rFonts w:ascii="Arial"/>
                <w:color w:val="auto"/>
                <w:sz w:val="21"/>
                <w:highlight w:val="none"/>
              </w:rPr>
            </w:pPr>
          </w:p>
          <w:p w14:paraId="05D396DE">
            <w:pPr>
              <w:spacing w:line="255" w:lineRule="auto"/>
              <w:rPr>
                <w:rFonts w:ascii="Arial"/>
                <w:color w:val="auto"/>
                <w:sz w:val="21"/>
                <w:highlight w:val="none"/>
              </w:rPr>
            </w:pPr>
          </w:p>
          <w:p w14:paraId="64614100">
            <w:pPr>
              <w:spacing w:line="255" w:lineRule="auto"/>
              <w:rPr>
                <w:rFonts w:ascii="Arial"/>
                <w:color w:val="auto"/>
                <w:sz w:val="21"/>
                <w:highlight w:val="none"/>
              </w:rPr>
            </w:pPr>
          </w:p>
          <w:p w14:paraId="27A49107">
            <w:pPr>
              <w:pStyle w:val="131"/>
              <w:spacing w:before="65" w:line="228" w:lineRule="auto"/>
              <w:ind w:left="738"/>
              <w:rPr>
                <w:color w:val="auto"/>
                <w:highlight w:val="none"/>
              </w:rPr>
            </w:pPr>
            <w:r>
              <w:rPr>
                <w:color w:val="auto"/>
                <w:spacing w:val="3"/>
                <w:highlight w:val="none"/>
              </w:rPr>
              <w:t>二类</w:t>
            </w:r>
          </w:p>
        </w:tc>
        <w:tc>
          <w:tcPr>
            <w:tcW w:w="6668" w:type="dxa"/>
            <w:gridSpan w:val="7"/>
            <w:vAlign w:val="top"/>
          </w:tcPr>
          <w:p w14:paraId="458B325F">
            <w:pPr>
              <w:pStyle w:val="131"/>
              <w:spacing w:before="175" w:line="227" w:lineRule="auto"/>
              <w:ind w:left="122"/>
              <w:rPr>
                <w:color w:val="auto"/>
                <w:highlight w:val="none"/>
              </w:rPr>
            </w:pPr>
            <w:r>
              <w:rPr>
                <w:color w:val="auto"/>
                <w:spacing w:val="7"/>
                <w:highlight w:val="none"/>
              </w:rPr>
              <w:t>（1）楼道灯、道路灯完好率为</w:t>
            </w:r>
            <w:r>
              <w:rPr>
                <w:color w:val="auto"/>
                <w:spacing w:val="-38"/>
                <w:highlight w:val="none"/>
              </w:rPr>
              <w:t xml:space="preserve"> </w:t>
            </w:r>
            <w:r>
              <w:rPr>
                <w:color w:val="auto"/>
                <w:spacing w:val="7"/>
                <w:highlight w:val="none"/>
              </w:rPr>
              <w:t>85%左右（主</w:t>
            </w:r>
            <w:r>
              <w:rPr>
                <w:color w:val="auto"/>
                <w:spacing w:val="6"/>
                <w:highlight w:val="none"/>
              </w:rPr>
              <w:t>干道亮灯率</w:t>
            </w:r>
            <w:r>
              <w:rPr>
                <w:color w:val="auto"/>
                <w:spacing w:val="-22"/>
                <w:highlight w:val="none"/>
              </w:rPr>
              <w:t xml:space="preserve"> </w:t>
            </w:r>
            <w:r>
              <w:rPr>
                <w:color w:val="auto"/>
                <w:spacing w:val="6"/>
                <w:highlight w:val="none"/>
              </w:rPr>
              <w:t>100</w:t>
            </w:r>
            <w:r>
              <w:rPr>
                <w:color w:val="auto"/>
                <w:spacing w:val="-10"/>
                <w:highlight w:val="none"/>
              </w:rPr>
              <w:t>％）</w:t>
            </w:r>
            <w:r>
              <w:rPr>
                <w:color w:val="auto"/>
                <w:spacing w:val="-60"/>
                <w:highlight w:val="none"/>
              </w:rPr>
              <w:t xml:space="preserve"> </w:t>
            </w:r>
            <w:r>
              <w:rPr>
                <w:color w:val="auto"/>
                <w:spacing w:val="6"/>
                <w:highlight w:val="none"/>
              </w:rPr>
              <w:t>。</w:t>
            </w:r>
          </w:p>
          <w:p w14:paraId="1DFD83E3">
            <w:pPr>
              <w:pStyle w:val="131"/>
              <w:spacing w:before="192" w:line="228" w:lineRule="auto"/>
              <w:ind w:left="122"/>
              <w:rPr>
                <w:color w:val="auto"/>
                <w:highlight w:val="none"/>
              </w:rPr>
            </w:pPr>
            <w:r>
              <w:rPr>
                <w:color w:val="auto"/>
                <w:spacing w:val="7"/>
                <w:highlight w:val="none"/>
              </w:rPr>
              <w:t>（2）景观灯、节日彩灯完好率为</w:t>
            </w:r>
            <w:r>
              <w:rPr>
                <w:color w:val="auto"/>
                <w:spacing w:val="-36"/>
                <w:highlight w:val="none"/>
              </w:rPr>
              <w:t xml:space="preserve"> </w:t>
            </w:r>
            <w:r>
              <w:rPr>
                <w:color w:val="auto"/>
                <w:spacing w:val="7"/>
                <w:highlight w:val="none"/>
              </w:rPr>
              <w:t>80%左右。</w:t>
            </w:r>
          </w:p>
          <w:p w14:paraId="236A6113">
            <w:pPr>
              <w:pStyle w:val="131"/>
              <w:spacing w:before="192" w:line="228" w:lineRule="auto"/>
              <w:ind w:left="122"/>
              <w:rPr>
                <w:color w:val="auto"/>
                <w:highlight w:val="none"/>
              </w:rPr>
            </w:pPr>
            <w:r>
              <w:rPr>
                <w:color w:val="auto"/>
                <w:spacing w:val="8"/>
                <w:highlight w:val="none"/>
              </w:rPr>
              <w:t>（3）室内、室外公共电气柜每月巡查二次。</w:t>
            </w:r>
          </w:p>
          <w:p w14:paraId="2EFBDC1A">
            <w:pPr>
              <w:pStyle w:val="131"/>
              <w:spacing w:before="194" w:line="228" w:lineRule="auto"/>
              <w:ind w:left="122"/>
              <w:rPr>
                <w:color w:val="auto"/>
                <w:highlight w:val="none"/>
              </w:rPr>
            </w:pPr>
            <w:r>
              <w:rPr>
                <w:color w:val="auto"/>
                <w:spacing w:val="8"/>
                <w:highlight w:val="none"/>
              </w:rPr>
              <w:t>（4）限电、停电按规定时间通知业主或使用人。</w:t>
            </w:r>
          </w:p>
        </w:tc>
      </w:tr>
      <w:tr w14:paraId="31D4A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58" w:type="dxa"/>
          <w:trHeight w:val="765" w:hRule="atLeast"/>
          <w:jc w:val="center"/>
        </w:trPr>
        <w:tc>
          <w:tcPr>
            <w:tcW w:w="1186" w:type="dxa"/>
            <w:gridSpan w:val="4"/>
            <w:shd w:val="clear" w:color="auto" w:fill="C0C0C0"/>
            <w:vAlign w:val="top"/>
          </w:tcPr>
          <w:p w14:paraId="7BBCBE78">
            <w:pPr>
              <w:spacing w:line="269" w:lineRule="auto"/>
              <w:rPr>
                <w:rFonts w:ascii="Arial"/>
                <w:color w:val="auto"/>
                <w:sz w:val="21"/>
                <w:highlight w:val="none"/>
              </w:rPr>
            </w:pPr>
          </w:p>
          <w:p w14:paraId="78715FA9">
            <w:pPr>
              <w:spacing w:before="65" w:line="229" w:lineRule="auto"/>
              <w:ind w:left="217"/>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服务项目</w:t>
            </w:r>
          </w:p>
        </w:tc>
        <w:tc>
          <w:tcPr>
            <w:tcW w:w="1881" w:type="dxa"/>
            <w:gridSpan w:val="4"/>
            <w:shd w:val="clear" w:color="auto" w:fill="C0C0C0"/>
            <w:vAlign w:val="top"/>
          </w:tcPr>
          <w:p w14:paraId="4FA8AA92">
            <w:pPr>
              <w:spacing w:line="269" w:lineRule="auto"/>
              <w:rPr>
                <w:rFonts w:ascii="Arial"/>
                <w:color w:val="auto"/>
                <w:sz w:val="21"/>
                <w:highlight w:val="none"/>
              </w:rPr>
            </w:pPr>
          </w:p>
          <w:p w14:paraId="17313BA3">
            <w:pPr>
              <w:spacing w:before="65" w:line="229" w:lineRule="auto"/>
              <w:ind w:left="515"/>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服务等级</w:t>
            </w:r>
          </w:p>
        </w:tc>
        <w:tc>
          <w:tcPr>
            <w:tcW w:w="6668" w:type="dxa"/>
            <w:gridSpan w:val="7"/>
            <w:shd w:val="clear" w:color="auto" w:fill="C0C0C0"/>
            <w:vAlign w:val="top"/>
          </w:tcPr>
          <w:p w14:paraId="204C45C6">
            <w:pPr>
              <w:spacing w:line="269" w:lineRule="auto"/>
              <w:rPr>
                <w:rFonts w:ascii="Arial"/>
                <w:color w:val="auto"/>
                <w:sz w:val="21"/>
                <w:highlight w:val="none"/>
              </w:rPr>
            </w:pPr>
          </w:p>
          <w:p w14:paraId="66FD3C52">
            <w:pPr>
              <w:spacing w:before="65" w:line="229" w:lineRule="auto"/>
              <w:ind w:left="2877"/>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服务标准</w:t>
            </w:r>
          </w:p>
        </w:tc>
      </w:tr>
      <w:tr w14:paraId="253B2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58" w:type="dxa"/>
          <w:trHeight w:val="1763" w:hRule="atLeast"/>
          <w:jc w:val="center"/>
        </w:trPr>
        <w:tc>
          <w:tcPr>
            <w:tcW w:w="1186" w:type="dxa"/>
            <w:gridSpan w:val="4"/>
            <w:vAlign w:val="top"/>
          </w:tcPr>
          <w:p w14:paraId="46723064">
            <w:pPr>
              <w:spacing w:line="254" w:lineRule="auto"/>
              <w:rPr>
                <w:rFonts w:ascii="Arial"/>
                <w:color w:val="auto"/>
                <w:sz w:val="21"/>
                <w:highlight w:val="none"/>
              </w:rPr>
            </w:pPr>
          </w:p>
          <w:p w14:paraId="2B5F5475">
            <w:pPr>
              <w:spacing w:line="254" w:lineRule="auto"/>
              <w:rPr>
                <w:rFonts w:ascii="Arial"/>
                <w:color w:val="auto"/>
                <w:sz w:val="21"/>
                <w:highlight w:val="none"/>
              </w:rPr>
            </w:pPr>
          </w:p>
          <w:p w14:paraId="3961F127">
            <w:pPr>
              <w:spacing w:line="255" w:lineRule="auto"/>
              <w:rPr>
                <w:rFonts w:ascii="Arial"/>
                <w:color w:val="auto"/>
                <w:sz w:val="21"/>
                <w:highlight w:val="none"/>
              </w:rPr>
            </w:pPr>
          </w:p>
          <w:p w14:paraId="280A26ED">
            <w:pPr>
              <w:pStyle w:val="131"/>
              <w:spacing w:before="65" w:line="228" w:lineRule="auto"/>
              <w:ind w:left="224"/>
              <w:rPr>
                <w:color w:val="auto"/>
                <w:highlight w:val="none"/>
              </w:rPr>
            </w:pPr>
            <w:r>
              <w:rPr>
                <w:color w:val="auto"/>
                <w:spacing w:val="6"/>
                <w:highlight w:val="none"/>
              </w:rPr>
              <w:t>消防系统</w:t>
            </w:r>
          </w:p>
        </w:tc>
        <w:tc>
          <w:tcPr>
            <w:tcW w:w="1881" w:type="dxa"/>
            <w:gridSpan w:val="4"/>
            <w:vAlign w:val="top"/>
          </w:tcPr>
          <w:p w14:paraId="6AEC7C3D">
            <w:pPr>
              <w:spacing w:line="254" w:lineRule="auto"/>
              <w:rPr>
                <w:rFonts w:ascii="Arial"/>
                <w:color w:val="auto"/>
                <w:sz w:val="21"/>
                <w:highlight w:val="none"/>
              </w:rPr>
            </w:pPr>
          </w:p>
          <w:p w14:paraId="60337270">
            <w:pPr>
              <w:spacing w:line="254" w:lineRule="auto"/>
              <w:rPr>
                <w:rFonts w:ascii="Arial"/>
                <w:color w:val="auto"/>
                <w:sz w:val="21"/>
                <w:highlight w:val="none"/>
              </w:rPr>
            </w:pPr>
          </w:p>
          <w:p w14:paraId="3B617E8C">
            <w:pPr>
              <w:spacing w:line="254" w:lineRule="auto"/>
              <w:rPr>
                <w:rFonts w:ascii="Arial"/>
                <w:color w:val="auto"/>
                <w:sz w:val="21"/>
                <w:highlight w:val="none"/>
              </w:rPr>
            </w:pPr>
          </w:p>
          <w:p w14:paraId="356E3F89">
            <w:pPr>
              <w:pStyle w:val="131"/>
              <w:spacing w:before="65" w:line="228" w:lineRule="auto"/>
              <w:ind w:left="731"/>
              <w:rPr>
                <w:color w:val="auto"/>
                <w:highlight w:val="none"/>
              </w:rPr>
            </w:pPr>
            <w:r>
              <w:rPr>
                <w:color w:val="auto"/>
                <w:spacing w:val="3"/>
                <w:highlight w:val="none"/>
              </w:rPr>
              <w:t>二类</w:t>
            </w:r>
          </w:p>
        </w:tc>
        <w:tc>
          <w:tcPr>
            <w:tcW w:w="6668" w:type="dxa"/>
            <w:gridSpan w:val="7"/>
            <w:vAlign w:val="top"/>
          </w:tcPr>
          <w:p w14:paraId="1CA772E3">
            <w:pPr>
              <w:pStyle w:val="131"/>
              <w:spacing w:before="172" w:line="228" w:lineRule="auto"/>
              <w:ind w:left="123"/>
              <w:rPr>
                <w:color w:val="auto"/>
                <w:highlight w:val="none"/>
              </w:rPr>
            </w:pPr>
            <w:r>
              <w:rPr>
                <w:color w:val="auto"/>
                <w:spacing w:val="8"/>
                <w:highlight w:val="none"/>
              </w:rPr>
              <w:t>（1）消防泵、消火栓每年检查二次，每年保养一次。</w:t>
            </w:r>
          </w:p>
          <w:p w14:paraId="2B12FBFA">
            <w:pPr>
              <w:pStyle w:val="131"/>
              <w:spacing w:before="194" w:line="228" w:lineRule="auto"/>
              <w:ind w:left="123"/>
              <w:rPr>
                <w:color w:val="auto"/>
                <w:highlight w:val="none"/>
              </w:rPr>
            </w:pPr>
            <w:r>
              <w:rPr>
                <w:color w:val="auto"/>
                <w:spacing w:val="7"/>
                <w:highlight w:val="none"/>
              </w:rPr>
              <w:t>（2）灭火器每年检查一次。</w:t>
            </w:r>
          </w:p>
          <w:p w14:paraId="51869A2A">
            <w:pPr>
              <w:pStyle w:val="131"/>
              <w:spacing w:before="192" w:line="228" w:lineRule="auto"/>
              <w:ind w:left="123"/>
              <w:rPr>
                <w:color w:val="auto"/>
                <w:highlight w:val="none"/>
              </w:rPr>
            </w:pPr>
            <w:r>
              <w:rPr>
                <w:color w:val="auto"/>
                <w:spacing w:val="8"/>
                <w:highlight w:val="none"/>
              </w:rPr>
              <w:t>（3）消防水带每年检查一次，消防管网压力每年检查二次。</w:t>
            </w:r>
          </w:p>
          <w:p w14:paraId="4B98A694">
            <w:pPr>
              <w:pStyle w:val="131"/>
              <w:spacing w:before="192" w:line="227" w:lineRule="auto"/>
              <w:ind w:left="123"/>
              <w:rPr>
                <w:color w:val="auto"/>
                <w:highlight w:val="none"/>
              </w:rPr>
            </w:pPr>
            <w:r>
              <w:rPr>
                <w:color w:val="auto"/>
                <w:spacing w:val="7"/>
                <w:highlight w:val="none"/>
              </w:rPr>
              <w:t>（4）每年对消防知识进行一次宣传。</w:t>
            </w:r>
          </w:p>
        </w:tc>
      </w:tr>
      <w:tr w14:paraId="4E4C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58" w:type="dxa"/>
          <w:trHeight w:val="605" w:hRule="atLeast"/>
          <w:jc w:val="center"/>
        </w:trPr>
        <w:tc>
          <w:tcPr>
            <w:tcW w:w="1186" w:type="dxa"/>
            <w:gridSpan w:val="4"/>
            <w:shd w:val="clear" w:color="auto" w:fill="C0C0C0"/>
            <w:vAlign w:val="top"/>
          </w:tcPr>
          <w:p w14:paraId="04E2FC45">
            <w:pPr>
              <w:spacing w:before="260" w:line="229" w:lineRule="auto"/>
              <w:ind w:left="231"/>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服务项目</w:t>
            </w:r>
          </w:p>
        </w:tc>
        <w:tc>
          <w:tcPr>
            <w:tcW w:w="1881" w:type="dxa"/>
            <w:gridSpan w:val="4"/>
            <w:shd w:val="clear" w:color="auto" w:fill="C0C0C0"/>
            <w:vAlign w:val="top"/>
          </w:tcPr>
          <w:p w14:paraId="64B0F72D">
            <w:pPr>
              <w:spacing w:before="260" w:line="229" w:lineRule="auto"/>
              <w:ind w:left="541"/>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服务等级</w:t>
            </w:r>
          </w:p>
        </w:tc>
        <w:tc>
          <w:tcPr>
            <w:tcW w:w="6668" w:type="dxa"/>
            <w:gridSpan w:val="7"/>
            <w:shd w:val="clear" w:color="auto" w:fill="C0C0C0"/>
            <w:vAlign w:val="top"/>
          </w:tcPr>
          <w:p w14:paraId="4045A8F0">
            <w:pPr>
              <w:spacing w:before="260" w:line="229" w:lineRule="auto"/>
              <w:ind w:left="2915"/>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服务标准</w:t>
            </w:r>
          </w:p>
        </w:tc>
      </w:tr>
      <w:tr w14:paraId="2C164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58" w:type="dxa"/>
          <w:trHeight w:val="1768" w:hRule="atLeast"/>
          <w:jc w:val="center"/>
        </w:trPr>
        <w:tc>
          <w:tcPr>
            <w:tcW w:w="1186" w:type="dxa"/>
            <w:gridSpan w:val="4"/>
            <w:vAlign w:val="top"/>
          </w:tcPr>
          <w:p w14:paraId="05FCE48D">
            <w:pPr>
              <w:spacing w:line="273" w:lineRule="auto"/>
              <w:rPr>
                <w:rFonts w:ascii="Arial"/>
                <w:color w:val="auto"/>
                <w:sz w:val="21"/>
                <w:highlight w:val="none"/>
              </w:rPr>
            </w:pPr>
          </w:p>
          <w:p w14:paraId="20C2E12F">
            <w:pPr>
              <w:spacing w:line="274" w:lineRule="auto"/>
              <w:rPr>
                <w:rFonts w:ascii="Arial"/>
                <w:color w:val="auto"/>
                <w:sz w:val="21"/>
                <w:highlight w:val="none"/>
              </w:rPr>
            </w:pPr>
          </w:p>
          <w:p w14:paraId="423EC715">
            <w:pPr>
              <w:pStyle w:val="131"/>
              <w:spacing w:before="65" w:line="408" w:lineRule="auto"/>
              <w:ind w:left="342" w:right="249"/>
              <w:rPr>
                <w:color w:val="auto"/>
                <w:highlight w:val="none"/>
              </w:rPr>
            </w:pPr>
            <w:r>
              <w:rPr>
                <w:color w:val="auto"/>
                <w:spacing w:val="5"/>
                <w:highlight w:val="none"/>
              </w:rPr>
              <w:t>智能化</w:t>
            </w:r>
            <w:r>
              <w:rPr>
                <w:color w:val="auto"/>
                <w:highlight w:val="none"/>
              </w:rPr>
              <w:t xml:space="preserve"> </w:t>
            </w:r>
            <w:r>
              <w:rPr>
                <w:color w:val="auto"/>
                <w:spacing w:val="-4"/>
                <w:highlight w:val="none"/>
              </w:rPr>
              <w:t>系</w:t>
            </w:r>
            <w:r>
              <w:rPr>
                <w:color w:val="auto"/>
                <w:spacing w:val="12"/>
                <w:highlight w:val="none"/>
              </w:rPr>
              <w:t xml:space="preserve">  </w:t>
            </w:r>
            <w:r>
              <w:rPr>
                <w:color w:val="auto"/>
                <w:spacing w:val="-4"/>
                <w:highlight w:val="none"/>
              </w:rPr>
              <w:t>统</w:t>
            </w:r>
          </w:p>
        </w:tc>
        <w:tc>
          <w:tcPr>
            <w:tcW w:w="1881" w:type="dxa"/>
            <w:gridSpan w:val="4"/>
            <w:vAlign w:val="top"/>
          </w:tcPr>
          <w:p w14:paraId="21DC3EC6">
            <w:pPr>
              <w:spacing w:line="255" w:lineRule="auto"/>
              <w:rPr>
                <w:rFonts w:ascii="Arial"/>
                <w:color w:val="auto"/>
                <w:sz w:val="21"/>
                <w:highlight w:val="none"/>
              </w:rPr>
            </w:pPr>
          </w:p>
          <w:p w14:paraId="124B7B9E">
            <w:pPr>
              <w:spacing w:line="255" w:lineRule="auto"/>
              <w:rPr>
                <w:rFonts w:ascii="Arial"/>
                <w:color w:val="auto"/>
                <w:sz w:val="21"/>
                <w:highlight w:val="none"/>
              </w:rPr>
            </w:pPr>
          </w:p>
          <w:p w14:paraId="04CE6D42">
            <w:pPr>
              <w:spacing w:line="255" w:lineRule="auto"/>
              <w:rPr>
                <w:rFonts w:ascii="Arial"/>
                <w:color w:val="auto"/>
                <w:sz w:val="21"/>
                <w:highlight w:val="none"/>
              </w:rPr>
            </w:pPr>
          </w:p>
          <w:p w14:paraId="3B8A25A3">
            <w:pPr>
              <w:pStyle w:val="131"/>
              <w:spacing w:before="65" w:line="228" w:lineRule="auto"/>
              <w:ind w:left="757"/>
              <w:rPr>
                <w:color w:val="auto"/>
                <w:highlight w:val="none"/>
              </w:rPr>
            </w:pPr>
            <w:r>
              <w:rPr>
                <w:color w:val="auto"/>
                <w:spacing w:val="3"/>
                <w:highlight w:val="none"/>
              </w:rPr>
              <w:t>二类</w:t>
            </w:r>
          </w:p>
        </w:tc>
        <w:tc>
          <w:tcPr>
            <w:tcW w:w="6668" w:type="dxa"/>
            <w:gridSpan w:val="7"/>
            <w:vAlign w:val="top"/>
          </w:tcPr>
          <w:p w14:paraId="0535C59F">
            <w:pPr>
              <w:pStyle w:val="131"/>
              <w:spacing w:before="176" w:line="347" w:lineRule="auto"/>
              <w:ind w:left="114" w:right="108" w:firstLine="9"/>
              <w:rPr>
                <w:color w:val="auto"/>
                <w:highlight w:val="none"/>
              </w:rPr>
            </w:pPr>
            <w:r>
              <w:rPr>
                <w:color w:val="auto"/>
                <w:spacing w:val="9"/>
                <w:highlight w:val="none"/>
              </w:rPr>
              <w:t>（1）弱电系统配置完善（至少能有录像监控、楼宇对讲、周界报警、</w:t>
            </w:r>
            <w:r>
              <w:rPr>
                <w:color w:val="auto"/>
                <w:spacing w:val="16"/>
                <w:highlight w:val="none"/>
              </w:rPr>
              <w:t xml:space="preserve"> </w:t>
            </w:r>
            <w:r>
              <w:rPr>
                <w:color w:val="auto"/>
                <w:spacing w:val="8"/>
                <w:highlight w:val="none"/>
              </w:rPr>
              <w:t>巡更系统、电子显示屏、住户报警、门锁智能卡</w:t>
            </w:r>
            <w:r>
              <w:rPr>
                <w:color w:val="auto"/>
                <w:spacing w:val="7"/>
                <w:highlight w:val="none"/>
              </w:rPr>
              <w:t>其中的三项及三项以上</w:t>
            </w:r>
            <w:r>
              <w:rPr>
                <w:color w:val="auto"/>
                <w:highlight w:val="none"/>
              </w:rPr>
              <w:t xml:space="preserve"> </w:t>
            </w:r>
            <w:r>
              <w:rPr>
                <w:color w:val="auto"/>
                <w:spacing w:val="2"/>
                <w:highlight w:val="none"/>
              </w:rPr>
              <w:t>系统）。</w:t>
            </w:r>
          </w:p>
          <w:p w14:paraId="347121F9">
            <w:pPr>
              <w:pStyle w:val="131"/>
              <w:spacing w:before="190" w:line="228" w:lineRule="auto"/>
              <w:ind w:left="123"/>
              <w:rPr>
                <w:color w:val="auto"/>
                <w:highlight w:val="none"/>
              </w:rPr>
            </w:pPr>
            <w:r>
              <w:rPr>
                <w:color w:val="auto"/>
                <w:spacing w:val="8"/>
                <w:highlight w:val="none"/>
              </w:rPr>
              <w:t>（2）系统每月检查一次，发现问题及时维修。</w:t>
            </w:r>
          </w:p>
        </w:tc>
      </w:tr>
      <w:tr w14:paraId="51E59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58" w:type="dxa"/>
          <w:trHeight w:val="704" w:hRule="atLeast"/>
          <w:jc w:val="center"/>
        </w:trPr>
        <w:tc>
          <w:tcPr>
            <w:tcW w:w="1186" w:type="dxa"/>
            <w:gridSpan w:val="4"/>
            <w:shd w:val="clear" w:color="auto" w:fill="C0C0C0"/>
            <w:vAlign w:val="top"/>
          </w:tcPr>
          <w:p w14:paraId="4152A732">
            <w:pPr>
              <w:rPr>
                <w:rFonts w:ascii="Arial"/>
                <w:color w:val="auto"/>
                <w:sz w:val="21"/>
                <w:highlight w:val="none"/>
              </w:rPr>
            </w:pPr>
          </w:p>
          <w:p w14:paraId="6498CB06">
            <w:pPr>
              <w:spacing w:before="65" w:line="229" w:lineRule="auto"/>
              <w:ind w:left="157"/>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服务项目</w:t>
            </w:r>
          </w:p>
        </w:tc>
        <w:tc>
          <w:tcPr>
            <w:tcW w:w="8549" w:type="dxa"/>
            <w:gridSpan w:val="11"/>
            <w:shd w:val="clear" w:color="auto" w:fill="C0C0C0"/>
            <w:vAlign w:val="top"/>
          </w:tcPr>
          <w:p w14:paraId="578E71DC">
            <w:pPr>
              <w:rPr>
                <w:rFonts w:ascii="Arial"/>
                <w:color w:val="auto"/>
                <w:sz w:val="21"/>
                <w:highlight w:val="none"/>
              </w:rPr>
            </w:pPr>
          </w:p>
          <w:p w14:paraId="73F32895">
            <w:pPr>
              <w:spacing w:before="65" w:line="229" w:lineRule="auto"/>
              <w:ind w:left="3863"/>
              <w:rPr>
                <w:rFonts w:ascii="黑体" w:hAnsi="黑体" w:eastAsia="黑体" w:cs="黑体"/>
                <w:color w:val="auto"/>
                <w:sz w:val="20"/>
                <w:szCs w:val="20"/>
                <w:highlight w:val="none"/>
              </w:rPr>
            </w:pPr>
            <w:r>
              <w:rPr>
                <w:rFonts w:ascii="黑体" w:hAnsi="黑体" w:eastAsia="黑体" w:cs="黑体"/>
                <w:b/>
                <w:bCs/>
                <w:color w:val="auto"/>
                <w:spacing w:val="6"/>
                <w:sz w:val="20"/>
                <w:szCs w:val="20"/>
                <w:highlight w:val="none"/>
              </w:rPr>
              <w:t>服务标准</w:t>
            </w:r>
          </w:p>
        </w:tc>
      </w:tr>
      <w:tr w14:paraId="0019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58" w:type="dxa"/>
          <w:trHeight w:val="917" w:hRule="atLeast"/>
          <w:jc w:val="center"/>
        </w:trPr>
        <w:tc>
          <w:tcPr>
            <w:tcW w:w="1186" w:type="dxa"/>
            <w:gridSpan w:val="4"/>
            <w:vAlign w:val="top"/>
          </w:tcPr>
          <w:p w14:paraId="7030C267">
            <w:pPr>
              <w:spacing w:line="344" w:lineRule="auto"/>
              <w:rPr>
                <w:rFonts w:ascii="Arial"/>
                <w:color w:val="auto"/>
                <w:sz w:val="21"/>
                <w:highlight w:val="none"/>
              </w:rPr>
            </w:pPr>
          </w:p>
          <w:p w14:paraId="301D41C9">
            <w:pPr>
              <w:pStyle w:val="131"/>
              <w:spacing w:before="65" w:line="228" w:lineRule="auto"/>
              <w:ind w:left="156"/>
              <w:rPr>
                <w:color w:val="auto"/>
                <w:highlight w:val="none"/>
              </w:rPr>
            </w:pPr>
            <w:r>
              <w:rPr>
                <w:color w:val="auto"/>
                <w:spacing w:val="7"/>
                <w:highlight w:val="none"/>
              </w:rPr>
              <w:t>避雷系统</w:t>
            </w:r>
          </w:p>
        </w:tc>
        <w:tc>
          <w:tcPr>
            <w:tcW w:w="8549" w:type="dxa"/>
            <w:gridSpan w:val="11"/>
            <w:vAlign w:val="top"/>
          </w:tcPr>
          <w:p w14:paraId="49F6F0A4">
            <w:pPr>
              <w:spacing w:line="343" w:lineRule="auto"/>
              <w:rPr>
                <w:rFonts w:ascii="Arial"/>
                <w:color w:val="auto"/>
                <w:sz w:val="21"/>
                <w:highlight w:val="none"/>
              </w:rPr>
            </w:pPr>
          </w:p>
          <w:p w14:paraId="278E6D8D">
            <w:pPr>
              <w:pStyle w:val="131"/>
              <w:spacing w:before="65" w:line="228" w:lineRule="auto"/>
              <w:ind w:left="2603"/>
              <w:rPr>
                <w:color w:val="auto"/>
                <w:highlight w:val="none"/>
              </w:rPr>
            </w:pPr>
            <w:r>
              <w:rPr>
                <w:color w:val="auto"/>
                <w:spacing w:val="8"/>
                <w:highlight w:val="none"/>
              </w:rPr>
              <w:t>避雷装置保证其性能符合国家标准。</w:t>
            </w:r>
          </w:p>
        </w:tc>
      </w:tr>
    </w:tbl>
    <w:p w14:paraId="302876A5">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说明：</w:t>
      </w:r>
    </w:p>
    <w:p w14:paraId="13A04887">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1、消防、避雷、电梯等专用设备的养护标准如与专业标准有不相一致的地方，以专业 标准为准。</w:t>
      </w:r>
    </w:p>
    <w:p w14:paraId="50E957B7">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2、住宅区内的设备应建立设备台帐，并有保养、维修记录。</w:t>
      </w:r>
    </w:p>
    <w:p w14:paraId="30EBD8A2">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3、保修期内，属建设单位负责保养（修）设施（备）的，由建设单位承担费用。</w:t>
      </w:r>
    </w:p>
    <w:p w14:paraId="47543D19">
      <w:pPr>
        <w:keepNext w:val="0"/>
        <w:keepLines w:val="0"/>
        <w:pageBreakBefore w:val="0"/>
        <w:kinsoku/>
        <w:overflowPunct/>
        <w:topLinePunct w:val="0"/>
        <w:autoSpaceDE/>
        <w:autoSpaceDN/>
        <w:bidi w:val="0"/>
        <w:snapToGrid w:val="0"/>
        <w:spacing w:line="500" w:lineRule="exact"/>
        <w:ind w:right="-212" w:rightChars="-101"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4、每个小区必须配备专职水电工、消防及电梯维修工。</w:t>
      </w:r>
    </w:p>
    <w:p w14:paraId="370CE144">
      <w:pPr>
        <w:rPr>
          <w:rFonts w:hint="eastAsia" w:ascii="宋体"/>
          <w:b/>
          <w:bCs/>
          <w:color w:val="auto"/>
          <w:sz w:val="36"/>
          <w:szCs w:val="52"/>
          <w:highlight w:val="none"/>
        </w:rPr>
      </w:pPr>
      <w:r>
        <w:rPr>
          <w:rFonts w:hint="eastAsia" w:ascii="宋体"/>
          <w:b/>
          <w:bCs/>
          <w:color w:val="auto"/>
          <w:sz w:val="36"/>
          <w:szCs w:val="52"/>
          <w:highlight w:val="none"/>
        </w:rPr>
        <w:br w:type="page"/>
      </w:r>
    </w:p>
    <w:p w14:paraId="443B81FD">
      <w:pPr>
        <w:spacing w:line="440" w:lineRule="exact"/>
        <w:ind w:firstLine="542" w:firstLineChars="150"/>
        <w:jc w:val="center"/>
        <w:rPr>
          <w:rFonts w:ascii="宋体"/>
          <w:b w:val="0"/>
          <w:color w:val="auto"/>
          <w:szCs w:val="32"/>
          <w:highlight w:val="none"/>
        </w:rPr>
      </w:pPr>
      <w:r>
        <w:rPr>
          <w:rFonts w:hint="eastAsia" w:ascii="宋体"/>
          <w:b/>
          <w:bCs/>
          <w:color w:val="auto"/>
          <w:sz w:val="36"/>
          <w:szCs w:val="52"/>
          <w:highlight w:val="none"/>
        </w:rPr>
        <w:t>第五章  合同条款及格式</w:t>
      </w:r>
      <w:bookmarkEnd w:id="79"/>
      <w:bookmarkEnd w:id="80"/>
    </w:p>
    <w:p w14:paraId="6DC59A81">
      <w:pPr>
        <w:spacing w:before="91" w:line="423" w:lineRule="auto"/>
        <w:ind w:left="49" w:right="851" w:firstLine="767"/>
        <w:rPr>
          <w:rFonts w:ascii="宋体" w:hAnsi="宋体" w:eastAsia="宋体" w:cs="宋体"/>
          <w:color w:val="auto"/>
          <w:spacing w:val="17"/>
          <w:sz w:val="28"/>
          <w:szCs w:val="28"/>
          <w:highlight w:val="none"/>
        </w:rPr>
      </w:pPr>
      <w:bookmarkStart w:id="81" w:name="_Toc449028948"/>
      <w:r>
        <w:rPr>
          <w:rFonts w:ascii="宋体" w:hAnsi="宋体" w:eastAsia="宋体" w:cs="宋体"/>
          <w:color w:val="auto"/>
          <w:spacing w:val="-2"/>
          <w:sz w:val="28"/>
          <w:szCs w:val="28"/>
          <w:highlight w:val="none"/>
        </w:rPr>
        <w:t>签订合同时，仅以此本文为基准，具体条款双方协定）</w:t>
      </w:r>
      <w:r>
        <w:rPr>
          <w:rFonts w:ascii="宋体" w:hAnsi="宋体" w:eastAsia="宋体" w:cs="宋体"/>
          <w:color w:val="auto"/>
          <w:spacing w:val="17"/>
          <w:sz w:val="28"/>
          <w:szCs w:val="28"/>
          <w:highlight w:val="none"/>
        </w:rPr>
        <w:t xml:space="preserve"> </w:t>
      </w:r>
    </w:p>
    <w:p w14:paraId="14757629">
      <w:pPr>
        <w:spacing w:before="91" w:line="423" w:lineRule="auto"/>
        <w:ind w:right="85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甲方：</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0"/>
          <w:sz w:val="20"/>
          <w:szCs w:val="20"/>
          <w:highlight w:val="none"/>
        </w:rPr>
        <w:t xml:space="preserve"> </w:t>
      </w:r>
      <w:r>
        <w:rPr>
          <w:rFonts w:ascii="宋体" w:hAnsi="宋体" w:eastAsia="宋体" w:cs="宋体"/>
          <w:color w:val="auto"/>
          <w:spacing w:val="3"/>
          <w:sz w:val="20"/>
          <w:szCs w:val="20"/>
          <w:highlight w:val="none"/>
        </w:rPr>
        <w:t>；法定代表人：</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3"/>
          <w:sz w:val="20"/>
          <w:szCs w:val="20"/>
          <w:highlight w:val="none"/>
        </w:rPr>
        <w:t>；</w:t>
      </w:r>
    </w:p>
    <w:p w14:paraId="441C9D2C">
      <w:pPr>
        <w:spacing w:line="227" w:lineRule="auto"/>
        <w:ind w:left="2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住所地</w:t>
      </w:r>
      <w:r>
        <w:rPr>
          <w:rFonts w:ascii="宋体" w:hAnsi="宋体" w:eastAsia="宋体" w:cs="宋体"/>
          <w:color w:val="auto"/>
          <w:spacing w:val="8"/>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4"/>
          <w:sz w:val="20"/>
          <w:szCs w:val="20"/>
          <w:highlight w:val="none"/>
        </w:rPr>
        <w:t>邮编：</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4"/>
          <w:sz w:val="20"/>
          <w:szCs w:val="20"/>
          <w:highlight w:val="none"/>
        </w:rPr>
        <w:t>。</w:t>
      </w:r>
    </w:p>
    <w:p w14:paraId="01D5FB62">
      <w:pPr>
        <w:spacing w:before="221" w:line="228" w:lineRule="auto"/>
        <w:jc w:val="righ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乙方</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2"/>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rPr>
        <w:t>法定代表人</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4"/>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rPr>
        <w:t>住所地</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39C879E9">
      <w:pPr>
        <w:spacing w:before="221" w:line="227" w:lineRule="auto"/>
        <w:ind w:left="37"/>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邮编</w:t>
      </w:r>
      <w:r>
        <w:rPr>
          <w:rFonts w:ascii="宋体" w:hAnsi="宋体" w:eastAsia="宋体" w:cs="宋体"/>
          <w:color w:val="auto"/>
          <w:spacing w:val="-10"/>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1"/>
          <w:sz w:val="20"/>
          <w:szCs w:val="20"/>
          <w:highlight w:val="none"/>
        </w:rPr>
        <w:t xml:space="preserve"> </w:t>
      </w:r>
      <w:r>
        <w:rPr>
          <w:rFonts w:ascii="宋体" w:hAnsi="宋体" w:eastAsia="宋体" w:cs="宋体"/>
          <w:color w:val="auto"/>
          <w:spacing w:val="-10"/>
          <w:sz w:val="20"/>
          <w:szCs w:val="20"/>
          <w:highlight w:val="none"/>
        </w:rPr>
        <w:t>；</w:t>
      </w:r>
      <w:r>
        <w:rPr>
          <w:rFonts w:ascii="宋体" w:hAnsi="宋体" w:eastAsia="宋体" w:cs="宋体"/>
          <w:color w:val="auto"/>
          <w:spacing w:val="3"/>
          <w:sz w:val="20"/>
          <w:szCs w:val="20"/>
          <w:highlight w:val="none"/>
        </w:rPr>
        <w:t>资质等级</w:t>
      </w:r>
      <w:r>
        <w:rPr>
          <w:rFonts w:ascii="宋体" w:hAnsi="宋体" w:eastAsia="宋体" w:cs="宋体"/>
          <w:color w:val="auto"/>
          <w:spacing w:val="-10"/>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4"/>
          <w:sz w:val="20"/>
          <w:szCs w:val="20"/>
          <w:highlight w:val="none"/>
        </w:rPr>
        <w:t xml:space="preserve"> </w:t>
      </w:r>
      <w:r>
        <w:rPr>
          <w:rFonts w:ascii="宋体" w:hAnsi="宋体" w:eastAsia="宋体" w:cs="宋体"/>
          <w:color w:val="auto"/>
          <w:spacing w:val="-10"/>
          <w:sz w:val="20"/>
          <w:szCs w:val="20"/>
          <w:highlight w:val="none"/>
        </w:rPr>
        <w:t>；</w:t>
      </w:r>
      <w:r>
        <w:rPr>
          <w:rFonts w:ascii="宋体" w:hAnsi="宋体" w:eastAsia="宋体" w:cs="宋体"/>
          <w:color w:val="auto"/>
          <w:spacing w:val="3"/>
          <w:sz w:val="20"/>
          <w:szCs w:val="20"/>
          <w:highlight w:val="none"/>
        </w:rPr>
        <w:t>证书编号：</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rPr>
        <w:t xml:space="preserve"> 。</w:t>
      </w:r>
    </w:p>
    <w:p w14:paraId="61788D14">
      <w:pPr>
        <w:pStyle w:val="17"/>
        <w:spacing w:line="310" w:lineRule="auto"/>
        <w:rPr>
          <w:color w:val="auto"/>
          <w:highlight w:val="none"/>
        </w:rPr>
      </w:pPr>
    </w:p>
    <w:p w14:paraId="7E8C3138">
      <w:pPr>
        <w:pStyle w:val="17"/>
        <w:spacing w:line="310" w:lineRule="auto"/>
        <w:rPr>
          <w:color w:val="auto"/>
          <w:highlight w:val="none"/>
        </w:rPr>
      </w:pPr>
    </w:p>
    <w:p w14:paraId="70AB4C07">
      <w:pPr>
        <w:spacing w:before="65" w:line="433" w:lineRule="auto"/>
        <w:ind w:left="22" w:right="40" w:firstLine="420"/>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根据《物业管理条例》和相关法律、法规、政策，甲乙双方在自愿、平等、协商一致的</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基础上，就甲方选聘乙方对</w:t>
      </w:r>
      <w:r>
        <w:rPr>
          <w:rFonts w:ascii="宋体" w:hAnsi="宋体" w:eastAsia="宋体" w:cs="宋体"/>
          <w:color w:val="auto"/>
          <w:spacing w:val="-93"/>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（物业名称）提供前期物业管理服务事宜，订</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立本合同。</w:t>
      </w:r>
    </w:p>
    <w:p w14:paraId="2A52A6F2">
      <w:pPr>
        <w:spacing w:before="23" w:line="224" w:lineRule="auto"/>
        <w:ind w:left="257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第一节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物业基本情况</w:t>
      </w:r>
    </w:p>
    <w:p w14:paraId="0606BCF6">
      <w:pPr>
        <w:spacing w:before="222" w:line="227" w:lineRule="auto"/>
        <w:ind w:left="3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第一条  物业基本情况</w:t>
      </w:r>
      <w:r>
        <w:rPr>
          <w:rFonts w:ascii="宋体" w:hAnsi="宋体" w:eastAsia="宋体" w:cs="宋体"/>
          <w:color w:val="auto"/>
          <w:spacing w:val="-54"/>
          <w:sz w:val="20"/>
          <w:szCs w:val="20"/>
          <w:highlight w:val="none"/>
        </w:rPr>
        <w:t xml:space="preserve"> </w:t>
      </w:r>
      <w:r>
        <w:rPr>
          <w:rFonts w:ascii="宋体" w:hAnsi="宋体" w:eastAsia="宋体" w:cs="宋体"/>
          <w:color w:val="auto"/>
          <w:spacing w:val="7"/>
          <w:sz w:val="20"/>
          <w:szCs w:val="20"/>
          <w:highlight w:val="none"/>
        </w:rPr>
        <w:t>:</w:t>
      </w:r>
    </w:p>
    <w:p w14:paraId="20F40E2A">
      <w:pPr>
        <w:spacing w:before="222" w:line="229" w:lineRule="auto"/>
        <w:ind w:left="2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物业名称</w:t>
      </w:r>
      <w:r>
        <w:rPr>
          <w:rFonts w:ascii="宋体" w:hAnsi="宋体" w:eastAsia="宋体" w:cs="宋体"/>
          <w:color w:val="auto"/>
          <w:spacing w:val="-95"/>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5"/>
          <w:sz w:val="20"/>
          <w:szCs w:val="20"/>
          <w:highlight w:val="none"/>
        </w:rPr>
        <w:t>；</w:t>
      </w:r>
    </w:p>
    <w:p w14:paraId="6B462EDE">
      <w:pPr>
        <w:spacing w:before="220" w:line="228" w:lineRule="auto"/>
        <w:ind w:left="2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物业类型</w:t>
      </w:r>
      <w:r>
        <w:rPr>
          <w:rFonts w:ascii="宋体" w:hAnsi="宋体" w:eastAsia="宋体" w:cs="宋体"/>
          <w:color w:val="auto"/>
          <w:spacing w:val="-95"/>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5"/>
          <w:sz w:val="20"/>
          <w:szCs w:val="20"/>
          <w:highlight w:val="none"/>
        </w:rPr>
        <w:t>；</w:t>
      </w:r>
    </w:p>
    <w:p w14:paraId="136D703B">
      <w:pPr>
        <w:spacing w:before="221" w:line="229" w:lineRule="auto"/>
        <w:ind w:left="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坐落位置</w:t>
      </w:r>
      <w:r>
        <w:rPr>
          <w:rFonts w:ascii="宋体" w:hAnsi="宋体" w:eastAsia="宋体" w:cs="宋体"/>
          <w:color w:val="auto"/>
          <w:spacing w:val="-95"/>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5"/>
          <w:sz w:val="20"/>
          <w:szCs w:val="20"/>
          <w:highlight w:val="none"/>
        </w:rPr>
        <w:t>；</w:t>
      </w:r>
    </w:p>
    <w:p w14:paraId="636EE806">
      <w:pPr>
        <w:spacing w:before="220" w:line="228" w:lineRule="auto"/>
        <w:ind w:left="2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建筑面积</w:t>
      </w:r>
      <w:r>
        <w:rPr>
          <w:rFonts w:ascii="宋体" w:hAnsi="宋体" w:eastAsia="宋体" w:cs="宋体"/>
          <w:color w:val="auto"/>
          <w:spacing w:val="-97"/>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5"/>
          <w:sz w:val="20"/>
          <w:szCs w:val="20"/>
          <w:highlight w:val="none"/>
        </w:rPr>
        <w:t>。</w:t>
      </w:r>
    </w:p>
    <w:p w14:paraId="767C57BB">
      <w:pPr>
        <w:spacing w:before="221" w:line="228" w:lineRule="auto"/>
        <w:ind w:left="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物业管理区域四至：</w:t>
      </w:r>
    </w:p>
    <w:p w14:paraId="36345EB5">
      <w:pPr>
        <w:spacing w:before="221" w:line="228" w:lineRule="auto"/>
        <w:ind w:left="29"/>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东至</w:t>
      </w:r>
      <w:r>
        <w:rPr>
          <w:rFonts w:ascii="宋体" w:hAnsi="宋体" w:eastAsia="宋体" w:cs="宋体"/>
          <w:color w:val="auto"/>
          <w:spacing w:val="-89"/>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52C2DB34">
      <w:pPr>
        <w:spacing w:before="221" w:line="230" w:lineRule="auto"/>
        <w:ind w:left="2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南至</w:t>
      </w:r>
      <w:r>
        <w:rPr>
          <w:rFonts w:ascii="宋体" w:hAnsi="宋体" w:eastAsia="宋体" w:cs="宋体"/>
          <w:color w:val="auto"/>
          <w:spacing w:val="-84"/>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5E1C7E4C">
      <w:pPr>
        <w:spacing w:before="219" w:line="230" w:lineRule="auto"/>
        <w:ind w:left="2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西至</w:t>
      </w:r>
      <w:r>
        <w:rPr>
          <w:rFonts w:ascii="宋体" w:hAnsi="宋体" w:eastAsia="宋体" w:cs="宋体"/>
          <w:color w:val="auto"/>
          <w:spacing w:val="-87"/>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4E4E0073">
      <w:pPr>
        <w:spacing w:before="219" w:line="231" w:lineRule="auto"/>
        <w:ind w:left="2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北至</w:t>
      </w:r>
      <w:r>
        <w:rPr>
          <w:rFonts w:ascii="宋体" w:hAnsi="宋体" w:eastAsia="宋体" w:cs="宋体"/>
          <w:color w:val="auto"/>
          <w:spacing w:val="-85"/>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417E79E2">
      <w:pPr>
        <w:spacing w:before="242" w:line="225" w:lineRule="auto"/>
        <w:ind w:left="24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第二节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服务内容与质量</w:t>
      </w:r>
    </w:p>
    <w:p w14:paraId="6EC6B8FB">
      <w:pPr>
        <w:spacing w:before="221" w:line="227" w:lineRule="auto"/>
        <w:ind w:left="33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第二条  在物业管理区域内，乙方提供的前期物业管理服务包括以下内容：</w:t>
      </w:r>
    </w:p>
    <w:p w14:paraId="131099AA">
      <w:pPr>
        <w:spacing w:before="223" w:line="227" w:lineRule="auto"/>
        <w:ind w:left="45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1、物业管理区域内房屋建筑本体、公共部分的维护、管理；</w:t>
      </w:r>
    </w:p>
    <w:p w14:paraId="427F578C">
      <w:pPr>
        <w:spacing w:before="221" w:line="228" w:lineRule="auto"/>
        <w:ind w:left="44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2、物业管理区域内公共配套设施、设备维护、运行</w:t>
      </w:r>
      <w:r>
        <w:rPr>
          <w:rFonts w:ascii="宋体" w:hAnsi="宋体" w:eastAsia="宋体" w:cs="宋体"/>
          <w:color w:val="auto"/>
          <w:spacing w:val="8"/>
          <w:sz w:val="20"/>
          <w:szCs w:val="20"/>
          <w:highlight w:val="none"/>
        </w:rPr>
        <w:t>管理；</w:t>
      </w:r>
    </w:p>
    <w:p w14:paraId="613CEFDE">
      <w:pPr>
        <w:spacing w:before="221" w:line="228" w:lineRule="auto"/>
        <w:ind w:left="44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3、物业管理区域内公共场所、道路、房屋建筑公共部分清洁卫生、定期消杀、装修及</w:t>
      </w:r>
    </w:p>
    <w:p w14:paraId="0FFEE667">
      <w:pPr>
        <w:spacing w:line="228" w:lineRule="auto"/>
        <w:rPr>
          <w:rFonts w:ascii="宋体" w:hAnsi="宋体" w:eastAsia="宋体" w:cs="宋体"/>
          <w:color w:val="auto"/>
          <w:sz w:val="20"/>
          <w:szCs w:val="20"/>
          <w:highlight w:val="none"/>
        </w:rPr>
        <w:sectPr>
          <w:footerReference r:id="rId5" w:type="default"/>
          <w:pgSz w:w="11906" w:h="16839"/>
          <w:pgMar w:top="1431" w:right="1761" w:bottom="1156" w:left="1785" w:header="0" w:footer="994" w:gutter="0"/>
          <w:pgNumType w:fmt="numberInDash" w:start="1"/>
          <w:cols w:space="720" w:num="1"/>
        </w:sectPr>
      </w:pPr>
    </w:p>
    <w:p w14:paraId="24C95D83">
      <w:pPr>
        <w:spacing w:before="137" w:line="228" w:lineRule="auto"/>
        <w:ind w:left="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生活垃圾收集清运；</w:t>
      </w:r>
    </w:p>
    <w:p w14:paraId="6ECD2525">
      <w:pPr>
        <w:spacing w:before="220" w:line="330" w:lineRule="auto"/>
        <w:ind w:left="22" w:right="68" w:firstLine="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4、物业管理区域内绿化植物日常管理养护、绿化、施</w:t>
      </w:r>
      <w:r>
        <w:rPr>
          <w:rFonts w:ascii="宋体" w:hAnsi="宋体" w:eastAsia="宋体" w:cs="宋体"/>
          <w:color w:val="auto"/>
          <w:spacing w:val="9"/>
          <w:sz w:val="20"/>
          <w:szCs w:val="20"/>
          <w:highlight w:val="none"/>
        </w:rPr>
        <w:t>肥、修剪病虫害防治、花草按季</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节管理和维护</w:t>
      </w:r>
      <w:r>
        <w:rPr>
          <w:rFonts w:ascii="宋体" w:hAnsi="宋体" w:eastAsia="宋体" w:cs="宋体"/>
          <w:color w:val="auto"/>
          <w:spacing w:val="-57"/>
          <w:sz w:val="20"/>
          <w:szCs w:val="20"/>
          <w:highlight w:val="none"/>
        </w:rPr>
        <w:t xml:space="preserve"> </w:t>
      </w:r>
      <w:r>
        <w:rPr>
          <w:rFonts w:ascii="宋体" w:hAnsi="宋体" w:eastAsia="宋体" w:cs="宋体"/>
          <w:color w:val="auto"/>
          <w:spacing w:val="7"/>
          <w:sz w:val="20"/>
          <w:szCs w:val="20"/>
          <w:highlight w:val="none"/>
        </w:rPr>
        <w:t>;</w:t>
      </w:r>
    </w:p>
    <w:p w14:paraId="2E2B18D5">
      <w:pPr>
        <w:spacing w:before="221" w:line="228" w:lineRule="auto"/>
        <w:ind w:left="44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5、物业管理区域的日常安全巡查服务；</w:t>
      </w:r>
    </w:p>
    <w:p w14:paraId="093B6FAD">
      <w:pPr>
        <w:spacing w:before="221" w:line="228" w:lineRule="auto"/>
        <w:ind w:left="44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6、物业管理区域内业主、使用人装饰装修物业管理服</w:t>
      </w:r>
      <w:r>
        <w:rPr>
          <w:rFonts w:ascii="宋体" w:hAnsi="宋体" w:eastAsia="宋体" w:cs="宋体"/>
          <w:color w:val="auto"/>
          <w:spacing w:val="8"/>
          <w:sz w:val="20"/>
          <w:szCs w:val="20"/>
          <w:highlight w:val="none"/>
        </w:rPr>
        <w:t>务；</w:t>
      </w:r>
    </w:p>
    <w:p w14:paraId="1F163571">
      <w:pPr>
        <w:spacing w:before="220" w:line="228" w:lineRule="auto"/>
        <w:ind w:left="44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7、物业管理区域内楼宇自动化设备系统的运行、维护</w:t>
      </w:r>
      <w:r>
        <w:rPr>
          <w:rFonts w:ascii="宋体" w:hAnsi="宋体" w:eastAsia="宋体" w:cs="宋体"/>
          <w:color w:val="auto"/>
          <w:spacing w:val="8"/>
          <w:sz w:val="20"/>
          <w:szCs w:val="20"/>
          <w:highlight w:val="none"/>
        </w:rPr>
        <w:t>管理；</w:t>
      </w:r>
    </w:p>
    <w:p w14:paraId="3F11E98D">
      <w:pPr>
        <w:spacing w:before="221" w:line="330" w:lineRule="auto"/>
        <w:ind w:left="32" w:right="68" w:firstLine="41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8、供水、供电、供气、</w:t>
      </w:r>
      <w:r>
        <w:rPr>
          <w:rFonts w:ascii="宋体" w:hAnsi="宋体" w:eastAsia="宋体" w:cs="宋体"/>
          <w:color w:val="auto"/>
          <w:spacing w:val="-59"/>
          <w:sz w:val="20"/>
          <w:szCs w:val="20"/>
          <w:highlight w:val="none"/>
        </w:rPr>
        <w:t xml:space="preserve"> </w:t>
      </w:r>
      <w:r>
        <w:rPr>
          <w:rFonts w:ascii="宋体" w:hAnsi="宋体" w:eastAsia="宋体" w:cs="宋体"/>
          <w:color w:val="auto"/>
          <w:spacing w:val="9"/>
          <w:sz w:val="20"/>
          <w:szCs w:val="20"/>
          <w:highlight w:val="none"/>
        </w:rPr>
        <w:t>电信等专业单位在</w:t>
      </w:r>
      <w:r>
        <w:rPr>
          <w:rFonts w:ascii="宋体" w:hAnsi="宋体" w:eastAsia="宋体" w:cs="宋体"/>
          <w:color w:val="auto"/>
          <w:spacing w:val="8"/>
          <w:sz w:val="20"/>
          <w:szCs w:val="20"/>
          <w:highlight w:val="none"/>
        </w:rPr>
        <w:t>物业管理区域内对相关管线、设施维修养护</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时，进行必要的协调和管理；</w:t>
      </w:r>
    </w:p>
    <w:p w14:paraId="5ECD5E73">
      <w:pPr>
        <w:spacing w:before="221" w:line="330" w:lineRule="auto"/>
        <w:ind w:left="23"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9、车辆管理：疏导外围车辆。按区划分类进行停</w:t>
      </w:r>
      <w:r>
        <w:rPr>
          <w:rFonts w:ascii="宋体" w:hAnsi="宋体" w:eastAsia="宋体" w:cs="宋体"/>
          <w:color w:val="auto"/>
          <w:spacing w:val="9"/>
          <w:sz w:val="20"/>
          <w:szCs w:val="20"/>
          <w:highlight w:val="none"/>
        </w:rPr>
        <w:t>放，对违规停放车辆耐心劝说、引导</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停放，确保交通畅通有序。发现有漏油、车窗未关等现象，设法联系车主，</w:t>
      </w:r>
      <w:r>
        <w:rPr>
          <w:rFonts w:ascii="宋体" w:hAnsi="宋体" w:eastAsia="宋体" w:cs="宋体"/>
          <w:color w:val="auto"/>
          <w:spacing w:val="8"/>
          <w:sz w:val="20"/>
          <w:szCs w:val="20"/>
          <w:highlight w:val="none"/>
        </w:rPr>
        <w:t>排除安全隐患。</w:t>
      </w:r>
    </w:p>
    <w:p w14:paraId="0C0B5D8A">
      <w:pPr>
        <w:spacing w:before="221" w:line="381" w:lineRule="auto"/>
        <w:ind w:left="21" w:right="58" w:firstLine="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10、消防监控管理：密切监视，重点部位重点监控，发</w:t>
      </w:r>
      <w:r>
        <w:rPr>
          <w:rFonts w:ascii="宋体" w:hAnsi="宋体" w:eastAsia="宋体" w:cs="宋体"/>
          <w:color w:val="auto"/>
          <w:spacing w:val="6"/>
          <w:sz w:val="20"/>
          <w:szCs w:val="20"/>
          <w:highlight w:val="none"/>
        </w:rPr>
        <w:t>现异常情况联系值班秩序维护员</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及时到现场察看、解决问题或排除隐患，紧急情况上报院和管理处领导。非工作人员未经许</w:t>
      </w:r>
      <w:r>
        <w:rPr>
          <w:rFonts w:ascii="宋体" w:hAnsi="宋体" w:eastAsia="宋体" w:cs="宋体"/>
          <w:color w:val="auto"/>
          <w:spacing w:val="15"/>
          <w:sz w:val="20"/>
          <w:szCs w:val="20"/>
          <w:highlight w:val="none"/>
        </w:rPr>
        <w:t xml:space="preserve"> </w:t>
      </w:r>
      <w:r>
        <w:rPr>
          <w:rFonts w:ascii="宋体" w:hAnsi="宋体" w:eastAsia="宋体" w:cs="宋体"/>
          <w:color w:val="auto"/>
          <w:spacing w:val="7"/>
          <w:sz w:val="20"/>
          <w:szCs w:val="20"/>
          <w:highlight w:val="none"/>
        </w:rPr>
        <w:t>可不得进入监控室。每月对消防设施、设备进行一次大检查，确保正常使用，做好各类台账</w:t>
      </w:r>
      <w:r>
        <w:rPr>
          <w:rFonts w:ascii="宋体" w:hAnsi="宋体" w:eastAsia="宋体" w:cs="宋体"/>
          <w:color w:val="auto"/>
          <w:spacing w:val="15"/>
          <w:sz w:val="20"/>
          <w:szCs w:val="20"/>
          <w:highlight w:val="none"/>
        </w:rPr>
        <w:t xml:space="preserve"> </w:t>
      </w:r>
      <w:r>
        <w:rPr>
          <w:rFonts w:ascii="宋体" w:hAnsi="宋体" w:eastAsia="宋体" w:cs="宋体"/>
          <w:color w:val="auto"/>
          <w:spacing w:val="6"/>
          <w:sz w:val="20"/>
          <w:szCs w:val="20"/>
          <w:highlight w:val="none"/>
        </w:rPr>
        <w:t>登记工作。</w:t>
      </w:r>
    </w:p>
    <w:p w14:paraId="2C68292F">
      <w:pPr>
        <w:spacing w:before="221" w:line="228" w:lineRule="auto"/>
        <w:ind w:left="45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11、物业及物业档案资料收集、管理；</w:t>
      </w:r>
    </w:p>
    <w:p w14:paraId="72196337">
      <w:pPr>
        <w:spacing w:before="221" w:line="228" w:lineRule="auto"/>
        <w:ind w:left="45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12、社区文化的开展；文明创建活动开展；</w:t>
      </w:r>
    </w:p>
    <w:p w14:paraId="10551B77">
      <w:pPr>
        <w:spacing w:before="221" w:line="228" w:lineRule="auto"/>
        <w:ind w:left="45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13、法律政策规定和物业服务合同中约定的其他事项。</w:t>
      </w:r>
    </w:p>
    <w:p w14:paraId="25164A81">
      <w:pPr>
        <w:spacing w:before="221" w:line="227" w:lineRule="auto"/>
        <w:ind w:left="38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第三条  在物业管理区域内，乙方提供的其他服务包括以下事</w:t>
      </w:r>
      <w:r>
        <w:rPr>
          <w:rFonts w:ascii="宋体" w:hAnsi="宋体" w:eastAsia="宋体" w:cs="宋体"/>
          <w:color w:val="auto"/>
          <w:spacing w:val="8"/>
          <w:sz w:val="20"/>
          <w:szCs w:val="20"/>
          <w:highlight w:val="none"/>
        </w:rPr>
        <w:t>项：</w:t>
      </w:r>
    </w:p>
    <w:p w14:paraId="10BFA7CB">
      <w:pPr>
        <w:spacing w:before="222" w:line="230" w:lineRule="auto"/>
        <w:ind w:left="45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4"/>
          <w:sz w:val="20"/>
          <w:szCs w:val="20"/>
          <w:highlight w:val="none"/>
        </w:rPr>
        <w:t>；</w:t>
      </w:r>
    </w:p>
    <w:p w14:paraId="22B52B6B">
      <w:pPr>
        <w:spacing w:before="219" w:line="230" w:lineRule="auto"/>
        <w:ind w:left="44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
          <w:sz w:val="20"/>
          <w:szCs w:val="20"/>
          <w:highlight w:val="none"/>
        </w:rPr>
        <w:t>；</w:t>
      </w:r>
    </w:p>
    <w:p w14:paraId="498C20A1">
      <w:pPr>
        <w:spacing w:before="219" w:line="243" w:lineRule="auto"/>
        <w:ind w:left="446"/>
        <w:rPr>
          <w:rFonts w:ascii="宋体" w:hAnsi="宋体" w:eastAsia="宋体" w:cs="宋体"/>
          <w:color w:val="auto"/>
          <w:sz w:val="20"/>
          <w:szCs w:val="20"/>
          <w:highlight w:val="none"/>
        </w:rPr>
      </w:pPr>
      <w:r>
        <w:rPr>
          <w:rFonts w:ascii="宋体" w:hAnsi="宋体" w:eastAsia="宋体" w:cs="宋体"/>
          <w:color w:val="auto"/>
          <w:sz w:val="20"/>
          <w:szCs w:val="20"/>
          <w:highlight w:val="none"/>
        </w:rPr>
        <w:t>3、</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w:t>
      </w:r>
    </w:p>
    <w:p w14:paraId="6ABA2022">
      <w:pPr>
        <w:spacing w:before="205" w:line="329" w:lineRule="auto"/>
        <w:ind w:left="23" w:right="58" w:firstLine="41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第四条  乙方提供的前期物业管理服务应达到约定的质量标准（前期物业管理服务质量</w:t>
      </w:r>
      <w:r>
        <w:rPr>
          <w:rFonts w:ascii="宋体" w:hAnsi="宋体" w:eastAsia="宋体" w:cs="宋体"/>
          <w:color w:val="auto"/>
          <w:spacing w:val="1"/>
          <w:sz w:val="20"/>
          <w:szCs w:val="20"/>
          <w:highlight w:val="none"/>
        </w:rPr>
        <w:t xml:space="preserve"> </w:t>
      </w:r>
      <w:r>
        <w:rPr>
          <w:rFonts w:ascii="宋体" w:hAnsi="宋体" w:eastAsia="宋体" w:cs="宋体"/>
          <w:color w:val="auto"/>
          <w:spacing w:val="6"/>
          <w:sz w:val="20"/>
          <w:szCs w:val="20"/>
          <w:highlight w:val="none"/>
        </w:rPr>
        <w:t>标准见附件五）。</w:t>
      </w:r>
    </w:p>
    <w:p w14:paraId="72ED1F3F">
      <w:pPr>
        <w:spacing w:before="223" w:line="330" w:lineRule="auto"/>
        <w:ind w:left="23" w:right="58"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第五条  单个业主可委托乙方对其物业的专有部分提供维修养护等服务，服务内容和费</w:t>
      </w:r>
      <w:r>
        <w:rPr>
          <w:rFonts w:ascii="宋体" w:hAnsi="宋体" w:eastAsia="宋体" w:cs="宋体"/>
          <w:color w:val="auto"/>
          <w:spacing w:val="2"/>
          <w:sz w:val="20"/>
          <w:szCs w:val="20"/>
          <w:highlight w:val="none"/>
        </w:rPr>
        <w:t xml:space="preserve"> </w:t>
      </w:r>
      <w:r>
        <w:rPr>
          <w:rFonts w:ascii="宋体" w:hAnsi="宋体" w:eastAsia="宋体" w:cs="宋体"/>
          <w:color w:val="auto"/>
          <w:spacing w:val="7"/>
          <w:sz w:val="20"/>
          <w:szCs w:val="20"/>
          <w:highlight w:val="none"/>
        </w:rPr>
        <w:t>用由双方另行商定。</w:t>
      </w:r>
    </w:p>
    <w:p w14:paraId="1125CD9C">
      <w:pPr>
        <w:spacing w:before="246" w:line="225" w:lineRule="auto"/>
        <w:ind w:left="2894"/>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第三节</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服务费用</w:t>
      </w:r>
    </w:p>
    <w:p w14:paraId="37DB5085">
      <w:pPr>
        <w:spacing w:before="221" w:line="227"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第六条  本物业管理区域物业服务收费选择以下第</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7"/>
          <w:sz w:val="20"/>
          <w:szCs w:val="20"/>
          <w:highlight w:val="none"/>
          <w:u w:val="single" w:color="auto"/>
        </w:rPr>
        <w:t xml:space="preserve">   1    </w:t>
      </w:r>
      <w:r>
        <w:rPr>
          <w:rFonts w:ascii="宋体" w:hAnsi="宋体" w:eastAsia="宋体" w:cs="宋体"/>
          <w:color w:val="auto"/>
          <w:spacing w:val="-91"/>
          <w:sz w:val="20"/>
          <w:szCs w:val="20"/>
          <w:highlight w:val="none"/>
        </w:rPr>
        <w:t xml:space="preserve"> </w:t>
      </w:r>
      <w:r>
        <w:rPr>
          <w:rFonts w:ascii="宋体" w:hAnsi="宋体" w:eastAsia="宋体" w:cs="宋体"/>
          <w:color w:val="auto"/>
          <w:spacing w:val="7"/>
          <w:sz w:val="20"/>
          <w:szCs w:val="20"/>
          <w:highlight w:val="none"/>
        </w:rPr>
        <w:t>种方式：</w:t>
      </w:r>
    </w:p>
    <w:p w14:paraId="003AE936">
      <w:pPr>
        <w:spacing w:before="222" w:line="227" w:lineRule="auto"/>
        <w:ind w:left="457"/>
        <w:rPr>
          <w:rFonts w:ascii="宋体" w:hAnsi="宋体" w:eastAsia="宋体" w:cs="宋体"/>
          <w:color w:val="auto"/>
          <w:sz w:val="20"/>
          <w:szCs w:val="20"/>
          <w:highlight w:val="none"/>
        </w:rPr>
      </w:pPr>
      <w:r>
        <w:rPr>
          <w:rFonts w:ascii="宋体" w:hAnsi="宋体" w:eastAsia="宋体" w:cs="宋体"/>
          <w:b/>
          <w:bCs/>
          <w:color w:val="auto"/>
          <w:spacing w:val="2"/>
          <w:sz w:val="20"/>
          <w:szCs w:val="20"/>
          <w:highlight w:val="none"/>
        </w:rPr>
        <w:t>1、包干制</w:t>
      </w:r>
    </w:p>
    <w:p w14:paraId="7F4C1113">
      <w:pPr>
        <w:spacing w:before="222" w:line="228" w:lineRule="auto"/>
        <w:ind w:left="44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物业服务费用由业主按其拥有物业的建筑面积交纳，具体标准如下：</w:t>
      </w:r>
    </w:p>
    <w:p w14:paraId="34CF02CD">
      <w:pPr>
        <w:spacing w:line="228" w:lineRule="auto"/>
        <w:rPr>
          <w:rFonts w:ascii="宋体" w:hAnsi="宋体" w:eastAsia="宋体" w:cs="宋体"/>
          <w:color w:val="auto"/>
          <w:sz w:val="20"/>
          <w:szCs w:val="20"/>
          <w:highlight w:val="none"/>
        </w:rPr>
        <w:sectPr>
          <w:footerReference r:id="rId6" w:type="default"/>
          <w:pgSz w:w="11906" w:h="16839"/>
          <w:pgMar w:top="1431" w:right="1743" w:bottom="1156" w:left="1785" w:header="0" w:footer="994" w:gutter="0"/>
          <w:pgNumType w:fmt="numberInDash"/>
          <w:cols w:space="720" w:num="1"/>
        </w:sectPr>
      </w:pPr>
    </w:p>
    <w:p w14:paraId="3099D74A">
      <w:pPr>
        <w:spacing w:before="137" w:line="228" w:lineRule="auto"/>
        <w:ind w:left="44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住宅：</w:t>
      </w:r>
      <w:r>
        <w:rPr>
          <w:rFonts w:ascii="宋体" w:hAnsi="宋体" w:eastAsia="宋体" w:cs="宋体"/>
          <w:color w:val="auto"/>
          <w:spacing w:val="-52"/>
          <w:sz w:val="20"/>
          <w:szCs w:val="20"/>
          <w:highlight w:val="none"/>
        </w:rPr>
        <w:t xml:space="preserve"> </w:t>
      </w:r>
      <w:r>
        <w:rPr>
          <w:rFonts w:ascii="宋体" w:hAnsi="宋体" w:eastAsia="宋体" w:cs="宋体"/>
          <w:color w:val="auto"/>
          <w:spacing w:val="7"/>
          <w:sz w:val="20"/>
          <w:szCs w:val="20"/>
          <w:highlight w:val="none"/>
        </w:rPr>
        <w:t>由业主按其拥有建筑面积每月每平方米</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7"/>
          <w:sz w:val="20"/>
          <w:szCs w:val="20"/>
          <w:highlight w:val="none"/>
        </w:rPr>
        <w:t>元向乙方交纳；</w:t>
      </w:r>
    </w:p>
    <w:p w14:paraId="5FBA8A5A">
      <w:pPr>
        <w:spacing w:before="221" w:line="228" w:lineRule="auto"/>
        <w:ind w:left="44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商业物业：业主按其拥有建筑面积每月每平方米</w:t>
      </w:r>
      <w:r>
        <w:rPr>
          <w:rFonts w:ascii="宋体" w:hAnsi="宋体" w:eastAsia="宋体" w:cs="宋体"/>
          <w:color w:val="auto"/>
          <w:spacing w:val="-82"/>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8"/>
          <w:sz w:val="20"/>
          <w:szCs w:val="20"/>
          <w:highlight w:val="none"/>
        </w:rPr>
        <w:t>元向乙方交纳；</w:t>
      </w:r>
    </w:p>
    <w:p w14:paraId="33DBB11E">
      <w:pPr>
        <w:spacing w:before="220" w:line="228" w:lineRule="auto"/>
        <w:ind w:left="44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地下车位：业主按每月</w:t>
      </w:r>
      <w:r>
        <w:rPr>
          <w:rFonts w:ascii="宋体" w:hAnsi="宋体" w:eastAsia="宋体" w:cs="宋体"/>
          <w:color w:val="auto"/>
          <w:spacing w:val="-80"/>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7"/>
          <w:sz w:val="20"/>
          <w:szCs w:val="20"/>
          <w:highlight w:val="none"/>
        </w:rPr>
        <w:t>元/个向乙方交纳；</w:t>
      </w:r>
    </w:p>
    <w:p w14:paraId="7C4A73F8">
      <w:pPr>
        <w:tabs>
          <w:tab w:val="left" w:pos="854"/>
        </w:tabs>
        <w:spacing w:before="221" w:line="228" w:lineRule="auto"/>
        <w:ind w:left="434"/>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79"/>
          <w:sz w:val="20"/>
          <w:szCs w:val="20"/>
          <w:highlight w:val="none"/>
        </w:rPr>
        <w:t xml:space="preserve"> </w:t>
      </w:r>
      <w:r>
        <w:rPr>
          <w:rFonts w:ascii="宋体" w:hAnsi="宋体" w:eastAsia="宋体" w:cs="宋体"/>
          <w:color w:val="auto"/>
          <w:spacing w:val="5"/>
          <w:sz w:val="20"/>
          <w:szCs w:val="20"/>
          <w:highlight w:val="none"/>
        </w:rPr>
        <w:t>物业：</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5"/>
          <w:sz w:val="20"/>
          <w:szCs w:val="20"/>
          <w:highlight w:val="none"/>
        </w:rPr>
        <w:t>元/月平方米。</w:t>
      </w:r>
    </w:p>
    <w:p w14:paraId="7C8BD3C9">
      <w:pPr>
        <w:pStyle w:val="17"/>
        <w:spacing w:line="310" w:lineRule="auto"/>
        <w:rPr>
          <w:color w:val="auto"/>
          <w:highlight w:val="none"/>
        </w:rPr>
      </w:pPr>
    </w:p>
    <w:p w14:paraId="79BBE4F9">
      <w:pPr>
        <w:pStyle w:val="17"/>
        <w:spacing w:line="310" w:lineRule="auto"/>
        <w:rPr>
          <w:color w:val="auto"/>
          <w:highlight w:val="none"/>
        </w:rPr>
      </w:pPr>
    </w:p>
    <w:p w14:paraId="516D15EF">
      <w:pPr>
        <w:spacing w:before="65" w:line="228" w:lineRule="auto"/>
        <w:ind w:left="44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住宅：</w:t>
      </w:r>
      <w:r>
        <w:rPr>
          <w:rFonts w:ascii="宋体" w:hAnsi="宋体" w:eastAsia="宋体" w:cs="宋体"/>
          <w:color w:val="auto"/>
          <w:spacing w:val="-52"/>
          <w:sz w:val="20"/>
          <w:szCs w:val="20"/>
          <w:highlight w:val="none"/>
        </w:rPr>
        <w:t xml:space="preserve"> </w:t>
      </w:r>
      <w:r>
        <w:rPr>
          <w:rFonts w:ascii="宋体" w:hAnsi="宋体" w:eastAsia="宋体" w:cs="宋体"/>
          <w:color w:val="auto"/>
          <w:spacing w:val="7"/>
          <w:sz w:val="20"/>
          <w:szCs w:val="20"/>
          <w:highlight w:val="none"/>
        </w:rPr>
        <w:t>由业主按其拥有建筑面积每月每平方米</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7"/>
          <w:sz w:val="20"/>
          <w:szCs w:val="20"/>
          <w:highlight w:val="none"/>
        </w:rPr>
        <w:t>元向乙方交纳；</w:t>
      </w:r>
    </w:p>
    <w:p w14:paraId="09E2F08D">
      <w:pPr>
        <w:spacing w:before="221" w:line="228" w:lineRule="auto"/>
        <w:ind w:left="44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商业物业：业主按其拥有建筑面积每月每平方米</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3"/>
          <w:sz w:val="20"/>
          <w:szCs w:val="20"/>
          <w:highlight w:val="none"/>
        </w:rPr>
        <w:t xml:space="preserve"> </w:t>
      </w:r>
      <w:r>
        <w:rPr>
          <w:rFonts w:ascii="宋体" w:hAnsi="宋体" w:eastAsia="宋体" w:cs="宋体"/>
          <w:color w:val="auto"/>
          <w:spacing w:val="8"/>
          <w:sz w:val="20"/>
          <w:szCs w:val="20"/>
          <w:highlight w:val="none"/>
        </w:rPr>
        <w:t>元向乙方交纳；</w:t>
      </w:r>
    </w:p>
    <w:p w14:paraId="143C5DA0">
      <w:pPr>
        <w:spacing w:before="220" w:line="228"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物业服务费用主要用于以下开支：</w:t>
      </w:r>
    </w:p>
    <w:p w14:paraId="41CBA2FB">
      <w:pPr>
        <w:spacing w:before="221" w:line="227" w:lineRule="auto"/>
        <w:ind w:left="45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（1）管理服务人员的工资、社会保险和按规</w:t>
      </w:r>
      <w:r>
        <w:rPr>
          <w:rFonts w:ascii="宋体" w:hAnsi="宋体" w:eastAsia="宋体" w:cs="宋体"/>
          <w:color w:val="auto"/>
          <w:spacing w:val="8"/>
          <w:sz w:val="20"/>
          <w:szCs w:val="20"/>
          <w:highlight w:val="none"/>
        </w:rPr>
        <w:t>定提取的福利费等；</w:t>
      </w:r>
    </w:p>
    <w:p w14:paraId="7B33A311">
      <w:pPr>
        <w:spacing w:before="223" w:line="330" w:lineRule="auto"/>
        <w:ind w:left="23" w:right="15" w:firstLine="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（2）物业共用部位、共用设施设备的日常运行、维护费用</w:t>
      </w:r>
      <w:r>
        <w:rPr>
          <w:rFonts w:ascii="宋体" w:hAnsi="宋体" w:eastAsia="宋体" w:cs="宋体"/>
          <w:color w:val="auto"/>
          <w:spacing w:val="-16"/>
          <w:sz w:val="20"/>
          <w:szCs w:val="20"/>
          <w:highlight w:val="none"/>
        </w:rPr>
        <w:t>；（</w:t>
      </w:r>
      <w:r>
        <w:rPr>
          <w:rFonts w:ascii="宋体" w:hAnsi="宋体" w:eastAsia="宋体" w:cs="宋体"/>
          <w:color w:val="auto"/>
          <w:spacing w:val="8"/>
          <w:sz w:val="20"/>
          <w:szCs w:val="20"/>
          <w:highlight w:val="none"/>
        </w:rPr>
        <w:t>3）物业管理区域清洁卫</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生费用；</w:t>
      </w:r>
    </w:p>
    <w:p w14:paraId="5F025710">
      <w:pPr>
        <w:spacing w:before="220" w:line="228" w:lineRule="auto"/>
        <w:ind w:left="45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（4）物业管理区域绿化养护费用；</w:t>
      </w:r>
    </w:p>
    <w:p w14:paraId="6C46C99A">
      <w:pPr>
        <w:spacing w:before="221" w:line="228" w:lineRule="auto"/>
        <w:ind w:left="45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（5）物业管理区域秩序维护费用；</w:t>
      </w:r>
    </w:p>
    <w:p w14:paraId="757F00CB">
      <w:pPr>
        <w:spacing w:before="221" w:line="228" w:lineRule="auto"/>
        <w:ind w:left="45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（6）办公费用；</w:t>
      </w:r>
    </w:p>
    <w:p w14:paraId="0E7CB049">
      <w:pPr>
        <w:spacing w:before="221" w:line="228" w:lineRule="auto"/>
        <w:ind w:left="45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（7）物业管理企业固定资产折旧；</w:t>
      </w:r>
    </w:p>
    <w:p w14:paraId="5EB3E20B">
      <w:pPr>
        <w:spacing w:before="221" w:line="228" w:lineRule="auto"/>
        <w:ind w:left="45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（8）物业共用部位、共用设施设备及公众责任保险费用；</w:t>
      </w:r>
    </w:p>
    <w:p w14:paraId="4C91052E">
      <w:pPr>
        <w:spacing w:before="222" w:line="228" w:lineRule="auto"/>
        <w:ind w:left="45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（9）法定税费；</w:t>
      </w:r>
    </w:p>
    <w:p w14:paraId="59DA5F2D">
      <w:pPr>
        <w:spacing w:before="220" w:line="228" w:lineRule="auto"/>
        <w:ind w:left="45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（10）物业管理企业的利润；</w:t>
      </w:r>
    </w:p>
    <w:p w14:paraId="40EA6145">
      <w:pPr>
        <w:spacing w:before="144" w:line="227" w:lineRule="auto"/>
        <w:ind w:left="45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（11）</w:t>
      </w:r>
      <w:r>
        <w:rPr>
          <w:rFonts w:ascii="宋体" w:hAnsi="宋体" w:eastAsia="宋体" w:cs="宋体"/>
          <w:color w:val="auto"/>
          <w:spacing w:val="9"/>
          <w:sz w:val="20"/>
          <w:szCs w:val="20"/>
          <w:highlight w:val="none"/>
          <w:u w:val="single" w:color="auto"/>
        </w:rPr>
        <w:t>经业主或业主委员会同意的其他费用。</w:t>
      </w:r>
    </w:p>
    <w:p w14:paraId="2D6805EC">
      <w:pPr>
        <w:spacing w:before="143" w:line="432" w:lineRule="auto"/>
        <w:ind w:left="23" w:right="131" w:firstLine="43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乙方按照上述标准收取物业服务费用，并按本合同约定的服务内容和质量标准提供服</w:t>
      </w:r>
      <w:r>
        <w:rPr>
          <w:rFonts w:ascii="宋体" w:hAnsi="宋体" w:eastAsia="宋体" w:cs="宋体"/>
          <w:color w:val="auto"/>
          <w:spacing w:val="6"/>
          <w:sz w:val="20"/>
          <w:szCs w:val="20"/>
          <w:highlight w:val="none"/>
        </w:rPr>
        <w:t xml:space="preserve"> </w:t>
      </w:r>
      <w:r>
        <w:rPr>
          <w:rFonts w:ascii="宋体" w:hAnsi="宋体" w:eastAsia="宋体" w:cs="宋体"/>
          <w:color w:val="auto"/>
          <w:spacing w:val="8"/>
          <w:sz w:val="20"/>
          <w:szCs w:val="20"/>
          <w:highlight w:val="none"/>
        </w:rPr>
        <w:t>务，盈余或亏损由乙方享有或承担。</w:t>
      </w:r>
    </w:p>
    <w:p w14:paraId="4815719E">
      <w:pPr>
        <w:spacing w:before="1" w:line="227" w:lineRule="auto"/>
        <w:ind w:left="444"/>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2、酬金制</w:t>
      </w:r>
    </w:p>
    <w:p w14:paraId="6C3211DF">
      <w:pPr>
        <w:spacing w:before="221" w:line="228" w:lineRule="auto"/>
        <w:ind w:left="44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物业服务资金由业主按其拥有物业的建筑面积预先交纳，具体标准如下：</w:t>
      </w:r>
    </w:p>
    <w:p w14:paraId="26816C2E">
      <w:pPr>
        <w:spacing w:before="221" w:line="228" w:lineRule="auto"/>
        <w:ind w:left="44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住宅：</w:t>
      </w:r>
      <w:r>
        <w:rPr>
          <w:rFonts w:ascii="宋体" w:hAnsi="宋体" w:eastAsia="宋体" w:cs="宋体"/>
          <w:color w:val="auto"/>
          <w:spacing w:val="6"/>
          <w:sz w:val="20"/>
          <w:szCs w:val="20"/>
          <w:highlight w:val="none"/>
          <w:u w:val="single" w:color="auto"/>
        </w:rPr>
        <w:t xml:space="preserve">  /  </w:t>
      </w:r>
      <w:r>
        <w:rPr>
          <w:rFonts w:ascii="宋体" w:hAnsi="宋体" w:eastAsia="宋体" w:cs="宋体"/>
          <w:color w:val="auto"/>
          <w:spacing w:val="-90"/>
          <w:sz w:val="20"/>
          <w:szCs w:val="20"/>
          <w:highlight w:val="none"/>
        </w:rPr>
        <w:t xml:space="preserve"> </w:t>
      </w:r>
      <w:r>
        <w:rPr>
          <w:rFonts w:ascii="宋体" w:hAnsi="宋体" w:eastAsia="宋体" w:cs="宋体"/>
          <w:color w:val="auto"/>
          <w:spacing w:val="6"/>
          <w:sz w:val="20"/>
          <w:szCs w:val="20"/>
          <w:highlight w:val="none"/>
        </w:rPr>
        <w:t>元/月.平方米；</w:t>
      </w:r>
    </w:p>
    <w:p w14:paraId="2E505276">
      <w:pPr>
        <w:spacing w:before="221" w:line="228" w:lineRule="auto"/>
        <w:ind w:left="44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商业物业：</w:t>
      </w:r>
      <w:r>
        <w:rPr>
          <w:rFonts w:ascii="宋体" w:hAnsi="宋体" w:eastAsia="宋体" w:cs="宋体"/>
          <w:color w:val="auto"/>
          <w:spacing w:val="6"/>
          <w:sz w:val="20"/>
          <w:szCs w:val="20"/>
          <w:highlight w:val="none"/>
          <w:u w:val="single" w:color="auto"/>
        </w:rPr>
        <w:t xml:space="preserve">  /  </w:t>
      </w:r>
      <w:r>
        <w:rPr>
          <w:rFonts w:ascii="宋体" w:hAnsi="宋体" w:eastAsia="宋体" w:cs="宋体"/>
          <w:color w:val="auto"/>
          <w:spacing w:val="-87"/>
          <w:sz w:val="20"/>
          <w:szCs w:val="20"/>
          <w:highlight w:val="none"/>
        </w:rPr>
        <w:t xml:space="preserve"> </w:t>
      </w:r>
      <w:r>
        <w:rPr>
          <w:rFonts w:ascii="宋体" w:hAnsi="宋体" w:eastAsia="宋体" w:cs="宋体"/>
          <w:color w:val="auto"/>
          <w:spacing w:val="6"/>
          <w:sz w:val="20"/>
          <w:szCs w:val="20"/>
          <w:highlight w:val="none"/>
        </w:rPr>
        <w:t>元/月.平方米；</w:t>
      </w:r>
    </w:p>
    <w:p w14:paraId="4BE2561B">
      <w:pPr>
        <w:tabs>
          <w:tab w:val="left" w:pos="650"/>
        </w:tabs>
        <w:spacing w:before="221" w:line="228" w:lineRule="auto"/>
        <w:ind w:left="434"/>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4"/>
          <w:sz w:val="20"/>
          <w:szCs w:val="20"/>
          <w:highlight w:val="none"/>
        </w:rPr>
        <w:t xml:space="preserve"> </w:t>
      </w:r>
      <w:r>
        <w:rPr>
          <w:rFonts w:ascii="宋体" w:hAnsi="宋体" w:eastAsia="宋体" w:cs="宋体"/>
          <w:color w:val="auto"/>
          <w:spacing w:val="5"/>
          <w:sz w:val="20"/>
          <w:szCs w:val="20"/>
          <w:highlight w:val="none"/>
        </w:rPr>
        <w:t>物业：</w:t>
      </w:r>
      <w:r>
        <w:rPr>
          <w:rFonts w:ascii="宋体" w:hAnsi="宋体" w:eastAsia="宋体" w:cs="宋体"/>
          <w:color w:val="auto"/>
          <w:spacing w:val="5"/>
          <w:sz w:val="20"/>
          <w:szCs w:val="20"/>
          <w:highlight w:val="none"/>
          <w:u w:val="single" w:color="auto"/>
        </w:rPr>
        <w:t xml:space="preserve">  /  </w:t>
      </w:r>
      <w:r>
        <w:rPr>
          <w:rFonts w:ascii="宋体" w:hAnsi="宋体" w:eastAsia="宋体" w:cs="宋体"/>
          <w:color w:val="auto"/>
          <w:spacing w:val="-91"/>
          <w:sz w:val="20"/>
          <w:szCs w:val="20"/>
          <w:highlight w:val="none"/>
        </w:rPr>
        <w:t xml:space="preserve"> </w:t>
      </w:r>
      <w:r>
        <w:rPr>
          <w:rFonts w:ascii="宋体" w:hAnsi="宋体" w:eastAsia="宋体" w:cs="宋体"/>
          <w:color w:val="auto"/>
          <w:spacing w:val="5"/>
          <w:sz w:val="20"/>
          <w:szCs w:val="20"/>
          <w:highlight w:val="none"/>
        </w:rPr>
        <w:t>元/月.平方米。</w:t>
      </w:r>
    </w:p>
    <w:p w14:paraId="090EDD05">
      <w:pPr>
        <w:spacing w:before="221" w:line="228" w:lineRule="auto"/>
        <w:ind w:left="44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预收的物业服务资金由物业服务支出和乙方的酬金构成。</w:t>
      </w:r>
    </w:p>
    <w:p w14:paraId="24AF7411">
      <w:pPr>
        <w:spacing w:before="221" w:line="228" w:lineRule="auto"/>
        <w:ind w:left="6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物业服务支出为所交纳的业主所有，</w:t>
      </w:r>
      <w:r>
        <w:rPr>
          <w:rFonts w:ascii="宋体" w:hAnsi="宋体" w:eastAsia="宋体" w:cs="宋体"/>
          <w:color w:val="auto"/>
          <w:spacing w:val="-58"/>
          <w:sz w:val="20"/>
          <w:szCs w:val="20"/>
          <w:highlight w:val="none"/>
        </w:rPr>
        <w:t xml:space="preserve"> </w:t>
      </w:r>
      <w:r>
        <w:rPr>
          <w:rFonts w:ascii="宋体" w:hAnsi="宋体" w:eastAsia="宋体" w:cs="宋体"/>
          <w:color w:val="auto"/>
          <w:spacing w:val="8"/>
          <w:sz w:val="20"/>
          <w:szCs w:val="20"/>
          <w:highlight w:val="none"/>
        </w:rPr>
        <w:t>由乙方代管，主要用于以下开</w:t>
      </w:r>
      <w:r>
        <w:rPr>
          <w:rFonts w:ascii="宋体" w:hAnsi="宋体" w:eastAsia="宋体" w:cs="宋体"/>
          <w:color w:val="auto"/>
          <w:spacing w:val="7"/>
          <w:sz w:val="20"/>
          <w:szCs w:val="20"/>
          <w:highlight w:val="none"/>
        </w:rPr>
        <w:t>支：</w:t>
      </w:r>
    </w:p>
    <w:p w14:paraId="5A2A25C4">
      <w:pPr>
        <w:spacing w:before="221" w:line="227" w:lineRule="auto"/>
        <w:ind w:left="34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（1）管理服务人员的工资、社会保险和按规</w:t>
      </w:r>
      <w:r>
        <w:rPr>
          <w:rFonts w:ascii="宋体" w:hAnsi="宋体" w:eastAsia="宋体" w:cs="宋体"/>
          <w:color w:val="auto"/>
          <w:spacing w:val="8"/>
          <w:sz w:val="20"/>
          <w:szCs w:val="20"/>
          <w:highlight w:val="none"/>
        </w:rPr>
        <w:t>定提取的福利费等；</w:t>
      </w:r>
    </w:p>
    <w:p w14:paraId="36C0A1B1">
      <w:pPr>
        <w:spacing w:before="222" w:line="228" w:lineRule="auto"/>
        <w:ind w:left="34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（2）物业共用部位、共用设施设备的日常运行、维护费用；</w:t>
      </w:r>
    </w:p>
    <w:p w14:paraId="164F9903">
      <w:pPr>
        <w:spacing w:line="228" w:lineRule="auto"/>
        <w:rPr>
          <w:rFonts w:ascii="宋体" w:hAnsi="宋体" w:eastAsia="宋体" w:cs="宋体"/>
          <w:color w:val="auto"/>
          <w:sz w:val="20"/>
          <w:szCs w:val="20"/>
          <w:highlight w:val="none"/>
        </w:rPr>
        <w:sectPr>
          <w:footerReference r:id="rId7" w:type="default"/>
          <w:pgSz w:w="11906" w:h="16839"/>
          <w:pgMar w:top="1431" w:right="1785" w:bottom="1153" w:left="1785" w:header="0" w:footer="994" w:gutter="0"/>
          <w:pgNumType w:fmt="numberInDash"/>
          <w:cols w:space="720" w:num="1"/>
        </w:sectPr>
      </w:pPr>
    </w:p>
    <w:p w14:paraId="7305DBC7">
      <w:pPr>
        <w:spacing w:before="137" w:line="228" w:lineRule="auto"/>
        <w:ind w:left="34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（3）物业管理区域清洁卫生费用；</w:t>
      </w:r>
    </w:p>
    <w:p w14:paraId="0A5CC6A8">
      <w:pPr>
        <w:spacing w:before="221" w:line="228" w:lineRule="auto"/>
        <w:ind w:left="34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（4）物业管理区域绿化养护费用；</w:t>
      </w:r>
    </w:p>
    <w:p w14:paraId="5EBB442D">
      <w:pPr>
        <w:spacing w:before="220" w:line="228" w:lineRule="auto"/>
        <w:ind w:left="34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（5）物业管理区域秩序维护费用；</w:t>
      </w:r>
    </w:p>
    <w:p w14:paraId="084F962E">
      <w:pPr>
        <w:spacing w:before="221" w:line="228" w:lineRule="auto"/>
        <w:ind w:left="34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（6）办公费用；</w:t>
      </w:r>
    </w:p>
    <w:p w14:paraId="1B6FCB23">
      <w:pPr>
        <w:spacing w:before="221" w:line="228" w:lineRule="auto"/>
        <w:ind w:left="34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（7）物业管理企业固定资产折旧；</w:t>
      </w:r>
    </w:p>
    <w:p w14:paraId="2E7F2818">
      <w:pPr>
        <w:spacing w:before="220" w:line="228" w:lineRule="auto"/>
        <w:ind w:left="34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（8）物业共用部位、共用设施设备及公众责任保险费用；</w:t>
      </w:r>
    </w:p>
    <w:p w14:paraId="07CEBA5A">
      <w:pPr>
        <w:spacing w:before="221" w:line="233" w:lineRule="auto"/>
        <w:ind w:left="346"/>
        <w:rPr>
          <w:rFonts w:ascii="宋体" w:hAnsi="宋体" w:eastAsia="宋体" w:cs="宋体"/>
          <w:color w:val="auto"/>
          <w:sz w:val="20"/>
          <w:szCs w:val="20"/>
          <w:highlight w:val="none"/>
        </w:rPr>
      </w:pPr>
      <w:r>
        <w:rPr>
          <w:rFonts w:ascii="宋体" w:hAnsi="宋体" w:eastAsia="宋体" w:cs="宋体"/>
          <w:color w:val="auto"/>
          <w:sz w:val="20"/>
          <w:szCs w:val="20"/>
          <w:highlight w:val="none"/>
        </w:rPr>
        <w:t>（9）</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u w:val="single" w:color="auto"/>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w:t>
      </w:r>
    </w:p>
    <w:p w14:paraId="5F1D8E92">
      <w:pPr>
        <w:spacing w:before="215" w:line="227" w:lineRule="auto"/>
        <w:ind w:left="46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乙方采取以下第</w:t>
      </w:r>
      <w:r>
        <w:rPr>
          <w:rFonts w:ascii="宋体" w:hAnsi="宋体" w:eastAsia="宋体" w:cs="宋体"/>
          <w:color w:val="auto"/>
          <w:spacing w:val="6"/>
          <w:sz w:val="20"/>
          <w:szCs w:val="20"/>
          <w:highlight w:val="none"/>
          <w:u w:val="single" w:color="auto"/>
        </w:rPr>
        <w:t xml:space="preserve">  /  </w:t>
      </w:r>
      <w:r>
        <w:rPr>
          <w:rFonts w:ascii="宋体" w:hAnsi="宋体" w:eastAsia="宋体" w:cs="宋体"/>
          <w:color w:val="auto"/>
          <w:spacing w:val="-87"/>
          <w:sz w:val="20"/>
          <w:szCs w:val="20"/>
          <w:highlight w:val="none"/>
        </w:rPr>
        <w:t xml:space="preserve"> </w:t>
      </w:r>
      <w:r>
        <w:rPr>
          <w:rFonts w:ascii="宋体" w:hAnsi="宋体" w:eastAsia="宋体" w:cs="宋体"/>
          <w:color w:val="auto"/>
          <w:spacing w:val="6"/>
          <w:sz w:val="20"/>
          <w:szCs w:val="20"/>
          <w:highlight w:val="none"/>
        </w:rPr>
        <w:t>种方式提取酬金：</w:t>
      </w:r>
    </w:p>
    <w:p w14:paraId="3DC2FCE5">
      <w:pPr>
        <w:spacing w:before="222" w:line="228" w:lineRule="auto"/>
        <w:jc w:val="right"/>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（1）乙方按</w:t>
      </w:r>
      <w:r>
        <w:rPr>
          <w:rFonts w:ascii="宋体" w:hAnsi="宋体" w:eastAsia="宋体" w:cs="宋体"/>
          <w:color w:val="auto"/>
          <w:spacing w:val="3"/>
          <w:sz w:val="20"/>
          <w:szCs w:val="20"/>
          <w:highlight w:val="none"/>
          <w:u w:val="single" w:color="auto"/>
        </w:rPr>
        <w:t xml:space="preserve">   /   </w:t>
      </w:r>
      <w:r>
        <w:rPr>
          <w:rFonts w:ascii="宋体" w:hAnsi="宋体" w:eastAsia="宋体" w:cs="宋体"/>
          <w:color w:val="auto"/>
          <w:spacing w:val="3"/>
          <w:sz w:val="20"/>
          <w:szCs w:val="20"/>
          <w:highlight w:val="none"/>
        </w:rPr>
        <w:t>（每月/每季/每年）</w:t>
      </w:r>
      <w:r>
        <w:rPr>
          <w:rFonts w:ascii="宋体" w:hAnsi="宋体" w:eastAsia="宋体" w:cs="宋体"/>
          <w:color w:val="auto"/>
          <w:spacing w:val="3"/>
          <w:sz w:val="20"/>
          <w:szCs w:val="20"/>
          <w:highlight w:val="none"/>
          <w:u w:val="single" w:color="auto"/>
        </w:rPr>
        <w:t xml:space="preserve">   /   </w:t>
      </w:r>
      <w:r>
        <w:rPr>
          <w:rFonts w:ascii="宋体" w:hAnsi="宋体" w:eastAsia="宋体" w:cs="宋体"/>
          <w:color w:val="auto"/>
          <w:spacing w:val="-90"/>
          <w:sz w:val="20"/>
          <w:szCs w:val="20"/>
          <w:highlight w:val="none"/>
        </w:rPr>
        <w:t xml:space="preserve"> </w:t>
      </w:r>
      <w:r>
        <w:rPr>
          <w:rFonts w:ascii="宋体" w:hAnsi="宋体" w:eastAsia="宋体" w:cs="宋体"/>
          <w:color w:val="auto"/>
          <w:spacing w:val="3"/>
          <w:sz w:val="20"/>
          <w:szCs w:val="20"/>
          <w:highlight w:val="none"/>
        </w:rPr>
        <w:t>元的标准从</w:t>
      </w:r>
      <w:r>
        <w:rPr>
          <w:rFonts w:ascii="宋体" w:hAnsi="宋体" w:eastAsia="宋体" w:cs="宋体"/>
          <w:color w:val="auto"/>
          <w:spacing w:val="2"/>
          <w:sz w:val="20"/>
          <w:szCs w:val="20"/>
          <w:highlight w:val="none"/>
        </w:rPr>
        <w:t>预收的物业服务资金中提取。</w:t>
      </w:r>
    </w:p>
    <w:p w14:paraId="27EB321E">
      <w:pPr>
        <w:spacing w:before="221" w:line="331" w:lineRule="auto"/>
        <w:ind w:left="24" w:right="70" w:firstLine="322"/>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（2）乙方</w:t>
      </w:r>
      <w:r>
        <w:rPr>
          <w:rFonts w:ascii="宋体" w:hAnsi="宋体" w:eastAsia="宋体" w:cs="宋体"/>
          <w:color w:val="auto"/>
          <w:spacing w:val="-74"/>
          <w:sz w:val="20"/>
          <w:szCs w:val="20"/>
          <w:highlight w:val="none"/>
        </w:rPr>
        <w:t xml:space="preserve"> </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17"/>
          <w:sz w:val="20"/>
          <w:szCs w:val="20"/>
          <w:highlight w:val="none"/>
          <w:u w:val="single" w:color="auto"/>
        </w:rPr>
        <w:t>/</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17"/>
          <w:sz w:val="20"/>
          <w:szCs w:val="20"/>
          <w:highlight w:val="none"/>
        </w:rPr>
        <w:t>（每月/每季/每年</w:t>
      </w:r>
      <w:r>
        <w:rPr>
          <w:rFonts w:ascii="宋体" w:hAnsi="宋体" w:eastAsia="宋体" w:cs="宋体"/>
          <w:color w:val="auto"/>
          <w:spacing w:val="-43"/>
          <w:sz w:val="20"/>
          <w:szCs w:val="20"/>
          <w:highlight w:val="none"/>
        </w:rPr>
        <w:t xml:space="preserve"> </w:t>
      </w:r>
      <w:r>
        <w:rPr>
          <w:rFonts w:ascii="宋体" w:hAnsi="宋体" w:eastAsia="宋体" w:cs="宋体"/>
          <w:color w:val="auto"/>
          <w:spacing w:val="17"/>
          <w:sz w:val="20"/>
          <w:szCs w:val="20"/>
          <w:highlight w:val="none"/>
        </w:rPr>
        <w:t>）按应</w:t>
      </w:r>
      <w:r>
        <w:rPr>
          <w:rFonts w:ascii="宋体" w:hAnsi="宋体" w:eastAsia="宋体" w:cs="宋体"/>
          <w:color w:val="auto"/>
          <w:spacing w:val="-58"/>
          <w:sz w:val="20"/>
          <w:szCs w:val="20"/>
          <w:highlight w:val="none"/>
        </w:rPr>
        <w:t xml:space="preserve"> </w:t>
      </w:r>
      <w:r>
        <w:rPr>
          <w:rFonts w:ascii="宋体" w:hAnsi="宋体" w:eastAsia="宋体" w:cs="宋体"/>
          <w:color w:val="auto"/>
          <w:spacing w:val="17"/>
          <w:sz w:val="20"/>
          <w:szCs w:val="20"/>
          <w:highlight w:val="none"/>
        </w:rPr>
        <w:t>收的物业服务</w:t>
      </w:r>
      <w:r>
        <w:rPr>
          <w:rFonts w:ascii="宋体" w:hAnsi="宋体" w:eastAsia="宋体" w:cs="宋体"/>
          <w:color w:val="auto"/>
          <w:spacing w:val="-57"/>
          <w:sz w:val="20"/>
          <w:szCs w:val="20"/>
          <w:highlight w:val="none"/>
        </w:rPr>
        <w:t xml:space="preserve"> </w:t>
      </w:r>
      <w:r>
        <w:rPr>
          <w:rFonts w:ascii="宋体" w:hAnsi="宋体" w:eastAsia="宋体" w:cs="宋体"/>
          <w:color w:val="auto"/>
          <w:spacing w:val="17"/>
          <w:sz w:val="20"/>
          <w:szCs w:val="20"/>
          <w:highlight w:val="none"/>
        </w:rPr>
        <w:t>资金</w:t>
      </w:r>
      <w:r>
        <w:rPr>
          <w:rFonts w:ascii="宋体" w:hAnsi="宋体" w:eastAsia="宋体" w:cs="宋体"/>
          <w:color w:val="auto"/>
          <w:spacing w:val="-74"/>
          <w:sz w:val="20"/>
          <w:szCs w:val="20"/>
          <w:highlight w:val="none"/>
        </w:rPr>
        <w:t xml:space="preserve"> </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17"/>
          <w:sz w:val="20"/>
          <w:szCs w:val="20"/>
          <w:highlight w:val="none"/>
          <w:u w:val="single" w:color="auto"/>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6"/>
          <w:sz w:val="20"/>
          <w:szCs w:val="20"/>
          <w:highlight w:val="none"/>
        </w:rPr>
        <w:t xml:space="preserve"> </w:t>
      </w:r>
      <w:r>
        <w:rPr>
          <w:rFonts w:ascii="宋体" w:hAnsi="宋体" w:eastAsia="宋体" w:cs="宋体"/>
          <w:color w:val="auto"/>
          <w:spacing w:val="17"/>
          <w:sz w:val="20"/>
          <w:szCs w:val="20"/>
          <w:highlight w:val="none"/>
        </w:rPr>
        <w:t>%的</w:t>
      </w:r>
      <w:r>
        <w:rPr>
          <w:rFonts w:ascii="宋体" w:hAnsi="宋体" w:eastAsia="宋体" w:cs="宋体"/>
          <w:color w:val="auto"/>
          <w:spacing w:val="16"/>
          <w:sz w:val="20"/>
          <w:szCs w:val="20"/>
          <w:highlight w:val="none"/>
        </w:rPr>
        <w:t>比例提</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取。</w:t>
      </w:r>
    </w:p>
    <w:p w14:paraId="6C0A837F">
      <w:pPr>
        <w:spacing w:before="219" w:line="432" w:lineRule="auto"/>
        <w:ind w:left="21" w:right="70" w:firstLine="6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物业服务支出应全部用于本合同约定的支出。物业服务支出年度结算后结余部分，转</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入下一年度继续使用；物业服务支出年度结算后不足部分，</w:t>
      </w:r>
      <w:r>
        <w:rPr>
          <w:rFonts w:ascii="宋体" w:hAnsi="宋体" w:eastAsia="宋体" w:cs="宋体"/>
          <w:color w:val="auto"/>
          <w:spacing w:val="-52"/>
          <w:sz w:val="20"/>
          <w:szCs w:val="20"/>
          <w:highlight w:val="none"/>
        </w:rPr>
        <w:t xml:space="preserve"> </w:t>
      </w:r>
      <w:r>
        <w:rPr>
          <w:rFonts w:ascii="宋体" w:hAnsi="宋体" w:eastAsia="宋体" w:cs="宋体"/>
          <w:color w:val="auto"/>
          <w:spacing w:val="8"/>
          <w:sz w:val="20"/>
          <w:szCs w:val="20"/>
          <w:highlight w:val="none"/>
        </w:rPr>
        <w:t>由全体业主承担。</w:t>
      </w:r>
    </w:p>
    <w:p w14:paraId="0BBD8FC6">
      <w:pPr>
        <w:spacing w:before="4" w:line="380" w:lineRule="auto"/>
        <w:ind w:left="22" w:right="16" w:firstLine="6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第七条  业主与物业使用人约定由物业使用人交纳物业服务费用（物业</w:t>
      </w:r>
      <w:r>
        <w:rPr>
          <w:rFonts w:ascii="宋体" w:hAnsi="宋体" w:eastAsia="宋体" w:cs="宋体"/>
          <w:color w:val="auto"/>
          <w:spacing w:val="3"/>
          <w:sz w:val="20"/>
          <w:szCs w:val="20"/>
          <w:highlight w:val="none"/>
        </w:rPr>
        <w:t>服务资金）的，</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从其约定，业主负连带交纳责任。业主与物业使用人之间的交费约定，业主应及时书面告知</w:t>
      </w:r>
      <w:r>
        <w:rPr>
          <w:rFonts w:ascii="宋体" w:hAnsi="宋体" w:eastAsia="宋体" w:cs="宋体"/>
          <w:color w:val="auto"/>
          <w:spacing w:val="14"/>
          <w:sz w:val="20"/>
          <w:szCs w:val="20"/>
          <w:highlight w:val="none"/>
        </w:rPr>
        <w:t xml:space="preserve"> </w:t>
      </w:r>
      <w:r>
        <w:rPr>
          <w:rFonts w:ascii="宋体" w:hAnsi="宋体" w:eastAsia="宋体" w:cs="宋体"/>
          <w:color w:val="auto"/>
          <w:spacing w:val="7"/>
          <w:sz w:val="20"/>
          <w:szCs w:val="20"/>
          <w:highlight w:val="none"/>
        </w:rPr>
        <w:t>乙方。物业服务费用（物业服务资金）按年</w:t>
      </w:r>
      <w:r>
        <w:rPr>
          <w:rFonts w:ascii="宋体" w:hAnsi="宋体" w:eastAsia="宋体" w:cs="宋体"/>
          <w:color w:val="auto"/>
          <w:spacing w:val="7"/>
          <w:sz w:val="20"/>
          <w:szCs w:val="20"/>
          <w:highlight w:val="none"/>
          <w:u w:val="single" w:color="auto"/>
        </w:rPr>
        <w:t xml:space="preserve"> 年 </w:t>
      </w:r>
      <w:r>
        <w:rPr>
          <w:rFonts w:ascii="宋体" w:hAnsi="宋体" w:eastAsia="宋体" w:cs="宋体"/>
          <w:color w:val="auto"/>
          <w:spacing w:val="7"/>
          <w:sz w:val="20"/>
          <w:szCs w:val="20"/>
          <w:highlight w:val="none"/>
        </w:rPr>
        <w:t>（年/季/月）交纳，业主或物业使用人应在</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u w:val="single" w:color="auto"/>
        </w:rPr>
        <w:t>每交费年度第一个月的</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6"/>
          <w:sz w:val="20"/>
          <w:szCs w:val="20"/>
          <w:highlight w:val="none"/>
          <w:u w:val="single" w:color="auto"/>
        </w:rPr>
        <w:t>10 日前</w:t>
      </w:r>
      <w:r>
        <w:rPr>
          <w:rFonts w:ascii="宋体" w:hAnsi="宋体" w:eastAsia="宋体" w:cs="宋体"/>
          <w:color w:val="auto"/>
          <w:spacing w:val="6"/>
          <w:sz w:val="20"/>
          <w:szCs w:val="20"/>
          <w:highlight w:val="none"/>
        </w:rPr>
        <w:t>（每次缴费的具体时间）履行交纳义务。</w:t>
      </w:r>
    </w:p>
    <w:p w14:paraId="62DC7863">
      <w:pPr>
        <w:spacing w:before="223" w:line="329" w:lineRule="auto"/>
        <w:ind w:left="22" w:right="12" w:firstLine="5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第八条  物业服务费用实行酬金制方式计费的，乙方应向全体业主公布物业管理年度</w:t>
      </w:r>
      <w:r>
        <w:rPr>
          <w:rFonts w:ascii="宋体" w:hAnsi="宋体" w:eastAsia="宋体" w:cs="宋体"/>
          <w:color w:val="auto"/>
          <w:spacing w:val="17"/>
          <w:sz w:val="20"/>
          <w:szCs w:val="20"/>
          <w:highlight w:val="none"/>
        </w:rPr>
        <w:t xml:space="preserve"> </w:t>
      </w:r>
      <w:r>
        <w:rPr>
          <w:rFonts w:ascii="宋体" w:hAnsi="宋体" w:eastAsia="宋体" w:cs="宋体"/>
          <w:color w:val="auto"/>
          <w:spacing w:val="8"/>
          <w:sz w:val="20"/>
          <w:szCs w:val="20"/>
          <w:highlight w:val="none"/>
        </w:rPr>
        <w:t>计划和物业服务资金年度预决算，并每年</w:t>
      </w:r>
      <w:r>
        <w:rPr>
          <w:rFonts w:ascii="宋体" w:hAnsi="宋体" w:eastAsia="宋体" w:cs="宋体"/>
          <w:color w:val="auto"/>
          <w:spacing w:val="-84"/>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8"/>
          <w:sz w:val="20"/>
          <w:szCs w:val="20"/>
          <w:highlight w:val="none"/>
        </w:rPr>
        <w:t>次向全体业主公布物业服务资金的收支情况。</w:t>
      </w:r>
    </w:p>
    <w:p w14:paraId="55BECF00">
      <w:pPr>
        <w:spacing w:before="222" w:line="227" w:lineRule="auto"/>
        <w:ind w:left="54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对物业服务资金收支情况有争议的，</w:t>
      </w:r>
      <w:r>
        <w:rPr>
          <w:rFonts w:ascii="宋体" w:hAnsi="宋体" w:eastAsia="宋体" w:cs="宋体"/>
          <w:color w:val="auto"/>
          <w:spacing w:val="-56"/>
          <w:sz w:val="20"/>
          <w:szCs w:val="20"/>
          <w:highlight w:val="none"/>
        </w:rPr>
        <w:t xml:space="preserve"> </w:t>
      </w:r>
      <w:r>
        <w:rPr>
          <w:rFonts w:ascii="宋体" w:hAnsi="宋体" w:eastAsia="宋体" w:cs="宋体"/>
          <w:color w:val="auto"/>
          <w:spacing w:val="8"/>
          <w:sz w:val="20"/>
          <w:szCs w:val="20"/>
          <w:highlight w:val="none"/>
        </w:rPr>
        <w:t>甲乙双方同意采取以下方式</w:t>
      </w:r>
      <w:r>
        <w:rPr>
          <w:rFonts w:ascii="宋体" w:hAnsi="宋体" w:eastAsia="宋体" w:cs="宋体"/>
          <w:color w:val="auto"/>
          <w:spacing w:val="7"/>
          <w:sz w:val="20"/>
          <w:szCs w:val="20"/>
          <w:highlight w:val="none"/>
        </w:rPr>
        <w:t>解决：</w:t>
      </w:r>
    </w:p>
    <w:p w14:paraId="1B00565F">
      <w:pPr>
        <w:spacing w:before="222" w:line="228" w:lineRule="auto"/>
        <w:ind w:left="35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w:t>
      </w:r>
      <w:r>
        <w:rPr>
          <w:rFonts w:ascii="宋体" w:hAnsi="宋体" w:eastAsia="宋体" w:cs="宋体"/>
          <w:color w:val="auto"/>
          <w:spacing w:val="-59"/>
          <w:sz w:val="20"/>
          <w:szCs w:val="20"/>
          <w:highlight w:val="none"/>
        </w:rPr>
        <w:t xml:space="preserve"> </w:t>
      </w:r>
      <w:r>
        <w:rPr>
          <w:rFonts w:ascii="宋体" w:hAnsi="宋体" w:eastAsia="宋体" w:cs="宋体"/>
          <w:color w:val="auto"/>
          <w:spacing w:val="8"/>
          <w:sz w:val="20"/>
          <w:szCs w:val="20"/>
          <w:highlight w:val="none"/>
          <w:u w:val="single" w:color="auto"/>
        </w:rPr>
        <w:t>甲方对物业服务资金收支情况无任何义务，由乙方向业主</w:t>
      </w:r>
      <w:r>
        <w:rPr>
          <w:rFonts w:ascii="宋体" w:hAnsi="宋体" w:eastAsia="宋体" w:cs="宋体"/>
          <w:color w:val="auto"/>
          <w:spacing w:val="7"/>
          <w:sz w:val="20"/>
          <w:szCs w:val="20"/>
          <w:highlight w:val="none"/>
          <w:u w:val="single" w:color="auto"/>
        </w:rPr>
        <w:t>自行收取并用于运营</w:t>
      </w:r>
      <w:r>
        <w:rPr>
          <w:rFonts w:ascii="宋体" w:hAnsi="宋体" w:eastAsia="宋体" w:cs="宋体"/>
          <w:color w:val="auto"/>
          <w:spacing w:val="7"/>
          <w:sz w:val="20"/>
          <w:szCs w:val="20"/>
          <w:highlight w:val="none"/>
        </w:rPr>
        <w:t>；</w:t>
      </w:r>
    </w:p>
    <w:p w14:paraId="05944568">
      <w:pPr>
        <w:spacing w:before="221" w:line="233" w:lineRule="auto"/>
        <w:ind w:left="339"/>
        <w:rPr>
          <w:rFonts w:ascii="宋体" w:hAnsi="宋体" w:eastAsia="宋体" w:cs="宋体"/>
          <w:color w:val="auto"/>
          <w:sz w:val="20"/>
          <w:szCs w:val="20"/>
          <w:highlight w:val="none"/>
        </w:rPr>
      </w:pPr>
      <w:r>
        <w:rPr>
          <w:rFonts w:ascii="宋体" w:hAnsi="宋体" w:eastAsia="宋体" w:cs="宋体"/>
          <w:color w:val="auto"/>
          <w:sz w:val="20"/>
          <w:szCs w:val="20"/>
          <w:highlight w:val="none"/>
        </w:rPr>
        <w:t>2、</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u w:val="single" w:color="auto"/>
        </w:rPr>
        <w:t>/</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z w:val="20"/>
          <w:szCs w:val="20"/>
          <w:highlight w:val="none"/>
          <w:u w:val="single" w:color="auto"/>
        </w:rPr>
        <w:t>。</w:t>
      </w:r>
    </w:p>
    <w:p w14:paraId="0C7FD2E6">
      <w:pPr>
        <w:spacing w:before="241" w:line="225" w:lineRule="auto"/>
        <w:ind w:left="233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第四节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物业的经营与管理</w:t>
      </w:r>
    </w:p>
    <w:p w14:paraId="25446D4E">
      <w:pPr>
        <w:spacing w:before="221" w:line="227"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第九条  停车场收费分别采取以下方式：</w:t>
      </w:r>
    </w:p>
    <w:p w14:paraId="7C03F2D0">
      <w:pPr>
        <w:spacing w:before="222" w:line="432" w:lineRule="auto"/>
        <w:ind w:left="33" w:right="70" w:firstLine="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1、停车场属于全体业主共有的，车位使用人应</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5"/>
          <w:sz w:val="20"/>
          <w:szCs w:val="20"/>
          <w:highlight w:val="none"/>
        </w:rPr>
        <w:t xml:space="preserve"> </w:t>
      </w:r>
      <w:r>
        <w:rPr>
          <w:rFonts w:ascii="宋体" w:hAnsi="宋体" w:eastAsia="宋体" w:cs="宋体"/>
          <w:color w:val="auto"/>
          <w:spacing w:val="4"/>
          <w:sz w:val="20"/>
          <w:szCs w:val="20"/>
          <w:highlight w:val="none"/>
        </w:rPr>
        <w:t>元/个</w:t>
      </w:r>
      <w:r>
        <w:rPr>
          <w:rFonts w:ascii="宋体" w:hAnsi="宋体" w:eastAsia="宋体" w:cs="宋体"/>
          <w:color w:val="auto"/>
          <w:spacing w:val="-18"/>
          <w:sz w:val="20"/>
          <w:szCs w:val="20"/>
          <w:highlight w:val="none"/>
        </w:rPr>
        <w:t xml:space="preserve"> </w:t>
      </w:r>
      <w:r>
        <w:rPr>
          <w:rFonts w:ascii="宋体" w:hAnsi="宋体" w:eastAsia="宋体" w:cs="宋体"/>
          <w:color w:val="auto"/>
          <w:spacing w:val="4"/>
          <w:sz w:val="20"/>
          <w:szCs w:val="20"/>
          <w:highlight w:val="none"/>
        </w:rPr>
        <w:t>·月的标</w:t>
      </w:r>
      <w:r>
        <w:rPr>
          <w:rFonts w:ascii="宋体" w:hAnsi="宋体" w:eastAsia="宋体" w:cs="宋体"/>
          <w:color w:val="auto"/>
          <w:spacing w:val="3"/>
          <w:sz w:val="20"/>
          <w:szCs w:val="20"/>
          <w:highlight w:val="none"/>
        </w:rPr>
        <w:t>准向乙方交纳停车</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费。</w:t>
      </w:r>
    </w:p>
    <w:p w14:paraId="7CB303B1">
      <w:pPr>
        <w:spacing w:before="1" w:line="227" w:lineRule="auto"/>
        <w:ind w:left="46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乙方从停车费中车位</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5"/>
          <w:sz w:val="20"/>
          <w:szCs w:val="20"/>
          <w:highlight w:val="none"/>
        </w:rPr>
        <w:t>元/个</w:t>
      </w:r>
      <w:r>
        <w:rPr>
          <w:rFonts w:ascii="宋体" w:hAnsi="宋体" w:eastAsia="宋体" w:cs="宋体"/>
          <w:color w:val="auto"/>
          <w:spacing w:val="-18"/>
          <w:sz w:val="20"/>
          <w:szCs w:val="20"/>
          <w:highlight w:val="none"/>
        </w:rPr>
        <w:t xml:space="preserve"> </w:t>
      </w:r>
      <w:r>
        <w:rPr>
          <w:rFonts w:ascii="宋体" w:hAnsi="宋体" w:eastAsia="宋体" w:cs="宋体"/>
          <w:color w:val="auto"/>
          <w:spacing w:val="5"/>
          <w:sz w:val="20"/>
          <w:szCs w:val="20"/>
          <w:highlight w:val="none"/>
        </w:rPr>
        <w:t>·月的标准提取停车管理</w:t>
      </w:r>
      <w:r>
        <w:rPr>
          <w:rFonts w:ascii="宋体" w:hAnsi="宋体" w:eastAsia="宋体" w:cs="宋体"/>
          <w:color w:val="auto"/>
          <w:spacing w:val="4"/>
          <w:sz w:val="20"/>
          <w:szCs w:val="20"/>
          <w:highlight w:val="none"/>
        </w:rPr>
        <w:t>服务费。</w:t>
      </w:r>
    </w:p>
    <w:p w14:paraId="355EFC7F">
      <w:pPr>
        <w:spacing w:before="222" w:line="433" w:lineRule="auto"/>
        <w:ind w:left="23" w:right="80"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2、停车场属于甲方所有、委托乙方管理的，</w:t>
      </w:r>
      <w:r>
        <w:rPr>
          <w:rFonts w:ascii="宋体" w:hAnsi="宋体" w:eastAsia="宋体" w:cs="宋体"/>
          <w:color w:val="auto"/>
          <w:spacing w:val="9"/>
          <w:sz w:val="20"/>
          <w:szCs w:val="20"/>
          <w:highlight w:val="none"/>
        </w:rPr>
        <w:t>业主和物业使用人有优先使用权，车位使</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用人应按车位</w:t>
      </w:r>
      <w:r>
        <w:rPr>
          <w:rFonts w:ascii="宋体" w:hAnsi="宋体" w:eastAsia="宋体" w:cs="宋体"/>
          <w:color w:val="auto"/>
          <w:spacing w:val="-97"/>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5"/>
          <w:sz w:val="20"/>
          <w:szCs w:val="20"/>
          <w:highlight w:val="none"/>
        </w:rPr>
        <w:t>元/个</w:t>
      </w:r>
      <w:r>
        <w:rPr>
          <w:rFonts w:ascii="宋体" w:hAnsi="宋体" w:eastAsia="宋体" w:cs="宋体"/>
          <w:color w:val="auto"/>
          <w:spacing w:val="-20"/>
          <w:sz w:val="20"/>
          <w:szCs w:val="20"/>
          <w:highlight w:val="none"/>
        </w:rPr>
        <w:t xml:space="preserve"> </w:t>
      </w:r>
      <w:r>
        <w:rPr>
          <w:rFonts w:ascii="宋体" w:hAnsi="宋体" w:eastAsia="宋体" w:cs="宋体"/>
          <w:color w:val="auto"/>
          <w:spacing w:val="5"/>
          <w:sz w:val="20"/>
          <w:szCs w:val="20"/>
          <w:highlight w:val="none"/>
        </w:rPr>
        <w:t>·月的标准向乙方交纳</w:t>
      </w:r>
      <w:r>
        <w:rPr>
          <w:rFonts w:ascii="宋体" w:hAnsi="宋体" w:eastAsia="宋体" w:cs="宋体"/>
          <w:color w:val="auto"/>
          <w:spacing w:val="4"/>
          <w:sz w:val="20"/>
          <w:szCs w:val="20"/>
          <w:highlight w:val="none"/>
        </w:rPr>
        <w:t>停车费。</w:t>
      </w:r>
    </w:p>
    <w:p w14:paraId="28AA4834">
      <w:pPr>
        <w:spacing w:line="433" w:lineRule="auto"/>
        <w:rPr>
          <w:rFonts w:ascii="宋体" w:hAnsi="宋体" w:eastAsia="宋体" w:cs="宋体"/>
          <w:color w:val="auto"/>
          <w:sz w:val="20"/>
          <w:szCs w:val="20"/>
          <w:highlight w:val="none"/>
        </w:rPr>
        <w:sectPr>
          <w:footerReference r:id="rId8" w:type="default"/>
          <w:pgSz w:w="11906" w:h="16839"/>
          <w:pgMar w:top="1431" w:right="1731" w:bottom="1156" w:left="1785" w:header="0" w:footer="994" w:gutter="0"/>
          <w:pgNumType w:fmt="numberInDash"/>
          <w:cols w:space="720" w:num="1"/>
        </w:sectPr>
      </w:pPr>
    </w:p>
    <w:p w14:paraId="7957866D">
      <w:pPr>
        <w:spacing w:before="137" w:line="228" w:lineRule="auto"/>
        <w:ind w:left="46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乙方从停车费中按车位</w:t>
      </w:r>
      <w:r>
        <w:rPr>
          <w:rFonts w:ascii="宋体" w:hAnsi="宋体" w:eastAsia="宋体" w:cs="宋体"/>
          <w:color w:val="auto"/>
          <w:spacing w:val="-94"/>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5"/>
          <w:sz w:val="20"/>
          <w:szCs w:val="20"/>
          <w:highlight w:val="none"/>
        </w:rPr>
        <w:t xml:space="preserve"> </w:t>
      </w:r>
      <w:r>
        <w:rPr>
          <w:rFonts w:ascii="宋体" w:hAnsi="宋体" w:eastAsia="宋体" w:cs="宋体"/>
          <w:color w:val="auto"/>
          <w:spacing w:val="5"/>
          <w:sz w:val="20"/>
          <w:szCs w:val="20"/>
          <w:highlight w:val="none"/>
        </w:rPr>
        <w:t>元/个</w:t>
      </w:r>
      <w:r>
        <w:rPr>
          <w:rFonts w:ascii="宋体" w:hAnsi="宋体" w:eastAsia="宋体" w:cs="宋体"/>
          <w:color w:val="auto"/>
          <w:spacing w:val="-21"/>
          <w:sz w:val="20"/>
          <w:szCs w:val="20"/>
          <w:highlight w:val="none"/>
        </w:rPr>
        <w:t xml:space="preserve"> </w:t>
      </w:r>
      <w:r>
        <w:rPr>
          <w:rFonts w:ascii="宋体" w:hAnsi="宋体" w:eastAsia="宋体" w:cs="宋体"/>
          <w:color w:val="auto"/>
          <w:spacing w:val="5"/>
          <w:sz w:val="20"/>
          <w:szCs w:val="20"/>
          <w:highlight w:val="none"/>
        </w:rPr>
        <w:t>·月的标准提取停车管理服务费。</w:t>
      </w:r>
    </w:p>
    <w:p w14:paraId="77F18E86">
      <w:pPr>
        <w:spacing w:before="221" w:line="432" w:lineRule="auto"/>
        <w:ind w:left="23" w:right="58" w:firstLine="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3、停车场车位所有权或使用权由业主购置的，车位使用人应按车位</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77"/>
          <w:sz w:val="20"/>
          <w:szCs w:val="20"/>
          <w:highlight w:val="none"/>
        </w:rPr>
        <w:t xml:space="preserve"> </w:t>
      </w:r>
      <w:r>
        <w:rPr>
          <w:rFonts w:ascii="宋体" w:hAnsi="宋体" w:eastAsia="宋体" w:cs="宋体"/>
          <w:color w:val="auto"/>
          <w:spacing w:val="4"/>
          <w:sz w:val="20"/>
          <w:szCs w:val="20"/>
          <w:highlight w:val="none"/>
        </w:rPr>
        <w:t>元/个</w:t>
      </w:r>
      <w:r>
        <w:rPr>
          <w:rFonts w:ascii="宋体" w:hAnsi="宋体" w:eastAsia="宋体" w:cs="宋体"/>
          <w:color w:val="auto"/>
          <w:spacing w:val="-21"/>
          <w:sz w:val="20"/>
          <w:szCs w:val="20"/>
          <w:highlight w:val="none"/>
        </w:rPr>
        <w:t xml:space="preserve"> </w:t>
      </w:r>
      <w:r>
        <w:rPr>
          <w:rFonts w:ascii="宋体" w:hAnsi="宋体" w:eastAsia="宋体" w:cs="宋体"/>
          <w:color w:val="auto"/>
          <w:spacing w:val="4"/>
          <w:sz w:val="20"/>
          <w:szCs w:val="20"/>
          <w:highlight w:val="none"/>
        </w:rPr>
        <w:t>·月的</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标准向乙方交纳停车管理服务费。</w:t>
      </w:r>
    </w:p>
    <w:p w14:paraId="241B510E">
      <w:pPr>
        <w:spacing w:before="1" w:line="329" w:lineRule="auto"/>
        <w:ind w:left="23" w:right="58"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第十条  乙方应与停车场车位使用人签订书面的停车管理服务协议，明确双方在车位使</w:t>
      </w:r>
      <w:r>
        <w:rPr>
          <w:rFonts w:ascii="宋体" w:hAnsi="宋体" w:eastAsia="宋体" w:cs="宋体"/>
          <w:color w:val="auto"/>
          <w:spacing w:val="2"/>
          <w:sz w:val="20"/>
          <w:szCs w:val="20"/>
          <w:highlight w:val="none"/>
        </w:rPr>
        <w:t xml:space="preserve"> </w:t>
      </w:r>
      <w:r>
        <w:rPr>
          <w:rFonts w:ascii="宋体" w:hAnsi="宋体" w:eastAsia="宋体" w:cs="宋体"/>
          <w:color w:val="auto"/>
          <w:spacing w:val="8"/>
          <w:sz w:val="20"/>
          <w:szCs w:val="20"/>
          <w:highlight w:val="none"/>
        </w:rPr>
        <w:t>用及停车管理服务等方面的权利义务。</w:t>
      </w:r>
    </w:p>
    <w:p w14:paraId="4F17486A">
      <w:pPr>
        <w:spacing w:before="221" w:line="227" w:lineRule="auto"/>
        <w:ind w:left="44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第十一条  本物业管理区域内的会所属</w:t>
      </w:r>
      <w:r>
        <w:rPr>
          <w:rFonts w:ascii="宋体" w:hAnsi="宋体" w:eastAsia="宋体" w:cs="宋体"/>
          <w:color w:val="auto"/>
          <w:spacing w:val="9"/>
          <w:sz w:val="20"/>
          <w:szCs w:val="20"/>
          <w:highlight w:val="none"/>
          <w:u w:val="single" w:color="auto"/>
        </w:rPr>
        <w:t xml:space="preserve"> 全体业主 </w:t>
      </w:r>
      <w:r>
        <w:rPr>
          <w:rFonts w:ascii="宋体" w:hAnsi="宋体" w:eastAsia="宋体" w:cs="宋体"/>
          <w:color w:val="auto"/>
          <w:spacing w:val="9"/>
          <w:sz w:val="20"/>
          <w:szCs w:val="20"/>
          <w:highlight w:val="none"/>
        </w:rPr>
        <w:t>（全</w:t>
      </w:r>
      <w:r>
        <w:rPr>
          <w:rFonts w:ascii="宋体" w:hAnsi="宋体" w:eastAsia="宋体" w:cs="宋体"/>
          <w:color w:val="auto"/>
          <w:spacing w:val="8"/>
          <w:sz w:val="20"/>
          <w:szCs w:val="20"/>
          <w:highlight w:val="none"/>
        </w:rPr>
        <w:t>体业主/甲方）所有。</w:t>
      </w:r>
    </w:p>
    <w:p w14:paraId="4A995F70">
      <w:pPr>
        <w:spacing w:before="222" w:line="227" w:lineRule="auto"/>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会所委托乙方经营管理的，乙方按下列标准向使用会所的业主或物业使用人收取费用：</w:t>
      </w:r>
    </w:p>
    <w:p w14:paraId="39C92A65">
      <w:pPr>
        <w:spacing w:before="221" w:line="230" w:lineRule="auto"/>
        <w:ind w:left="45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w:t>
      </w:r>
      <w:r>
        <w:rPr>
          <w:rFonts w:ascii="宋体" w:hAnsi="宋体" w:eastAsia="宋体" w:cs="宋体"/>
          <w:color w:val="auto"/>
          <w:spacing w:val="-2"/>
          <w:sz w:val="20"/>
          <w:szCs w:val="20"/>
          <w:highlight w:val="none"/>
          <w:u w:val="single" w:color="auto"/>
        </w:rPr>
        <w:t xml:space="preserve">              /                </w:t>
      </w:r>
      <w:r>
        <w:rPr>
          <w:rFonts w:ascii="宋体" w:hAnsi="宋体" w:eastAsia="宋体" w:cs="宋体"/>
          <w:color w:val="auto"/>
          <w:spacing w:val="-2"/>
          <w:sz w:val="20"/>
          <w:szCs w:val="20"/>
          <w:highlight w:val="none"/>
        </w:rPr>
        <w:t>；</w:t>
      </w:r>
    </w:p>
    <w:p w14:paraId="5641B9B1">
      <w:pPr>
        <w:spacing w:before="219" w:line="233" w:lineRule="auto"/>
        <w:ind w:left="444"/>
        <w:rPr>
          <w:rFonts w:ascii="宋体" w:hAnsi="宋体" w:eastAsia="宋体" w:cs="宋体"/>
          <w:color w:val="auto"/>
          <w:sz w:val="20"/>
          <w:szCs w:val="20"/>
          <w:highlight w:val="none"/>
        </w:rPr>
      </w:pPr>
      <w:r>
        <w:rPr>
          <w:rFonts w:ascii="宋体" w:hAnsi="宋体" w:eastAsia="宋体" w:cs="宋体"/>
          <w:color w:val="auto"/>
          <w:sz w:val="20"/>
          <w:szCs w:val="20"/>
          <w:highlight w:val="none"/>
        </w:rPr>
        <w:t>2、</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u w:val="single" w:color="auto"/>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w:t>
      </w:r>
    </w:p>
    <w:p w14:paraId="71C5BD39">
      <w:pPr>
        <w:spacing w:before="216" w:line="432" w:lineRule="auto"/>
        <w:ind w:left="28" w:firstLine="41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第十二条  本物业管理区域内属于全体业主所</w:t>
      </w:r>
      <w:r>
        <w:rPr>
          <w:rFonts w:ascii="宋体" w:hAnsi="宋体" w:eastAsia="宋体" w:cs="宋体"/>
          <w:color w:val="auto"/>
          <w:spacing w:val="8"/>
          <w:sz w:val="20"/>
          <w:szCs w:val="20"/>
          <w:highlight w:val="none"/>
        </w:rPr>
        <w:t>有的停车场、会所及其他物业共用部位、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公用设备设施统一委托乙方经营，经营收入按下列约定分</w:t>
      </w:r>
      <w:r>
        <w:rPr>
          <w:rFonts w:ascii="宋体" w:hAnsi="宋体" w:eastAsia="宋体" w:cs="宋体"/>
          <w:color w:val="auto"/>
          <w:spacing w:val="8"/>
          <w:sz w:val="20"/>
          <w:szCs w:val="20"/>
          <w:highlight w:val="none"/>
        </w:rPr>
        <w:t>配：</w:t>
      </w:r>
    </w:p>
    <w:p w14:paraId="3DF0D20F">
      <w:pPr>
        <w:spacing w:before="1" w:line="229" w:lineRule="auto"/>
        <w:ind w:left="45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4"/>
          <w:sz w:val="20"/>
          <w:szCs w:val="20"/>
          <w:highlight w:val="none"/>
        </w:rPr>
        <w:t>；</w:t>
      </w:r>
    </w:p>
    <w:p w14:paraId="63EB2657">
      <w:pPr>
        <w:spacing w:before="219" w:line="243" w:lineRule="auto"/>
        <w:ind w:left="44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14E4A36A">
      <w:pPr>
        <w:spacing w:before="229" w:line="225" w:lineRule="auto"/>
        <w:ind w:left="24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第五节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物业的承接验收</w:t>
      </w:r>
    </w:p>
    <w:p w14:paraId="22D3D19E">
      <w:pPr>
        <w:spacing w:before="222" w:line="432" w:lineRule="auto"/>
        <w:ind w:left="24" w:right="58" w:firstLine="41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第十三条  乙方承接物业时，甲方应配合乙方对以下物业共用部位、共用设施设备进行</w:t>
      </w:r>
      <w:r>
        <w:rPr>
          <w:rFonts w:ascii="宋体" w:hAnsi="宋体" w:eastAsia="宋体" w:cs="宋体"/>
          <w:color w:val="auto"/>
          <w:spacing w:val="2"/>
          <w:sz w:val="20"/>
          <w:szCs w:val="20"/>
          <w:highlight w:val="none"/>
        </w:rPr>
        <w:t xml:space="preserve"> 查验：</w:t>
      </w:r>
    </w:p>
    <w:p w14:paraId="0A8583DE">
      <w:pPr>
        <w:spacing w:line="229" w:lineRule="auto"/>
        <w:ind w:left="45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4"/>
          <w:sz w:val="20"/>
          <w:szCs w:val="20"/>
          <w:highlight w:val="none"/>
        </w:rPr>
        <w:t>；</w:t>
      </w:r>
    </w:p>
    <w:p w14:paraId="0445DDA0">
      <w:pPr>
        <w:spacing w:before="219" w:line="230" w:lineRule="auto"/>
        <w:ind w:left="44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51A9F5CB">
      <w:pPr>
        <w:spacing w:before="220" w:line="243" w:lineRule="auto"/>
        <w:ind w:left="44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3、</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4BA78AC3">
      <w:pPr>
        <w:spacing w:before="204" w:line="228" w:lineRule="auto"/>
        <w:ind w:left="44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第十四条  甲乙双方确认查验过的物业共用部位、共用设施设备存在以下问题：</w:t>
      </w:r>
    </w:p>
    <w:p w14:paraId="15882D0F">
      <w:pPr>
        <w:spacing w:before="221" w:line="230" w:lineRule="auto"/>
        <w:ind w:left="45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4"/>
          <w:sz w:val="20"/>
          <w:szCs w:val="20"/>
          <w:highlight w:val="none"/>
        </w:rPr>
        <w:t>；</w:t>
      </w:r>
    </w:p>
    <w:p w14:paraId="06D51286">
      <w:pPr>
        <w:spacing w:before="219" w:line="230" w:lineRule="auto"/>
        <w:ind w:left="44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193B0546">
      <w:pPr>
        <w:spacing w:before="219" w:line="243" w:lineRule="auto"/>
        <w:ind w:left="44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3、</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2CC2921B">
      <w:pPr>
        <w:spacing w:before="204" w:line="228" w:lineRule="auto"/>
        <w:ind w:left="46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甲方应承担解决以上问题的责任，解决办法如下：</w:t>
      </w:r>
    </w:p>
    <w:p w14:paraId="0F3D6134">
      <w:pPr>
        <w:spacing w:before="221" w:line="228" w:lineRule="auto"/>
        <w:ind w:left="45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1"/>
          <w:sz w:val="20"/>
          <w:szCs w:val="20"/>
          <w:highlight w:val="none"/>
          <w:u w:val="single" w:color="auto"/>
        </w:rPr>
        <w:t>返修</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
          <w:sz w:val="20"/>
          <w:szCs w:val="20"/>
          <w:highlight w:val="none"/>
        </w:rPr>
        <w:t>；</w:t>
      </w:r>
    </w:p>
    <w:p w14:paraId="3E81ECE3">
      <w:pPr>
        <w:spacing w:before="221" w:line="230" w:lineRule="auto"/>
        <w:ind w:left="44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173E99D6">
      <w:pPr>
        <w:spacing w:before="220" w:line="243" w:lineRule="auto"/>
        <w:ind w:left="62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3、</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5E8D4332">
      <w:pPr>
        <w:spacing w:before="204" w:line="433" w:lineRule="auto"/>
        <w:ind w:left="23"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第十五条  对于本合同签订后承接的物业共用部位、共用设施设备，甲乙双方应按照前</w:t>
      </w:r>
      <w:r>
        <w:rPr>
          <w:rFonts w:ascii="宋体" w:hAnsi="宋体" w:eastAsia="宋体" w:cs="宋体"/>
          <w:color w:val="auto"/>
          <w:spacing w:val="2"/>
          <w:sz w:val="20"/>
          <w:szCs w:val="20"/>
          <w:highlight w:val="none"/>
        </w:rPr>
        <w:t xml:space="preserve"> </w:t>
      </w:r>
      <w:r>
        <w:rPr>
          <w:rFonts w:ascii="宋体" w:hAnsi="宋体" w:eastAsia="宋体" w:cs="宋体"/>
          <w:color w:val="auto"/>
          <w:spacing w:val="9"/>
          <w:sz w:val="20"/>
          <w:szCs w:val="20"/>
          <w:highlight w:val="none"/>
        </w:rPr>
        <w:t>条规定进行查验并签订确认书，作为界定各自在开发建设和物业管理方面</w:t>
      </w:r>
      <w:r>
        <w:rPr>
          <w:rFonts w:ascii="宋体" w:hAnsi="宋体" w:eastAsia="宋体" w:cs="宋体"/>
          <w:color w:val="auto"/>
          <w:spacing w:val="8"/>
          <w:sz w:val="20"/>
          <w:szCs w:val="20"/>
          <w:highlight w:val="none"/>
        </w:rPr>
        <w:t>承担责任的依据。</w:t>
      </w:r>
    </w:p>
    <w:p w14:paraId="53925A75">
      <w:pPr>
        <w:spacing w:line="433" w:lineRule="auto"/>
        <w:rPr>
          <w:rFonts w:ascii="宋体" w:hAnsi="宋体" w:eastAsia="宋体" w:cs="宋体"/>
          <w:color w:val="auto"/>
          <w:sz w:val="20"/>
          <w:szCs w:val="20"/>
          <w:highlight w:val="none"/>
        </w:rPr>
        <w:sectPr>
          <w:footerReference r:id="rId9" w:type="default"/>
          <w:pgSz w:w="11906" w:h="16839"/>
          <w:pgMar w:top="1431" w:right="1743" w:bottom="1153" w:left="1785" w:header="0" w:footer="994" w:gutter="0"/>
          <w:pgNumType w:fmt="numberInDash"/>
          <w:cols w:space="720" w:num="1"/>
        </w:sectPr>
      </w:pPr>
    </w:p>
    <w:p w14:paraId="5B182A21">
      <w:pPr>
        <w:spacing w:before="137" w:line="228" w:lineRule="auto"/>
        <w:ind w:left="44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第十六条  乙方承接物业时，</w:t>
      </w:r>
      <w:r>
        <w:rPr>
          <w:rFonts w:ascii="宋体" w:hAnsi="宋体" w:eastAsia="宋体" w:cs="宋体"/>
          <w:color w:val="auto"/>
          <w:spacing w:val="-52"/>
          <w:sz w:val="20"/>
          <w:szCs w:val="20"/>
          <w:highlight w:val="none"/>
        </w:rPr>
        <w:t xml:space="preserve"> </w:t>
      </w:r>
      <w:r>
        <w:rPr>
          <w:rFonts w:ascii="宋体" w:hAnsi="宋体" w:eastAsia="宋体" w:cs="宋体"/>
          <w:color w:val="auto"/>
          <w:spacing w:val="7"/>
          <w:sz w:val="20"/>
          <w:szCs w:val="20"/>
          <w:highlight w:val="none"/>
        </w:rPr>
        <w:t>甲方应向乙方移交下列资料：</w:t>
      </w:r>
    </w:p>
    <w:p w14:paraId="785B5BB2">
      <w:pPr>
        <w:spacing w:before="220" w:line="330" w:lineRule="auto"/>
        <w:ind w:left="23" w:right="66" w:firstLine="4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1、竣工总平面图，单体建筑、结构、设备竣工图，配套设施、地下管网工程竣工图等</w:t>
      </w:r>
      <w:r>
        <w:rPr>
          <w:rFonts w:ascii="宋体" w:hAnsi="宋体" w:eastAsia="宋体" w:cs="宋体"/>
          <w:color w:val="auto"/>
          <w:spacing w:val="5"/>
          <w:sz w:val="20"/>
          <w:szCs w:val="20"/>
          <w:highlight w:val="none"/>
        </w:rPr>
        <w:t xml:space="preserve"> </w:t>
      </w:r>
      <w:r>
        <w:rPr>
          <w:rFonts w:ascii="宋体" w:hAnsi="宋体" w:eastAsia="宋体" w:cs="宋体"/>
          <w:color w:val="auto"/>
          <w:spacing w:val="6"/>
          <w:sz w:val="20"/>
          <w:szCs w:val="20"/>
          <w:highlight w:val="none"/>
        </w:rPr>
        <w:t>竣工验收资料；</w:t>
      </w:r>
    </w:p>
    <w:p w14:paraId="3DAD743E">
      <w:pPr>
        <w:spacing w:before="221" w:line="228" w:lineRule="auto"/>
        <w:ind w:left="44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2、设施设备的安装、使用和维护保养等技术资料；</w:t>
      </w:r>
    </w:p>
    <w:p w14:paraId="2287D5B6">
      <w:pPr>
        <w:spacing w:before="221" w:line="228" w:lineRule="auto"/>
        <w:ind w:left="44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3、物业质量保修文件和物业使用说明文件；</w:t>
      </w:r>
    </w:p>
    <w:p w14:paraId="63A84058">
      <w:pPr>
        <w:spacing w:before="221" w:line="243" w:lineRule="auto"/>
        <w:ind w:left="44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4、</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5765223E">
      <w:pPr>
        <w:spacing w:before="205" w:line="433" w:lineRule="auto"/>
        <w:ind w:left="36" w:right="64" w:firstLine="405"/>
        <w:rPr>
          <w:color w:val="auto"/>
          <w:highlight w:val="none"/>
        </w:rPr>
      </w:pPr>
      <w:r>
        <w:rPr>
          <w:rFonts w:ascii="宋体" w:hAnsi="宋体" w:eastAsia="宋体" w:cs="宋体"/>
          <w:color w:val="auto"/>
          <w:spacing w:val="9"/>
          <w:sz w:val="20"/>
          <w:szCs w:val="20"/>
          <w:highlight w:val="none"/>
        </w:rPr>
        <w:t>第十七条</w:t>
      </w:r>
      <w:r>
        <w:rPr>
          <w:rFonts w:ascii="宋体" w:hAnsi="宋体" w:eastAsia="宋体" w:cs="宋体"/>
          <w:color w:val="auto"/>
          <w:spacing w:val="43"/>
          <w:sz w:val="20"/>
          <w:szCs w:val="20"/>
          <w:highlight w:val="none"/>
        </w:rPr>
        <w:t xml:space="preserve"> </w:t>
      </w:r>
      <w:r>
        <w:rPr>
          <w:rFonts w:ascii="宋体" w:hAnsi="宋体" w:eastAsia="宋体" w:cs="宋体"/>
          <w:color w:val="auto"/>
          <w:spacing w:val="9"/>
          <w:sz w:val="20"/>
          <w:szCs w:val="20"/>
          <w:highlight w:val="none"/>
        </w:rPr>
        <w:t>甲方保证交付使用的物业符合国家规定的验收标准</w:t>
      </w:r>
      <w:r>
        <w:rPr>
          <w:rFonts w:ascii="宋体" w:hAnsi="宋体" w:eastAsia="宋体" w:cs="宋体"/>
          <w:color w:val="auto"/>
          <w:spacing w:val="8"/>
          <w:sz w:val="20"/>
          <w:szCs w:val="20"/>
          <w:highlight w:val="none"/>
        </w:rPr>
        <w:t>，按照国家规定的保修期</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限和保修范围承担物业的保修责任。</w:t>
      </w:r>
    </w:p>
    <w:p w14:paraId="12CCA4C0">
      <w:pPr>
        <w:spacing w:before="101" w:line="225" w:lineRule="auto"/>
        <w:ind w:left="2251"/>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第六节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物业的使用与维护</w:t>
      </w:r>
    </w:p>
    <w:p w14:paraId="643385C0">
      <w:pPr>
        <w:spacing w:before="221" w:line="432" w:lineRule="auto"/>
        <w:ind w:left="23" w:right="54"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第十八条  业主大会成立前，乙方应配合甲方制定本物业管理区域内物业共用部位和共</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rPr>
        <w:t>用设施设备的使用、公共秩序和环境卫生的维护等方面的规章制度。</w:t>
      </w:r>
    </w:p>
    <w:p w14:paraId="49F77DEA">
      <w:pPr>
        <w:spacing w:before="1" w:line="226" w:lineRule="auto"/>
        <w:ind w:left="46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乙方根据规章制度提供管理服务时，</w:t>
      </w:r>
      <w:r>
        <w:rPr>
          <w:rFonts w:ascii="宋体" w:hAnsi="宋体" w:eastAsia="宋体" w:cs="宋体"/>
          <w:color w:val="auto"/>
          <w:spacing w:val="-57"/>
          <w:sz w:val="20"/>
          <w:szCs w:val="20"/>
          <w:highlight w:val="none"/>
        </w:rPr>
        <w:t xml:space="preserve"> </w:t>
      </w:r>
      <w:r>
        <w:rPr>
          <w:rFonts w:ascii="宋体" w:hAnsi="宋体" w:eastAsia="宋体" w:cs="宋体"/>
          <w:color w:val="auto"/>
          <w:spacing w:val="8"/>
          <w:sz w:val="20"/>
          <w:szCs w:val="20"/>
          <w:highlight w:val="none"/>
        </w:rPr>
        <w:t>甲方、</w:t>
      </w:r>
      <w:r>
        <w:rPr>
          <w:rFonts w:ascii="宋体" w:hAnsi="宋体" w:eastAsia="宋体" w:cs="宋体"/>
          <w:color w:val="auto"/>
          <w:spacing w:val="7"/>
          <w:sz w:val="20"/>
          <w:szCs w:val="20"/>
          <w:highlight w:val="none"/>
        </w:rPr>
        <w:t>业主和物业使用人应给予必要配合。</w:t>
      </w:r>
    </w:p>
    <w:p w14:paraId="7DEFF472">
      <w:pPr>
        <w:spacing w:before="224" w:line="329" w:lineRule="auto"/>
        <w:ind w:left="23" w:right="54" w:firstLine="41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第十九条  乙方可采取规劝、</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6"/>
          <w:sz w:val="20"/>
          <w:szCs w:val="20"/>
          <w:highlight w:val="none"/>
        </w:rPr>
        <w:t>等必要措施，制止业主、物业</w:t>
      </w:r>
      <w:r>
        <w:rPr>
          <w:rFonts w:ascii="宋体" w:hAnsi="宋体" w:eastAsia="宋体" w:cs="宋体"/>
          <w:color w:val="auto"/>
          <w:spacing w:val="5"/>
          <w:sz w:val="20"/>
          <w:szCs w:val="20"/>
          <w:highlight w:val="none"/>
        </w:rPr>
        <w:t>使用人违反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本临时公约和物业管理区域内物业管理规章制度的行为。</w:t>
      </w:r>
    </w:p>
    <w:p w14:paraId="3C6C9321">
      <w:pPr>
        <w:spacing w:before="221" w:line="330" w:lineRule="auto"/>
        <w:ind w:left="32" w:right="54" w:firstLine="41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第二十条  乙方应及时向全体业主通告本物业管理区域内有关物业管理的重大事项，及</w:t>
      </w:r>
      <w:r>
        <w:rPr>
          <w:rFonts w:ascii="宋体" w:hAnsi="宋体" w:eastAsia="宋体" w:cs="宋体"/>
          <w:color w:val="auto"/>
          <w:spacing w:val="2"/>
          <w:sz w:val="20"/>
          <w:szCs w:val="20"/>
          <w:highlight w:val="none"/>
        </w:rPr>
        <w:t xml:space="preserve"> </w:t>
      </w:r>
      <w:r>
        <w:rPr>
          <w:rFonts w:ascii="宋体" w:hAnsi="宋体" w:eastAsia="宋体" w:cs="宋体"/>
          <w:color w:val="auto"/>
          <w:spacing w:val="9"/>
          <w:sz w:val="20"/>
          <w:szCs w:val="20"/>
          <w:highlight w:val="none"/>
        </w:rPr>
        <w:t>时处理业主和物业使用人的投诉，接受甲方、业主和物业使用人的监督。</w:t>
      </w:r>
    </w:p>
    <w:p w14:paraId="02ABD9FF">
      <w:pPr>
        <w:spacing w:before="221" w:line="364" w:lineRule="auto"/>
        <w:ind w:left="23" w:right="54"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第二十一条  因维修物业或者公共利益，甲方确需临时占用、挖掘本物业管理区域内道</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路、场地的，应征得相关业主和乙方的同意；乙方确需临时占用、挖掘本物业管理区域内道</w:t>
      </w:r>
      <w:r>
        <w:rPr>
          <w:rFonts w:ascii="宋体" w:hAnsi="宋体" w:eastAsia="宋体" w:cs="宋体"/>
          <w:color w:val="auto"/>
          <w:spacing w:val="13"/>
          <w:sz w:val="20"/>
          <w:szCs w:val="20"/>
          <w:highlight w:val="none"/>
        </w:rPr>
        <w:t xml:space="preserve"> </w:t>
      </w:r>
      <w:r>
        <w:rPr>
          <w:rFonts w:ascii="宋体" w:hAnsi="宋体" w:eastAsia="宋体" w:cs="宋体"/>
          <w:color w:val="auto"/>
          <w:spacing w:val="8"/>
          <w:sz w:val="20"/>
          <w:szCs w:val="20"/>
          <w:highlight w:val="none"/>
        </w:rPr>
        <w:t>路、场地的，应征得相关业主和甲方的同意。</w:t>
      </w:r>
    </w:p>
    <w:p w14:paraId="4BC2383E">
      <w:pPr>
        <w:spacing w:before="222" w:line="227" w:lineRule="auto"/>
        <w:ind w:left="45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临时占用、挖掘本物业管理区域内道路、场地的，应在约定期限内恢复原状。</w:t>
      </w:r>
    </w:p>
    <w:p w14:paraId="7DCBB588">
      <w:pPr>
        <w:spacing w:before="223" w:line="363" w:lineRule="auto"/>
        <w:ind w:left="22" w:right="54"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第二十二条  乙方与装饰装修房屋的业主或物业使用人应签订书面的装饰装修管理服</w:t>
      </w:r>
      <w:r>
        <w:rPr>
          <w:rFonts w:ascii="宋体" w:hAnsi="宋体" w:eastAsia="宋体" w:cs="宋体"/>
          <w:color w:val="auto"/>
          <w:spacing w:val="8"/>
          <w:sz w:val="20"/>
          <w:szCs w:val="20"/>
          <w:highlight w:val="none"/>
        </w:rPr>
        <w:t xml:space="preserve">  </w:t>
      </w:r>
      <w:r>
        <w:rPr>
          <w:rFonts w:ascii="宋体" w:hAnsi="宋体" w:eastAsia="宋体" w:cs="宋体"/>
          <w:color w:val="auto"/>
          <w:spacing w:val="7"/>
          <w:sz w:val="20"/>
          <w:szCs w:val="20"/>
          <w:highlight w:val="none"/>
        </w:rPr>
        <w:t>务协议，就允许施工的时间、废弃物的清运与处置、装修管理服务费用等事项进行约定，并</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事先告知业主或物业使用人装饰装修中的禁止行为和注意事项。</w:t>
      </w:r>
    </w:p>
    <w:p w14:paraId="37360B18">
      <w:pPr>
        <w:spacing w:before="223" w:line="330" w:lineRule="auto"/>
        <w:ind w:left="23" w:right="64"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第二十三条  甲方应于</w:t>
      </w:r>
      <w:r>
        <w:rPr>
          <w:rFonts w:ascii="宋体" w:hAnsi="宋体" w:eastAsia="宋体" w:cs="宋体"/>
          <w:color w:val="auto"/>
          <w:spacing w:val="-98"/>
          <w:sz w:val="20"/>
          <w:szCs w:val="20"/>
          <w:highlight w:val="none"/>
        </w:rPr>
        <w:t xml:space="preserve"> </w:t>
      </w:r>
      <w:r>
        <w:rPr>
          <w:rFonts w:ascii="宋体" w:hAnsi="宋体" w:eastAsia="宋体" w:cs="宋体"/>
          <w:color w:val="auto"/>
          <w:spacing w:val="9"/>
          <w:sz w:val="20"/>
          <w:szCs w:val="20"/>
          <w:highlight w:val="none"/>
          <w:u w:val="single" w:color="auto"/>
        </w:rPr>
        <w:t xml:space="preserve">        </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（具体时间）按有关规定向乙方提供能够直接投入使</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用的物业管理用房。</w:t>
      </w:r>
    </w:p>
    <w:p w14:paraId="7EA537DD">
      <w:pPr>
        <w:spacing w:before="221" w:line="228"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物业管理用房建筑面积</w:t>
      </w:r>
      <w:r>
        <w:rPr>
          <w:rFonts w:ascii="宋体" w:hAnsi="宋体" w:eastAsia="宋体" w:cs="宋体"/>
          <w:color w:val="auto"/>
          <w:spacing w:val="-85"/>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2"/>
          <w:sz w:val="20"/>
          <w:szCs w:val="20"/>
          <w:highlight w:val="none"/>
        </w:rPr>
        <w:t xml:space="preserve"> </w:t>
      </w:r>
      <w:r>
        <w:rPr>
          <w:rFonts w:ascii="宋体" w:hAnsi="宋体" w:eastAsia="宋体" w:cs="宋体"/>
          <w:color w:val="auto"/>
          <w:spacing w:val="8"/>
          <w:sz w:val="20"/>
          <w:szCs w:val="20"/>
          <w:highlight w:val="none"/>
        </w:rPr>
        <w:t>平方米，其中：办公用房</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92"/>
          <w:sz w:val="20"/>
          <w:szCs w:val="20"/>
          <w:highlight w:val="none"/>
        </w:rPr>
        <w:t xml:space="preserve"> </w:t>
      </w:r>
      <w:r>
        <w:rPr>
          <w:rFonts w:ascii="宋体" w:hAnsi="宋体" w:eastAsia="宋体" w:cs="宋体"/>
          <w:color w:val="auto"/>
          <w:spacing w:val="8"/>
          <w:sz w:val="20"/>
          <w:szCs w:val="20"/>
          <w:highlight w:val="none"/>
        </w:rPr>
        <w:t>平方米，位</w:t>
      </w:r>
    </w:p>
    <w:p w14:paraId="79401DEE">
      <w:pPr>
        <w:spacing w:before="221" w:line="434" w:lineRule="auto"/>
        <w:ind w:left="22" w:firstLine="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于</w:t>
      </w:r>
      <w:r>
        <w:rPr>
          <w:rFonts w:ascii="宋体" w:hAnsi="宋体" w:eastAsia="宋体" w:cs="宋体"/>
          <w:color w:val="auto"/>
          <w:spacing w:val="-85"/>
          <w:sz w:val="20"/>
          <w:szCs w:val="20"/>
          <w:highlight w:val="none"/>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pacing w:val="2"/>
          <w:sz w:val="20"/>
          <w:szCs w:val="20"/>
          <w:highlight w:val="none"/>
        </w:rPr>
        <w:t>；住宿用房</w:t>
      </w:r>
      <w:r>
        <w:rPr>
          <w:rFonts w:ascii="宋体" w:hAnsi="宋体" w:eastAsia="宋体" w:cs="宋体"/>
          <w:color w:val="auto"/>
          <w:spacing w:val="-94"/>
          <w:sz w:val="20"/>
          <w:szCs w:val="20"/>
          <w:highlight w:val="none"/>
        </w:rPr>
        <w:t xml:space="preserve"> </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2"/>
          <w:sz w:val="20"/>
          <w:szCs w:val="20"/>
          <w:highlight w:val="none"/>
        </w:rPr>
        <w:t>平方米，位于</w:t>
      </w:r>
      <w:r>
        <w:rPr>
          <w:rFonts w:ascii="宋体" w:hAnsi="宋体" w:eastAsia="宋体" w:cs="宋体"/>
          <w:color w:val="auto"/>
          <w:spacing w:val="-94"/>
          <w:sz w:val="20"/>
          <w:szCs w:val="20"/>
          <w:highlight w:val="none"/>
        </w:rPr>
        <w:t xml:space="preserve"> </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64"/>
          <w:sz w:val="20"/>
          <w:szCs w:val="20"/>
          <w:highlight w:val="none"/>
        </w:rPr>
        <w:t xml:space="preserve"> </w:t>
      </w:r>
      <w:r>
        <w:rPr>
          <w:rFonts w:ascii="宋体" w:hAnsi="宋体" w:eastAsia="宋体" w:cs="宋体"/>
          <w:color w:val="auto"/>
          <w:spacing w:val="2"/>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2"/>
          <w:sz w:val="20"/>
          <w:szCs w:val="20"/>
          <w:highlight w:val="none"/>
        </w:rPr>
        <w:t>用房</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2"/>
          <w:sz w:val="20"/>
          <w:szCs w:val="20"/>
          <w:highlight w:val="none"/>
        </w:rPr>
        <w:t>平方米，</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位于</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rPr>
        <w:t>。</w:t>
      </w:r>
    </w:p>
    <w:p w14:paraId="5792FBF6">
      <w:pPr>
        <w:spacing w:line="434" w:lineRule="auto"/>
        <w:rPr>
          <w:rFonts w:ascii="宋体" w:hAnsi="宋体" w:eastAsia="宋体" w:cs="宋体"/>
          <w:color w:val="auto"/>
          <w:sz w:val="20"/>
          <w:szCs w:val="20"/>
          <w:highlight w:val="none"/>
        </w:rPr>
        <w:sectPr>
          <w:footerReference r:id="rId10" w:type="default"/>
          <w:pgSz w:w="11906" w:h="16839"/>
          <w:pgMar w:top="1431" w:right="1747" w:bottom="1156" w:left="1785" w:header="0" w:footer="994" w:gutter="0"/>
          <w:pgNumType w:fmt="numberInDash"/>
          <w:cols w:space="720" w:num="1"/>
        </w:sectPr>
      </w:pPr>
    </w:p>
    <w:p w14:paraId="5356419C">
      <w:pPr>
        <w:spacing w:before="137" w:line="434" w:lineRule="auto"/>
        <w:ind w:left="22" w:right="42"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第二十四条  物业管理用房属全体业主所有，乙方在本合同期限内无偿使用，但不得改</w:t>
      </w:r>
      <w:r>
        <w:rPr>
          <w:rFonts w:ascii="宋体" w:hAnsi="宋体" w:eastAsia="宋体" w:cs="宋体"/>
          <w:color w:val="auto"/>
          <w:spacing w:val="2"/>
          <w:sz w:val="20"/>
          <w:szCs w:val="20"/>
          <w:highlight w:val="none"/>
        </w:rPr>
        <w:t xml:space="preserve"> </w:t>
      </w:r>
      <w:r>
        <w:rPr>
          <w:rFonts w:ascii="宋体" w:hAnsi="宋体" w:eastAsia="宋体" w:cs="宋体"/>
          <w:color w:val="auto"/>
          <w:spacing w:val="5"/>
          <w:sz w:val="20"/>
          <w:szCs w:val="20"/>
          <w:highlight w:val="none"/>
        </w:rPr>
        <w:t>变其用途。</w:t>
      </w:r>
    </w:p>
    <w:p w14:paraId="2698A331">
      <w:pPr>
        <w:spacing w:before="20" w:line="225" w:lineRule="auto"/>
        <w:ind w:left="257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第七节</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专项维修资金</w:t>
      </w:r>
    </w:p>
    <w:p w14:paraId="06FED6B2">
      <w:pPr>
        <w:spacing w:before="220"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第二十五条  专项维修资金的缴存</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7C3A48B3">
      <w:pPr>
        <w:spacing w:before="221"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第二十六条  专项维修资金的管理</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6AFA5F75">
      <w:pPr>
        <w:spacing w:before="220"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第二十七条  专项维修资金的使用</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322BC943">
      <w:pPr>
        <w:spacing w:before="221"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第二十八条  专项维修资金的续筹</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023EDF29">
      <w:pPr>
        <w:spacing w:before="247" w:line="225" w:lineRule="auto"/>
        <w:ind w:left="2894"/>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第八节</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违约责任</w:t>
      </w:r>
    </w:p>
    <w:p w14:paraId="4A548DF5">
      <w:pPr>
        <w:spacing w:before="221" w:line="364" w:lineRule="auto"/>
        <w:ind w:left="23"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第二十九条  因甲方原因导致乙方未完成本合同约定的物业管理服务目标，乙方有权要</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rPr>
        <w:t>求甲方在一定期限内解决，逾期未解决或造成乙方经济损失的，乙方有权依法解除本合同，</w:t>
      </w:r>
      <w:r>
        <w:rPr>
          <w:rFonts w:ascii="宋体" w:hAnsi="宋体" w:eastAsia="宋体" w:cs="宋体"/>
          <w:color w:val="auto"/>
          <w:spacing w:val="15"/>
          <w:sz w:val="20"/>
          <w:szCs w:val="20"/>
          <w:highlight w:val="none"/>
        </w:rPr>
        <w:t xml:space="preserve"> </w:t>
      </w:r>
      <w:r>
        <w:rPr>
          <w:rFonts w:ascii="宋体" w:hAnsi="宋体" w:eastAsia="宋体" w:cs="宋体"/>
          <w:color w:val="auto"/>
          <w:spacing w:val="8"/>
          <w:sz w:val="20"/>
          <w:szCs w:val="20"/>
          <w:highlight w:val="none"/>
        </w:rPr>
        <w:t>并要求甲方给予乙方经济赔偿。</w:t>
      </w:r>
    </w:p>
    <w:p w14:paraId="63A36EAA">
      <w:pPr>
        <w:spacing w:before="221" w:line="330" w:lineRule="auto"/>
        <w:ind w:left="22" w:right="42"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第三十条  乙方的管理服务达不到本合同第二条、第三条、第四条约定的服务内容和质</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量标准，应按</w:t>
      </w:r>
      <w:r>
        <w:rPr>
          <w:rFonts w:ascii="宋体" w:hAnsi="宋体" w:eastAsia="宋体" w:cs="宋体"/>
          <w:color w:val="auto"/>
          <w:spacing w:val="-84"/>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的标准向甲方、业主支付违约金。</w:t>
      </w:r>
    </w:p>
    <w:p w14:paraId="1D4A3C3E">
      <w:pPr>
        <w:keepNext w:val="0"/>
        <w:keepLines w:val="0"/>
        <w:pageBreakBefore w:val="0"/>
        <w:widowControl w:val="0"/>
        <w:kinsoku/>
        <w:wordWrap/>
        <w:overflowPunct/>
        <w:topLinePunct w:val="0"/>
        <w:autoSpaceDE/>
        <w:autoSpaceDN/>
        <w:bidi w:val="0"/>
        <w:adjustRightInd/>
        <w:snapToGrid/>
        <w:spacing w:line="364" w:lineRule="auto"/>
        <w:ind w:left="25" w:firstLine="416"/>
        <w:textAlignment w:val="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第三十一条  因房屋、设备设施质量或安装技术等原因，达不到使用功能，造成重大事</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rPr>
        <w:t>故的，由甲方承担责任并作善后处理。因乙方管理不善或操作不当等原因造成重大事故的，</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由乙方承担责任并负责善后处理。产生事故的直接原因，以相关主管部门的鉴定为准。</w:t>
      </w:r>
    </w:p>
    <w:p w14:paraId="43515125">
      <w:pPr>
        <w:keepNext w:val="0"/>
        <w:keepLines w:val="0"/>
        <w:pageBreakBefore w:val="0"/>
        <w:widowControl w:val="0"/>
        <w:kinsoku/>
        <w:wordWrap/>
        <w:overflowPunct/>
        <w:topLinePunct w:val="0"/>
        <w:autoSpaceDE/>
        <w:autoSpaceDN/>
        <w:bidi w:val="0"/>
        <w:adjustRightInd/>
        <w:snapToGrid/>
        <w:spacing w:line="364" w:lineRule="auto"/>
        <w:ind w:left="21" w:firstLine="420"/>
        <w:textAlignment w:val="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第三十二条  乙方违反本合同第六条、第七条的约定，擅自提高物业服务费用标准的，</w:t>
      </w:r>
      <w:r>
        <w:rPr>
          <w:rFonts w:ascii="宋体" w:hAnsi="宋体" w:eastAsia="宋体" w:cs="宋体"/>
          <w:color w:val="auto"/>
          <w:spacing w:val="5"/>
          <w:sz w:val="20"/>
          <w:szCs w:val="20"/>
          <w:highlight w:val="none"/>
        </w:rPr>
        <w:t xml:space="preserve"> </w:t>
      </w:r>
      <w:r>
        <w:rPr>
          <w:rFonts w:ascii="宋体" w:hAnsi="宋体" w:eastAsia="宋体" w:cs="宋体"/>
          <w:color w:val="auto"/>
          <w:spacing w:val="7"/>
          <w:sz w:val="20"/>
          <w:szCs w:val="20"/>
          <w:highlight w:val="none"/>
        </w:rPr>
        <w:t>业主和物业使用人就超额部分有权拒绝交纳；乙方已经收取的，业主和物业使用人有权要求</w:t>
      </w:r>
      <w:r>
        <w:rPr>
          <w:rFonts w:ascii="宋体" w:hAnsi="宋体" w:eastAsia="宋体" w:cs="宋体"/>
          <w:color w:val="auto"/>
          <w:spacing w:val="15"/>
          <w:sz w:val="20"/>
          <w:szCs w:val="20"/>
          <w:highlight w:val="none"/>
        </w:rPr>
        <w:t xml:space="preserve"> </w:t>
      </w:r>
      <w:r>
        <w:rPr>
          <w:rFonts w:ascii="宋体" w:hAnsi="宋体" w:eastAsia="宋体" w:cs="宋体"/>
          <w:color w:val="auto"/>
          <w:spacing w:val="7"/>
          <w:sz w:val="20"/>
          <w:szCs w:val="20"/>
          <w:highlight w:val="none"/>
        </w:rPr>
        <w:t>乙方双倍返还。</w:t>
      </w:r>
    </w:p>
    <w:p w14:paraId="3C2F1863">
      <w:pPr>
        <w:keepNext w:val="0"/>
        <w:keepLines w:val="0"/>
        <w:pageBreakBefore w:val="0"/>
        <w:widowControl w:val="0"/>
        <w:kinsoku/>
        <w:wordWrap/>
        <w:overflowPunct/>
        <w:topLinePunct w:val="0"/>
        <w:autoSpaceDE/>
        <w:autoSpaceDN/>
        <w:bidi w:val="0"/>
        <w:adjustRightInd/>
        <w:snapToGrid/>
        <w:spacing w:line="330" w:lineRule="auto"/>
        <w:ind w:left="21" w:right="42" w:firstLine="420"/>
        <w:textAlignment w:val="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第三十三条  甲方违反本合同第十七条的约定，拒绝或拖延履行保修义务的，业主、物</w:t>
      </w:r>
      <w:r>
        <w:rPr>
          <w:rFonts w:ascii="宋体" w:hAnsi="宋体" w:eastAsia="宋体" w:cs="宋体"/>
          <w:color w:val="auto"/>
          <w:spacing w:val="2"/>
          <w:sz w:val="20"/>
          <w:szCs w:val="20"/>
          <w:highlight w:val="none"/>
        </w:rPr>
        <w:t xml:space="preserve"> </w:t>
      </w:r>
      <w:r>
        <w:rPr>
          <w:rFonts w:ascii="宋体" w:hAnsi="宋体" w:eastAsia="宋体" w:cs="宋体"/>
          <w:color w:val="auto"/>
          <w:spacing w:val="9"/>
          <w:sz w:val="20"/>
          <w:szCs w:val="20"/>
          <w:highlight w:val="none"/>
        </w:rPr>
        <w:t>业使用人可以自行或委托乙方修复，修复费用及造成的其他损失由甲方承担。</w:t>
      </w:r>
    </w:p>
    <w:p w14:paraId="6F9F0DA9">
      <w:pPr>
        <w:keepNext w:val="0"/>
        <w:keepLines w:val="0"/>
        <w:pageBreakBefore w:val="0"/>
        <w:widowControl w:val="0"/>
        <w:kinsoku/>
        <w:wordWrap/>
        <w:overflowPunct/>
        <w:topLinePunct w:val="0"/>
        <w:autoSpaceDE/>
        <w:autoSpaceDN/>
        <w:bidi w:val="0"/>
        <w:adjustRightInd/>
        <w:snapToGrid/>
        <w:spacing w:line="381" w:lineRule="auto"/>
        <w:ind w:left="22" w:firstLine="420"/>
        <w:textAlignment w:val="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第三十四条  乙方在本合同解除或者到期后的合理期限内拒不撤出本物业服务区域的，</w:t>
      </w:r>
      <w:r>
        <w:rPr>
          <w:rFonts w:ascii="宋体" w:hAnsi="宋体" w:eastAsia="宋体" w:cs="宋体"/>
          <w:color w:val="auto"/>
          <w:spacing w:val="5"/>
          <w:sz w:val="20"/>
          <w:szCs w:val="20"/>
          <w:highlight w:val="none"/>
        </w:rPr>
        <w:t xml:space="preserve"> </w:t>
      </w:r>
      <w:r>
        <w:rPr>
          <w:rFonts w:ascii="宋体" w:hAnsi="宋体" w:eastAsia="宋体" w:cs="宋体"/>
          <w:color w:val="auto"/>
          <w:spacing w:val="7"/>
          <w:sz w:val="20"/>
          <w:szCs w:val="20"/>
          <w:highlight w:val="none"/>
        </w:rPr>
        <w:t>甲方可以要求乙方在延长期限内撤出物业区域乙方逾期仍未撤出的，每逾期一日应当按照年</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物业费0.05%的标准向甲方支付违约金</w:t>
      </w:r>
      <w:r>
        <w:rPr>
          <w:rFonts w:ascii="宋体" w:hAnsi="宋体" w:eastAsia="宋体" w:cs="宋体"/>
          <w:color w:val="auto"/>
          <w:spacing w:val="-48"/>
          <w:sz w:val="20"/>
          <w:szCs w:val="20"/>
          <w:highlight w:val="none"/>
        </w:rPr>
        <w:t xml:space="preserve"> </w:t>
      </w:r>
      <w:r>
        <w:rPr>
          <w:rFonts w:ascii="宋体" w:hAnsi="宋体" w:eastAsia="宋体" w:cs="宋体"/>
          <w:color w:val="auto"/>
          <w:spacing w:val="9"/>
          <w:sz w:val="20"/>
          <w:szCs w:val="20"/>
          <w:highlight w:val="none"/>
        </w:rPr>
        <w:t>;若因此给业主或物业使用人造成损失的，乙方应当</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承担损失赔偿责任。</w:t>
      </w:r>
    </w:p>
    <w:p w14:paraId="67BC1D7F">
      <w:pPr>
        <w:keepNext w:val="0"/>
        <w:keepLines w:val="0"/>
        <w:pageBreakBefore w:val="0"/>
        <w:widowControl w:val="0"/>
        <w:kinsoku/>
        <w:wordWrap/>
        <w:overflowPunct/>
        <w:topLinePunct w:val="0"/>
        <w:autoSpaceDE/>
        <w:autoSpaceDN/>
        <w:bidi w:val="0"/>
        <w:adjustRightInd/>
        <w:snapToGrid/>
        <w:spacing w:line="364" w:lineRule="auto"/>
        <w:ind w:left="21" w:right="42" w:firstLine="420"/>
        <w:textAlignment w:val="auto"/>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第三十五条  业主或物业使用人违反本合同第六条、第七条的约定</w:t>
      </w:r>
      <w:r>
        <w:rPr>
          <w:rFonts w:ascii="宋体" w:hAnsi="宋体" w:eastAsia="宋体" w:cs="宋体"/>
          <w:color w:val="auto"/>
          <w:spacing w:val="-58"/>
          <w:sz w:val="20"/>
          <w:szCs w:val="20"/>
          <w:highlight w:val="none"/>
        </w:rPr>
        <w:t xml:space="preserve"> </w:t>
      </w:r>
      <w:r>
        <w:rPr>
          <w:rFonts w:ascii="宋体" w:hAnsi="宋体" w:eastAsia="宋体" w:cs="宋体"/>
          <w:color w:val="auto"/>
          <w:spacing w:val="11"/>
          <w:sz w:val="20"/>
          <w:szCs w:val="20"/>
          <w:highlight w:val="none"/>
        </w:rPr>
        <w:t>，未能按时足额交</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纳物业服务费用（物业服务资金）</w:t>
      </w:r>
      <w:r>
        <w:rPr>
          <w:rFonts w:ascii="宋体" w:hAnsi="宋体" w:eastAsia="宋体" w:cs="宋体"/>
          <w:color w:val="auto"/>
          <w:spacing w:val="-28"/>
          <w:sz w:val="20"/>
          <w:szCs w:val="20"/>
          <w:highlight w:val="none"/>
        </w:rPr>
        <w:t xml:space="preserve"> </w:t>
      </w:r>
      <w:r>
        <w:rPr>
          <w:rFonts w:ascii="宋体" w:hAnsi="宋体" w:eastAsia="宋体" w:cs="宋体"/>
          <w:color w:val="auto"/>
          <w:spacing w:val="13"/>
          <w:sz w:val="20"/>
          <w:szCs w:val="20"/>
          <w:highlight w:val="none"/>
        </w:rPr>
        <w:t>的</w:t>
      </w:r>
      <w:r>
        <w:rPr>
          <w:rFonts w:ascii="宋体" w:hAnsi="宋体" w:eastAsia="宋体" w:cs="宋体"/>
          <w:color w:val="auto"/>
          <w:spacing w:val="-58"/>
          <w:sz w:val="20"/>
          <w:szCs w:val="20"/>
          <w:highlight w:val="none"/>
        </w:rPr>
        <w:t xml:space="preserve"> </w:t>
      </w:r>
      <w:r>
        <w:rPr>
          <w:rFonts w:ascii="宋体" w:hAnsi="宋体" w:eastAsia="宋体" w:cs="宋体"/>
          <w:color w:val="auto"/>
          <w:spacing w:val="13"/>
          <w:sz w:val="20"/>
          <w:szCs w:val="20"/>
          <w:highlight w:val="none"/>
        </w:rPr>
        <w:t>，</w:t>
      </w:r>
      <w:r>
        <w:rPr>
          <w:rFonts w:ascii="宋体" w:hAnsi="宋体" w:eastAsia="宋体" w:cs="宋体"/>
          <w:color w:val="auto"/>
          <w:spacing w:val="-58"/>
          <w:sz w:val="20"/>
          <w:szCs w:val="20"/>
          <w:highlight w:val="none"/>
        </w:rPr>
        <w:t xml:space="preserve"> </w:t>
      </w:r>
      <w:r>
        <w:rPr>
          <w:rFonts w:ascii="宋体" w:hAnsi="宋体" w:eastAsia="宋体" w:cs="宋体"/>
          <w:color w:val="auto"/>
          <w:spacing w:val="13"/>
          <w:sz w:val="20"/>
          <w:szCs w:val="20"/>
          <w:highlight w:val="none"/>
        </w:rPr>
        <w:t>乙方自行承担</w:t>
      </w:r>
      <w:r>
        <w:rPr>
          <w:rFonts w:ascii="宋体" w:hAnsi="宋体" w:eastAsia="宋体" w:cs="宋体"/>
          <w:color w:val="auto"/>
          <w:spacing w:val="-55"/>
          <w:sz w:val="20"/>
          <w:szCs w:val="20"/>
          <w:highlight w:val="none"/>
        </w:rPr>
        <w:t xml:space="preserve"> </w:t>
      </w:r>
      <w:r>
        <w:rPr>
          <w:rFonts w:ascii="宋体" w:hAnsi="宋体" w:eastAsia="宋体" w:cs="宋体"/>
          <w:color w:val="auto"/>
          <w:spacing w:val="13"/>
          <w:sz w:val="20"/>
          <w:szCs w:val="20"/>
          <w:highlight w:val="none"/>
        </w:rPr>
        <w:t>。甲方对物业服务资金收支情况无</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任何义务，由乙方向业主自行收取并用于运营。</w:t>
      </w:r>
    </w:p>
    <w:p w14:paraId="204F2AEE">
      <w:pPr>
        <w:spacing w:before="137" w:line="228" w:lineRule="auto"/>
        <w:ind w:left="457"/>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t>第三十六条</w:t>
      </w:r>
      <w:r>
        <w:rPr>
          <w:rFonts w:ascii="宋体" w:hAnsi="宋体" w:eastAsia="宋体" w:cs="宋体"/>
          <w:color w:val="auto"/>
          <w:spacing w:val="28"/>
          <w:sz w:val="20"/>
          <w:szCs w:val="20"/>
          <w:highlight w:val="none"/>
        </w:rPr>
        <w:t xml:space="preserve">  </w:t>
      </w:r>
      <w:r>
        <w:rPr>
          <w:rFonts w:ascii="宋体" w:hAnsi="宋体" w:eastAsia="宋体" w:cs="宋体"/>
          <w:color w:val="auto"/>
          <w:spacing w:val="6"/>
          <w:sz w:val="20"/>
          <w:szCs w:val="20"/>
          <w:highlight w:val="none"/>
        </w:rPr>
        <w:t>以下情况乙方不承担责任：</w:t>
      </w:r>
    </w:p>
    <w:p w14:paraId="1761AE76">
      <w:pPr>
        <w:spacing w:before="137" w:line="228" w:lineRule="auto"/>
        <w:ind w:left="45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1、因不可抗力导致物业管理服务中断的；</w:t>
      </w:r>
    </w:p>
    <w:p w14:paraId="52505944">
      <w:pPr>
        <w:spacing w:before="221" w:line="227" w:lineRule="auto"/>
        <w:ind w:left="44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2、乙方已履行本合同约定义务，但因物业本身固有瑕疵造成损失的；</w:t>
      </w:r>
    </w:p>
    <w:p w14:paraId="51DE0965">
      <w:pPr>
        <w:spacing w:before="221" w:line="330" w:lineRule="auto"/>
        <w:ind w:left="22" w:right="25" w:firstLine="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3、因非乙方责任出现供水、供电、供气、供热、通讯、有线电视及其他共用设施设备</w:t>
      </w:r>
      <w:r>
        <w:rPr>
          <w:rFonts w:ascii="宋体" w:hAnsi="宋体" w:eastAsia="宋体" w:cs="宋体"/>
          <w:color w:val="auto"/>
          <w:spacing w:val="18"/>
          <w:sz w:val="20"/>
          <w:szCs w:val="20"/>
          <w:highlight w:val="none"/>
        </w:rPr>
        <w:t xml:space="preserve"> </w:t>
      </w:r>
      <w:r>
        <w:rPr>
          <w:rFonts w:ascii="宋体" w:hAnsi="宋体" w:eastAsia="宋体" w:cs="宋体"/>
          <w:color w:val="auto"/>
          <w:spacing w:val="8"/>
          <w:sz w:val="20"/>
          <w:szCs w:val="20"/>
          <w:highlight w:val="none"/>
        </w:rPr>
        <w:t>运行障碍造成损失的；</w:t>
      </w:r>
    </w:p>
    <w:p w14:paraId="3C1BE7B0">
      <w:pPr>
        <w:spacing w:before="221" w:line="243" w:lineRule="auto"/>
        <w:ind w:left="441"/>
        <w:rPr>
          <w:color w:val="auto"/>
          <w:highlight w:val="none"/>
        </w:rPr>
      </w:pPr>
      <w:r>
        <w:rPr>
          <w:rFonts w:ascii="宋体" w:hAnsi="宋体" w:eastAsia="宋体" w:cs="宋体"/>
          <w:color w:val="auto"/>
          <w:spacing w:val="1"/>
          <w:sz w:val="20"/>
          <w:szCs w:val="20"/>
          <w:highlight w:val="none"/>
        </w:rPr>
        <w:t>4、</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29566C28">
      <w:pPr>
        <w:pStyle w:val="17"/>
        <w:spacing w:line="263" w:lineRule="auto"/>
        <w:rPr>
          <w:color w:val="auto"/>
          <w:highlight w:val="none"/>
        </w:rPr>
      </w:pPr>
    </w:p>
    <w:p w14:paraId="76DC3F6C">
      <w:pPr>
        <w:spacing w:before="101" w:line="225" w:lineRule="auto"/>
        <w:ind w:left="2894"/>
        <w:rPr>
          <w:rFonts w:ascii="宋体" w:hAnsi="宋体" w:eastAsia="宋体" w:cs="宋体"/>
          <w:color w:val="auto"/>
          <w:sz w:val="31"/>
          <w:szCs w:val="31"/>
          <w:highlight w:val="none"/>
        </w:rPr>
      </w:pPr>
      <w:bookmarkStart w:id="82" w:name="bookmark10"/>
      <w:bookmarkEnd w:id="82"/>
      <w:r>
        <w:rPr>
          <w:rFonts w:ascii="宋体" w:hAnsi="宋体" w:eastAsia="宋体" w:cs="宋体"/>
          <w:b/>
          <w:bCs/>
          <w:color w:val="auto"/>
          <w:spacing w:val="5"/>
          <w:sz w:val="31"/>
          <w:szCs w:val="31"/>
          <w:highlight w:val="none"/>
        </w:rPr>
        <w:t>第九节</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其他事项</w:t>
      </w:r>
    </w:p>
    <w:p w14:paraId="23E1C951">
      <w:pPr>
        <w:spacing w:before="222" w:line="329" w:lineRule="auto"/>
        <w:ind w:left="21" w:firstLine="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第三十七条  本合同期限自</w:t>
      </w:r>
      <w:r>
        <w:rPr>
          <w:rFonts w:ascii="宋体" w:hAnsi="宋体" w:eastAsia="宋体" w:cs="宋体"/>
          <w:color w:val="auto"/>
          <w:spacing w:val="-97"/>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4"/>
          <w:sz w:val="20"/>
          <w:szCs w:val="20"/>
          <w:highlight w:val="none"/>
        </w:rPr>
        <w:t>年</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4"/>
          <w:sz w:val="20"/>
          <w:szCs w:val="20"/>
          <w:highlight w:val="none"/>
        </w:rPr>
        <w:t>月</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4"/>
          <w:sz w:val="20"/>
          <w:szCs w:val="20"/>
          <w:highlight w:val="none"/>
        </w:rPr>
        <w:t>日起至</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4"/>
          <w:sz w:val="20"/>
          <w:szCs w:val="20"/>
          <w:highlight w:val="none"/>
        </w:rPr>
        <w:t>年</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3"/>
          <w:sz w:val="20"/>
          <w:szCs w:val="20"/>
          <w:highlight w:val="none"/>
        </w:rPr>
        <w:t>月</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56"/>
          <w:sz w:val="20"/>
          <w:szCs w:val="20"/>
          <w:highlight w:val="none"/>
        </w:rPr>
        <w:t xml:space="preserve"> </w:t>
      </w:r>
      <w:r>
        <w:rPr>
          <w:rFonts w:ascii="宋体" w:hAnsi="宋体" w:eastAsia="宋体" w:cs="宋体"/>
          <w:color w:val="auto"/>
          <w:spacing w:val="3"/>
          <w:sz w:val="20"/>
          <w:szCs w:val="20"/>
          <w:highlight w:val="none"/>
        </w:rPr>
        <w:t>日止；但在本合同期限内，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业主委员会代表全体业主与物业管理企业签订的物业服务合同生效时，本合同自动终止。</w:t>
      </w:r>
    </w:p>
    <w:p w14:paraId="4E3A01DC">
      <w:pPr>
        <w:spacing w:before="223" w:line="329" w:lineRule="auto"/>
        <w:ind w:left="24" w:right="44" w:firstLine="41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第三十八条  本合同期满前</w:t>
      </w:r>
      <w:r>
        <w:rPr>
          <w:rFonts w:ascii="宋体" w:hAnsi="宋体" w:eastAsia="宋体" w:cs="宋体"/>
          <w:color w:val="auto"/>
          <w:spacing w:val="-83"/>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6"/>
          <w:sz w:val="20"/>
          <w:szCs w:val="20"/>
          <w:highlight w:val="none"/>
        </w:rPr>
        <w:t>月，业主大会尚未成立的，甲、乙双方应就延长本合同</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期限达成协议；双方未能达成协议的，</w:t>
      </w:r>
      <w:r>
        <w:rPr>
          <w:rFonts w:ascii="宋体" w:hAnsi="宋体" w:eastAsia="宋体" w:cs="宋体"/>
          <w:color w:val="auto"/>
          <w:spacing w:val="-47"/>
          <w:sz w:val="20"/>
          <w:szCs w:val="20"/>
          <w:highlight w:val="none"/>
        </w:rPr>
        <w:t xml:space="preserve"> </w:t>
      </w:r>
      <w:r>
        <w:rPr>
          <w:rFonts w:ascii="宋体" w:hAnsi="宋体" w:eastAsia="宋体" w:cs="宋体"/>
          <w:color w:val="auto"/>
          <w:spacing w:val="8"/>
          <w:sz w:val="20"/>
          <w:szCs w:val="20"/>
          <w:highlight w:val="none"/>
        </w:rPr>
        <w:t>甲方应在本合同期满前选聘新的物业管理企业。</w:t>
      </w:r>
    </w:p>
    <w:p w14:paraId="7BC435EE">
      <w:pPr>
        <w:spacing w:before="223" w:line="329" w:lineRule="auto"/>
        <w:ind w:left="23" w:right="42"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第三十九条  本合同终止时，乙方应将物业管理用房、物业管理相关资料等属于全体业</w:t>
      </w:r>
      <w:r>
        <w:rPr>
          <w:rFonts w:ascii="宋体" w:hAnsi="宋体" w:eastAsia="宋体" w:cs="宋体"/>
          <w:color w:val="auto"/>
          <w:spacing w:val="1"/>
          <w:sz w:val="20"/>
          <w:szCs w:val="20"/>
          <w:highlight w:val="none"/>
        </w:rPr>
        <w:t xml:space="preserve"> </w:t>
      </w:r>
      <w:r>
        <w:rPr>
          <w:rFonts w:ascii="宋体" w:hAnsi="宋体" w:eastAsia="宋体" w:cs="宋体"/>
          <w:color w:val="auto"/>
          <w:spacing w:val="10"/>
          <w:sz w:val="20"/>
          <w:szCs w:val="20"/>
          <w:highlight w:val="none"/>
        </w:rPr>
        <w:t>主所有的财物及时完整地移交给业主委员会；业主委员</w:t>
      </w:r>
      <w:r>
        <w:rPr>
          <w:rFonts w:ascii="宋体" w:hAnsi="宋体" w:eastAsia="宋体" w:cs="宋体"/>
          <w:color w:val="auto"/>
          <w:spacing w:val="9"/>
          <w:sz w:val="20"/>
          <w:szCs w:val="20"/>
          <w:highlight w:val="none"/>
        </w:rPr>
        <w:t>会尚未成立的，移交给甲方或</w:t>
      </w:r>
    </w:p>
    <w:p w14:paraId="4D5F4956">
      <w:pPr>
        <w:spacing w:before="221" w:line="228" w:lineRule="auto"/>
        <w:ind w:left="2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代管。</w:t>
      </w:r>
    </w:p>
    <w:p w14:paraId="7152CD4E">
      <w:pPr>
        <w:spacing w:before="222" w:line="329" w:lineRule="auto"/>
        <w:ind w:left="30" w:right="42" w:firstLine="41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第四十条  甲方与物业买受人签订的物业买卖合同，应当包含本合同约定的内容；物业</w:t>
      </w:r>
      <w:r>
        <w:rPr>
          <w:rFonts w:ascii="宋体" w:hAnsi="宋体" w:eastAsia="宋体" w:cs="宋体"/>
          <w:color w:val="auto"/>
          <w:spacing w:val="2"/>
          <w:sz w:val="20"/>
          <w:szCs w:val="20"/>
          <w:highlight w:val="none"/>
        </w:rPr>
        <w:t xml:space="preserve"> </w:t>
      </w:r>
      <w:r>
        <w:rPr>
          <w:rFonts w:ascii="宋体" w:hAnsi="宋体" w:eastAsia="宋体" w:cs="宋体"/>
          <w:color w:val="auto"/>
          <w:spacing w:val="9"/>
          <w:sz w:val="20"/>
          <w:szCs w:val="20"/>
          <w:highlight w:val="none"/>
        </w:rPr>
        <w:t>买受人签订物业买卖合同，即为对接受本合同内容的</w:t>
      </w:r>
      <w:r>
        <w:rPr>
          <w:rFonts w:ascii="宋体" w:hAnsi="宋体" w:eastAsia="宋体" w:cs="宋体"/>
          <w:color w:val="auto"/>
          <w:spacing w:val="8"/>
          <w:sz w:val="20"/>
          <w:szCs w:val="20"/>
          <w:highlight w:val="none"/>
        </w:rPr>
        <w:t>承诺。</w:t>
      </w:r>
    </w:p>
    <w:p w14:paraId="10F8F711">
      <w:pPr>
        <w:spacing w:before="221" w:line="330" w:lineRule="auto"/>
        <w:ind w:left="23" w:right="42" w:firstLine="41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第四十一条  业主可与物业使用人就本合同的权利义务进行约定，但物业使用人违反本</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rPr>
        <w:t>合同约定的，业主应承担连带责任。</w:t>
      </w:r>
    </w:p>
    <w:p w14:paraId="4AFE39B2">
      <w:pPr>
        <w:spacing w:before="221" w:line="330" w:lineRule="auto"/>
        <w:ind w:left="25" w:right="157" w:firstLine="4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第四十二条  本合同的附件为本合同不可分割的组成部分，与本合同具有同等法律效</w:t>
      </w:r>
      <w:r>
        <w:rPr>
          <w:rFonts w:ascii="宋体" w:hAnsi="宋体" w:eastAsia="宋体" w:cs="宋体"/>
          <w:color w:val="auto"/>
          <w:spacing w:val="17"/>
          <w:sz w:val="20"/>
          <w:szCs w:val="20"/>
          <w:highlight w:val="none"/>
        </w:rPr>
        <w:t xml:space="preserve"> </w:t>
      </w:r>
      <w:r>
        <w:rPr>
          <w:rFonts w:ascii="宋体" w:hAnsi="宋体" w:eastAsia="宋体" w:cs="宋体"/>
          <w:color w:val="auto"/>
          <w:spacing w:val="-2"/>
          <w:sz w:val="20"/>
          <w:szCs w:val="20"/>
          <w:highlight w:val="none"/>
        </w:rPr>
        <w:t>力。</w:t>
      </w:r>
    </w:p>
    <w:p w14:paraId="4F135A74">
      <w:pPr>
        <w:spacing w:before="223" w:line="329" w:lineRule="auto"/>
        <w:ind w:left="42" w:right="42" w:firstLine="39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第四十三条  本合同未尽事宜，双方可另行以书面形式签订补充协议，补充协议与本合</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同存在冲突的，以本合同为准。</w:t>
      </w:r>
    </w:p>
    <w:p w14:paraId="0DE29826">
      <w:pPr>
        <w:spacing w:before="221" w:line="330" w:lineRule="auto"/>
        <w:ind w:left="22" w:right="42"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第四十四条  本合同在履行中发生争议，由双方协商解决，协商不成，双方可选择以下</w:t>
      </w:r>
      <w:r>
        <w:rPr>
          <w:rFonts w:ascii="宋体" w:hAnsi="宋体" w:eastAsia="宋体" w:cs="宋体"/>
          <w:color w:val="auto"/>
          <w:spacing w:val="1"/>
          <w:sz w:val="20"/>
          <w:szCs w:val="20"/>
          <w:highlight w:val="none"/>
        </w:rPr>
        <w:t xml:space="preserve"> </w:t>
      </w:r>
      <w:r>
        <w:rPr>
          <w:rFonts w:ascii="宋体" w:hAnsi="宋体" w:eastAsia="宋体" w:cs="宋体"/>
          <w:color w:val="auto"/>
          <w:spacing w:val="5"/>
          <w:sz w:val="20"/>
          <w:szCs w:val="20"/>
          <w:highlight w:val="none"/>
        </w:rPr>
        <w:t>第</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5"/>
          <w:sz w:val="20"/>
          <w:szCs w:val="20"/>
          <w:highlight w:val="none"/>
        </w:rPr>
        <w:t xml:space="preserve"> </w:t>
      </w:r>
      <w:r>
        <w:rPr>
          <w:rFonts w:ascii="宋体" w:hAnsi="宋体" w:eastAsia="宋体" w:cs="宋体"/>
          <w:color w:val="auto"/>
          <w:spacing w:val="5"/>
          <w:sz w:val="20"/>
          <w:szCs w:val="20"/>
          <w:highlight w:val="none"/>
        </w:rPr>
        <w:t>种方式处理：</w:t>
      </w:r>
    </w:p>
    <w:p w14:paraId="44C95010">
      <w:pPr>
        <w:spacing w:before="222" w:line="227" w:lineRule="auto"/>
        <w:ind w:left="45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1、向</w:t>
      </w:r>
      <w:r>
        <w:rPr>
          <w:rFonts w:ascii="宋体" w:hAnsi="宋体" w:eastAsia="宋体" w:cs="宋体"/>
          <w:color w:val="auto"/>
          <w:spacing w:val="-96"/>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3"/>
          <w:sz w:val="20"/>
          <w:szCs w:val="20"/>
          <w:highlight w:val="none"/>
        </w:rPr>
        <w:t xml:space="preserve"> </w:t>
      </w:r>
      <w:r>
        <w:rPr>
          <w:rFonts w:ascii="宋体" w:hAnsi="宋体" w:eastAsia="宋体" w:cs="宋体"/>
          <w:color w:val="auto"/>
          <w:spacing w:val="6"/>
          <w:sz w:val="20"/>
          <w:szCs w:val="20"/>
          <w:highlight w:val="none"/>
        </w:rPr>
        <w:t>仲裁委员会申请仲裁；</w:t>
      </w:r>
    </w:p>
    <w:p w14:paraId="49F2AEF4">
      <w:pPr>
        <w:spacing w:before="222" w:line="228" w:lineRule="auto"/>
        <w:ind w:left="44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2、向人民法院提起诉讼。</w:t>
      </w:r>
    </w:p>
    <w:p w14:paraId="261B3C6D">
      <w:pPr>
        <w:spacing w:before="221" w:line="227"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第四十四条  本合同一式</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2"/>
          <w:sz w:val="20"/>
          <w:szCs w:val="20"/>
          <w:highlight w:val="none"/>
        </w:rPr>
        <w:t xml:space="preserve"> </w:t>
      </w:r>
      <w:r>
        <w:rPr>
          <w:rFonts w:ascii="宋体" w:hAnsi="宋体" w:eastAsia="宋体" w:cs="宋体"/>
          <w:color w:val="auto"/>
          <w:spacing w:val="6"/>
          <w:sz w:val="20"/>
          <w:szCs w:val="20"/>
          <w:highlight w:val="none"/>
        </w:rPr>
        <w:t>份，</w:t>
      </w:r>
      <w:r>
        <w:rPr>
          <w:rFonts w:ascii="宋体" w:hAnsi="宋体" w:eastAsia="宋体" w:cs="宋体"/>
          <w:color w:val="auto"/>
          <w:spacing w:val="-56"/>
          <w:sz w:val="20"/>
          <w:szCs w:val="20"/>
          <w:highlight w:val="none"/>
        </w:rPr>
        <w:t xml:space="preserve"> </w:t>
      </w:r>
      <w:r>
        <w:rPr>
          <w:rFonts w:ascii="宋体" w:hAnsi="宋体" w:eastAsia="宋体" w:cs="宋体"/>
          <w:color w:val="auto"/>
          <w:spacing w:val="6"/>
          <w:sz w:val="20"/>
          <w:szCs w:val="20"/>
          <w:highlight w:val="none"/>
        </w:rPr>
        <w:t>甲、乙双方</w:t>
      </w:r>
      <w:r>
        <w:rPr>
          <w:rFonts w:ascii="宋体" w:hAnsi="宋体" w:eastAsia="宋体" w:cs="宋体"/>
          <w:color w:val="auto"/>
          <w:spacing w:val="5"/>
          <w:sz w:val="20"/>
          <w:szCs w:val="20"/>
          <w:highlight w:val="none"/>
        </w:rPr>
        <w:t>各执</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5"/>
          <w:sz w:val="20"/>
          <w:szCs w:val="20"/>
          <w:highlight w:val="none"/>
        </w:rPr>
        <w:t>份。</w:t>
      </w:r>
    </w:p>
    <w:p w14:paraId="5C6EEF2A">
      <w:pPr>
        <w:pStyle w:val="17"/>
        <w:spacing w:line="311" w:lineRule="auto"/>
        <w:rPr>
          <w:color w:val="auto"/>
          <w:highlight w:val="none"/>
        </w:rPr>
      </w:pPr>
    </w:p>
    <w:p w14:paraId="373C58E3">
      <w:pPr>
        <w:spacing w:before="65" w:line="227" w:lineRule="auto"/>
        <w:ind w:left="36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甲方（签章）                   乙方（签章）</w:t>
      </w:r>
    </w:p>
    <w:p w14:paraId="421699C4">
      <w:pPr>
        <w:spacing w:before="222" w:line="228" w:lineRule="auto"/>
        <w:ind w:left="3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法定代表人                    法定代表人</w:t>
      </w:r>
    </w:p>
    <w:p w14:paraId="0C354D0C">
      <w:pPr>
        <w:spacing w:before="221" w:line="228" w:lineRule="auto"/>
        <w:ind w:left="506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年</w:t>
      </w:r>
      <w:r>
        <w:rPr>
          <w:rFonts w:ascii="宋体" w:hAnsi="宋体" w:eastAsia="宋体" w:cs="宋体"/>
          <w:color w:val="auto"/>
          <w:spacing w:val="10"/>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19"/>
          <w:sz w:val="20"/>
          <w:szCs w:val="20"/>
          <w:highlight w:val="none"/>
        </w:rPr>
        <w:t xml:space="preserve">   </w:t>
      </w:r>
      <w:r>
        <w:rPr>
          <w:rFonts w:ascii="宋体" w:hAnsi="宋体" w:eastAsia="宋体" w:cs="宋体"/>
          <w:color w:val="auto"/>
          <w:spacing w:val="-2"/>
          <w:sz w:val="20"/>
          <w:szCs w:val="20"/>
          <w:highlight w:val="none"/>
        </w:rPr>
        <w:t>日</w:t>
      </w:r>
    </w:p>
    <w:p w14:paraId="3D15DC4E">
      <w:pPr>
        <w:spacing w:line="228" w:lineRule="auto"/>
        <w:rPr>
          <w:rFonts w:ascii="宋体" w:hAnsi="宋体" w:eastAsia="宋体" w:cs="宋体"/>
          <w:color w:val="auto"/>
          <w:sz w:val="20"/>
          <w:szCs w:val="20"/>
          <w:highlight w:val="none"/>
        </w:rPr>
        <w:sectPr>
          <w:footerReference r:id="rId11" w:type="default"/>
          <w:pgSz w:w="11906" w:h="16839"/>
          <w:pgMar w:top="1431" w:right="1759" w:bottom="1156" w:left="1785" w:header="0" w:footer="994" w:gutter="0"/>
          <w:pgNumType w:fmt="numberInDash"/>
          <w:cols w:space="720" w:num="1"/>
        </w:sectPr>
      </w:pPr>
    </w:p>
    <w:p w14:paraId="12F11048">
      <w:pPr>
        <w:rPr>
          <w:rFonts w:hint="eastAsia"/>
          <w:color w:val="auto"/>
          <w:highlight w:val="none"/>
        </w:rPr>
      </w:pPr>
    </w:p>
    <w:p w14:paraId="27948515">
      <w:pPr>
        <w:pStyle w:val="2"/>
        <w:rPr>
          <w:rFonts w:hint="eastAsia"/>
          <w:color w:val="auto"/>
          <w:highlight w:val="none"/>
        </w:rPr>
      </w:pPr>
      <w:bookmarkStart w:id="83" w:name="_Toc8628"/>
      <w:r>
        <w:rPr>
          <w:rFonts w:hint="eastAsia"/>
          <w:color w:val="auto"/>
          <w:highlight w:val="none"/>
        </w:rPr>
        <w:t>第六章  投标文件格式</w:t>
      </w:r>
      <w:bookmarkEnd w:id="81"/>
      <w:bookmarkEnd w:id="83"/>
    </w:p>
    <w:p w14:paraId="7B58A408">
      <w:pPr>
        <w:jc w:val="center"/>
        <w:rPr>
          <w:rFonts w:hint="eastAsia" w:ascii="宋体" w:hAnsi="宋体"/>
          <w:b/>
          <w:color w:val="auto"/>
          <w:sz w:val="28"/>
          <w:szCs w:val="28"/>
          <w:highlight w:val="none"/>
          <w:bdr w:val="single" w:color="auto" w:sz="4" w:space="0"/>
        </w:rPr>
      </w:pPr>
      <w:r>
        <w:rPr>
          <w:rFonts w:hint="eastAsia" w:ascii="宋体" w:hAnsi="宋体"/>
          <w:b/>
          <w:color w:val="auto"/>
          <w:sz w:val="28"/>
          <w:szCs w:val="28"/>
          <w:highlight w:val="none"/>
        </w:rPr>
        <w:t>一、资信证明格式文件</w:t>
      </w:r>
    </w:p>
    <w:p w14:paraId="49F3F92A">
      <w:pPr>
        <w:jc w:val="center"/>
        <w:rPr>
          <w:rFonts w:hint="eastAsia" w:eastAsia="黑体"/>
          <w:color w:val="auto"/>
          <w:sz w:val="20"/>
          <w:highlight w:val="none"/>
        </w:rPr>
      </w:pPr>
    </w:p>
    <w:p w14:paraId="4AD7D2F9">
      <w:pPr>
        <w:rPr>
          <w:rFonts w:hint="eastAsia" w:eastAsia="黑体"/>
          <w:color w:val="auto"/>
          <w:sz w:val="20"/>
          <w:highlight w:val="none"/>
        </w:rPr>
      </w:pPr>
    </w:p>
    <w:p w14:paraId="6A99A559">
      <w:pPr>
        <w:jc w:val="center"/>
        <w:rPr>
          <w:rFonts w:hint="eastAsia" w:ascii="宋体"/>
          <w:b/>
          <w:color w:val="auto"/>
          <w:sz w:val="44"/>
          <w:szCs w:val="44"/>
          <w:highlight w:val="none"/>
        </w:rPr>
      </w:pPr>
      <w:bookmarkStart w:id="84" w:name="_Toc350698753"/>
      <w:bookmarkStart w:id="85" w:name="_Toc449028949"/>
      <w:r>
        <w:rPr>
          <w:rFonts w:hint="eastAsia" w:ascii="宋体"/>
          <w:b/>
          <w:color w:val="auto"/>
          <w:sz w:val="44"/>
          <w:szCs w:val="44"/>
          <w:highlight w:val="none"/>
        </w:rPr>
        <w:t>资信证明文件</w:t>
      </w:r>
      <w:bookmarkEnd w:id="84"/>
      <w:bookmarkEnd w:id="85"/>
    </w:p>
    <w:p w14:paraId="0C1DA68F">
      <w:pPr>
        <w:jc w:val="center"/>
        <w:rPr>
          <w:rFonts w:hint="eastAsia" w:ascii="宋体"/>
          <w:color w:val="auto"/>
          <w:sz w:val="32"/>
          <w:szCs w:val="32"/>
          <w:highlight w:val="none"/>
        </w:rPr>
      </w:pPr>
      <w:r>
        <w:rPr>
          <w:rFonts w:hint="eastAsia" w:ascii="宋体"/>
          <w:color w:val="auto"/>
          <w:sz w:val="32"/>
          <w:szCs w:val="32"/>
          <w:highlight w:val="none"/>
        </w:rPr>
        <w:t>（投标文件一）</w:t>
      </w:r>
    </w:p>
    <w:p w14:paraId="326E255A">
      <w:pPr>
        <w:jc w:val="center"/>
        <w:rPr>
          <w:rFonts w:hint="eastAsia" w:eastAsia="黑体"/>
          <w:color w:val="auto"/>
          <w:sz w:val="44"/>
          <w:szCs w:val="44"/>
          <w:highlight w:val="none"/>
        </w:rPr>
      </w:pPr>
    </w:p>
    <w:p w14:paraId="528D3BD6">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240F146A">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507EAD94">
      <w:pPr>
        <w:rPr>
          <w:rFonts w:hint="eastAsia" w:ascii="宋体"/>
          <w:color w:val="auto"/>
          <w:sz w:val="28"/>
          <w:szCs w:val="28"/>
          <w:highlight w:val="none"/>
        </w:rPr>
      </w:pPr>
    </w:p>
    <w:p w14:paraId="30C425D7">
      <w:pPr>
        <w:rPr>
          <w:rFonts w:hint="eastAsia" w:ascii="宋体"/>
          <w:color w:val="auto"/>
          <w:sz w:val="28"/>
          <w:szCs w:val="28"/>
          <w:highlight w:val="none"/>
        </w:rPr>
      </w:pPr>
    </w:p>
    <w:p w14:paraId="383137D0">
      <w:pPr>
        <w:rPr>
          <w:rFonts w:hint="eastAsia" w:ascii="宋体"/>
          <w:color w:val="auto"/>
          <w:sz w:val="28"/>
          <w:szCs w:val="28"/>
          <w:highlight w:val="none"/>
        </w:rPr>
      </w:pPr>
    </w:p>
    <w:p w14:paraId="6BF552D7">
      <w:pPr>
        <w:rPr>
          <w:rFonts w:hint="eastAsia" w:ascii="宋体"/>
          <w:color w:val="auto"/>
          <w:sz w:val="28"/>
          <w:szCs w:val="28"/>
          <w:highlight w:val="none"/>
        </w:rPr>
      </w:pPr>
    </w:p>
    <w:p w14:paraId="5C12FC66">
      <w:pPr>
        <w:rPr>
          <w:rFonts w:hint="eastAsia" w:ascii="宋体"/>
          <w:color w:val="auto"/>
          <w:sz w:val="28"/>
          <w:szCs w:val="28"/>
          <w:highlight w:val="none"/>
        </w:rPr>
      </w:pPr>
    </w:p>
    <w:p w14:paraId="3C7EB429">
      <w:pPr>
        <w:rPr>
          <w:rFonts w:hint="eastAsia" w:ascii="宋体"/>
          <w:color w:val="auto"/>
          <w:sz w:val="28"/>
          <w:szCs w:val="28"/>
          <w:highlight w:val="none"/>
        </w:rPr>
      </w:pPr>
    </w:p>
    <w:p w14:paraId="459FE8C8">
      <w:pPr>
        <w:rPr>
          <w:rFonts w:hint="eastAsia" w:ascii="宋体"/>
          <w:color w:val="auto"/>
          <w:sz w:val="28"/>
          <w:szCs w:val="28"/>
          <w:highlight w:val="none"/>
        </w:rPr>
      </w:pPr>
    </w:p>
    <w:p w14:paraId="05BFC889">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1558861B">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30C006DD">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2CA5BA9B">
      <w:pPr>
        <w:spacing w:line="720" w:lineRule="auto"/>
        <w:jc w:val="center"/>
        <w:rPr>
          <w:rFonts w:hint="eastAsia" w:ascii="宋体"/>
          <w:b/>
          <w:color w:val="auto"/>
          <w:sz w:val="36"/>
          <w:szCs w:val="36"/>
          <w:highlight w:val="none"/>
        </w:rPr>
      </w:pPr>
    </w:p>
    <w:p w14:paraId="29C3539F">
      <w:pPr>
        <w:spacing w:line="400" w:lineRule="exact"/>
        <w:ind w:firstLine="4130" w:firstLineChars="935"/>
        <w:rPr>
          <w:rFonts w:hint="eastAsia"/>
          <w:b/>
          <w:color w:val="auto"/>
          <w:sz w:val="44"/>
          <w:szCs w:val="44"/>
          <w:highlight w:val="none"/>
        </w:rPr>
      </w:pPr>
    </w:p>
    <w:p w14:paraId="0566C1A6">
      <w:pPr>
        <w:pStyle w:val="34"/>
        <w:rPr>
          <w:rFonts w:hint="eastAsia"/>
          <w:color w:val="auto"/>
          <w:highlight w:val="none"/>
        </w:rPr>
      </w:pPr>
    </w:p>
    <w:p w14:paraId="542C91B1">
      <w:pPr>
        <w:jc w:val="center"/>
        <w:rPr>
          <w:rFonts w:hint="eastAsia"/>
          <w:b/>
          <w:color w:val="auto"/>
          <w:sz w:val="44"/>
          <w:szCs w:val="44"/>
          <w:highlight w:val="none"/>
        </w:rPr>
      </w:pPr>
      <w:r>
        <w:rPr>
          <w:rFonts w:hint="eastAsia"/>
          <w:b/>
          <w:color w:val="auto"/>
          <w:sz w:val="36"/>
          <w:szCs w:val="36"/>
          <w:highlight w:val="none"/>
        </w:rPr>
        <w:t>目   录</w:t>
      </w:r>
    </w:p>
    <w:p w14:paraId="4DBD213E">
      <w:pPr>
        <w:spacing w:line="400" w:lineRule="exact"/>
        <w:ind w:firstLine="562" w:firstLineChars="200"/>
        <w:rPr>
          <w:rFonts w:hint="eastAsia"/>
          <w:b/>
          <w:color w:val="auto"/>
          <w:sz w:val="28"/>
          <w:szCs w:val="28"/>
          <w:highlight w:val="none"/>
        </w:rPr>
      </w:pPr>
    </w:p>
    <w:p w14:paraId="01B87359">
      <w:pPr>
        <w:spacing w:line="440" w:lineRule="exact"/>
        <w:jc w:val="left"/>
        <w:rPr>
          <w:rFonts w:hint="eastAsia" w:ascii="宋体" w:hAnsi="宋体" w:eastAsia="宋体" w:cs="宋体"/>
          <w:bCs/>
          <w:color w:val="auto"/>
          <w:szCs w:val="21"/>
          <w:highlight w:val="none"/>
        </w:rPr>
      </w:pPr>
      <w:r>
        <w:rPr>
          <w:rFonts w:hint="eastAsia" w:ascii="宋体" w:hAnsi="宋体" w:cs="宋体"/>
          <w:bCs/>
          <w:color w:val="auto"/>
          <w:szCs w:val="21"/>
          <w:highlight w:val="none"/>
        </w:rPr>
        <w:t>（1）法定代表人身份证明及其有效身份证（或法定代表人授权委托书及其有效身份证）（格式见附</w:t>
      </w:r>
      <w:r>
        <w:rPr>
          <w:rFonts w:hint="eastAsia" w:ascii="宋体" w:hAnsi="宋体" w:eastAsia="宋体" w:cs="宋体"/>
          <w:bCs/>
          <w:color w:val="auto"/>
          <w:szCs w:val="21"/>
          <w:highlight w:val="none"/>
        </w:rPr>
        <w:t>件）；</w:t>
      </w:r>
    </w:p>
    <w:p w14:paraId="7D3250DF">
      <w:pPr>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（2）投标人有效的营业执照、税务登记证、组织机构代码证（或三合一证书）；</w:t>
      </w:r>
    </w:p>
    <w:p w14:paraId="01806AAE">
      <w:pPr>
        <w:spacing w:line="4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w:t>
      </w:r>
      <w:r>
        <w:rPr>
          <w:rFonts w:hint="eastAsia" w:ascii="宋体" w:hAnsi="宋体" w:cs="宋体"/>
          <w:color w:val="auto"/>
          <w:szCs w:val="21"/>
          <w:highlight w:val="none"/>
        </w:rPr>
        <w:t>诚信投标承诺书</w:t>
      </w:r>
      <w:r>
        <w:rPr>
          <w:rFonts w:hint="eastAsia" w:ascii="宋体" w:hAnsi="宋体" w:cs="宋体"/>
          <w:color w:val="auto"/>
          <w:szCs w:val="21"/>
          <w:highlight w:val="none"/>
          <w:lang w:eastAsia="zh-CN"/>
        </w:rPr>
        <w:t>（</w:t>
      </w:r>
      <w:r>
        <w:rPr>
          <w:rFonts w:hint="eastAsia" w:ascii="宋体" w:hAnsi="宋体" w:cs="宋体"/>
          <w:color w:val="auto"/>
          <w:szCs w:val="21"/>
          <w:highlight w:val="none"/>
        </w:rPr>
        <w:t>格式见附件）</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公共信用信息报告（无违法违规证明版或核查版）</w:t>
      </w:r>
      <w:r>
        <w:rPr>
          <w:rFonts w:hint="eastAsia" w:ascii="宋体" w:hAnsi="宋体" w:eastAsia="宋体" w:cs="宋体"/>
          <w:bCs/>
          <w:color w:val="auto"/>
          <w:szCs w:val="21"/>
          <w:highlight w:val="none"/>
        </w:rPr>
        <w:t>；</w:t>
      </w:r>
    </w:p>
    <w:p w14:paraId="76117B2E">
      <w:pPr>
        <w:spacing w:line="440" w:lineRule="exact"/>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）服务承诺：是否响应招标文件要求的书面说明和服务承诺书（格式见附件）</w:t>
      </w:r>
    </w:p>
    <w:p w14:paraId="56451BAA">
      <w:pPr>
        <w:spacing w:line="440" w:lineRule="exact"/>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采购内容及技术要求</w:t>
      </w:r>
      <w:r>
        <w:rPr>
          <w:rFonts w:hint="eastAsia" w:ascii="宋体" w:hAnsi="宋体" w:cs="宋体"/>
          <w:bCs/>
          <w:color w:val="auto"/>
          <w:szCs w:val="21"/>
          <w:highlight w:val="none"/>
          <w:lang w:val="en-US" w:eastAsia="zh-CN"/>
        </w:rPr>
        <w:t>提供的承诺</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格式自拟）；</w:t>
      </w:r>
    </w:p>
    <w:p w14:paraId="59F1D549">
      <w:pPr>
        <w:spacing w:line="440" w:lineRule="exact"/>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lang w:val="en-US" w:eastAsia="zh-CN"/>
        </w:rPr>
        <w:t>）招标文件中要求的</w:t>
      </w:r>
      <w:r>
        <w:rPr>
          <w:rFonts w:hint="eastAsia" w:ascii="宋体" w:hAnsi="宋体" w:eastAsia="宋体" w:cs="宋体"/>
          <w:bCs/>
          <w:color w:val="auto"/>
          <w:szCs w:val="21"/>
          <w:highlight w:val="none"/>
          <w:lang w:val="en-US" w:eastAsia="zh-CN"/>
        </w:rPr>
        <w:t>资信标评审及其</w:t>
      </w:r>
      <w:r>
        <w:rPr>
          <w:rFonts w:hint="eastAsia" w:ascii="宋体" w:hAnsi="宋体" w:eastAsia="宋体" w:cs="宋体"/>
          <w:bCs/>
          <w:color w:val="auto"/>
          <w:szCs w:val="21"/>
          <w:highlight w:val="none"/>
          <w:lang w:val="en-US" w:eastAsia="zh-CN"/>
        </w:rPr>
        <w:t>他支持资料</w:t>
      </w:r>
    </w:p>
    <w:p w14:paraId="73A72DF5">
      <w:pPr>
        <w:spacing w:line="400" w:lineRule="exact"/>
        <w:ind w:firstLine="562" w:firstLineChars="200"/>
        <w:rPr>
          <w:rFonts w:hint="eastAsia"/>
          <w:b/>
          <w:color w:val="auto"/>
          <w:sz w:val="28"/>
          <w:szCs w:val="28"/>
          <w:highlight w:val="none"/>
        </w:rPr>
      </w:pPr>
    </w:p>
    <w:p w14:paraId="32B993C0">
      <w:pPr>
        <w:spacing w:line="400" w:lineRule="exact"/>
        <w:ind w:firstLine="562" w:firstLineChars="200"/>
        <w:rPr>
          <w:rFonts w:hint="eastAsia"/>
          <w:b/>
          <w:color w:val="auto"/>
          <w:sz w:val="28"/>
          <w:szCs w:val="28"/>
          <w:highlight w:val="none"/>
        </w:rPr>
      </w:pPr>
    </w:p>
    <w:p w14:paraId="47C5C78E">
      <w:pPr>
        <w:spacing w:line="400" w:lineRule="exact"/>
        <w:ind w:firstLine="562" w:firstLineChars="200"/>
        <w:rPr>
          <w:rFonts w:hint="eastAsia"/>
          <w:b/>
          <w:color w:val="auto"/>
          <w:sz w:val="28"/>
          <w:szCs w:val="28"/>
          <w:highlight w:val="none"/>
        </w:rPr>
      </w:pPr>
    </w:p>
    <w:p w14:paraId="225E0025">
      <w:pPr>
        <w:spacing w:line="400" w:lineRule="exact"/>
        <w:ind w:firstLine="562" w:firstLineChars="200"/>
        <w:rPr>
          <w:rFonts w:hint="eastAsia"/>
          <w:b/>
          <w:color w:val="auto"/>
          <w:sz w:val="28"/>
          <w:szCs w:val="28"/>
          <w:highlight w:val="none"/>
        </w:rPr>
      </w:pPr>
    </w:p>
    <w:p w14:paraId="6182267A">
      <w:pPr>
        <w:spacing w:line="400" w:lineRule="exact"/>
        <w:rPr>
          <w:b/>
          <w:color w:val="auto"/>
          <w:sz w:val="28"/>
          <w:szCs w:val="28"/>
          <w:highlight w:val="none"/>
        </w:rPr>
        <w:sectPr>
          <w:headerReference r:id="rId12" w:type="default"/>
          <w:footerReference r:id="rId13" w:type="default"/>
          <w:pgSz w:w="11906" w:h="16838"/>
          <w:pgMar w:top="1440" w:right="1417" w:bottom="141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79A1C29">
      <w:pPr>
        <w:spacing w:line="360" w:lineRule="auto"/>
        <w:rPr>
          <w:rFonts w:hint="eastAsia"/>
          <w:b/>
          <w:color w:val="auto"/>
          <w:sz w:val="28"/>
          <w:szCs w:val="28"/>
          <w:highlight w:val="none"/>
        </w:rPr>
      </w:pPr>
      <w:r>
        <w:rPr>
          <w:rFonts w:hint="eastAsia"/>
          <w:b/>
          <w:color w:val="auto"/>
          <w:sz w:val="28"/>
          <w:szCs w:val="28"/>
          <w:highlight w:val="none"/>
        </w:rPr>
        <w:t>附件1</w:t>
      </w:r>
    </w:p>
    <w:p w14:paraId="5E1CD776">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07A9C299">
      <w:pPr>
        <w:pStyle w:val="103"/>
        <w:spacing w:before="312" w:beforeLines="100" w:after="312" w:afterLines="100" w:line="48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7497F2E0">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03624340">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1A3F02D6">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74B944C7">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08B96303">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69009B8D">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794A6F14">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3B066729">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7B380FE3">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57D50478">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6B8C9182">
      <w:pPr>
        <w:spacing w:before="312" w:beforeLines="100" w:after="312" w:afterLines="100" w:line="48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0273BC64">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770D38E5">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757BBFC1">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786ED185">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180766AB">
      <w:pPr>
        <w:spacing w:line="480" w:lineRule="exact"/>
        <w:rPr>
          <w:rFonts w:hint="eastAsia" w:ascii="宋体"/>
          <w:color w:val="auto"/>
          <w:sz w:val="24"/>
          <w:highlight w:val="none"/>
        </w:rPr>
      </w:pPr>
      <w:r>
        <w:rPr>
          <w:rFonts w:hint="eastAsia" w:ascii="宋体"/>
          <w:color w:val="auto"/>
          <w:sz w:val="24"/>
          <w:highlight w:val="none"/>
        </w:rPr>
        <w:t xml:space="preserve">                                     投标人：             （盖单位章）</w:t>
      </w:r>
    </w:p>
    <w:p w14:paraId="6E6C6042">
      <w:pPr>
        <w:spacing w:line="480" w:lineRule="exact"/>
        <w:jc w:val="right"/>
        <w:rPr>
          <w:rFonts w:hint="eastAsia" w:ascii="宋体"/>
          <w:color w:val="auto"/>
          <w:sz w:val="24"/>
          <w:highlight w:val="none"/>
        </w:rPr>
      </w:pPr>
      <w:r>
        <w:rPr>
          <w:rFonts w:hint="eastAsia" w:ascii="宋体"/>
          <w:color w:val="auto"/>
          <w:sz w:val="24"/>
          <w:highlight w:val="none"/>
        </w:rPr>
        <w:t>法定代表人（身份证号码）：             （签章）</w:t>
      </w:r>
    </w:p>
    <w:p w14:paraId="2F401AD0">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6F4E1514">
      <w:pPr>
        <w:spacing w:line="360" w:lineRule="exact"/>
        <w:ind w:firstLine="413" w:firstLineChars="147"/>
        <w:rPr>
          <w:rFonts w:hint="eastAsia"/>
          <w:b/>
          <w:color w:val="auto"/>
          <w:sz w:val="28"/>
          <w:szCs w:val="28"/>
          <w:highlight w:val="none"/>
          <w:u w:val="single"/>
        </w:rPr>
      </w:pPr>
    </w:p>
    <w:p w14:paraId="63A999A3">
      <w:pPr>
        <w:spacing w:line="360" w:lineRule="exact"/>
        <w:ind w:firstLine="413" w:firstLineChars="147"/>
        <w:rPr>
          <w:rFonts w:hint="eastAsia"/>
          <w:b/>
          <w:color w:val="auto"/>
          <w:sz w:val="28"/>
          <w:szCs w:val="28"/>
          <w:highlight w:val="none"/>
          <w:u w:val="single"/>
        </w:rPr>
      </w:pPr>
    </w:p>
    <w:p w14:paraId="24BAD63D">
      <w:pPr>
        <w:spacing w:line="36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14:paraId="40879CCE">
      <w:pPr>
        <w:spacing w:line="360" w:lineRule="exact"/>
        <w:ind w:firstLine="413" w:firstLineChars="147"/>
        <w:jc w:val="center"/>
        <w:rPr>
          <w:rFonts w:hint="eastAsia"/>
          <w:b/>
          <w:color w:val="auto"/>
          <w:sz w:val="28"/>
          <w:szCs w:val="28"/>
          <w:highlight w:val="none"/>
        </w:rPr>
      </w:pPr>
      <w:bookmarkStart w:id="86" w:name="_Toc440443268"/>
      <w:bookmarkStart w:id="87" w:name="_Toc449028950"/>
      <w:r>
        <w:rPr>
          <w:rFonts w:hint="eastAsia"/>
          <w:b/>
          <w:color w:val="auto"/>
          <w:sz w:val="28"/>
          <w:szCs w:val="28"/>
          <w:highlight w:val="none"/>
        </w:rPr>
        <w:t>（2）诚信投标承诺书</w:t>
      </w:r>
    </w:p>
    <w:p w14:paraId="137D652E">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545E3B05">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6AC18278">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ascii="宋体" w:hAnsi="宋体"/>
          <w:color w:val="auto"/>
          <w:szCs w:val="21"/>
          <w:highlight w:val="none"/>
        </w:rPr>
      </w:pPr>
      <w:r>
        <w:rPr>
          <w:rFonts w:hint="eastAsia" w:ascii="宋体" w:hAnsi="宋体"/>
          <w:color w:val="auto"/>
          <w:szCs w:val="21"/>
          <w:highlight w:val="none"/>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没有因违法经营受到刑事处罚或者责令停产停业、吊销许可证或者执照、较大数额罚款等行政处罚。</w:t>
      </w:r>
    </w:p>
    <w:p w14:paraId="48CC1E72">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614E9966">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04C7A361">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7E3856FE">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eastAsia="宋体" w:cs="Times New Roman"/>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（企业名称）或       （企业名称）法定代表人       </w:t>
      </w:r>
      <w:r>
        <w:rPr>
          <w:rFonts w:hint="eastAsia" w:ascii="宋体" w:hAnsi="宋体"/>
          <w:color w:val="auto"/>
          <w:szCs w:val="21"/>
          <w:highlight w:val="none"/>
        </w:rPr>
        <w:t>没有下列情形：</w:t>
      </w:r>
      <w:bookmarkStart w:id="88" w:name="OLE_LINK134"/>
      <w:bookmarkStart w:id="89" w:name="OLE_LINK133"/>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88"/>
      <w:bookmarkEnd w:id="89"/>
      <w:r>
        <w:rPr>
          <w:rFonts w:hint="eastAsia" w:ascii="宋体" w:hAnsi="宋体"/>
          <w:color w:val="auto"/>
          <w:szCs w:val="21"/>
          <w:highlight w:val="none"/>
        </w:rPr>
        <w:t>若招标文件对投标人所属分公司、办事处等分支机构有上述1-10项信誉要求，在此一并承诺我公司所属分公司、办事处等分支机构没有上述1-10项情形）</w:t>
      </w:r>
    </w:p>
    <w:p w14:paraId="43490E9B">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七、严格遵守开标现场纪律，服从监管人员管理；</w:t>
      </w:r>
    </w:p>
    <w:p w14:paraId="29512350">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八、保证中标后不转包，若有分包征得招标人同意；</w:t>
      </w:r>
    </w:p>
    <w:p w14:paraId="24BD83E9">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九、保证中标之后，按照投标文件要求提供相关后续服务；</w:t>
      </w:r>
    </w:p>
    <w:p w14:paraId="40C5F902">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33C93120">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BBE9EFE">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 </w:t>
      </w:r>
    </w:p>
    <w:p w14:paraId="3F87DF43">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开户银行：                          基本账户：</w:t>
      </w:r>
    </w:p>
    <w:p w14:paraId="61F5A646">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投标单位（签章或盖章）：          法定代表人（签章）：</w:t>
      </w:r>
    </w:p>
    <w:p w14:paraId="4ABDE5DF">
      <w:pPr>
        <w:rPr>
          <w:rFonts w:hint="eastAsia"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3F1F847F">
      <w:pPr>
        <w:rPr>
          <w:rFonts w:hint="eastAsia" w:ascii="宋体" w:hAnsi="宋体"/>
          <w:color w:val="auto"/>
          <w:szCs w:val="21"/>
          <w:highlight w:val="none"/>
        </w:rPr>
      </w:pPr>
    </w:p>
    <w:p w14:paraId="3CBB7608">
      <w:pPr>
        <w:rPr>
          <w:rFonts w:hint="eastAsia" w:ascii="宋体" w:hAnsi="宋体"/>
          <w:color w:val="auto"/>
          <w:szCs w:val="21"/>
          <w:highlight w:val="none"/>
        </w:rPr>
      </w:pPr>
    </w:p>
    <w:p w14:paraId="20DABFC8">
      <w:pPr>
        <w:keepNext w:val="0"/>
        <w:keepLines w:val="0"/>
        <w:pageBreakBefore w:val="0"/>
        <w:widowControl w:val="0"/>
        <w:kinsoku/>
        <w:wordWrap/>
        <w:overflowPunct/>
        <w:topLinePunct w:val="0"/>
        <w:autoSpaceDE/>
        <w:autoSpaceDN/>
        <w:bidi w:val="0"/>
        <w:adjustRightInd/>
        <w:snapToGrid/>
        <w:spacing w:line="280" w:lineRule="exact"/>
        <w:ind w:left="-420" w:leftChars="-200" w:right="-512" w:rightChars="-244" w:firstLine="562" w:firstLineChars="200"/>
        <w:jc w:val="right"/>
        <w:textAlignment w:val="auto"/>
        <w:rPr>
          <w:rFonts w:hint="eastAsia"/>
          <w:b/>
          <w:color w:val="auto"/>
          <w:sz w:val="28"/>
          <w:szCs w:val="28"/>
          <w:highlight w:val="none"/>
        </w:rPr>
      </w:pPr>
      <w:r>
        <w:rPr>
          <w:rFonts w:hint="eastAsia"/>
          <w:b/>
          <w:color w:val="auto"/>
          <w:sz w:val="28"/>
          <w:szCs w:val="28"/>
          <w:highlight w:val="none"/>
          <w:lang w:val="en-US" w:eastAsia="zh-CN"/>
        </w:rPr>
        <w:t>或（2）</w:t>
      </w:r>
      <w:r>
        <w:rPr>
          <w:rFonts w:hint="eastAsia"/>
          <w:b/>
          <w:color w:val="auto"/>
          <w:sz w:val="28"/>
          <w:szCs w:val="28"/>
          <w:highlight w:val="none"/>
        </w:rPr>
        <w:t>公共信用信息报告（无违法违规证明版或核查版））</w:t>
      </w:r>
    </w:p>
    <w:p w14:paraId="7BBAC95B">
      <w:pPr>
        <w:rPr>
          <w:rFonts w:hint="eastAsia" w:ascii="宋体" w:hAnsi="宋体"/>
          <w:b/>
          <w:color w:val="auto"/>
          <w:sz w:val="24"/>
          <w:highlight w:val="none"/>
        </w:rPr>
      </w:pPr>
      <w:r>
        <w:rPr>
          <w:rFonts w:hint="eastAsia" w:ascii="宋体" w:hAnsi="宋体" w:eastAsia="宋体"/>
          <w:color w:val="auto"/>
          <w:szCs w:val="21"/>
          <w:highlight w:val="none"/>
        </w:rPr>
        <w:t>符合条件的投标人可在信用中国（安徽）网站（网址</w:t>
      </w:r>
      <w:r>
        <w:rPr>
          <w:rFonts w:hint="eastAsia" w:ascii="宋体" w:hAnsi="宋体" w:eastAsia="宋体"/>
          <w:color w:val="auto"/>
          <w:szCs w:val="21"/>
          <w:highlight w:val="none"/>
        </w:rPr>
        <w:fldChar w:fldCharType="begin"/>
      </w:r>
      <w:r>
        <w:rPr>
          <w:rFonts w:hint="eastAsia" w:ascii="宋体" w:hAnsi="宋体" w:eastAsia="宋体"/>
          <w:color w:val="auto"/>
          <w:szCs w:val="21"/>
          <w:highlight w:val="none"/>
        </w:rPr>
        <w:instrText xml:space="preserve"> HYPERLINK "https://credit.ah.gov.cn/xinyongfuwu/index.html" </w:instrText>
      </w:r>
      <w:r>
        <w:rPr>
          <w:rFonts w:hint="eastAsia" w:ascii="宋体" w:hAnsi="宋体" w:eastAsia="宋体"/>
          <w:color w:val="auto"/>
          <w:szCs w:val="21"/>
          <w:highlight w:val="none"/>
        </w:rPr>
        <w:fldChar w:fldCharType="separate"/>
      </w:r>
      <w:r>
        <w:rPr>
          <w:rFonts w:hint="eastAsia" w:ascii="宋体" w:hAnsi="宋体" w:eastAsia="宋体"/>
          <w:color w:val="auto"/>
          <w:szCs w:val="21"/>
          <w:highlight w:val="none"/>
        </w:rPr>
        <w:t>https://credit.ah.gov.cn/xinyongfuwu/index.html</w:t>
      </w:r>
      <w:r>
        <w:rPr>
          <w:rFonts w:hint="eastAsia" w:ascii="宋体" w:hAnsi="宋体" w:eastAsia="宋体"/>
          <w:color w:val="auto"/>
          <w:szCs w:val="21"/>
          <w:highlight w:val="none"/>
        </w:rPr>
        <w:fldChar w:fldCharType="end"/>
      </w:r>
      <w:r>
        <w:rPr>
          <w:rFonts w:hint="eastAsia" w:ascii="宋体" w:hAnsi="宋体" w:eastAsia="宋体"/>
          <w:color w:val="auto"/>
          <w:szCs w:val="21"/>
          <w:highlight w:val="none"/>
        </w:rPr>
        <w:t>），获取信用报告（无违法违规证明版或核查版）并上传至投标文件中。</w:t>
      </w:r>
      <w:r>
        <w:rPr>
          <w:rFonts w:hint="eastAsia" w:ascii="宋体" w:hAnsi="宋体"/>
          <w:b/>
          <w:color w:val="auto"/>
          <w:sz w:val="24"/>
          <w:highlight w:val="none"/>
        </w:rPr>
        <w:br w:type="page"/>
      </w:r>
    </w:p>
    <w:p w14:paraId="12272936">
      <w:pPr>
        <w:spacing w:line="360" w:lineRule="auto"/>
        <w:rPr>
          <w:rFonts w:hint="eastAsia" w:eastAsia="宋体"/>
          <w:b/>
          <w:color w:val="auto"/>
          <w:sz w:val="28"/>
          <w:szCs w:val="28"/>
          <w:highlight w:val="none"/>
          <w:lang w:eastAsia="zh-CN"/>
        </w:rPr>
      </w:pPr>
      <w:bookmarkStart w:id="90" w:name="_Toc18438"/>
      <w:bookmarkStart w:id="91" w:name="_Toc15134"/>
      <w:r>
        <w:rPr>
          <w:rFonts w:hint="eastAsia"/>
          <w:b/>
          <w:color w:val="auto"/>
          <w:sz w:val="28"/>
          <w:szCs w:val="28"/>
          <w:highlight w:val="none"/>
        </w:rPr>
        <w:t>附件</w:t>
      </w:r>
      <w:bookmarkEnd w:id="90"/>
      <w:bookmarkEnd w:id="91"/>
      <w:r>
        <w:rPr>
          <w:rFonts w:hint="eastAsia"/>
          <w:b/>
          <w:color w:val="auto"/>
          <w:sz w:val="28"/>
          <w:szCs w:val="28"/>
          <w:highlight w:val="none"/>
          <w:lang w:val="en-US" w:eastAsia="zh-CN"/>
        </w:rPr>
        <w:t>3</w:t>
      </w:r>
    </w:p>
    <w:p w14:paraId="04F7188F">
      <w:pPr>
        <w:spacing w:line="400" w:lineRule="exact"/>
        <w:ind w:firstLine="562" w:firstLineChars="200"/>
        <w:rPr>
          <w:rFonts w:hint="eastAsia"/>
          <w:b/>
          <w:color w:val="auto"/>
          <w:sz w:val="28"/>
          <w:szCs w:val="28"/>
          <w:highlight w:val="none"/>
        </w:rPr>
      </w:pPr>
    </w:p>
    <w:p w14:paraId="5C608659">
      <w:pPr>
        <w:jc w:val="center"/>
        <w:rPr>
          <w:rFonts w:hint="eastAsia" w:ascii="宋体"/>
          <w:b/>
          <w:color w:val="auto"/>
          <w:sz w:val="30"/>
          <w:szCs w:val="30"/>
          <w:highlight w:val="none"/>
        </w:rPr>
      </w:pPr>
      <w:r>
        <w:rPr>
          <w:rFonts w:hint="eastAsia" w:ascii="宋体"/>
          <w:b/>
          <w:color w:val="auto"/>
          <w:sz w:val="30"/>
          <w:szCs w:val="30"/>
          <w:highlight w:val="none"/>
        </w:rPr>
        <w:t>服务承诺书</w:t>
      </w:r>
    </w:p>
    <w:p w14:paraId="7572E136">
      <w:pPr>
        <w:ind w:firstLine="480" w:firstLineChars="200"/>
        <w:rPr>
          <w:rFonts w:hint="eastAsia" w:ascii="宋体"/>
          <w:color w:val="auto"/>
          <w:sz w:val="24"/>
          <w:highlight w:val="none"/>
        </w:rPr>
      </w:pPr>
    </w:p>
    <w:p w14:paraId="365CBFBA">
      <w:pPr>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（采购人）</w:t>
      </w:r>
      <w:r>
        <w:rPr>
          <w:rFonts w:hint="eastAsia" w:ascii="宋体"/>
          <w:color w:val="auto"/>
          <w:sz w:val="24"/>
          <w:highlight w:val="none"/>
        </w:rPr>
        <w:t>：</w:t>
      </w:r>
    </w:p>
    <w:p w14:paraId="6CA897E6">
      <w:pPr>
        <w:spacing w:line="800" w:lineRule="exact"/>
        <w:ind w:firstLine="480" w:firstLineChars="200"/>
        <w:rPr>
          <w:rFonts w:hint="eastAsia" w:ascii="宋体"/>
          <w:color w:val="auto"/>
          <w:sz w:val="24"/>
          <w:highlight w:val="none"/>
        </w:rPr>
      </w:pPr>
      <w:r>
        <w:rPr>
          <w:rFonts w:hint="eastAsia" w:ascii="宋体"/>
          <w:color w:val="auto"/>
          <w:sz w:val="24"/>
          <w:highlight w:val="none"/>
        </w:rPr>
        <w:t>本承诺声明：</w:t>
      </w:r>
      <w:r>
        <w:rPr>
          <w:rFonts w:hint="eastAsia" w:ascii="宋体"/>
          <w:color w:val="auto"/>
          <w:sz w:val="24"/>
          <w:highlight w:val="none"/>
          <w:u w:val="single"/>
        </w:rPr>
        <w:t xml:space="preserve">                   </w:t>
      </w:r>
      <w:r>
        <w:rPr>
          <w:rFonts w:hint="eastAsia" w:ascii="宋体"/>
          <w:color w:val="auto"/>
          <w:sz w:val="24"/>
          <w:highlight w:val="none"/>
        </w:rPr>
        <w:t>（投标人名称）对本招标文件的相关要求完全响应。若有幸中标将严格按照以上承诺进行服务。</w:t>
      </w:r>
    </w:p>
    <w:p w14:paraId="38F4DBD6">
      <w:pPr>
        <w:spacing w:line="80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325A5B3E">
      <w:pPr>
        <w:spacing w:line="600" w:lineRule="exact"/>
        <w:rPr>
          <w:rFonts w:hint="eastAsia" w:ascii="宋体"/>
          <w:color w:val="auto"/>
          <w:sz w:val="24"/>
          <w:highlight w:val="none"/>
        </w:rPr>
      </w:pPr>
      <w:r>
        <w:rPr>
          <w:rFonts w:hint="eastAsia" w:ascii="宋体"/>
          <w:color w:val="auto"/>
          <w:sz w:val="24"/>
          <w:highlight w:val="none"/>
        </w:rPr>
        <w:t> </w:t>
      </w:r>
    </w:p>
    <w:p w14:paraId="7A7F3A1D">
      <w:pPr>
        <w:spacing w:line="480" w:lineRule="auto"/>
        <w:ind w:firstLine="480" w:firstLineChars="200"/>
        <w:rPr>
          <w:rFonts w:ascii="宋体" w:hAnsi="宋体"/>
          <w:color w:val="auto"/>
          <w:sz w:val="24"/>
          <w:szCs w:val="21"/>
          <w:highlight w:val="none"/>
        </w:rPr>
      </w:pP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（盖单位章）</w:t>
      </w:r>
    </w:p>
    <w:p w14:paraId="0C1C566D">
      <w:pPr>
        <w:spacing w:line="480" w:lineRule="auto"/>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(签章)</w:t>
      </w:r>
    </w:p>
    <w:p w14:paraId="7F5D4166">
      <w:pPr>
        <w:spacing w:line="480" w:lineRule="auto"/>
        <w:jc w:val="right"/>
        <w:rPr>
          <w:rFonts w:hint="eastAsia"/>
          <w:b/>
          <w:color w:val="auto"/>
          <w:sz w:val="36"/>
          <w:szCs w:val="28"/>
          <w:highlight w:val="none"/>
        </w:rPr>
      </w:pPr>
      <w:r>
        <w:rPr>
          <w:rFonts w:hint="eastAsia" w:ascii="宋体" w:hAnsi="宋体"/>
          <w:color w:val="auto"/>
          <w:sz w:val="24"/>
          <w:szCs w:val="21"/>
          <w:highlight w:val="none"/>
        </w:rPr>
        <w:t xml:space="preserve">                                  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1BE35B34">
      <w:pPr>
        <w:pStyle w:val="12"/>
        <w:ind w:firstLine="400"/>
        <w:rPr>
          <w:rFonts w:hint="eastAsia"/>
          <w:color w:val="auto"/>
          <w:highlight w:val="none"/>
        </w:rPr>
      </w:pPr>
    </w:p>
    <w:bookmarkEnd w:id="86"/>
    <w:bookmarkEnd w:id="87"/>
    <w:p w14:paraId="73A70ACB">
      <w:pPr>
        <w:wordWrap w:val="0"/>
        <w:spacing w:before="100" w:beforeAutospacing="1" w:after="100" w:afterAutospacing="1"/>
        <w:jc w:val="center"/>
        <w:rPr>
          <w:rFonts w:hint="eastAsia" w:ascii="宋体" w:hAnsi="宋体"/>
          <w:b/>
          <w:color w:val="auto"/>
          <w:sz w:val="28"/>
          <w:szCs w:val="28"/>
          <w:highlight w:val="none"/>
          <w:bdr w:val="single" w:color="auto" w:sz="4" w:space="0"/>
        </w:rPr>
      </w:pPr>
      <w:r>
        <w:rPr>
          <w:rFonts w:hint="eastAsia" w:ascii="宋体" w:hAnsi="宋体"/>
          <w:b/>
          <w:color w:val="auto"/>
          <w:sz w:val="28"/>
          <w:szCs w:val="28"/>
          <w:highlight w:val="none"/>
        </w:rPr>
        <w:br w:type="page"/>
      </w:r>
      <w:r>
        <w:rPr>
          <w:rFonts w:hint="eastAsia" w:ascii="宋体" w:hAnsi="宋体"/>
          <w:b/>
          <w:color w:val="auto"/>
          <w:sz w:val="28"/>
          <w:szCs w:val="28"/>
          <w:highlight w:val="none"/>
        </w:rPr>
        <w:t>二、技术标格式文件</w:t>
      </w:r>
    </w:p>
    <w:p w14:paraId="76AB7D50">
      <w:pPr>
        <w:jc w:val="center"/>
        <w:rPr>
          <w:rFonts w:hint="eastAsia" w:ascii="宋体"/>
          <w:b/>
          <w:color w:val="auto"/>
          <w:sz w:val="44"/>
          <w:szCs w:val="44"/>
          <w:highlight w:val="none"/>
        </w:rPr>
      </w:pPr>
      <w:bookmarkStart w:id="92" w:name="_Toc449028953"/>
      <w:bookmarkStart w:id="93" w:name="_Toc387149626"/>
    </w:p>
    <w:p w14:paraId="66E0B24B">
      <w:pPr>
        <w:jc w:val="center"/>
        <w:rPr>
          <w:rFonts w:hint="eastAsia" w:ascii="宋体"/>
          <w:b/>
          <w:color w:val="auto"/>
          <w:sz w:val="44"/>
          <w:szCs w:val="44"/>
          <w:highlight w:val="none"/>
        </w:rPr>
      </w:pPr>
      <w:r>
        <w:rPr>
          <w:rFonts w:hint="eastAsia" w:ascii="宋体"/>
          <w:b/>
          <w:color w:val="auto"/>
          <w:sz w:val="44"/>
          <w:szCs w:val="44"/>
          <w:highlight w:val="none"/>
        </w:rPr>
        <w:t>技术标</w:t>
      </w:r>
      <w:bookmarkEnd w:id="92"/>
      <w:bookmarkEnd w:id="93"/>
    </w:p>
    <w:p w14:paraId="39800025">
      <w:pPr>
        <w:jc w:val="center"/>
        <w:rPr>
          <w:rFonts w:hint="eastAsia" w:ascii="宋体"/>
          <w:color w:val="auto"/>
          <w:sz w:val="32"/>
          <w:szCs w:val="32"/>
          <w:highlight w:val="none"/>
        </w:rPr>
      </w:pPr>
      <w:r>
        <w:rPr>
          <w:rFonts w:hint="eastAsia" w:ascii="宋体"/>
          <w:color w:val="auto"/>
          <w:sz w:val="32"/>
          <w:szCs w:val="32"/>
          <w:highlight w:val="none"/>
        </w:rPr>
        <w:t>（投标文件二）</w:t>
      </w:r>
    </w:p>
    <w:p w14:paraId="3E687B8A">
      <w:pPr>
        <w:jc w:val="center"/>
        <w:rPr>
          <w:rFonts w:hint="eastAsia" w:eastAsia="黑体"/>
          <w:color w:val="auto"/>
          <w:sz w:val="44"/>
          <w:szCs w:val="44"/>
          <w:highlight w:val="none"/>
        </w:rPr>
      </w:pPr>
    </w:p>
    <w:p w14:paraId="04E483EF">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5C39AE2E">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0777DB39">
      <w:pPr>
        <w:rPr>
          <w:rFonts w:hint="eastAsia" w:ascii="宋体"/>
          <w:color w:val="auto"/>
          <w:sz w:val="28"/>
          <w:szCs w:val="28"/>
          <w:highlight w:val="none"/>
        </w:rPr>
      </w:pPr>
    </w:p>
    <w:p w14:paraId="4F3B9C07">
      <w:pPr>
        <w:rPr>
          <w:rFonts w:hint="eastAsia" w:ascii="宋体"/>
          <w:color w:val="auto"/>
          <w:sz w:val="28"/>
          <w:szCs w:val="28"/>
          <w:highlight w:val="none"/>
        </w:rPr>
      </w:pPr>
    </w:p>
    <w:p w14:paraId="15B283CD">
      <w:pPr>
        <w:spacing w:line="700" w:lineRule="exact"/>
        <w:jc w:val="left"/>
        <w:rPr>
          <w:color w:val="auto"/>
          <w:sz w:val="24"/>
          <w:szCs w:val="32"/>
          <w:highlight w:val="none"/>
        </w:rPr>
      </w:pPr>
      <w:r>
        <w:rPr>
          <w:rFonts w:ascii="宋体"/>
          <w:color w:val="auto"/>
          <w:sz w:val="28"/>
          <w:szCs w:val="28"/>
          <w:highlight w:val="none"/>
        </w:rPr>
        <w:tab/>
      </w:r>
      <w:r>
        <w:rPr>
          <w:rFonts w:hint="eastAsia" w:ascii="宋体" w:hAnsi="宋体" w:cs="宋体"/>
          <w:b/>
          <w:bCs/>
          <w:color w:val="auto"/>
          <w:sz w:val="24"/>
          <w:highlight w:val="none"/>
        </w:rPr>
        <w:t>【本项目技术标为暗标评审，评审前系统自动对所有投标人的技术标进行编号；投标企业制作的技术标部分不得出现可能泄露投标人单位及个人信息的文字、图片、图表（技术标部分不得签章）等有关表述，否则技术标按零分处理。】</w:t>
      </w:r>
    </w:p>
    <w:p w14:paraId="22CD16B9">
      <w:pPr>
        <w:pStyle w:val="12"/>
        <w:ind w:firstLine="560"/>
        <w:rPr>
          <w:rFonts w:hint="eastAsia" w:ascii="宋体"/>
          <w:color w:val="auto"/>
          <w:sz w:val="28"/>
          <w:szCs w:val="28"/>
          <w:highlight w:val="none"/>
        </w:rPr>
      </w:pPr>
      <w:r>
        <w:rPr>
          <w:rFonts w:hint="eastAsia" w:ascii="宋体"/>
          <w:color w:val="auto"/>
          <w:sz w:val="28"/>
          <w:szCs w:val="28"/>
          <w:highlight w:val="none"/>
        </w:rPr>
        <w:br w:type="page"/>
      </w:r>
    </w:p>
    <w:p w14:paraId="0C148AD4">
      <w:pPr>
        <w:rPr>
          <w:rFonts w:hint="eastAsia" w:ascii="宋体"/>
          <w:color w:val="auto"/>
          <w:sz w:val="28"/>
          <w:szCs w:val="28"/>
          <w:highlight w:val="none"/>
        </w:rPr>
      </w:pPr>
    </w:p>
    <w:p w14:paraId="38BDBA0D">
      <w:pPr>
        <w:pStyle w:val="12"/>
        <w:ind w:firstLine="400"/>
        <w:rPr>
          <w:rFonts w:hint="eastAsia"/>
          <w:color w:val="auto"/>
          <w:highlight w:val="none"/>
        </w:rPr>
      </w:pPr>
    </w:p>
    <w:p w14:paraId="4979671B">
      <w:pPr>
        <w:spacing w:line="400" w:lineRule="exact"/>
        <w:jc w:val="both"/>
        <w:rPr>
          <w:rFonts w:hint="eastAsia"/>
          <w:b/>
          <w:color w:val="auto"/>
          <w:sz w:val="36"/>
          <w:szCs w:val="36"/>
          <w:highlight w:val="none"/>
        </w:rPr>
      </w:pPr>
    </w:p>
    <w:p w14:paraId="5B0A1E1F">
      <w:pPr>
        <w:spacing w:line="400" w:lineRule="exact"/>
        <w:jc w:val="center"/>
        <w:rPr>
          <w:rFonts w:hint="eastAsia"/>
          <w:b/>
          <w:color w:val="auto"/>
          <w:sz w:val="36"/>
          <w:szCs w:val="36"/>
          <w:highlight w:val="none"/>
        </w:rPr>
      </w:pPr>
      <w:r>
        <w:rPr>
          <w:rFonts w:hint="eastAsia"/>
          <w:b/>
          <w:color w:val="auto"/>
          <w:sz w:val="36"/>
          <w:szCs w:val="36"/>
          <w:highlight w:val="none"/>
        </w:rPr>
        <w:t>目   录</w:t>
      </w:r>
    </w:p>
    <w:p w14:paraId="36B5B7E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1）物业管理服务整体方案；</w:t>
      </w:r>
    </w:p>
    <w:p w14:paraId="3DCCCD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2）人员配备、培训及管理。</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（3）应急处理预案</w:t>
      </w:r>
    </w:p>
    <w:p w14:paraId="0869913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（4）安全保卫方案</w:t>
      </w:r>
    </w:p>
    <w:p w14:paraId="09E5179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（5）保洁绿化服务及消防日常维护方案</w:t>
      </w:r>
    </w:p>
    <w:p w14:paraId="3CC52888">
      <w:pPr>
        <w:adjustRightInd w:val="0"/>
        <w:snapToGrid w:val="0"/>
        <w:spacing w:line="560" w:lineRule="exact"/>
        <w:rPr>
          <w:rFonts w:hint="eastAsia" w:ascii="宋体" w:hAnsi="宋体"/>
          <w:b/>
          <w:bCs/>
          <w:color w:val="auto"/>
          <w:sz w:val="24"/>
          <w:szCs w:val="24"/>
          <w:highlight w:val="none"/>
          <w:lang w:val="en-US" w:eastAsia="zh-CN"/>
        </w:rPr>
      </w:pPr>
    </w:p>
    <w:p w14:paraId="7C9E5C59">
      <w:pPr>
        <w:adjustRightInd w:val="0"/>
        <w:snapToGrid w:val="0"/>
        <w:spacing w:line="560" w:lineRule="exact"/>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注：本项目采用横向暗标评审，请投标人结合技术标评审细则和系统内容在对应模块上传技术标评审内容。</w:t>
      </w:r>
    </w:p>
    <w:p w14:paraId="152CA4A8">
      <w:pPr>
        <w:pStyle w:val="17"/>
        <w:rPr>
          <w:rFonts w:hint="default"/>
          <w:color w:val="auto"/>
          <w:highlight w:val="none"/>
          <w:lang w:val="en-US" w:eastAsia="zh-CN"/>
        </w:rPr>
      </w:pPr>
    </w:p>
    <w:p w14:paraId="6101AC73">
      <w:pPr>
        <w:spacing w:line="400" w:lineRule="exact"/>
        <w:ind w:firstLine="562" w:firstLineChars="200"/>
        <w:rPr>
          <w:rFonts w:hint="eastAsia"/>
          <w:b/>
          <w:color w:val="auto"/>
          <w:sz w:val="28"/>
          <w:szCs w:val="28"/>
          <w:highlight w:val="none"/>
        </w:rPr>
      </w:pPr>
    </w:p>
    <w:p w14:paraId="4DF07F11">
      <w:pPr>
        <w:spacing w:line="400" w:lineRule="exact"/>
        <w:ind w:firstLine="562" w:firstLineChars="200"/>
        <w:rPr>
          <w:rFonts w:hint="eastAsia"/>
          <w:b/>
          <w:color w:val="auto"/>
          <w:sz w:val="28"/>
          <w:szCs w:val="28"/>
          <w:highlight w:val="none"/>
        </w:rPr>
      </w:pPr>
    </w:p>
    <w:p w14:paraId="40B8BC38">
      <w:pPr>
        <w:spacing w:line="400" w:lineRule="exact"/>
        <w:ind w:firstLine="562" w:firstLineChars="200"/>
        <w:rPr>
          <w:rFonts w:hint="eastAsia"/>
          <w:b/>
          <w:color w:val="auto"/>
          <w:sz w:val="28"/>
          <w:szCs w:val="28"/>
          <w:highlight w:val="none"/>
        </w:rPr>
      </w:pPr>
    </w:p>
    <w:p w14:paraId="5A23C74F">
      <w:pPr>
        <w:spacing w:line="480" w:lineRule="auto"/>
        <w:jc w:val="both"/>
        <w:rPr>
          <w:rFonts w:hint="eastAsia"/>
          <w:b/>
          <w:color w:val="auto"/>
          <w:sz w:val="28"/>
          <w:szCs w:val="28"/>
          <w:highlight w:val="none"/>
        </w:rPr>
      </w:pPr>
      <w:r>
        <w:rPr>
          <w:rFonts w:hint="eastAsia"/>
          <w:b/>
          <w:color w:val="auto"/>
          <w:sz w:val="28"/>
          <w:szCs w:val="28"/>
          <w:highlight w:val="none"/>
        </w:rPr>
        <w:br w:type="page"/>
      </w:r>
    </w:p>
    <w:p w14:paraId="66FB01E3">
      <w:pPr>
        <w:spacing w:line="300" w:lineRule="exact"/>
        <w:rPr>
          <w:rFonts w:hint="eastAsia" w:ascii="宋体"/>
          <w:color w:val="auto"/>
          <w:sz w:val="24"/>
          <w:highlight w:val="none"/>
          <w:u w:val="single"/>
        </w:rPr>
      </w:pPr>
    </w:p>
    <w:p w14:paraId="4FB2CA0B">
      <w:pPr>
        <w:spacing w:line="300" w:lineRule="exact"/>
        <w:rPr>
          <w:rFonts w:hint="eastAsia" w:ascii="宋体"/>
          <w:color w:val="auto"/>
          <w:sz w:val="24"/>
          <w:highlight w:val="none"/>
          <w:u w:val="single"/>
        </w:rPr>
      </w:pPr>
      <w:r>
        <w:rPr>
          <w:rFonts w:hint="eastAsia" w:ascii="宋体"/>
          <w:color w:val="auto"/>
          <w:sz w:val="24"/>
          <w:highlight w:val="none"/>
          <w:u w:val="single"/>
        </w:rPr>
        <w:t xml:space="preserve">      </w:t>
      </w:r>
    </w:p>
    <w:p w14:paraId="07B0CE27">
      <w:pPr>
        <w:jc w:val="center"/>
        <w:rPr>
          <w:rFonts w:hint="eastAsia" w:ascii="宋体"/>
          <w:color w:val="auto"/>
          <w:sz w:val="24"/>
          <w:highlight w:val="none"/>
        </w:rPr>
      </w:pPr>
      <w:r>
        <w:rPr>
          <w:rFonts w:hint="eastAsia" w:ascii="宋体" w:hAnsi="宋体"/>
          <w:b/>
          <w:color w:val="auto"/>
          <w:sz w:val="28"/>
          <w:szCs w:val="28"/>
          <w:highlight w:val="none"/>
        </w:rPr>
        <w:t>三、商务标格式文件</w:t>
      </w:r>
    </w:p>
    <w:p w14:paraId="6B29135F">
      <w:pPr>
        <w:jc w:val="center"/>
        <w:rPr>
          <w:rFonts w:hint="eastAsia" w:eastAsia="黑体"/>
          <w:color w:val="auto"/>
          <w:sz w:val="20"/>
          <w:highlight w:val="none"/>
        </w:rPr>
      </w:pPr>
    </w:p>
    <w:p w14:paraId="10FA8A0C">
      <w:pPr>
        <w:rPr>
          <w:rFonts w:hint="eastAsia" w:ascii="宋体"/>
          <w:color w:val="auto"/>
          <w:sz w:val="20"/>
          <w:highlight w:val="none"/>
        </w:rPr>
      </w:pPr>
    </w:p>
    <w:p w14:paraId="533B0583">
      <w:pPr>
        <w:pStyle w:val="12"/>
        <w:ind w:firstLine="400"/>
        <w:rPr>
          <w:rFonts w:hint="eastAsia"/>
          <w:color w:val="auto"/>
          <w:highlight w:val="none"/>
        </w:rPr>
      </w:pPr>
    </w:p>
    <w:p w14:paraId="28158FE0">
      <w:pPr>
        <w:jc w:val="center"/>
        <w:rPr>
          <w:rFonts w:hint="eastAsia" w:ascii="宋体"/>
          <w:b/>
          <w:color w:val="auto"/>
          <w:sz w:val="44"/>
          <w:szCs w:val="44"/>
          <w:highlight w:val="none"/>
        </w:rPr>
      </w:pPr>
      <w:bookmarkStart w:id="94" w:name="_Toc449028954"/>
      <w:r>
        <w:rPr>
          <w:rFonts w:hint="eastAsia" w:ascii="宋体"/>
          <w:b/>
          <w:color w:val="auto"/>
          <w:sz w:val="44"/>
          <w:szCs w:val="44"/>
          <w:highlight w:val="none"/>
        </w:rPr>
        <w:t>商务标</w:t>
      </w:r>
      <w:bookmarkEnd w:id="94"/>
    </w:p>
    <w:p w14:paraId="4ED50063">
      <w:pPr>
        <w:jc w:val="center"/>
        <w:rPr>
          <w:rFonts w:hint="eastAsia"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3A0A5BF5">
      <w:pPr>
        <w:jc w:val="center"/>
        <w:rPr>
          <w:rFonts w:hint="eastAsia" w:ascii="宋体"/>
          <w:color w:val="auto"/>
          <w:sz w:val="36"/>
          <w:szCs w:val="36"/>
          <w:highlight w:val="none"/>
        </w:rPr>
      </w:pPr>
    </w:p>
    <w:p w14:paraId="43021253">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62F6145C">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00DC2083">
      <w:pPr>
        <w:rPr>
          <w:rFonts w:hint="eastAsia" w:ascii="宋体"/>
          <w:color w:val="auto"/>
          <w:sz w:val="28"/>
          <w:szCs w:val="28"/>
          <w:highlight w:val="none"/>
        </w:rPr>
      </w:pPr>
    </w:p>
    <w:p w14:paraId="59D79D1D">
      <w:pPr>
        <w:rPr>
          <w:rFonts w:hint="eastAsia" w:ascii="宋体"/>
          <w:color w:val="auto"/>
          <w:sz w:val="28"/>
          <w:szCs w:val="28"/>
          <w:highlight w:val="none"/>
        </w:rPr>
      </w:pPr>
    </w:p>
    <w:p w14:paraId="4F6A9DCF">
      <w:pPr>
        <w:rPr>
          <w:rFonts w:hint="eastAsia" w:ascii="宋体"/>
          <w:color w:val="auto"/>
          <w:sz w:val="28"/>
          <w:szCs w:val="28"/>
          <w:highlight w:val="none"/>
        </w:rPr>
      </w:pPr>
    </w:p>
    <w:p w14:paraId="2BE2444B">
      <w:pPr>
        <w:rPr>
          <w:rFonts w:hint="eastAsia" w:ascii="宋体"/>
          <w:color w:val="auto"/>
          <w:sz w:val="28"/>
          <w:szCs w:val="28"/>
          <w:highlight w:val="none"/>
        </w:rPr>
      </w:pPr>
    </w:p>
    <w:p w14:paraId="30D072D2">
      <w:pPr>
        <w:rPr>
          <w:rFonts w:hint="eastAsia" w:ascii="宋体"/>
          <w:color w:val="auto"/>
          <w:sz w:val="28"/>
          <w:szCs w:val="28"/>
          <w:highlight w:val="none"/>
        </w:rPr>
      </w:pPr>
    </w:p>
    <w:p w14:paraId="133C7BFD">
      <w:pPr>
        <w:rPr>
          <w:rFonts w:hint="eastAsia" w:ascii="宋体"/>
          <w:color w:val="auto"/>
          <w:sz w:val="28"/>
          <w:szCs w:val="28"/>
          <w:highlight w:val="none"/>
        </w:rPr>
      </w:pPr>
    </w:p>
    <w:p w14:paraId="4F194764">
      <w:pPr>
        <w:rPr>
          <w:rFonts w:hint="eastAsia" w:ascii="宋体"/>
          <w:color w:val="auto"/>
          <w:sz w:val="28"/>
          <w:szCs w:val="28"/>
          <w:highlight w:val="none"/>
        </w:rPr>
      </w:pPr>
    </w:p>
    <w:p w14:paraId="1A1FB4A6">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25F47A5">
      <w:pPr>
        <w:ind w:firstLine="700" w:firstLineChars="25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61ADDDC5">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43375CB7">
      <w:pPr>
        <w:spacing w:line="720" w:lineRule="auto"/>
        <w:jc w:val="center"/>
        <w:rPr>
          <w:rFonts w:hint="eastAsia" w:ascii="宋体"/>
          <w:b/>
          <w:color w:val="auto"/>
          <w:sz w:val="36"/>
          <w:szCs w:val="36"/>
          <w:highlight w:val="none"/>
        </w:rPr>
      </w:pPr>
    </w:p>
    <w:p w14:paraId="08BF8AAC">
      <w:pPr>
        <w:spacing w:line="400" w:lineRule="exact"/>
        <w:ind w:firstLine="562" w:firstLineChars="200"/>
        <w:rPr>
          <w:rFonts w:hint="eastAsia"/>
          <w:b/>
          <w:color w:val="auto"/>
          <w:sz w:val="28"/>
          <w:szCs w:val="28"/>
          <w:highlight w:val="none"/>
        </w:rPr>
      </w:pPr>
    </w:p>
    <w:p w14:paraId="311872F7">
      <w:pPr>
        <w:spacing w:line="400" w:lineRule="exact"/>
        <w:jc w:val="center"/>
        <w:rPr>
          <w:rFonts w:hint="eastAsia"/>
          <w:b/>
          <w:color w:val="auto"/>
          <w:sz w:val="36"/>
          <w:szCs w:val="36"/>
          <w:highlight w:val="none"/>
        </w:rPr>
      </w:pPr>
      <w:r>
        <w:rPr>
          <w:b/>
          <w:color w:val="auto"/>
          <w:sz w:val="36"/>
          <w:szCs w:val="36"/>
          <w:highlight w:val="none"/>
        </w:rPr>
        <w:br w:type="page"/>
      </w:r>
      <w:r>
        <w:rPr>
          <w:rFonts w:hint="eastAsia"/>
          <w:b/>
          <w:color w:val="auto"/>
          <w:sz w:val="36"/>
          <w:szCs w:val="36"/>
          <w:highlight w:val="none"/>
        </w:rPr>
        <w:t>目   录</w:t>
      </w:r>
    </w:p>
    <w:p w14:paraId="64B52FA4">
      <w:pPr>
        <w:spacing w:line="400" w:lineRule="exact"/>
        <w:ind w:firstLine="4130" w:firstLineChars="935"/>
        <w:rPr>
          <w:rFonts w:hint="eastAsia"/>
          <w:b/>
          <w:color w:val="auto"/>
          <w:sz w:val="44"/>
          <w:szCs w:val="44"/>
          <w:highlight w:val="none"/>
        </w:rPr>
      </w:pPr>
    </w:p>
    <w:p w14:paraId="1987952C">
      <w:pPr>
        <w:spacing w:line="440" w:lineRule="exact"/>
        <w:ind w:left="420"/>
        <w:jc w:val="left"/>
        <w:rPr>
          <w:rFonts w:hint="eastAsia" w:ascii="宋体"/>
          <w:color w:val="auto"/>
          <w:szCs w:val="21"/>
          <w:highlight w:val="none"/>
        </w:rPr>
      </w:pPr>
      <w:r>
        <w:rPr>
          <w:rFonts w:hint="eastAsia" w:ascii="宋体"/>
          <w:color w:val="auto"/>
          <w:szCs w:val="21"/>
          <w:highlight w:val="none"/>
        </w:rPr>
        <w:t>（1）开标一览表（格式见附件）；</w:t>
      </w:r>
    </w:p>
    <w:p w14:paraId="1D0DD679">
      <w:pPr>
        <w:spacing w:line="440" w:lineRule="exact"/>
        <w:ind w:left="420"/>
        <w:jc w:val="left"/>
        <w:rPr>
          <w:rFonts w:hint="eastAsia" w:ascii="宋体"/>
          <w:color w:val="auto"/>
          <w:szCs w:val="21"/>
          <w:highlight w:val="none"/>
        </w:rPr>
      </w:pPr>
      <w:r>
        <w:rPr>
          <w:rFonts w:hint="eastAsia" w:ascii="宋体"/>
          <w:color w:val="auto"/>
          <w:szCs w:val="21"/>
          <w:highlight w:val="none"/>
        </w:rPr>
        <w:t>（2）投标函（格式见附件）；</w:t>
      </w:r>
    </w:p>
    <w:p w14:paraId="5AF0BCE9">
      <w:pPr>
        <w:spacing w:line="440" w:lineRule="exact"/>
        <w:ind w:firstLine="424" w:firstLineChars="202"/>
        <w:jc w:val="left"/>
        <w:rPr>
          <w:rFonts w:ascii="宋体"/>
          <w:color w:val="auto"/>
          <w:szCs w:val="21"/>
          <w:highlight w:val="none"/>
        </w:rPr>
      </w:pPr>
      <w:r>
        <w:rPr>
          <w:rFonts w:hint="eastAsia" w:ascii="宋体"/>
          <w:color w:val="auto"/>
          <w:szCs w:val="21"/>
          <w:highlight w:val="none"/>
        </w:rPr>
        <w:t>（3）分项报价清单（格式见附件）；</w:t>
      </w:r>
    </w:p>
    <w:p w14:paraId="0F6018D2">
      <w:pPr>
        <w:spacing w:line="440" w:lineRule="exact"/>
        <w:ind w:firstLine="424" w:firstLineChars="202"/>
        <w:jc w:val="left"/>
        <w:rPr>
          <w:rFonts w:hint="eastAsia" w:ascii="宋体"/>
          <w:color w:val="auto"/>
          <w:szCs w:val="21"/>
          <w:highlight w:val="none"/>
        </w:rPr>
      </w:pPr>
      <w:r>
        <w:rPr>
          <w:rFonts w:hint="eastAsia" w:ascii="宋体"/>
          <w:color w:val="auto"/>
          <w:szCs w:val="21"/>
          <w:highlight w:val="none"/>
        </w:rPr>
        <w:t>（4）招标文件商务评审中要求提供的其他相关资料；</w:t>
      </w:r>
    </w:p>
    <w:p w14:paraId="220259DF">
      <w:pPr>
        <w:spacing w:line="440" w:lineRule="exact"/>
        <w:ind w:firstLine="424" w:firstLineChars="202"/>
        <w:jc w:val="left"/>
        <w:rPr>
          <w:rFonts w:hint="eastAsia" w:ascii="宋体"/>
          <w:color w:val="auto"/>
          <w:szCs w:val="21"/>
          <w:highlight w:val="none"/>
        </w:rPr>
      </w:pPr>
      <w:r>
        <w:rPr>
          <w:rFonts w:hint="eastAsia" w:ascii="宋体"/>
          <w:color w:val="auto"/>
          <w:szCs w:val="21"/>
          <w:highlight w:val="none"/>
        </w:rPr>
        <w:t>（5）投标人认为需要提供的其他材料。</w:t>
      </w:r>
    </w:p>
    <w:p w14:paraId="4C794AAE">
      <w:pPr>
        <w:jc w:val="center"/>
        <w:rPr>
          <w:rFonts w:hint="eastAsia" w:ascii="宋体"/>
          <w:b/>
          <w:color w:val="auto"/>
          <w:sz w:val="28"/>
          <w:szCs w:val="28"/>
          <w:highlight w:val="none"/>
        </w:rPr>
      </w:pPr>
    </w:p>
    <w:p w14:paraId="4A1B84E0">
      <w:pPr>
        <w:snapToGrid w:val="0"/>
        <w:spacing w:line="460" w:lineRule="exact"/>
        <w:ind w:left="2940" w:leftChars="1400" w:firstLine="964" w:firstLineChars="300"/>
        <w:rPr>
          <w:rFonts w:hint="eastAsia" w:ascii="宋体"/>
          <w:b/>
          <w:color w:val="auto"/>
          <w:sz w:val="32"/>
          <w:szCs w:val="32"/>
          <w:highlight w:val="none"/>
        </w:rPr>
      </w:pPr>
    </w:p>
    <w:p w14:paraId="0DA29430">
      <w:pPr>
        <w:snapToGrid w:val="0"/>
        <w:spacing w:line="460" w:lineRule="exact"/>
        <w:ind w:left="2940" w:leftChars="1400" w:firstLine="964" w:firstLineChars="300"/>
        <w:rPr>
          <w:rFonts w:hint="eastAsia" w:ascii="宋体"/>
          <w:b/>
          <w:color w:val="auto"/>
          <w:sz w:val="32"/>
          <w:szCs w:val="32"/>
          <w:highlight w:val="none"/>
        </w:rPr>
      </w:pPr>
    </w:p>
    <w:p w14:paraId="4AD8931B">
      <w:pPr>
        <w:snapToGrid w:val="0"/>
        <w:spacing w:line="460" w:lineRule="exact"/>
        <w:ind w:left="2940" w:leftChars="1400" w:firstLine="964" w:firstLineChars="300"/>
        <w:rPr>
          <w:rFonts w:hint="eastAsia" w:ascii="宋体"/>
          <w:b/>
          <w:color w:val="auto"/>
          <w:sz w:val="32"/>
          <w:szCs w:val="32"/>
          <w:highlight w:val="none"/>
        </w:rPr>
      </w:pPr>
    </w:p>
    <w:p w14:paraId="63254565">
      <w:pPr>
        <w:snapToGrid w:val="0"/>
        <w:spacing w:line="460" w:lineRule="exact"/>
        <w:ind w:left="2940" w:leftChars="1400" w:firstLine="964" w:firstLineChars="300"/>
        <w:rPr>
          <w:rFonts w:hint="eastAsia" w:ascii="宋体"/>
          <w:b/>
          <w:color w:val="auto"/>
          <w:sz w:val="32"/>
          <w:szCs w:val="32"/>
          <w:highlight w:val="none"/>
        </w:rPr>
      </w:pPr>
    </w:p>
    <w:p w14:paraId="5223DD0B">
      <w:pPr>
        <w:snapToGrid w:val="0"/>
        <w:spacing w:line="460" w:lineRule="exact"/>
        <w:ind w:left="2940" w:leftChars="1400" w:firstLine="964" w:firstLineChars="300"/>
        <w:rPr>
          <w:rFonts w:hint="eastAsia" w:ascii="宋体"/>
          <w:b/>
          <w:color w:val="auto"/>
          <w:sz w:val="32"/>
          <w:szCs w:val="32"/>
          <w:highlight w:val="none"/>
        </w:rPr>
      </w:pPr>
    </w:p>
    <w:p w14:paraId="2E457140">
      <w:pPr>
        <w:snapToGrid w:val="0"/>
        <w:spacing w:line="460" w:lineRule="exact"/>
        <w:ind w:left="2940" w:leftChars="1400" w:firstLine="964" w:firstLineChars="300"/>
        <w:rPr>
          <w:rFonts w:hint="eastAsia" w:ascii="宋体"/>
          <w:b/>
          <w:color w:val="auto"/>
          <w:sz w:val="32"/>
          <w:szCs w:val="32"/>
          <w:highlight w:val="none"/>
        </w:rPr>
      </w:pPr>
    </w:p>
    <w:p w14:paraId="32AAB8BF">
      <w:pPr>
        <w:spacing w:line="360" w:lineRule="exact"/>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附件1</w:t>
      </w:r>
    </w:p>
    <w:p w14:paraId="38ECE9C4">
      <w:pPr>
        <w:spacing w:line="360" w:lineRule="exact"/>
        <w:ind w:firstLine="472" w:firstLineChars="147"/>
        <w:jc w:val="center"/>
        <w:rPr>
          <w:rFonts w:hint="eastAsia" w:ascii="宋体"/>
          <w:b/>
          <w:color w:val="auto"/>
          <w:sz w:val="32"/>
          <w:szCs w:val="32"/>
          <w:highlight w:val="none"/>
        </w:rPr>
      </w:pPr>
    </w:p>
    <w:p w14:paraId="0C814DCC">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开标一览表</w:t>
      </w:r>
    </w:p>
    <w:p w14:paraId="2BE9713F">
      <w:pPr>
        <w:spacing w:line="360" w:lineRule="exact"/>
        <w:ind w:firstLine="354" w:firstLineChars="147"/>
        <w:rPr>
          <w:rFonts w:hint="eastAsia" w:ascii="宋体"/>
          <w:b/>
          <w:color w:val="auto"/>
          <w:sz w:val="24"/>
          <w:highlight w:val="none"/>
        </w:rPr>
      </w:pPr>
    </w:p>
    <w:p w14:paraId="7954DC2E">
      <w:pPr>
        <w:spacing w:line="360" w:lineRule="exact"/>
        <w:ind w:firstLine="240" w:firstLineChars="100"/>
        <w:rPr>
          <w:rFonts w:hint="eastAsia" w:ascii="宋体"/>
          <w:color w:val="auto"/>
          <w:sz w:val="24"/>
          <w:highlight w:val="none"/>
        </w:rPr>
      </w:pPr>
      <w:r>
        <w:rPr>
          <w:rFonts w:hint="eastAsia" w:ascii="宋体"/>
          <w:color w:val="auto"/>
          <w:sz w:val="24"/>
          <w:highlight w:val="none"/>
        </w:rPr>
        <w:t>（注：开标一览表必须编入投标文件，唱标时，以投标文件中的开标一览表进行唱标）</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34AB2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1803" w:type="dxa"/>
            <w:tcBorders>
              <w:top w:val="single" w:color="auto" w:sz="12" w:space="0"/>
              <w:bottom w:val="single" w:color="auto" w:sz="12" w:space="0"/>
              <w:right w:val="single" w:color="auto" w:sz="12" w:space="0"/>
            </w:tcBorders>
            <w:noWrap w:val="0"/>
            <w:vAlign w:val="center"/>
          </w:tcPr>
          <w:p w14:paraId="63F31404">
            <w:pPr>
              <w:spacing w:line="700" w:lineRule="exact"/>
              <w:jc w:val="center"/>
              <w:rPr>
                <w:rFonts w:hint="eastAsia" w:ascii="宋体"/>
                <w:color w:val="auto"/>
                <w:sz w:val="24"/>
                <w:highlight w:val="none"/>
              </w:rPr>
            </w:pPr>
            <w:r>
              <w:rPr>
                <w:rFonts w:hint="eastAsia" w:ascii="宋体"/>
                <w:color w:val="auto"/>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07F8BA3D">
            <w:pPr>
              <w:spacing w:line="700" w:lineRule="exact"/>
              <w:jc w:val="left"/>
              <w:rPr>
                <w:rFonts w:hint="eastAsia"/>
                <w:color w:val="auto"/>
                <w:sz w:val="24"/>
                <w:highlight w:val="none"/>
              </w:rPr>
            </w:pPr>
            <w:r>
              <w:rPr>
                <w:rFonts w:hint="eastAsia"/>
                <w:color w:val="auto"/>
                <w:sz w:val="24"/>
                <w:highlight w:val="none"/>
              </w:rPr>
              <w:t xml:space="preserve">         </w:t>
            </w:r>
          </w:p>
        </w:tc>
      </w:tr>
      <w:tr w14:paraId="130FD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noWrap w:val="0"/>
            <w:vAlign w:val="center"/>
          </w:tcPr>
          <w:p w14:paraId="20D8AE53">
            <w:pPr>
              <w:spacing w:line="700" w:lineRule="exact"/>
              <w:jc w:val="center"/>
              <w:rPr>
                <w:rFonts w:hint="eastAsia" w:ascii="宋体"/>
                <w:color w:val="auto"/>
                <w:sz w:val="24"/>
                <w:highlight w:val="none"/>
              </w:rPr>
            </w:pPr>
            <w:r>
              <w:rPr>
                <w:rFonts w:hint="eastAsia" w:ascii="宋体"/>
                <w:color w:val="auto"/>
                <w:sz w:val="24"/>
                <w:highlight w:val="none"/>
              </w:rPr>
              <w:t>项目编号</w:t>
            </w:r>
          </w:p>
        </w:tc>
        <w:tc>
          <w:tcPr>
            <w:tcW w:w="6952" w:type="dxa"/>
            <w:tcBorders>
              <w:top w:val="single" w:color="auto" w:sz="12" w:space="0"/>
              <w:left w:val="single" w:color="auto" w:sz="12" w:space="0"/>
            </w:tcBorders>
            <w:noWrap w:val="0"/>
            <w:vAlign w:val="center"/>
          </w:tcPr>
          <w:p w14:paraId="4D150067">
            <w:pPr>
              <w:spacing w:line="700" w:lineRule="exact"/>
              <w:rPr>
                <w:rFonts w:hint="eastAsia" w:ascii="宋体"/>
                <w:color w:val="auto"/>
                <w:sz w:val="24"/>
                <w:highlight w:val="none"/>
              </w:rPr>
            </w:pPr>
          </w:p>
        </w:tc>
      </w:tr>
      <w:tr w14:paraId="6E0CD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14:paraId="6D2DA139">
            <w:pPr>
              <w:spacing w:line="700" w:lineRule="exact"/>
              <w:ind w:firstLine="120" w:firstLineChars="50"/>
              <w:rPr>
                <w:rFonts w:hint="eastAsia" w:ascii="宋体"/>
                <w:color w:val="auto"/>
                <w:sz w:val="24"/>
                <w:highlight w:val="none"/>
              </w:rPr>
            </w:pPr>
            <w:r>
              <w:rPr>
                <w:rFonts w:hint="eastAsia" w:ascii="宋体"/>
                <w:color w:val="auto"/>
                <w:sz w:val="24"/>
                <w:highlight w:val="none"/>
              </w:rPr>
              <w:t>投标人名称</w:t>
            </w:r>
          </w:p>
        </w:tc>
        <w:tc>
          <w:tcPr>
            <w:tcW w:w="6952" w:type="dxa"/>
            <w:tcBorders>
              <w:left w:val="single" w:color="auto" w:sz="12" w:space="0"/>
            </w:tcBorders>
            <w:noWrap w:val="0"/>
            <w:vAlign w:val="top"/>
          </w:tcPr>
          <w:p w14:paraId="02DC0317">
            <w:pPr>
              <w:pStyle w:val="20"/>
              <w:spacing w:line="700" w:lineRule="exact"/>
              <w:ind w:left="86" w:leftChars="41"/>
              <w:rPr>
                <w:rFonts w:hint="eastAsia" w:ascii="宋体" w:eastAsia="宋体"/>
                <w:color w:val="auto"/>
                <w:sz w:val="24"/>
                <w:szCs w:val="24"/>
                <w:highlight w:val="none"/>
              </w:rPr>
            </w:pPr>
          </w:p>
        </w:tc>
      </w:tr>
      <w:tr w14:paraId="3105C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trPr>
        <w:tc>
          <w:tcPr>
            <w:tcW w:w="1803" w:type="dxa"/>
            <w:tcBorders>
              <w:right w:val="single" w:color="auto" w:sz="12" w:space="0"/>
            </w:tcBorders>
            <w:noWrap w:val="0"/>
            <w:vAlign w:val="center"/>
          </w:tcPr>
          <w:p w14:paraId="68C37840">
            <w:pPr>
              <w:spacing w:line="360" w:lineRule="auto"/>
              <w:jc w:val="center"/>
              <w:rPr>
                <w:rFonts w:ascii="宋体"/>
                <w:color w:val="auto"/>
                <w:sz w:val="24"/>
                <w:highlight w:val="none"/>
              </w:rPr>
            </w:pPr>
            <w:r>
              <w:rPr>
                <w:rFonts w:hint="eastAsia" w:ascii="宋体" w:hAnsi="宋体"/>
                <w:color w:val="auto"/>
                <w:sz w:val="24"/>
                <w:highlight w:val="none"/>
              </w:rPr>
              <w:t>投标报价\合同履行期限</w:t>
            </w:r>
          </w:p>
        </w:tc>
        <w:tc>
          <w:tcPr>
            <w:tcW w:w="6952" w:type="dxa"/>
            <w:tcBorders>
              <w:left w:val="single" w:color="auto" w:sz="12" w:space="0"/>
            </w:tcBorders>
            <w:noWrap w:val="0"/>
            <w:vAlign w:val="center"/>
          </w:tcPr>
          <w:p w14:paraId="1BC885DC">
            <w:pPr>
              <w:pStyle w:val="131"/>
              <w:keepNext w:val="0"/>
              <w:keepLines w:val="0"/>
              <w:pageBreakBefore w:val="0"/>
              <w:widowControl w:val="0"/>
              <w:kinsoku/>
              <w:wordWrap/>
              <w:overflowPunct/>
              <w:topLinePunct w:val="0"/>
              <w:autoSpaceDE/>
              <w:autoSpaceDN/>
              <w:bidi w:val="0"/>
              <w:adjustRightInd/>
              <w:snapToGrid/>
              <w:spacing w:before="78" w:line="560" w:lineRule="exact"/>
              <w:ind w:left="97"/>
              <w:textAlignment w:val="auto"/>
              <w:rPr>
                <w:color w:val="auto"/>
                <w:sz w:val="24"/>
                <w:szCs w:val="24"/>
                <w:highlight w:val="none"/>
              </w:rPr>
            </w:pPr>
            <w:r>
              <w:rPr>
                <w:color w:val="auto"/>
                <w:spacing w:val="-1"/>
                <w:sz w:val="24"/>
                <w:szCs w:val="24"/>
                <w:highlight w:val="none"/>
              </w:rPr>
              <w:t>三年投标报价 （大写</w:t>
            </w:r>
            <w:r>
              <w:rPr>
                <w:color w:val="auto"/>
                <w:sz w:val="24"/>
                <w:szCs w:val="24"/>
                <w:highlight w:val="none"/>
              </w:rPr>
              <w:t>）：</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1"/>
                <w:sz w:val="24"/>
                <w:szCs w:val="24"/>
                <w:highlight w:val="none"/>
              </w:rPr>
              <w:t>元</w:t>
            </w:r>
          </w:p>
          <w:p w14:paraId="7B1C150C">
            <w:pPr>
              <w:pStyle w:val="131"/>
              <w:keepNext w:val="0"/>
              <w:keepLines w:val="0"/>
              <w:pageBreakBefore w:val="0"/>
              <w:widowControl w:val="0"/>
              <w:kinsoku/>
              <w:wordWrap/>
              <w:overflowPunct/>
              <w:topLinePunct w:val="0"/>
              <w:autoSpaceDE/>
              <w:autoSpaceDN/>
              <w:bidi w:val="0"/>
              <w:adjustRightInd/>
              <w:snapToGrid/>
              <w:spacing w:before="184" w:line="560" w:lineRule="exact"/>
              <w:ind w:left="1819"/>
              <w:textAlignment w:val="auto"/>
              <w:rPr>
                <w:color w:val="auto"/>
                <w:sz w:val="24"/>
                <w:szCs w:val="24"/>
                <w:highlight w:val="none"/>
              </w:rPr>
            </w:pPr>
            <w:r>
              <w:rPr>
                <w:color w:val="auto"/>
                <w:spacing w:val="-14"/>
                <w:sz w:val="24"/>
                <w:szCs w:val="24"/>
                <w:highlight w:val="none"/>
              </w:rPr>
              <w:t>(小写)</w:t>
            </w:r>
            <w:r>
              <w:rPr>
                <w:color w:val="auto"/>
                <w:spacing w:val="31"/>
                <w:sz w:val="24"/>
                <w:szCs w:val="24"/>
                <w:highlight w:val="none"/>
              </w:rPr>
              <w:t xml:space="preserve"> </w:t>
            </w:r>
            <w:r>
              <w:rPr>
                <w:color w:val="auto"/>
                <w:spacing w:val="-14"/>
                <w:sz w:val="24"/>
                <w:szCs w:val="24"/>
                <w:highlight w:val="none"/>
              </w:rPr>
              <w:t>：</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14"/>
                <w:sz w:val="24"/>
                <w:szCs w:val="24"/>
                <w:highlight w:val="none"/>
              </w:rPr>
              <w:t>元</w:t>
            </w:r>
          </w:p>
          <w:p w14:paraId="192250B7">
            <w:pPr>
              <w:pStyle w:val="131"/>
              <w:keepNext w:val="0"/>
              <w:keepLines w:val="0"/>
              <w:pageBreakBefore w:val="0"/>
              <w:widowControl w:val="0"/>
              <w:kinsoku/>
              <w:wordWrap/>
              <w:overflowPunct/>
              <w:topLinePunct w:val="0"/>
              <w:autoSpaceDE/>
              <w:autoSpaceDN/>
              <w:bidi w:val="0"/>
              <w:adjustRightInd/>
              <w:snapToGrid/>
              <w:spacing w:before="181" w:line="560" w:lineRule="exact"/>
              <w:ind w:left="101"/>
              <w:textAlignment w:val="auto"/>
              <w:rPr>
                <w:color w:val="auto"/>
                <w:sz w:val="24"/>
                <w:szCs w:val="24"/>
                <w:highlight w:val="none"/>
              </w:rPr>
            </w:pPr>
            <w:r>
              <w:rPr>
                <w:color w:val="auto"/>
                <w:spacing w:val="-2"/>
                <w:sz w:val="24"/>
                <w:szCs w:val="24"/>
                <w:highlight w:val="none"/>
              </w:rPr>
              <w:t>一年投标报价 （大写</w:t>
            </w:r>
            <w:r>
              <w:rPr>
                <w:color w:val="auto"/>
                <w:sz w:val="24"/>
                <w:szCs w:val="24"/>
                <w:highlight w:val="none"/>
              </w:rPr>
              <w:t>）：</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2"/>
                <w:sz w:val="24"/>
                <w:szCs w:val="24"/>
                <w:highlight w:val="none"/>
              </w:rPr>
              <w:t>元/年</w:t>
            </w:r>
          </w:p>
          <w:p w14:paraId="24A06D2B">
            <w:pPr>
              <w:pStyle w:val="131"/>
              <w:keepNext w:val="0"/>
              <w:keepLines w:val="0"/>
              <w:pageBreakBefore w:val="0"/>
              <w:widowControl w:val="0"/>
              <w:kinsoku/>
              <w:wordWrap/>
              <w:overflowPunct/>
              <w:topLinePunct w:val="0"/>
              <w:autoSpaceDE/>
              <w:autoSpaceDN/>
              <w:bidi w:val="0"/>
              <w:adjustRightInd/>
              <w:snapToGrid/>
              <w:spacing w:before="185" w:line="560" w:lineRule="exact"/>
              <w:ind w:left="1819"/>
              <w:textAlignment w:val="auto"/>
              <w:rPr>
                <w:color w:val="auto"/>
                <w:sz w:val="24"/>
                <w:szCs w:val="24"/>
                <w:highlight w:val="none"/>
              </w:rPr>
            </w:pPr>
            <w:r>
              <w:rPr>
                <w:color w:val="auto"/>
                <w:spacing w:val="-8"/>
                <w:sz w:val="24"/>
                <w:szCs w:val="24"/>
                <w:highlight w:val="none"/>
              </w:rPr>
              <w:t>(小写)</w:t>
            </w:r>
            <w:r>
              <w:rPr>
                <w:color w:val="auto"/>
                <w:spacing w:val="47"/>
                <w:sz w:val="24"/>
                <w:szCs w:val="24"/>
                <w:highlight w:val="none"/>
              </w:rPr>
              <w:t xml:space="preserve"> </w:t>
            </w:r>
            <w:r>
              <w:rPr>
                <w:color w:val="auto"/>
                <w:spacing w:val="-8"/>
                <w:sz w:val="24"/>
                <w:szCs w:val="24"/>
                <w:highlight w:val="none"/>
              </w:rPr>
              <w:t>：</w:t>
            </w:r>
            <w:r>
              <w:rPr>
                <w:color w:val="auto"/>
                <w:spacing w:val="-8"/>
                <w:sz w:val="24"/>
                <w:szCs w:val="24"/>
                <w:highlight w:val="none"/>
                <w:u w:val="single" w:color="auto"/>
              </w:rPr>
              <w:t xml:space="preserve">                     </w:t>
            </w:r>
            <w:r>
              <w:rPr>
                <w:color w:val="auto"/>
                <w:spacing w:val="-108"/>
                <w:sz w:val="24"/>
                <w:szCs w:val="24"/>
                <w:highlight w:val="none"/>
              </w:rPr>
              <w:t xml:space="preserve"> </w:t>
            </w:r>
            <w:r>
              <w:rPr>
                <w:color w:val="auto"/>
                <w:spacing w:val="-8"/>
                <w:sz w:val="24"/>
                <w:szCs w:val="24"/>
                <w:highlight w:val="none"/>
              </w:rPr>
              <w:t>元/年</w:t>
            </w:r>
          </w:p>
          <w:p w14:paraId="2FE4CB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olor w:val="auto"/>
                <w:sz w:val="24"/>
                <w:highlight w:val="none"/>
                <w:lang w:eastAsia="zh-CN"/>
              </w:rPr>
            </w:pPr>
            <w:r>
              <w:rPr>
                <w:color w:val="auto"/>
                <w:spacing w:val="-2"/>
                <w:sz w:val="24"/>
                <w:szCs w:val="24"/>
                <w:highlight w:val="none"/>
              </w:rPr>
              <w:t>服务期：</w:t>
            </w:r>
            <w:r>
              <w:rPr>
                <w:color w:val="auto"/>
                <w:spacing w:val="-58"/>
                <w:sz w:val="24"/>
                <w:szCs w:val="24"/>
                <w:highlight w:val="none"/>
              </w:rPr>
              <w:t xml:space="preserve"> </w:t>
            </w:r>
            <w:r>
              <w:rPr>
                <w:color w:val="auto"/>
                <w:spacing w:val="-2"/>
                <w:sz w:val="24"/>
                <w:szCs w:val="24"/>
                <w:highlight w:val="none"/>
              </w:rPr>
              <w:t>自合同签订之日起三年服务期（不超过三年，至业主委</w:t>
            </w:r>
            <w:r>
              <w:rPr>
                <w:color w:val="auto"/>
                <w:sz w:val="24"/>
                <w:szCs w:val="24"/>
                <w:highlight w:val="none"/>
              </w:rPr>
              <w:t xml:space="preserve"> 员会成立选聘新的物业公司进场止，合同一年一签，每年合同期</w:t>
            </w:r>
            <w:r>
              <w:rPr>
                <w:color w:val="auto"/>
                <w:spacing w:val="7"/>
                <w:sz w:val="24"/>
                <w:szCs w:val="24"/>
                <w:highlight w:val="none"/>
              </w:rPr>
              <w:t xml:space="preserve"> </w:t>
            </w:r>
            <w:r>
              <w:rPr>
                <w:color w:val="auto"/>
                <w:sz w:val="24"/>
                <w:szCs w:val="24"/>
                <w:highlight w:val="none"/>
              </w:rPr>
              <w:t>满后，由招标人配合辖区政府街道和物业主管部门对其考核（依</w:t>
            </w:r>
            <w:r>
              <w:rPr>
                <w:color w:val="auto"/>
                <w:spacing w:val="7"/>
                <w:sz w:val="24"/>
                <w:szCs w:val="24"/>
                <w:highlight w:val="none"/>
              </w:rPr>
              <w:t xml:space="preserve"> </w:t>
            </w:r>
            <w:r>
              <w:rPr>
                <w:color w:val="auto"/>
                <w:spacing w:val="-4"/>
                <w:sz w:val="24"/>
                <w:szCs w:val="24"/>
                <w:highlight w:val="none"/>
              </w:rPr>
              <w:t>据招标文件考核评分标准进行考核打分</w:t>
            </w:r>
            <w:r>
              <w:rPr>
                <w:color w:val="auto"/>
                <w:spacing w:val="-30"/>
                <w:sz w:val="24"/>
                <w:szCs w:val="24"/>
                <w:highlight w:val="none"/>
              </w:rPr>
              <w:t>），</w:t>
            </w:r>
            <w:r>
              <w:rPr>
                <w:color w:val="auto"/>
                <w:spacing w:val="-4"/>
                <w:sz w:val="24"/>
                <w:szCs w:val="24"/>
                <w:highlight w:val="none"/>
              </w:rPr>
              <w:t>考核合格</w:t>
            </w:r>
            <w:r>
              <w:rPr>
                <w:color w:val="auto"/>
                <w:spacing w:val="-5"/>
                <w:sz w:val="24"/>
                <w:szCs w:val="24"/>
                <w:highlight w:val="none"/>
              </w:rPr>
              <w:t>，继续服务；</w:t>
            </w:r>
            <w:r>
              <w:rPr>
                <w:color w:val="auto"/>
                <w:sz w:val="24"/>
                <w:szCs w:val="24"/>
                <w:highlight w:val="none"/>
              </w:rPr>
              <w:t xml:space="preserve"> 考核不合格的，终止服务，不再续签合同。因考核不合格终止服</w:t>
            </w:r>
            <w:r>
              <w:rPr>
                <w:color w:val="auto"/>
                <w:spacing w:val="7"/>
                <w:sz w:val="24"/>
                <w:szCs w:val="24"/>
                <w:highlight w:val="none"/>
              </w:rPr>
              <w:t xml:space="preserve"> </w:t>
            </w:r>
            <w:r>
              <w:rPr>
                <w:color w:val="auto"/>
                <w:spacing w:val="-1"/>
                <w:sz w:val="24"/>
                <w:szCs w:val="24"/>
                <w:highlight w:val="none"/>
              </w:rPr>
              <w:t>务，不再续签合同的，中标人自行承担责任。</w:t>
            </w:r>
          </w:p>
        </w:tc>
      </w:tr>
    </w:tbl>
    <w:p w14:paraId="5BD1F387">
      <w:pPr>
        <w:snapToGrid w:val="0"/>
        <w:spacing w:line="460" w:lineRule="exact"/>
        <w:ind w:left="2940" w:leftChars="1400" w:firstLine="723" w:firstLineChars="300"/>
        <w:rPr>
          <w:rFonts w:hint="eastAsia" w:ascii="宋体"/>
          <w:b/>
          <w:color w:val="auto"/>
          <w:sz w:val="24"/>
          <w:highlight w:val="none"/>
        </w:rPr>
      </w:pPr>
    </w:p>
    <w:p w14:paraId="6B3FA302">
      <w:pPr>
        <w:rPr>
          <w:rFonts w:hint="eastAsia" w:ascii="宋体"/>
          <w:color w:val="auto"/>
          <w:sz w:val="24"/>
          <w:highlight w:val="none"/>
        </w:rPr>
      </w:pPr>
      <w:r>
        <w:rPr>
          <w:rFonts w:hint="eastAsia" w:ascii="宋体"/>
          <w:color w:val="auto"/>
          <w:sz w:val="24"/>
          <w:highlight w:val="none"/>
        </w:rPr>
        <w:t>法定代表人（签章）：         投标人（盖单位章）：</w:t>
      </w:r>
    </w:p>
    <w:p w14:paraId="1DDDC7B9">
      <w:pPr>
        <w:snapToGrid w:val="0"/>
        <w:spacing w:before="312" w:beforeLines="100" w:after="312" w:afterLines="100" w:line="360" w:lineRule="auto"/>
        <w:jc w:val="center"/>
        <w:rPr>
          <w:rFonts w:cs="Arial"/>
          <w:b/>
          <w:bCs/>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 xml:space="preserve">日 </w:t>
      </w:r>
    </w:p>
    <w:p w14:paraId="4ADE1AD3">
      <w:pPr>
        <w:spacing w:line="360" w:lineRule="exact"/>
        <w:ind w:firstLine="443" w:firstLineChars="147"/>
        <w:rPr>
          <w:rFonts w:hint="eastAsia" w:ascii="宋体" w:hAnsi="宋体"/>
          <w:b/>
          <w:color w:val="auto"/>
          <w:sz w:val="30"/>
          <w:szCs w:val="30"/>
          <w:highlight w:val="none"/>
        </w:rPr>
      </w:pPr>
      <w:r>
        <w:rPr>
          <w:rFonts w:hint="eastAsia" w:ascii="宋体" w:hAnsi="宋体"/>
          <w:b/>
          <w:color w:val="auto"/>
          <w:sz w:val="30"/>
          <w:szCs w:val="30"/>
          <w:highlight w:val="none"/>
        </w:rPr>
        <w:t>附件2</w:t>
      </w:r>
    </w:p>
    <w:p w14:paraId="292B7A7A">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投  标  函</w:t>
      </w:r>
    </w:p>
    <w:p w14:paraId="7FA532BF">
      <w:pPr>
        <w:spacing w:line="440" w:lineRule="exact"/>
        <w:rPr>
          <w:rFonts w:hint="eastAsia" w:ascii="宋体"/>
          <w:color w:val="auto"/>
          <w:sz w:val="24"/>
          <w:highlight w:val="none"/>
        </w:rPr>
      </w:pPr>
    </w:p>
    <w:p w14:paraId="66C16BCA">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(招标人)       </w:t>
      </w:r>
      <w:r>
        <w:rPr>
          <w:rFonts w:hint="eastAsia" w:ascii="宋体" w:hAnsi="宋体" w:cs="宋体"/>
          <w:color w:val="auto"/>
          <w:sz w:val="24"/>
          <w:highlight w:val="none"/>
        </w:rPr>
        <w:t xml:space="preserve"> </w:t>
      </w:r>
    </w:p>
    <w:p w14:paraId="17F0B7EF">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68FBC79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spacing w:val="-2"/>
          <w:sz w:val="24"/>
          <w:szCs w:val="24"/>
          <w:highlight w:val="none"/>
        </w:rPr>
      </w:pPr>
      <w:r>
        <w:rPr>
          <w:rFonts w:hint="eastAsia" w:ascii="宋体" w:hAnsi="宋体" w:cs="宋体"/>
          <w:color w:val="auto"/>
          <w:sz w:val="24"/>
          <w:highlight w:val="none"/>
        </w:rPr>
        <w:t>2、我方愿意按照招标文件规定的各项要求，向招标人提供“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（项目编号）”项目的货物与服务，</w:t>
      </w:r>
      <w:r>
        <w:rPr>
          <w:rFonts w:ascii="宋体" w:hAnsi="宋体" w:eastAsia="宋体" w:cs="宋体"/>
          <w:color w:val="auto"/>
          <w:sz w:val="24"/>
          <w:szCs w:val="24"/>
          <w:highlight w:val="none"/>
        </w:rPr>
        <w:t>三年投标报价为人民币（大</w:t>
      </w:r>
      <w:r>
        <w:rPr>
          <w:rFonts w:ascii="宋体" w:hAnsi="宋体" w:eastAsia="宋体" w:cs="宋体"/>
          <w:color w:val="auto"/>
          <w:spacing w:val="10"/>
          <w:sz w:val="24"/>
          <w:szCs w:val="24"/>
          <w:highlight w:val="none"/>
        </w:rPr>
        <w:t xml:space="preserve"> </w:t>
      </w:r>
      <w:r>
        <w:rPr>
          <w:rFonts w:ascii="宋体" w:hAnsi="宋体" w:eastAsia="宋体" w:cs="宋体"/>
          <w:color w:val="auto"/>
          <w:spacing w:val="-4"/>
          <w:sz w:val="24"/>
          <w:szCs w:val="24"/>
          <w:highlight w:val="none"/>
        </w:rPr>
        <w:t>写</w:t>
      </w:r>
      <w:r>
        <w:rPr>
          <w:rFonts w:ascii="宋体" w:hAnsi="宋体" w:eastAsia="宋体" w:cs="宋体"/>
          <w:color w:val="auto"/>
          <w:spacing w:val="-55"/>
          <w:sz w:val="24"/>
          <w:szCs w:val="24"/>
          <w:highlight w:val="none"/>
        </w:rPr>
        <w:t>）</w:t>
      </w:r>
      <w:r>
        <w:rPr>
          <w:rFonts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eastAsia="zh-CN"/>
        </w:rPr>
        <w:t>（</w:t>
      </w:r>
      <w:r>
        <w:rPr>
          <w:rFonts w:hint="eastAsia" w:ascii="宋体" w:hAnsi="宋体" w:eastAsia="宋体" w:cs="宋体"/>
          <w:color w:val="auto"/>
          <w:spacing w:val="-4"/>
          <w:sz w:val="24"/>
          <w:szCs w:val="24"/>
          <w:highlight w:val="none"/>
          <w:u w:val="single" w:color="auto"/>
          <w:lang w:val="en-US" w:eastAsia="zh-CN"/>
        </w:rPr>
        <w:t>小写</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22"/>
          <w:sz w:val="24"/>
          <w:szCs w:val="24"/>
          <w:highlight w:val="none"/>
          <w:u w:val="single" w:color="auto"/>
        </w:rPr>
        <w:t xml:space="preserve">  </w:t>
      </w:r>
      <w:r>
        <w:rPr>
          <w:rFonts w:ascii="宋体" w:hAnsi="宋体" w:eastAsia="宋体" w:cs="宋体"/>
          <w:color w:val="auto"/>
          <w:spacing w:val="-4"/>
          <w:sz w:val="24"/>
          <w:szCs w:val="24"/>
          <w:highlight w:val="none"/>
          <w:u w:val="single" w:color="auto"/>
        </w:rPr>
        <w:t>元</w:t>
      </w:r>
      <w:r>
        <w:rPr>
          <w:rFonts w:ascii="宋体" w:hAnsi="宋体" w:eastAsia="宋体" w:cs="宋体"/>
          <w:color w:val="auto"/>
          <w:spacing w:val="-55"/>
          <w:sz w:val="24"/>
          <w:szCs w:val="24"/>
          <w:highlight w:val="none"/>
          <w:u w:val="single" w:color="auto"/>
        </w:rPr>
        <w:t>）</w:t>
      </w:r>
      <w:r>
        <w:rPr>
          <w:rFonts w:ascii="宋体" w:hAnsi="宋体" w:eastAsia="宋体" w:cs="宋体"/>
          <w:color w:val="auto"/>
          <w:spacing w:val="-55"/>
          <w:sz w:val="24"/>
          <w:szCs w:val="24"/>
          <w:highlight w:val="none"/>
        </w:rPr>
        <w:t>，</w:t>
      </w:r>
      <w:r>
        <w:rPr>
          <w:rFonts w:ascii="宋体" w:hAnsi="宋体" w:eastAsia="宋体" w:cs="宋体"/>
          <w:color w:val="auto"/>
          <w:spacing w:val="-4"/>
          <w:sz w:val="24"/>
          <w:szCs w:val="24"/>
          <w:highlight w:val="none"/>
        </w:rPr>
        <w:t>一年投标报价为</w:t>
      </w:r>
      <w:r>
        <w:rPr>
          <w:rFonts w:ascii="宋体" w:hAnsi="宋体" w:eastAsia="宋体" w:cs="宋体"/>
          <w:color w:val="auto"/>
          <w:spacing w:val="-4"/>
          <w:sz w:val="24"/>
          <w:szCs w:val="24"/>
          <w:highlight w:val="none"/>
          <w:u w:val="single" w:color="auto"/>
        </w:rPr>
        <w:t>（大写</w:t>
      </w:r>
      <w:r>
        <w:rPr>
          <w:rFonts w:ascii="宋体" w:hAnsi="宋体" w:eastAsia="宋体" w:cs="宋体"/>
          <w:color w:val="auto"/>
          <w:spacing w:val="-55"/>
          <w:sz w:val="24"/>
          <w:szCs w:val="24"/>
          <w:highlight w:val="none"/>
          <w:u w:val="single" w:color="auto"/>
        </w:rPr>
        <w:t>）</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55"/>
          <w:sz w:val="24"/>
          <w:szCs w:val="24"/>
          <w:highlight w:val="none"/>
          <w:u w:val="single" w:color="auto"/>
        </w:rPr>
        <w:t>（</w:t>
      </w:r>
      <w:r>
        <w:rPr>
          <w:rFonts w:hint="eastAsia" w:ascii="宋体" w:hAnsi="宋体" w:eastAsia="宋体" w:cs="宋体"/>
          <w:color w:val="auto"/>
          <w:spacing w:val="-4"/>
          <w:sz w:val="24"/>
          <w:szCs w:val="24"/>
          <w:highlight w:val="none"/>
          <w:u w:val="single" w:color="auto"/>
          <w:lang w:eastAsia="zh-CN"/>
        </w:rPr>
        <w:t>（</w:t>
      </w:r>
      <w:r>
        <w:rPr>
          <w:rFonts w:hint="eastAsia" w:ascii="宋体" w:hAnsi="宋体" w:eastAsia="宋体" w:cs="宋体"/>
          <w:color w:val="auto"/>
          <w:spacing w:val="-4"/>
          <w:sz w:val="24"/>
          <w:szCs w:val="24"/>
          <w:highlight w:val="none"/>
          <w:u w:val="single" w:color="auto"/>
          <w:lang w:val="en-US" w:eastAsia="zh-CN"/>
        </w:rPr>
        <w:t>小</w:t>
      </w:r>
      <w:r>
        <w:rPr>
          <w:rFonts w:ascii="宋体" w:hAnsi="宋体" w:eastAsia="宋体" w:cs="宋体"/>
          <w:color w:val="auto"/>
          <w:spacing w:val="-2"/>
          <w:sz w:val="24"/>
          <w:szCs w:val="24"/>
          <w:highlight w:val="none"/>
          <w:u w:val="single" w:color="auto"/>
        </w:rPr>
        <w:t>写：   元/年</w:t>
      </w:r>
      <w:r>
        <w:rPr>
          <w:rFonts w:ascii="宋体" w:hAnsi="宋体" w:eastAsia="宋体" w:cs="宋体"/>
          <w:color w:val="auto"/>
          <w:spacing w:val="9"/>
          <w:sz w:val="24"/>
          <w:szCs w:val="24"/>
          <w:highlight w:val="none"/>
          <w:u w:val="single" w:color="auto"/>
        </w:rPr>
        <w:t>）</w:t>
      </w:r>
      <w:r>
        <w:rPr>
          <w:rFonts w:ascii="宋体" w:hAnsi="宋体" w:eastAsia="宋体" w:cs="宋体"/>
          <w:color w:val="auto"/>
          <w:spacing w:val="9"/>
          <w:sz w:val="24"/>
          <w:szCs w:val="24"/>
          <w:highlight w:val="none"/>
        </w:rPr>
        <w:t>，</w:t>
      </w:r>
      <w:r>
        <w:rPr>
          <w:rFonts w:ascii="宋体" w:hAnsi="宋体" w:eastAsia="宋体" w:cs="宋体"/>
          <w:color w:val="auto"/>
          <w:spacing w:val="-2"/>
          <w:sz w:val="24"/>
          <w:szCs w:val="24"/>
          <w:highlight w:val="none"/>
        </w:rPr>
        <w:t>服务期：</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w:t>
      </w:r>
    </w:p>
    <w:p w14:paraId="010ED30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309E4A36">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4、若我方中标，愿意为本项目提交的纸质投标文件一式三份，其中正本一份、副本二份。</w:t>
      </w:r>
    </w:p>
    <w:p w14:paraId="76DE4A82">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5、我方愿意提供可能另外要求的、与采购投标有关的文件资料，并保证我方已提供和将要提供的文件是真实的、准确的。</w:t>
      </w:r>
    </w:p>
    <w:p w14:paraId="39E23276">
      <w:pPr>
        <w:pStyle w:val="12"/>
        <w:spacing w:after="0" w:line="500" w:lineRule="exact"/>
        <w:ind w:left="0" w:leftChars="0" w:firstLine="480"/>
        <w:jc w:val="left"/>
        <w:rPr>
          <w:rFonts w:hint="eastAsia" w:ascii="宋体" w:hAnsi="宋体" w:cs="宋体"/>
          <w:color w:val="auto"/>
          <w:sz w:val="24"/>
          <w:highlight w:val="none"/>
        </w:rPr>
      </w:pPr>
      <w:r>
        <w:rPr>
          <w:rFonts w:hint="eastAsia" w:ascii="宋体" w:hAnsi="宋体" w:cs="宋体"/>
          <w:color w:val="auto"/>
          <w:sz w:val="24"/>
          <w:highlight w:val="none"/>
        </w:rPr>
        <w:t>6、投标有效期为</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日历天（从投标截止之日算起）。</w:t>
      </w:r>
    </w:p>
    <w:p w14:paraId="1AFBFC6B">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7、我单位提供如下通讯地址：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电子邮箱（地址），确认本项目相关法律文书均通过提供的以上地址送达，相关文书只要发送至以上电子邮箱（地址）即视为送达，投标人愿意承担一切法律后果。</w:t>
      </w:r>
    </w:p>
    <w:p w14:paraId="1E544A67">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 </w:t>
      </w:r>
    </w:p>
    <w:p w14:paraId="2FA22052">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76F30A28">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4EC0A0D5">
      <w:pPr>
        <w:spacing w:line="500" w:lineRule="exact"/>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D31CAEA">
      <w:pPr>
        <w:spacing w:line="500" w:lineRule="exact"/>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通讯地址：</w:t>
      </w:r>
      <w:r>
        <w:rPr>
          <w:rFonts w:hint="eastAsia" w:ascii="宋体" w:hAnsi="宋体" w:cs="宋体"/>
          <w:color w:val="auto"/>
          <w:sz w:val="24"/>
          <w:highlight w:val="none"/>
          <w:u w:val="single"/>
        </w:rPr>
        <w:t xml:space="preserve">                 </w:t>
      </w:r>
    </w:p>
    <w:p w14:paraId="3FAA91E5">
      <w:pPr>
        <w:spacing w:line="500" w:lineRule="exact"/>
        <w:ind w:firstLine="3240" w:firstLineChars="1350"/>
        <w:jc w:val="left"/>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14:paraId="61B8BF45">
      <w:pPr>
        <w:spacing w:line="500" w:lineRule="exact"/>
        <w:ind w:right="-178" w:rightChars="-85" w:firstLine="3240" w:firstLineChars="1350"/>
        <w:jc w:val="left"/>
        <w:rPr>
          <w:rFonts w:hint="eastAsia" w:ascii="宋体"/>
          <w:b/>
          <w:color w:val="auto"/>
          <w:sz w:val="28"/>
          <w:szCs w:val="28"/>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color w:val="auto"/>
          <w:sz w:val="24"/>
          <w:highlight w:val="none"/>
          <w:u w:val="single"/>
        </w:rPr>
        <w:t xml:space="preserve">               </w:t>
      </w:r>
    </w:p>
    <w:p w14:paraId="3F44004D">
      <w:pPr>
        <w:rPr>
          <w:rFonts w:hint="eastAsia" w:ascii="宋体" w:hAnsi="宋体"/>
          <w:b/>
          <w:color w:val="auto"/>
          <w:sz w:val="30"/>
          <w:szCs w:val="30"/>
          <w:highlight w:val="none"/>
        </w:rPr>
      </w:pPr>
    </w:p>
    <w:p w14:paraId="480F2A64">
      <w:pPr>
        <w:rPr>
          <w:rFonts w:hint="eastAsia"/>
          <w:color w:val="auto"/>
          <w:sz w:val="24"/>
          <w:highlight w:val="none"/>
        </w:rPr>
      </w:pPr>
      <w:r>
        <w:rPr>
          <w:rFonts w:hint="eastAsia" w:ascii="宋体" w:hAnsi="宋体"/>
          <w:b/>
          <w:color w:val="auto"/>
          <w:sz w:val="30"/>
          <w:szCs w:val="30"/>
          <w:highlight w:val="none"/>
        </w:rPr>
        <w:t>附件3</w:t>
      </w:r>
    </w:p>
    <w:p w14:paraId="25609003">
      <w:pPr>
        <w:spacing w:line="360" w:lineRule="auto"/>
        <w:ind w:left="720"/>
        <w:jc w:val="center"/>
        <w:rPr>
          <w:rFonts w:hint="eastAsia" w:ascii="宋体" w:hAnsi="宋体"/>
          <w:b/>
          <w:color w:val="auto"/>
          <w:sz w:val="36"/>
          <w:szCs w:val="36"/>
          <w:highlight w:val="none"/>
        </w:rPr>
      </w:pPr>
      <w:r>
        <w:rPr>
          <w:rFonts w:hint="eastAsia"/>
          <w:b/>
          <w:color w:val="auto"/>
          <w:sz w:val="28"/>
          <w:szCs w:val="28"/>
          <w:highlight w:val="none"/>
        </w:rPr>
        <w:t>分项报价清单</w:t>
      </w:r>
    </w:p>
    <w:tbl>
      <w:tblPr>
        <w:tblStyle w:val="130"/>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449"/>
        <w:gridCol w:w="1169"/>
        <w:gridCol w:w="1949"/>
        <w:gridCol w:w="2281"/>
        <w:gridCol w:w="1798"/>
      </w:tblGrid>
      <w:tr w14:paraId="6009A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76" w:type="dxa"/>
            <w:vMerge w:val="restart"/>
            <w:tcBorders>
              <w:bottom w:val="nil"/>
            </w:tcBorders>
            <w:vAlign w:val="top"/>
          </w:tcPr>
          <w:p w14:paraId="49B922ED">
            <w:pPr>
              <w:spacing w:line="277" w:lineRule="auto"/>
              <w:rPr>
                <w:rFonts w:ascii="Arial"/>
                <w:color w:val="auto"/>
                <w:sz w:val="21"/>
                <w:highlight w:val="none"/>
              </w:rPr>
            </w:pPr>
          </w:p>
          <w:p w14:paraId="611706E0">
            <w:pPr>
              <w:spacing w:line="277" w:lineRule="auto"/>
              <w:rPr>
                <w:rFonts w:ascii="Arial"/>
                <w:color w:val="auto"/>
                <w:sz w:val="21"/>
                <w:highlight w:val="none"/>
              </w:rPr>
            </w:pPr>
          </w:p>
          <w:p w14:paraId="2A8CFDB4">
            <w:pPr>
              <w:pStyle w:val="131"/>
              <w:spacing w:before="65" w:line="229" w:lineRule="auto"/>
              <w:ind w:left="232"/>
              <w:rPr>
                <w:color w:val="auto"/>
                <w:highlight w:val="none"/>
              </w:rPr>
            </w:pPr>
            <w:r>
              <w:rPr>
                <w:color w:val="auto"/>
                <w:spacing w:val="5"/>
                <w:highlight w:val="none"/>
              </w:rPr>
              <w:t>序号</w:t>
            </w:r>
          </w:p>
        </w:tc>
        <w:tc>
          <w:tcPr>
            <w:tcW w:w="1449" w:type="dxa"/>
            <w:vMerge w:val="restart"/>
            <w:tcBorders>
              <w:bottom w:val="nil"/>
            </w:tcBorders>
            <w:vAlign w:val="top"/>
          </w:tcPr>
          <w:p w14:paraId="6110742A">
            <w:pPr>
              <w:spacing w:line="277" w:lineRule="auto"/>
              <w:rPr>
                <w:rFonts w:ascii="Arial"/>
                <w:color w:val="auto"/>
                <w:sz w:val="21"/>
                <w:highlight w:val="none"/>
              </w:rPr>
            </w:pPr>
          </w:p>
          <w:p w14:paraId="121B882C">
            <w:pPr>
              <w:spacing w:line="277" w:lineRule="auto"/>
              <w:rPr>
                <w:rFonts w:ascii="Arial"/>
                <w:color w:val="auto"/>
                <w:sz w:val="21"/>
                <w:highlight w:val="none"/>
              </w:rPr>
            </w:pPr>
          </w:p>
          <w:p w14:paraId="27468371">
            <w:pPr>
              <w:pStyle w:val="131"/>
              <w:spacing w:before="65" w:line="230" w:lineRule="auto"/>
              <w:ind w:left="521"/>
              <w:rPr>
                <w:color w:val="auto"/>
                <w:highlight w:val="none"/>
              </w:rPr>
            </w:pPr>
            <w:r>
              <w:rPr>
                <w:color w:val="auto"/>
                <w:spacing w:val="3"/>
                <w:highlight w:val="none"/>
              </w:rPr>
              <w:t>名称</w:t>
            </w:r>
          </w:p>
        </w:tc>
        <w:tc>
          <w:tcPr>
            <w:tcW w:w="1169" w:type="dxa"/>
            <w:vMerge w:val="restart"/>
            <w:tcBorders>
              <w:bottom w:val="nil"/>
            </w:tcBorders>
            <w:vAlign w:val="top"/>
          </w:tcPr>
          <w:p w14:paraId="53538595">
            <w:pPr>
              <w:spacing w:line="277" w:lineRule="auto"/>
              <w:rPr>
                <w:rFonts w:ascii="Arial"/>
                <w:color w:val="auto"/>
                <w:sz w:val="21"/>
                <w:highlight w:val="none"/>
              </w:rPr>
            </w:pPr>
          </w:p>
          <w:p w14:paraId="0BD655C6">
            <w:pPr>
              <w:spacing w:line="277" w:lineRule="auto"/>
              <w:rPr>
                <w:rFonts w:ascii="Arial"/>
                <w:color w:val="auto"/>
                <w:sz w:val="21"/>
                <w:highlight w:val="none"/>
              </w:rPr>
            </w:pPr>
          </w:p>
          <w:p w14:paraId="55F917B3">
            <w:pPr>
              <w:pStyle w:val="131"/>
              <w:spacing w:before="65" w:line="228" w:lineRule="auto"/>
              <w:ind w:left="114"/>
              <w:rPr>
                <w:color w:val="auto"/>
                <w:highlight w:val="none"/>
              </w:rPr>
            </w:pPr>
            <w:r>
              <w:rPr>
                <w:color w:val="auto"/>
                <w:spacing w:val="4"/>
                <w:highlight w:val="none"/>
              </w:rPr>
              <w:t>面积（m2）</w:t>
            </w:r>
          </w:p>
        </w:tc>
        <w:tc>
          <w:tcPr>
            <w:tcW w:w="1949" w:type="dxa"/>
            <w:vAlign w:val="top"/>
          </w:tcPr>
          <w:p w14:paraId="02CA335B">
            <w:pPr>
              <w:pStyle w:val="131"/>
              <w:spacing w:before="217" w:line="226" w:lineRule="auto"/>
              <w:ind w:left="772"/>
              <w:rPr>
                <w:color w:val="auto"/>
                <w:highlight w:val="none"/>
              </w:rPr>
            </w:pPr>
            <w:r>
              <w:rPr>
                <w:color w:val="auto"/>
                <w:spacing w:val="3"/>
                <w:highlight w:val="none"/>
              </w:rPr>
              <w:t>单价</w:t>
            </w:r>
          </w:p>
        </w:tc>
        <w:tc>
          <w:tcPr>
            <w:tcW w:w="2281" w:type="dxa"/>
            <w:vAlign w:val="top"/>
          </w:tcPr>
          <w:p w14:paraId="00D9594E">
            <w:pPr>
              <w:pStyle w:val="131"/>
              <w:spacing w:before="217" w:line="226" w:lineRule="auto"/>
              <w:ind w:left="387"/>
              <w:rPr>
                <w:color w:val="auto"/>
                <w:highlight w:val="none"/>
              </w:rPr>
            </w:pPr>
            <w:r>
              <w:rPr>
                <w:color w:val="auto"/>
                <w:spacing w:val="4"/>
                <w:highlight w:val="none"/>
              </w:rPr>
              <w:t>合价（12</w:t>
            </w:r>
            <w:r>
              <w:rPr>
                <w:color w:val="auto"/>
                <w:spacing w:val="-34"/>
                <w:highlight w:val="none"/>
              </w:rPr>
              <w:t xml:space="preserve"> </w:t>
            </w:r>
            <w:r>
              <w:rPr>
                <w:color w:val="auto"/>
                <w:spacing w:val="4"/>
                <w:highlight w:val="none"/>
              </w:rPr>
              <w:t>个月）</w:t>
            </w:r>
          </w:p>
        </w:tc>
        <w:tc>
          <w:tcPr>
            <w:tcW w:w="1798" w:type="dxa"/>
            <w:vMerge w:val="restart"/>
            <w:tcBorders>
              <w:bottom w:val="nil"/>
            </w:tcBorders>
            <w:vAlign w:val="top"/>
          </w:tcPr>
          <w:p w14:paraId="2B1BBD79">
            <w:pPr>
              <w:spacing w:line="277" w:lineRule="auto"/>
              <w:rPr>
                <w:rFonts w:ascii="Arial"/>
                <w:color w:val="auto"/>
                <w:sz w:val="21"/>
                <w:highlight w:val="none"/>
              </w:rPr>
            </w:pPr>
          </w:p>
          <w:p w14:paraId="5057A042">
            <w:pPr>
              <w:spacing w:line="277" w:lineRule="auto"/>
              <w:rPr>
                <w:rFonts w:ascii="Arial"/>
                <w:color w:val="auto"/>
                <w:sz w:val="21"/>
                <w:highlight w:val="none"/>
              </w:rPr>
            </w:pPr>
          </w:p>
          <w:p w14:paraId="0B788D6D">
            <w:pPr>
              <w:pStyle w:val="131"/>
              <w:spacing w:before="65" w:line="229" w:lineRule="auto"/>
              <w:ind w:left="225"/>
              <w:rPr>
                <w:color w:val="auto"/>
                <w:highlight w:val="none"/>
              </w:rPr>
            </w:pPr>
            <w:r>
              <w:rPr>
                <w:color w:val="auto"/>
                <w:spacing w:val="3"/>
                <w:highlight w:val="none"/>
              </w:rPr>
              <w:t>备注</w:t>
            </w:r>
          </w:p>
        </w:tc>
      </w:tr>
      <w:tr w14:paraId="1286D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876" w:type="dxa"/>
            <w:vMerge w:val="continue"/>
            <w:tcBorders>
              <w:top w:val="nil"/>
            </w:tcBorders>
            <w:vAlign w:val="top"/>
          </w:tcPr>
          <w:p w14:paraId="12F4B7A3">
            <w:pPr>
              <w:rPr>
                <w:rFonts w:ascii="Arial"/>
                <w:color w:val="auto"/>
                <w:sz w:val="21"/>
                <w:highlight w:val="none"/>
              </w:rPr>
            </w:pPr>
          </w:p>
        </w:tc>
        <w:tc>
          <w:tcPr>
            <w:tcW w:w="1449" w:type="dxa"/>
            <w:vMerge w:val="continue"/>
            <w:tcBorders>
              <w:top w:val="nil"/>
            </w:tcBorders>
            <w:vAlign w:val="top"/>
          </w:tcPr>
          <w:p w14:paraId="3D417AA4">
            <w:pPr>
              <w:rPr>
                <w:rFonts w:ascii="Arial"/>
                <w:color w:val="auto"/>
                <w:sz w:val="21"/>
                <w:highlight w:val="none"/>
              </w:rPr>
            </w:pPr>
          </w:p>
        </w:tc>
        <w:tc>
          <w:tcPr>
            <w:tcW w:w="1169" w:type="dxa"/>
            <w:vMerge w:val="continue"/>
            <w:tcBorders>
              <w:top w:val="nil"/>
            </w:tcBorders>
            <w:vAlign w:val="top"/>
          </w:tcPr>
          <w:p w14:paraId="18D0E416">
            <w:pPr>
              <w:rPr>
                <w:rFonts w:ascii="Arial"/>
                <w:color w:val="auto"/>
                <w:sz w:val="21"/>
                <w:highlight w:val="none"/>
              </w:rPr>
            </w:pPr>
          </w:p>
        </w:tc>
        <w:tc>
          <w:tcPr>
            <w:tcW w:w="1949" w:type="dxa"/>
            <w:vAlign w:val="top"/>
          </w:tcPr>
          <w:p w14:paraId="3752D917">
            <w:pPr>
              <w:pStyle w:val="131"/>
              <w:spacing w:before="295" w:line="228" w:lineRule="auto"/>
              <w:jc w:val="center"/>
              <w:rPr>
                <w:color w:val="auto"/>
                <w:highlight w:val="none"/>
              </w:rPr>
            </w:pPr>
            <w:r>
              <w:rPr>
                <w:color w:val="auto"/>
                <w:spacing w:val="3"/>
                <w:highlight w:val="none"/>
              </w:rPr>
              <w:t>（元/</w:t>
            </w:r>
            <w:r>
              <w:rPr>
                <w:rFonts w:hint="eastAsia"/>
                <w:color w:val="auto"/>
                <w:spacing w:val="3"/>
                <w:highlight w:val="none"/>
                <w:lang w:val="en-US" w:eastAsia="zh-CN"/>
              </w:rPr>
              <w:t>月·平方米</w:t>
            </w:r>
            <w:r>
              <w:rPr>
                <w:color w:val="auto"/>
                <w:spacing w:val="3"/>
                <w:highlight w:val="none"/>
              </w:rPr>
              <w:t>）</w:t>
            </w:r>
          </w:p>
        </w:tc>
        <w:tc>
          <w:tcPr>
            <w:tcW w:w="2281" w:type="dxa"/>
            <w:vAlign w:val="top"/>
          </w:tcPr>
          <w:p w14:paraId="09D10EE5">
            <w:pPr>
              <w:pStyle w:val="131"/>
              <w:spacing w:before="296" w:line="228" w:lineRule="auto"/>
              <w:ind w:left="843"/>
              <w:rPr>
                <w:color w:val="auto"/>
                <w:highlight w:val="none"/>
              </w:rPr>
            </w:pPr>
            <w:r>
              <w:rPr>
                <w:color w:val="auto"/>
                <w:spacing w:val="-1"/>
                <w:highlight w:val="none"/>
              </w:rPr>
              <w:t>（元）</w:t>
            </w:r>
          </w:p>
        </w:tc>
        <w:tc>
          <w:tcPr>
            <w:tcW w:w="1798" w:type="dxa"/>
            <w:vMerge w:val="continue"/>
            <w:tcBorders>
              <w:top w:val="nil"/>
            </w:tcBorders>
            <w:vAlign w:val="top"/>
          </w:tcPr>
          <w:p w14:paraId="6B22157C">
            <w:pPr>
              <w:rPr>
                <w:rFonts w:ascii="Arial"/>
                <w:color w:val="auto"/>
                <w:sz w:val="21"/>
                <w:highlight w:val="none"/>
              </w:rPr>
            </w:pPr>
          </w:p>
        </w:tc>
      </w:tr>
      <w:tr w14:paraId="5E5A0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76" w:type="dxa"/>
            <w:vMerge w:val="restart"/>
            <w:vAlign w:val="top"/>
          </w:tcPr>
          <w:p w14:paraId="6FB65AA2">
            <w:pPr>
              <w:spacing w:line="329" w:lineRule="auto"/>
              <w:rPr>
                <w:rFonts w:ascii="Arial"/>
                <w:color w:val="auto"/>
                <w:sz w:val="21"/>
                <w:highlight w:val="none"/>
              </w:rPr>
            </w:pPr>
          </w:p>
          <w:p w14:paraId="29327A1A">
            <w:pPr>
              <w:spacing w:before="57" w:line="195" w:lineRule="auto"/>
              <w:ind w:left="40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w:t>
            </w:r>
          </w:p>
        </w:tc>
        <w:tc>
          <w:tcPr>
            <w:tcW w:w="1449" w:type="dxa"/>
            <w:vMerge w:val="restart"/>
            <w:vAlign w:val="center"/>
          </w:tcPr>
          <w:p w14:paraId="520AAF4C">
            <w:pPr>
              <w:spacing w:line="256" w:lineRule="auto"/>
              <w:jc w:val="center"/>
              <w:rPr>
                <w:rFonts w:ascii="Arial"/>
                <w:color w:val="auto"/>
                <w:sz w:val="21"/>
                <w:highlight w:val="none"/>
              </w:rPr>
            </w:pPr>
          </w:p>
          <w:p w14:paraId="7E6D5C41">
            <w:pPr>
              <w:pStyle w:val="131"/>
              <w:spacing w:before="78" w:line="220" w:lineRule="auto"/>
              <w:ind w:left="130"/>
              <w:jc w:val="center"/>
              <w:rPr>
                <w:color w:val="auto"/>
                <w:sz w:val="24"/>
                <w:szCs w:val="24"/>
                <w:highlight w:val="none"/>
              </w:rPr>
            </w:pPr>
            <w:r>
              <w:rPr>
                <w:color w:val="auto"/>
                <w:spacing w:val="-2"/>
                <w:sz w:val="24"/>
                <w:szCs w:val="24"/>
                <w:highlight w:val="none"/>
              </w:rPr>
              <w:t>住宅物业费</w:t>
            </w:r>
          </w:p>
        </w:tc>
        <w:tc>
          <w:tcPr>
            <w:tcW w:w="1169" w:type="dxa"/>
            <w:vMerge w:val="restart"/>
            <w:vAlign w:val="center"/>
          </w:tcPr>
          <w:p w14:paraId="6A316E35">
            <w:pPr>
              <w:spacing w:line="329" w:lineRule="auto"/>
              <w:jc w:val="center"/>
              <w:rPr>
                <w:rFonts w:ascii="Arial"/>
                <w:color w:val="auto"/>
                <w:sz w:val="21"/>
                <w:highlight w:val="none"/>
              </w:rPr>
            </w:pPr>
          </w:p>
          <w:p w14:paraId="6D310FC6">
            <w:pPr>
              <w:spacing w:before="57" w:line="195" w:lineRule="auto"/>
              <w:ind w:left="158"/>
              <w:jc w:val="center"/>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127450</w:t>
            </w:r>
          </w:p>
        </w:tc>
        <w:tc>
          <w:tcPr>
            <w:tcW w:w="1949" w:type="dxa"/>
            <w:vAlign w:val="center"/>
          </w:tcPr>
          <w:p w14:paraId="0ACE354C">
            <w:pPr>
              <w:jc w:val="center"/>
              <w:rPr>
                <w:rFonts w:hint="default" w:ascii="Arial" w:eastAsia="宋体"/>
                <w:color w:val="auto"/>
                <w:sz w:val="21"/>
                <w:highlight w:val="none"/>
                <w:lang w:val="en-US" w:eastAsia="zh-CN"/>
              </w:rPr>
            </w:pPr>
            <w:r>
              <w:rPr>
                <w:rFonts w:hint="eastAsia" w:ascii="Arial"/>
                <w:color w:val="auto"/>
                <w:sz w:val="21"/>
                <w:highlight w:val="none"/>
                <w:lang w:val="en-US" w:eastAsia="zh-CN"/>
              </w:rPr>
              <w:t>0.35</w:t>
            </w:r>
          </w:p>
        </w:tc>
        <w:tc>
          <w:tcPr>
            <w:tcW w:w="2281" w:type="dxa"/>
            <w:vAlign w:val="center"/>
          </w:tcPr>
          <w:p w14:paraId="6F4D64C1">
            <w:pPr>
              <w:jc w:val="center"/>
              <w:rPr>
                <w:rFonts w:ascii="Arial"/>
                <w:color w:val="auto"/>
                <w:sz w:val="21"/>
                <w:highlight w:val="none"/>
              </w:rPr>
            </w:pPr>
          </w:p>
        </w:tc>
        <w:tc>
          <w:tcPr>
            <w:tcW w:w="1798" w:type="dxa"/>
            <w:vAlign w:val="center"/>
          </w:tcPr>
          <w:p w14:paraId="631CBF12">
            <w:pPr>
              <w:jc w:val="center"/>
              <w:rPr>
                <w:rFonts w:ascii="Arial"/>
                <w:color w:val="auto"/>
                <w:sz w:val="21"/>
                <w:highlight w:val="none"/>
              </w:rPr>
            </w:pPr>
            <w:r>
              <w:rPr>
                <w:rFonts w:hint="eastAsia" w:ascii="Arial"/>
                <w:color w:val="auto"/>
                <w:sz w:val="21"/>
                <w:highlight w:val="none"/>
                <w:lang w:val="en-US" w:eastAsia="zh-CN"/>
              </w:rPr>
              <w:t>政府补贴0.35元/月·平方米，此部分不参与竞争</w:t>
            </w:r>
          </w:p>
        </w:tc>
      </w:tr>
      <w:tr w14:paraId="05110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76" w:type="dxa"/>
            <w:vMerge w:val="continue"/>
            <w:vAlign w:val="top"/>
          </w:tcPr>
          <w:p w14:paraId="7AC97695">
            <w:pPr>
              <w:spacing w:before="57" w:line="195" w:lineRule="auto"/>
              <w:ind w:left="407"/>
              <w:rPr>
                <w:rFonts w:ascii="Times New Roman" w:hAnsi="Times New Roman" w:eastAsia="Times New Roman" w:cs="Times New Roman"/>
                <w:color w:val="auto"/>
                <w:sz w:val="20"/>
                <w:szCs w:val="20"/>
                <w:highlight w:val="none"/>
              </w:rPr>
            </w:pPr>
          </w:p>
        </w:tc>
        <w:tc>
          <w:tcPr>
            <w:tcW w:w="1449" w:type="dxa"/>
            <w:vMerge w:val="continue"/>
            <w:vAlign w:val="top"/>
          </w:tcPr>
          <w:p w14:paraId="7727ACB6">
            <w:pPr>
              <w:pStyle w:val="131"/>
              <w:spacing w:before="78" w:line="220" w:lineRule="auto"/>
              <w:ind w:left="130"/>
              <w:rPr>
                <w:color w:val="auto"/>
                <w:spacing w:val="-2"/>
                <w:sz w:val="24"/>
                <w:szCs w:val="24"/>
                <w:highlight w:val="none"/>
              </w:rPr>
            </w:pPr>
          </w:p>
        </w:tc>
        <w:tc>
          <w:tcPr>
            <w:tcW w:w="1169" w:type="dxa"/>
            <w:vMerge w:val="continue"/>
            <w:vAlign w:val="top"/>
          </w:tcPr>
          <w:p w14:paraId="216BBA16">
            <w:pPr>
              <w:spacing w:before="57" w:line="195" w:lineRule="auto"/>
              <w:ind w:left="158"/>
              <w:rPr>
                <w:rFonts w:hint="eastAsia" w:ascii="Times New Roman" w:hAnsi="Times New Roman" w:eastAsia="宋体" w:cs="Times New Roman"/>
                <w:color w:val="auto"/>
                <w:sz w:val="20"/>
                <w:szCs w:val="20"/>
                <w:highlight w:val="none"/>
                <w:lang w:val="en-US" w:eastAsia="zh-CN"/>
              </w:rPr>
            </w:pPr>
          </w:p>
        </w:tc>
        <w:tc>
          <w:tcPr>
            <w:tcW w:w="1949" w:type="dxa"/>
            <w:vAlign w:val="center"/>
          </w:tcPr>
          <w:p w14:paraId="5EC00938">
            <w:pPr>
              <w:jc w:val="center"/>
              <w:rPr>
                <w:rFonts w:ascii="Arial"/>
                <w:color w:val="auto"/>
                <w:sz w:val="21"/>
                <w:highlight w:val="none"/>
              </w:rPr>
            </w:pPr>
          </w:p>
        </w:tc>
        <w:tc>
          <w:tcPr>
            <w:tcW w:w="2281" w:type="dxa"/>
            <w:vAlign w:val="center"/>
          </w:tcPr>
          <w:p w14:paraId="46F9B2A7">
            <w:pPr>
              <w:jc w:val="center"/>
              <w:rPr>
                <w:rFonts w:ascii="Arial"/>
                <w:color w:val="auto"/>
                <w:sz w:val="21"/>
                <w:highlight w:val="none"/>
              </w:rPr>
            </w:pPr>
          </w:p>
        </w:tc>
        <w:tc>
          <w:tcPr>
            <w:tcW w:w="1798" w:type="dxa"/>
            <w:vAlign w:val="center"/>
          </w:tcPr>
          <w:p w14:paraId="0D60783D">
            <w:pPr>
              <w:jc w:val="center"/>
              <w:rPr>
                <w:rFonts w:hint="default" w:ascii="Arial"/>
                <w:color w:val="auto"/>
                <w:sz w:val="21"/>
                <w:highlight w:val="none"/>
                <w:lang w:val="en-US" w:eastAsia="zh-CN"/>
              </w:rPr>
            </w:pPr>
            <w:r>
              <w:rPr>
                <w:rFonts w:hint="eastAsia" w:ascii="Arial"/>
                <w:color w:val="auto"/>
                <w:sz w:val="21"/>
                <w:highlight w:val="none"/>
                <w:lang w:val="en-US" w:eastAsia="zh-CN"/>
              </w:rPr>
              <w:t>收取住户费用，由投标人自行考虑报价</w:t>
            </w:r>
          </w:p>
        </w:tc>
      </w:tr>
      <w:tr w14:paraId="570A9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76" w:type="dxa"/>
            <w:vAlign w:val="top"/>
          </w:tcPr>
          <w:p w14:paraId="615774BB">
            <w:pPr>
              <w:spacing w:line="269" w:lineRule="auto"/>
              <w:rPr>
                <w:rFonts w:ascii="Arial"/>
                <w:color w:val="auto"/>
                <w:sz w:val="21"/>
                <w:highlight w:val="none"/>
              </w:rPr>
            </w:pPr>
          </w:p>
          <w:p w14:paraId="5D2ED9AB">
            <w:pPr>
              <w:spacing w:before="57" w:line="195" w:lineRule="auto"/>
              <w:ind w:left="38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2</w:t>
            </w:r>
          </w:p>
        </w:tc>
        <w:tc>
          <w:tcPr>
            <w:tcW w:w="1449" w:type="dxa"/>
            <w:vAlign w:val="top"/>
          </w:tcPr>
          <w:p w14:paraId="48247BA7">
            <w:pPr>
              <w:pStyle w:val="131"/>
              <w:spacing w:before="278" w:line="220" w:lineRule="auto"/>
              <w:ind w:left="135"/>
              <w:rPr>
                <w:color w:val="auto"/>
                <w:sz w:val="24"/>
                <w:szCs w:val="24"/>
                <w:highlight w:val="none"/>
              </w:rPr>
            </w:pPr>
            <w:r>
              <w:rPr>
                <w:color w:val="auto"/>
                <w:spacing w:val="-3"/>
                <w:sz w:val="24"/>
                <w:szCs w:val="24"/>
                <w:highlight w:val="none"/>
              </w:rPr>
              <w:t>商业物业费</w:t>
            </w:r>
          </w:p>
        </w:tc>
        <w:tc>
          <w:tcPr>
            <w:tcW w:w="1169" w:type="dxa"/>
            <w:vAlign w:val="top"/>
          </w:tcPr>
          <w:p w14:paraId="376C7EDD">
            <w:pPr>
              <w:spacing w:line="269" w:lineRule="auto"/>
              <w:rPr>
                <w:rFonts w:ascii="Arial"/>
                <w:color w:val="auto"/>
                <w:sz w:val="21"/>
                <w:highlight w:val="none"/>
              </w:rPr>
            </w:pPr>
          </w:p>
          <w:p w14:paraId="39009DAC">
            <w:pPr>
              <w:spacing w:before="57" w:line="195" w:lineRule="auto"/>
              <w:ind w:left="243"/>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2791.2</w:t>
            </w:r>
          </w:p>
        </w:tc>
        <w:tc>
          <w:tcPr>
            <w:tcW w:w="1949" w:type="dxa"/>
            <w:vAlign w:val="top"/>
          </w:tcPr>
          <w:p w14:paraId="67784C6E">
            <w:pPr>
              <w:rPr>
                <w:rFonts w:ascii="Arial"/>
                <w:color w:val="auto"/>
                <w:sz w:val="21"/>
                <w:highlight w:val="none"/>
              </w:rPr>
            </w:pPr>
          </w:p>
        </w:tc>
        <w:tc>
          <w:tcPr>
            <w:tcW w:w="2281" w:type="dxa"/>
            <w:vAlign w:val="top"/>
          </w:tcPr>
          <w:p w14:paraId="61100FA8">
            <w:pPr>
              <w:rPr>
                <w:rFonts w:ascii="Arial"/>
                <w:color w:val="auto"/>
                <w:sz w:val="21"/>
                <w:highlight w:val="none"/>
              </w:rPr>
            </w:pPr>
          </w:p>
        </w:tc>
        <w:tc>
          <w:tcPr>
            <w:tcW w:w="1798" w:type="dxa"/>
            <w:vAlign w:val="top"/>
          </w:tcPr>
          <w:p w14:paraId="6837FBA7">
            <w:pPr>
              <w:rPr>
                <w:rFonts w:ascii="Arial"/>
                <w:color w:val="auto"/>
                <w:sz w:val="21"/>
                <w:highlight w:val="none"/>
              </w:rPr>
            </w:pPr>
          </w:p>
        </w:tc>
      </w:tr>
      <w:tr w14:paraId="07D91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5443" w:type="dxa"/>
            <w:gridSpan w:val="4"/>
            <w:vAlign w:val="top"/>
          </w:tcPr>
          <w:p w14:paraId="03ACDFC4">
            <w:pPr>
              <w:pStyle w:val="131"/>
              <w:spacing w:before="167" w:line="226" w:lineRule="auto"/>
              <w:ind w:left="118"/>
              <w:rPr>
                <w:color w:val="auto"/>
                <w:highlight w:val="none"/>
              </w:rPr>
            </w:pPr>
            <w:r>
              <w:rPr>
                <w:color w:val="auto"/>
                <w:spacing w:val="9"/>
                <w:highlight w:val="none"/>
              </w:rPr>
              <w:t>一年投标报价：物业服务费用合计（</w:t>
            </w:r>
            <w:r>
              <w:rPr>
                <w:rFonts w:ascii="Times New Roman" w:hAnsi="Times New Roman" w:eastAsia="Times New Roman" w:cs="Times New Roman"/>
                <w:color w:val="auto"/>
                <w:spacing w:val="9"/>
                <w:highlight w:val="none"/>
              </w:rPr>
              <w:t>1+2</w:t>
            </w:r>
            <w:r>
              <w:rPr>
                <w:color w:val="auto"/>
                <w:spacing w:val="1"/>
                <w:highlight w:val="none"/>
              </w:rPr>
              <w:t>）（</w:t>
            </w:r>
            <w:r>
              <w:rPr>
                <w:color w:val="auto"/>
                <w:spacing w:val="9"/>
                <w:highlight w:val="none"/>
              </w:rPr>
              <w:t>元）</w:t>
            </w:r>
          </w:p>
        </w:tc>
        <w:tc>
          <w:tcPr>
            <w:tcW w:w="4079" w:type="dxa"/>
            <w:gridSpan w:val="2"/>
            <w:vAlign w:val="top"/>
          </w:tcPr>
          <w:p w14:paraId="16EA1497">
            <w:pPr>
              <w:rPr>
                <w:rFonts w:ascii="Arial"/>
                <w:color w:val="auto"/>
                <w:sz w:val="21"/>
                <w:highlight w:val="none"/>
              </w:rPr>
            </w:pPr>
          </w:p>
        </w:tc>
      </w:tr>
      <w:tr w14:paraId="3D57D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443" w:type="dxa"/>
            <w:gridSpan w:val="4"/>
            <w:vAlign w:val="top"/>
          </w:tcPr>
          <w:p w14:paraId="281BA678">
            <w:pPr>
              <w:pStyle w:val="131"/>
              <w:spacing w:before="170" w:line="226" w:lineRule="auto"/>
              <w:ind w:left="115"/>
              <w:rPr>
                <w:color w:val="auto"/>
                <w:highlight w:val="none"/>
              </w:rPr>
            </w:pPr>
            <w:r>
              <w:rPr>
                <w:color w:val="auto"/>
                <w:spacing w:val="8"/>
                <w:highlight w:val="none"/>
              </w:rPr>
              <w:t>三年物业服务费总投标报价（元）</w:t>
            </w:r>
          </w:p>
        </w:tc>
        <w:tc>
          <w:tcPr>
            <w:tcW w:w="4079" w:type="dxa"/>
            <w:gridSpan w:val="2"/>
            <w:vAlign w:val="top"/>
          </w:tcPr>
          <w:p w14:paraId="7C1FB91D">
            <w:pPr>
              <w:rPr>
                <w:rFonts w:ascii="Arial"/>
                <w:color w:val="auto"/>
                <w:sz w:val="21"/>
                <w:highlight w:val="none"/>
              </w:rPr>
            </w:pPr>
          </w:p>
        </w:tc>
      </w:tr>
    </w:tbl>
    <w:p w14:paraId="726E07A2">
      <w:pPr>
        <w:spacing w:line="44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注：1.所有投标只能选择一种方案，单价和合价的报价只能是唯一，且须列出详细的分项报价。（与采购清单项相一致，不得缺项，否则视同包含在其他项目。）</w:t>
      </w:r>
    </w:p>
    <w:p w14:paraId="490B9C4F">
      <w:pPr>
        <w:spacing w:line="48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14:paraId="5F8C095F">
      <w:pPr>
        <w:pStyle w:val="12"/>
        <w:rPr>
          <w:rFonts w:hint="default"/>
          <w:color w:val="auto"/>
          <w:highlight w:val="none"/>
          <w:lang w:val="en-US" w:eastAsia="zh-CN"/>
        </w:rPr>
      </w:pPr>
    </w:p>
    <w:p w14:paraId="69678FFF">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（公 章）</w:t>
      </w:r>
    </w:p>
    <w:p w14:paraId="09E1A015">
      <w:pPr>
        <w:spacing w:line="480" w:lineRule="auto"/>
        <w:rPr>
          <w:rFonts w:hint="eastAsia" w:ascii="宋体" w:hAnsi="宋体" w:cs="宋体"/>
          <w:color w:val="auto"/>
          <w:szCs w:val="21"/>
          <w:highlight w:val="none"/>
          <w:u w:val="single"/>
        </w:rPr>
      </w:pPr>
      <w:r>
        <w:rPr>
          <w:rFonts w:hint="eastAsia" w:ascii="宋体" w:hAnsi="宋体" w:cs="Arial"/>
          <w:color w:val="auto"/>
          <w:kern w:val="0"/>
          <w:szCs w:val="21"/>
          <w:highlight w:val="none"/>
        </w:rPr>
        <w:t xml:space="preserve">法定代表人（签章）：      </w:t>
      </w:r>
      <w:r>
        <w:rPr>
          <w:rFonts w:hint="eastAsia" w:ascii="宋体" w:hAnsi="宋体" w:cs="宋体"/>
          <w:color w:val="auto"/>
          <w:szCs w:val="21"/>
          <w:highlight w:val="none"/>
          <w:u w:val="single"/>
        </w:rPr>
        <w:t xml:space="preserve">            </w:t>
      </w:r>
    </w:p>
    <w:p w14:paraId="73D59C79">
      <w:pPr>
        <w:adjustRightInd w:val="0"/>
        <w:snapToGrid w:val="0"/>
        <w:spacing w:line="340" w:lineRule="exact"/>
        <w:rPr>
          <w:rFonts w:hint="eastAsia" w:ascii="仿宋_GB2312" w:eastAsia="仿宋_GB2312"/>
          <w:b/>
          <w:color w:val="auto"/>
          <w:sz w:val="24"/>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2E9A81CC">
      <w:pPr>
        <w:rPr>
          <w:rFonts w:hint="eastAsia" w:ascii="宋体" w:hAnsi="宋体"/>
          <w:b/>
          <w:color w:val="auto"/>
          <w:sz w:val="30"/>
          <w:szCs w:val="30"/>
          <w:highlight w:val="none"/>
        </w:rPr>
      </w:pPr>
    </w:p>
    <w:p w14:paraId="1B7E7E3B">
      <w:pPr>
        <w:rPr>
          <w:color w:val="auto"/>
          <w:sz w:val="24"/>
          <w:highlight w:val="none"/>
        </w:rPr>
      </w:pPr>
      <w:r>
        <w:rPr>
          <w:rFonts w:hint="eastAsia" w:ascii="宋体" w:hAnsi="宋体"/>
          <w:b/>
          <w:color w:val="auto"/>
          <w:sz w:val="30"/>
          <w:szCs w:val="30"/>
          <w:highlight w:val="none"/>
        </w:rPr>
        <w:t>附件</w:t>
      </w:r>
      <w:r>
        <w:rPr>
          <w:rFonts w:ascii="宋体" w:hAnsi="宋体"/>
          <w:b/>
          <w:color w:val="auto"/>
          <w:sz w:val="30"/>
          <w:szCs w:val="30"/>
          <w:highlight w:val="none"/>
        </w:rPr>
        <w:t>4</w:t>
      </w:r>
    </w:p>
    <w:p w14:paraId="6F09DE63">
      <w:pPr>
        <w:spacing w:line="380" w:lineRule="exact"/>
        <w:ind w:firstLine="424" w:firstLineChars="202"/>
        <w:rPr>
          <w:rFonts w:hint="eastAsia" w:ascii="宋体"/>
          <w:color w:val="auto"/>
          <w:szCs w:val="21"/>
          <w:highlight w:val="none"/>
        </w:rPr>
      </w:pPr>
      <w:r>
        <w:rPr>
          <w:rFonts w:hint="eastAsia" w:ascii="宋体"/>
          <w:color w:val="auto"/>
          <w:szCs w:val="21"/>
          <w:highlight w:val="none"/>
        </w:rPr>
        <w:t>投标人认为需要提供的其他材料（如有）。</w:t>
      </w:r>
    </w:p>
    <w:p w14:paraId="284FC7FB">
      <w:pPr>
        <w:outlineLvl w:val="0"/>
        <w:rPr>
          <w:rFonts w:hint="eastAsia" w:ascii="宋体" w:hAnsi="宋体" w:eastAsia="宋体" w:cs="宋体"/>
          <w:color w:val="auto"/>
          <w:sz w:val="28"/>
          <w:szCs w:val="28"/>
          <w:highlight w:val="none"/>
        </w:rPr>
      </w:pPr>
      <w:r>
        <w:rPr>
          <w:rFonts w:hint="eastAsia"/>
          <w:color w:val="auto"/>
          <w:highlight w:val="none"/>
        </w:rPr>
        <w:br w:type="page"/>
      </w:r>
      <w:bookmarkStart w:id="95" w:name="_Toc11016"/>
      <w:r>
        <w:rPr>
          <w:rFonts w:hint="eastAsia" w:ascii="宋体" w:hAnsi="宋体" w:eastAsia="宋体" w:cs="宋体"/>
          <w:b/>
          <w:color w:val="auto"/>
          <w:sz w:val="28"/>
          <w:szCs w:val="28"/>
          <w:highlight w:val="none"/>
          <w:lang w:bidi="ar"/>
        </w:rPr>
        <w:t>附件1</w:t>
      </w:r>
      <w:bookmarkEnd w:id="95"/>
    </w:p>
    <w:p w14:paraId="16A75FC1">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676888DA">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313D4D7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7F01628B">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23683D1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25AED6F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61F0070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42ACC2D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7614B7D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0C001F72">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07A2637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6074521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1A23DD0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566FDFB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5DEC085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0F8F248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4C1D736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30715A3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A64B32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6EC430E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02F769A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2F383CF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7C6AEFF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50C58D0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5422871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500AC45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96" w:name="OLE_LINK102"/>
      <w:bookmarkStart w:id="97" w:name="OLE_LINK100"/>
      <w:bookmarkStart w:id="98" w:name="OLE_LINK101"/>
      <w:r>
        <w:rPr>
          <w:rFonts w:hint="eastAsia" w:ascii="宋体" w:hAnsi="宋体" w:eastAsia="宋体" w:cs="宋体"/>
          <w:bCs/>
          <w:color w:val="auto"/>
          <w:kern w:val="0"/>
          <w:sz w:val="24"/>
          <w:szCs w:val="24"/>
          <w:highlight w:val="none"/>
          <w:lang w:bidi="ar"/>
        </w:rPr>
        <w:t>被列入“经营异常名录”或者“严重违法失信名单”的</w:t>
      </w:r>
      <w:bookmarkEnd w:id="96"/>
      <w:bookmarkEnd w:id="97"/>
      <w:bookmarkEnd w:id="98"/>
      <w:r>
        <w:rPr>
          <w:rFonts w:hint="eastAsia" w:ascii="宋体" w:hAnsi="宋体" w:eastAsia="宋体" w:cs="宋体"/>
          <w:bCs/>
          <w:color w:val="auto"/>
          <w:kern w:val="0"/>
          <w:sz w:val="24"/>
          <w:szCs w:val="24"/>
          <w:highlight w:val="none"/>
          <w:lang w:bidi="ar"/>
        </w:rPr>
        <w:t>。</w:t>
      </w:r>
    </w:p>
    <w:p w14:paraId="25D32E7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99" w:name="OLE_LINK95"/>
      <w:bookmarkStart w:id="100" w:name="OLE_LINK96"/>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99"/>
      <w:bookmarkEnd w:id="100"/>
      <w:r>
        <w:rPr>
          <w:rFonts w:hint="eastAsia" w:ascii="宋体" w:hAnsi="宋体" w:eastAsia="宋体" w:cs="宋体"/>
          <w:bCs/>
          <w:color w:val="auto"/>
          <w:kern w:val="0"/>
          <w:sz w:val="24"/>
          <w:szCs w:val="24"/>
          <w:highlight w:val="none"/>
          <w:lang w:bidi="ar"/>
        </w:rPr>
        <w:t>）查询以下失信行为：</w:t>
      </w:r>
    </w:p>
    <w:p w14:paraId="0AADDBF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101" w:name="OLE_LINK105"/>
      <w:bookmarkStart w:id="102" w:name="OLE_LINK104"/>
      <w:bookmarkStart w:id="103" w:name="OLE_LINK106"/>
      <w:r>
        <w:rPr>
          <w:rFonts w:hint="eastAsia" w:ascii="宋体" w:hAnsi="宋体" w:eastAsia="宋体" w:cs="宋体"/>
          <w:bCs/>
          <w:color w:val="auto"/>
          <w:kern w:val="0"/>
          <w:sz w:val="24"/>
          <w:szCs w:val="24"/>
          <w:highlight w:val="none"/>
          <w:lang w:bidi="ar"/>
        </w:rPr>
        <w:t>被列入“政府采购严重违法失信行为信息记录”的</w:t>
      </w:r>
      <w:bookmarkEnd w:id="101"/>
      <w:bookmarkEnd w:id="102"/>
      <w:bookmarkEnd w:id="103"/>
      <w:r>
        <w:rPr>
          <w:rFonts w:hint="eastAsia" w:ascii="宋体" w:hAnsi="宋体" w:eastAsia="宋体" w:cs="宋体"/>
          <w:bCs/>
          <w:color w:val="auto"/>
          <w:kern w:val="0"/>
          <w:sz w:val="24"/>
          <w:szCs w:val="24"/>
          <w:highlight w:val="none"/>
          <w:lang w:bidi="ar"/>
        </w:rPr>
        <w:t>。</w:t>
      </w:r>
    </w:p>
    <w:p w14:paraId="4674B8F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5615465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479B56D0">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2EDF981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4F4805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235A41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09899982">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53E4A933">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14253009">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044908D">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12F93D6">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334A592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4E726C61">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1290EF54">
      <w:pPr>
        <w:pStyle w:val="31"/>
        <w:widowControl/>
        <w:spacing w:before="0" w:after="120" w:afterAutospacing="0" w:line="360" w:lineRule="auto"/>
        <w:ind w:left="42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04B84CB8">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4D1614E6">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48F86DEC">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C9670D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416006D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1440925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700A881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35E93C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22F4A11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2AE25E9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01759C4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648766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3F1A853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7E39B61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730F274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16571DA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2C2DA6FF">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5DF6A605">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14F482D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03773B3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226A5E4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49DBFD0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14C45E5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088D1B6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092C2D5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73DB68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50B9394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5628BA5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2C8196F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05F7ED5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4B16534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606D6BC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331DB67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5751D61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6FCA1B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277D3B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4F3D2B8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61FA0CC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012B46D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2C7658B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20E73F0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6338862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2D7079D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568382B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62C87A3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13D0D18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0C53CE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26452FC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2023AA6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6860E5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5C8C69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4EA5D06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1409B78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C39F4A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7295F88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4DC31265">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7A9F4B6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1B676B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548B5E0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11E4A69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5DD8328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3AB250A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33CFAE3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66A692B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6D3B082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488B8E5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3527975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613721C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5F03018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CBEB37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20FC2F4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43E8CB4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6CC2EC0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4945F55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25BBEBD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442F8D7E">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6784DD1E">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70A3267">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2BEE9DF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6C98CE7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414E1DB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505D290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6D1C622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4BEEF56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7D4B4432">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31B71EDD">
      <w:pPr>
        <w:widowControl/>
        <w:autoSpaceDE w:val="0"/>
        <w:spacing w:line="480" w:lineRule="exact"/>
        <w:ind w:firstLine="482" w:firstLineChars="200"/>
        <w:jc w:val="left"/>
        <w:textAlignment w:val="baseline"/>
        <w:rPr>
          <w:rFonts w:hint="eastAsia" w:ascii="宋体" w:hAnsi="宋体" w:cs="宋体"/>
          <w:b/>
          <w:color w:val="auto"/>
          <w:szCs w:val="21"/>
          <w:highlight w:val="none"/>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r>
        <w:rPr>
          <w:rFonts w:hint="eastAsia" w:ascii="宋体" w:hAnsi="宋体" w:eastAsia="宋体" w:cs="宋体"/>
          <w:b/>
          <w:bCs/>
          <w:color w:val="auto"/>
          <w:kern w:val="0"/>
          <w:sz w:val="24"/>
          <w:szCs w:val="24"/>
          <w:highlight w:val="none"/>
          <w:lang w:bidi="ar"/>
        </w:rPr>
        <w:t>。</w:t>
      </w:r>
    </w:p>
    <w:p w14:paraId="1DA360A5">
      <w:pPr>
        <w:pStyle w:val="2"/>
        <w:jc w:val="center"/>
        <w:rPr>
          <w:rFonts w:hint="eastAsia" w:ascii="宋体"/>
          <w:b w:val="0"/>
          <w:color w:val="auto"/>
          <w:szCs w:val="32"/>
          <w:highlight w:val="none"/>
        </w:rPr>
      </w:pPr>
      <w:bookmarkStart w:id="104" w:name="_Toc449028957"/>
      <w:r>
        <w:rPr>
          <w:rFonts w:ascii="宋体"/>
          <w:b w:val="0"/>
          <w:color w:val="auto"/>
          <w:szCs w:val="32"/>
          <w:highlight w:val="none"/>
        </w:rPr>
        <w:br w:type="page"/>
      </w:r>
      <w:bookmarkStart w:id="105" w:name="_Toc25631"/>
      <w:bookmarkStart w:id="106" w:name="_Toc58430333"/>
      <w:r>
        <w:rPr>
          <w:rFonts w:hint="eastAsia" w:ascii="宋体"/>
          <w:color w:val="auto"/>
          <w:szCs w:val="32"/>
          <w:highlight w:val="none"/>
        </w:rPr>
        <w:t xml:space="preserve">第七章 </w:t>
      </w:r>
      <w:r>
        <w:rPr>
          <w:rFonts w:hint="eastAsia" w:ascii="宋体"/>
          <w:bCs w:val="0"/>
          <w:color w:val="auto"/>
          <w:szCs w:val="32"/>
          <w:highlight w:val="none"/>
        </w:rPr>
        <w:t>招标人、采购代理机构对本招标文件的确认</w:t>
      </w:r>
      <w:bookmarkEnd w:id="104"/>
      <w:bookmarkEnd w:id="105"/>
      <w:bookmarkEnd w:id="106"/>
    </w:p>
    <w:p w14:paraId="1E140CC8">
      <w:pPr>
        <w:spacing w:line="440" w:lineRule="exact"/>
        <w:rPr>
          <w:rFonts w:hint="eastAsia" w:ascii="宋体"/>
          <w:color w:val="auto"/>
          <w:sz w:val="24"/>
          <w:highlight w:val="none"/>
          <w:u w:val="single"/>
        </w:rPr>
      </w:pPr>
    </w:p>
    <w:bookmarkEnd w:id="0"/>
    <w:tbl>
      <w:tblPr>
        <w:tblStyle w:val="35"/>
        <w:tblW w:w="0" w:type="auto"/>
        <w:jc w:val="center"/>
        <w:tblLayout w:type="fixed"/>
        <w:tblCellMar>
          <w:top w:w="0" w:type="dxa"/>
          <w:left w:w="108" w:type="dxa"/>
          <w:bottom w:w="0" w:type="dxa"/>
          <w:right w:w="108" w:type="dxa"/>
        </w:tblCellMar>
      </w:tblPr>
      <w:tblGrid>
        <w:gridCol w:w="9460"/>
      </w:tblGrid>
      <w:tr w14:paraId="68AB35EF">
        <w:tblPrEx>
          <w:tblCellMar>
            <w:top w:w="0" w:type="dxa"/>
            <w:left w:w="108" w:type="dxa"/>
            <w:bottom w:w="0" w:type="dxa"/>
            <w:right w:w="108" w:type="dxa"/>
          </w:tblCellMar>
        </w:tblPrEx>
        <w:trPr>
          <w:trHeight w:val="5962" w:hRule="atLeast"/>
          <w:jc w:val="center"/>
        </w:trPr>
        <w:tc>
          <w:tcPr>
            <w:tcW w:w="9460" w:type="dxa"/>
            <w:tcBorders>
              <w:top w:val="single" w:color="auto" w:sz="4" w:space="0"/>
              <w:left w:val="single" w:color="auto" w:sz="4" w:space="0"/>
              <w:bottom w:val="single" w:color="auto" w:sz="4" w:space="0"/>
              <w:right w:val="single" w:color="auto" w:sz="4" w:space="0"/>
            </w:tcBorders>
            <w:noWrap w:val="0"/>
            <w:vAlign w:val="top"/>
          </w:tcPr>
          <w:p w14:paraId="1BEEB236">
            <w:pPr>
              <w:spacing w:line="440" w:lineRule="exact"/>
              <w:ind w:firstLine="560" w:firstLineChars="200"/>
              <w:rPr>
                <w:rFonts w:hint="eastAsia" w:ascii="宋体" w:cs="宋体"/>
                <w:color w:val="auto"/>
                <w:sz w:val="28"/>
                <w:szCs w:val="28"/>
                <w:highlight w:val="none"/>
              </w:rPr>
            </w:pPr>
          </w:p>
          <w:p w14:paraId="03CBAA82">
            <w:pPr>
              <w:spacing w:after="156" w:afterLines="50"/>
              <w:rPr>
                <w:rFonts w:hint="eastAsia" w:ascii="宋体" w:cs="宋体"/>
                <w:color w:val="auto"/>
                <w:sz w:val="28"/>
                <w:szCs w:val="28"/>
                <w:highlight w:val="none"/>
              </w:rPr>
            </w:pPr>
            <w:r>
              <w:rPr>
                <w:rFonts w:hint="eastAsia" w:ascii="宋体" w:cs="宋体"/>
                <w:color w:val="auto"/>
                <w:sz w:val="28"/>
                <w:szCs w:val="28"/>
                <w:highlight w:val="none"/>
              </w:rPr>
              <w:t xml:space="preserve">  我单位对</w:t>
            </w:r>
            <w:r>
              <w:rPr>
                <w:rFonts w:hint="eastAsia" w:ascii="宋体" w:cs="宋体"/>
                <w:color w:val="auto"/>
                <w:sz w:val="28"/>
                <w:szCs w:val="28"/>
                <w:highlight w:val="none"/>
                <w:u w:val="single"/>
              </w:rPr>
              <w:t xml:space="preserve"> </w:t>
            </w:r>
            <w:r>
              <w:rPr>
                <w:rFonts w:hint="eastAsia" w:ascii="宋体" w:cs="宋体"/>
                <w:color w:val="auto"/>
                <w:sz w:val="28"/>
                <w:szCs w:val="28"/>
                <w:highlight w:val="none"/>
                <w:u w:val="single"/>
                <w:lang w:eastAsia="zh-CN"/>
              </w:rPr>
              <w:t>高庄花园安置小区前期物业服务项目</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的招标文件进行确认。</w:t>
            </w:r>
          </w:p>
          <w:p w14:paraId="4307BCAC">
            <w:pPr>
              <w:spacing w:line="54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招标单位：</w:t>
            </w:r>
            <w:r>
              <w:rPr>
                <w:rFonts w:hint="eastAsia" w:ascii="宋体" w:cs="宋体"/>
                <w:color w:val="auto"/>
                <w:sz w:val="28"/>
                <w:szCs w:val="28"/>
                <w:highlight w:val="none"/>
                <w:lang w:eastAsia="zh-CN"/>
              </w:rPr>
              <w:t>滁州市同创建设投资有限责任公司</w:t>
            </w:r>
          </w:p>
          <w:p w14:paraId="5B4BDC9F">
            <w:pPr>
              <w:spacing w:line="540" w:lineRule="exact"/>
              <w:ind w:firstLine="560" w:firstLineChars="200"/>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t>委托代理人：</w:t>
            </w:r>
            <w:r>
              <w:rPr>
                <w:rFonts w:hint="eastAsia" w:ascii="宋体" w:cs="宋体"/>
                <w:color w:val="auto"/>
                <w:sz w:val="28"/>
                <w:szCs w:val="28"/>
                <w:highlight w:val="none"/>
                <w:lang w:val="en-US" w:eastAsia="zh-CN"/>
              </w:rPr>
              <w:t>欧明郁、许工</w:t>
            </w:r>
          </w:p>
          <w:p w14:paraId="33CF0D32">
            <w:pPr>
              <w:spacing w:line="540" w:lineRule="exact"/>
              <w:ind w:firstLine="560" w:firstLineChars="200"/>
              <w:rPr>
                <w:rFonts w:hint="default" w:ascii="宋体" w:cs="宋体"/>
                <w:color w:val="auto"/>
                <w:sz w:val="28"/>
                <w:szCs w:val="28"/>
                <w:highlight w:val="none"/>
                <w:lang w:val="en-US"/>
              </w:rPr>
            </w:pPr>
            <w:r>
              <w:rPr>
                <w:rFonts w:hint="eastAsia" w:ascii="宋体" w:cs="宋体"/>
                <w:color w:val="auto"/>
                <w:sz w:val="28"/>
                <w:szCs w:val="28"/>
                <w:highlight w:val="none"/>
              </w:rPr>
              <w:t>联系电话：</w:t>
            </w:r>
            <w:r>
              <w:rPr>
                <w:rFonts w:hint="eastAsia" w:ascii="宋体" w:hAnsi="宋体" w:eastAsia="宋体" w:cs="Times New Roman"/>
                <w:color w:val="auto"/>
                <w:sz w:val="28"/>
                <w:szCs w:val="28"/>
                <w:highlight w:val="none"/>
                <w:lang w:val="en-US" w:eastAsia="zh-CN"/>
              </w:rPr>
              <w:t>0550-3219389、0550-3702981</w:t>
            </w:r>
            <w:r>
              <w:rPr>
                <w:rFonts w:hint="eastAsia" w:ascii="宋体" w:hAnsi="宋体" w:eastAsia="宋体" w:cs="Times New Roman"/>
                <w:color w:val="auto"/>
                <w:sz w:val="28"/>
                <w:szCs w:val="28"/>
                <w:highlight w:val="none"/>
              </w:rPr>
              <w:t xml:space="preserve">  </w:t>
            </w:r>
          </w:p>
          <w:p w14:paraId="307BA773">
            <w:pPr>
              <w:spacing w:line="540" w:lineRule="exact"/>
              <w:ind w:firstLine="7140" w:firstLineChars="2550"/>
              <w:rPr>
                <w:rFonts w:hint="eastAsia" w:ascii="宋体" w:cs="宋体"/>
                <w:color w:val="auto"/>
                <w:sz w:val="28"/>
                <w:szCs w:val="28"/>
                <w:highlight w:val="none"/>
              </w:rPr>
            </w:pPr>
          </w:p>
          <w:p w14:paraId="5C3CF4DE">
            <w:pPr>
              <w:spacing w:line="540" w:lineRule="exact"/>
              <w:ind w:firstLine="7140" w:firstLineChars="2550"/>
              <w:rPr>
                <w:rFonts w:hint="eastAsia" w:ascii="宋体" w:cs="宋体"/>
                <w:color w:val="auto"/>
                <w:sz w:val="28"/>
                <w:szCs w:val="28"/>
                <w:highlight w:val="none"/>
              </w:rPr>
            </w:pPr>
            <w:r>
              <w:rPr>
                <w:rFonts w:hint="eastAsia" w:ascii="宋体" w:cs="宋体"/>
                <w:color w:val="auto"/>
                <w:sz w:val="28"/>
                <w:szCs w:val="28"/>
                <w:highlight w:val="none"/>
              </w:rPr>
              <w:t>（盖单位章）</w:t>
            </w:r>
          </w:p>
          <w:p w14:paraId="300A8047">
            <w:pPr>
              <w:spacing w:line="540" w:lineRule="exact"/>
              <w:jc w:val="right"/>
              <w:rPr>
                <w:rFonts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9</w:t>
            </w:r>
            <w:r>
              <w:rPr>
                <w:rFonts w:hint="eastAsia" w:ascii="宋体" w:cs="宋体"/>
                <w:color w:val="auto"/>
                <w:sz w:val="28"/>
                <w:szCs w:val="28"/>
                <w:highlight w:val="none"/>
              </w:rPr>
              <w:t>月</w:t>
            </w:r>
          </w:p>
        </w:tc>
      </w:tr>
      <w:tr w14:paraId="5744ECB2">
        <w:tblPrEx>
          <w:tblCellMar>
            <w:top w:w="0" w:type="dxa"/>
            <w:left w:w="108" w:type="dxa"/>
            <w:bottom w:w="0" w:type="dxa"/>
            <w:right w:w="108" w:type="dxa"/>
          </w:tblCellMar>
        </w:tblPrEx>
        <w:trPr>
          <w:trHeight w:val="5471" w:hRule="atLeast"/>
          <w:jc w:val="center"/>
        </w:trPr>
        <w:tc>
          <w:tcPr>
            <w:tcW w:w="9460" w:type="dxa"/>
            <w:tcBorders>
              <w:top w:val="single" w:color="auto" w:sz="4" w:space="0"/>
              <w:left w:val="single" w:color="auto" w:sz="4" w:space="0"/>
              <w:bottom w:val="single" w:color="auto" w:sz="4" w:space="0"/>
              <w:right w:val="single" w:color="auto" w:sz="4" w:space="0"/>
            </w:tcBorders>
            <w:noWrap w:val="0"/>
            <w:vAlign w:val="top"/>
          </w:tcPr>
          <w:p w14:paraId="336F8FA7">
            <w:pPr>
              <w:spacing w:line="440" w:lineRule="exact"/>
              <w:rPr>
                <w:rFonts w:hint="eastAsia" w:ascii="宋体" w:cs="宋体"/>
                <w:color w:val="auto"/>
                <w:sz w:val="28"/>
                <w:szCs w:val="28"/>
                <w:highlight w:val="none"/>
              </w:rPr>
            </w:pPr>
          </w:p>
          <w:p w14:paraId="64CEC39B">
            <w:pPr>
              <w:spacing w:line="52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招标代理机构：滁州市城投工程咨询管理有限公司</w:t>
            </w:r>
          </w:p>
          <w:p w14:paraId="592D00F2">
            <w:pPr>
              <w:spacing w:line="52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经办人：杨韦</w:t>
            </w:r>
          </w:p>
          <w:p w14:paraId="3E7A5F14">
            <w:pPr>
              <w:spacing w:line="52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电  话：0550-3519590、18005501210</w:t>
            </w:r>
          </w:p>
          <w:p w14:paraId="42ADF93C">
            <w:pPr>
              <w:spacing w:line="520" w:lineRule="exact"/>
              <w:ind w:firstLine="6300" w:firstLineChars="2250"/>
              <w:rPr>
                <w:rFonts w:hint="eastAsia" w:ascii="宋体" w:cs="宋体"/>
                <w:color w:val="auto"/>
                <w:sz w:val="28"/>
                <w:szCs w:val="28"/>
                <w:highlight w:val="none"/>
              </w:rPr>
            </w:pPr>
          </w:p>
          <w:p w14:paraId="2FBEFB75">
            <w:pPr>
              <w:pStyle w:val="12"/>
              <w:rPr>
                <w:rFonts w:hint="eastAsia"/>
                <w:color w:val="auto"/>
                <w:kern w:val="2"/>
                <w:sz w:val="21"/>
                <w:szCs w:val="24"/>
                <w:highlight w:val="none"/>
              </w:rPr>
            </w:pPr>
          </w:p>
          <w:p w14:paraId="61C71174">
            <w:pPr>
              <w:spacing w:line="520" w:lineRule="exact"/>
              <w:ind w:firstLine="6580" w:firstLineChars="2350"/>
              <w:rPr>
                <w:rFonts w:hint="eastAsia" w:ascii="宋体" w:cs="宋体"/>
                <w:color w:val="auto"/>
                <w:sz w:val="28"/>
                <w:szCs w:val="28"/>
                <w:highlight w:val="none"/>
              </w:rPr>
            </w:pPr>
          </w:p>
          <w:p w14:paraId="08F59A3B">
            <w:pPr>
              <w:spacing w:line="520" w:lineRule="exact"/>
              <w:ind w:firstLine="7140" w:firstLineChars="2550"/>
              <w:rPr>
                <w:rFonts w:hint="eastAsia" w:ascii="宋体" w:cs="宋体"/>
                <w:color w:val="auto"/>
                <w:sz w:val="28"/>
                <w:szCs w:val="28"/>
                <w:highlight w:val="none"/>
              </w:rPr>
            </w:pPr>
            <w:r>
              <w:rPr>
                <w:rFonts w:hint="eastAsia" w:ascii="宋体" w:cs="宋体"/>
                <w:color w:val="auto"/>
                <w:sz w:val="28"/>
                <w:szCs w:val="28"/>
                <w:highlight w:val="none"/>
              </w:rPr>
              <w:t>（盖单位章）</w:t>
            </w:r>
          </w:p>
          <w:p w14:paraId="72EAA3BC">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9</w:t>
            </w:r>
            <w:r>
              <w:rPr>
                <w:rFonts w:hint="eastAsia" w:ascii="宋体" w:cs="宋体"/>
                <w:color w:val="auto"/>
                <w:sz w:val="28"/>
                <w:szCs w:val="28"/>
                <w:highlight w:val="none"/>
              </w:rPr>
              <w:t>月</w:t>
            </w:r>
          </w:p>
        </w:tc>
      </w:tr>
    </w:tbl>
    <w:p w14:paraId="73AD03B5">
      <w:pPr>
        <w:rPr>
          <w:color w:val="auto"/>
          <w:highlight w:val="none"/>
        </w:rPr>
      </w:pPr>
    </w:p>
    <w:sectPr>
      <w:pgSz w:w="11906" w:h="16838"/>
      <w:pgMar w:top="1440" w:right="1417" w:bottom="141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DokChampa">
    <w:altName w:val="Microsoft Sans Serif"/>
    <w:panose1 w:val="020B0604020202020204"/>
    <w:charset w:val="00"/>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D3BE">
    <w:pPr>
      <w:pStyle w:val="23"/>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4F8D">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1FCBD">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61FCBD">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81A5A">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4B43B">
                          <w:pPr>
                            <w:pStyle w:val="2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24B43B">
                    <w:pPr>
                      <w:pStyle w:val="23"/>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cs="Times New Roman"/>
        <w:spacing w:val="-4"/>
        <w:sz w:val="18"/>
        <w:szCs w:val="18"/>
      </w:rPr>
      <w:t>54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5BFC">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66925">
                          <w:pPr>
                            <w:pStyle w:val="2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666925">
                    <w:pPr>
                      <w:pStyle w:val="23"/>
                    </w:pPr>
                    <w:r>
                      <w:fldChar w:fldCharType="begin"/>
                    </w:r>
                    <w:r>
                      <w:instrText xml:space="preserve"> PAGE  \* MERGEFORMAT </w:instrText>
                    </w:r>
                    <w:r>
                      <w:fldChar w:fldCharType="separate"/>
                    </w:r>
                    <w:r>
                      <w:t>55</w:t>
                    </w:r>
                    <w:r>
                      <w:fldChar w:fldCharType="end"/>
                    </w:r>
                  </w:p>
                </w:txbxContent>
              </v:textbox>
            </v:shape>
          </w:pict>
        </mc:Fallback>
      </mc:AlternateContent>
    </w:r>
    <w:r>
      <w:rPr>
        <w:rFonts w:ascii="Times New Roman" w:hAnsi="Times New Roman" w:eastAsia="Times New Roman" w:cs="Times New Roman"/>
        <w:spacing w:val="-4"/>
        <w:sz w:val="18"/>
        <w:szCs w:val="18"/>
      </w:rPr>
      <w:t>55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40839">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35AAC">
                          <w:pPr>
                            <w:pStyle w:val="2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235AAC">
                    <w:pPr>
                      <w:pStyle w:val="23"/>
                    </w:pPr>
                    <w:r>
                      <w:fldChar w:fldCharType="begin"/>
                    </w:r>
                    <w:r>
                      <w:instrText xml:space="preserve"> PAGE  \* MERGEFORMAT </w:instrText>
                    </w:r>
                    <w:r>
                      <w:fldChar w:fldCharType="separate"/>
                    </w:r>
                    <w:r>
                      <w:t>56</w:t>
                    </w:r>
                    <w:r>
                      <w:fldChar w:fldCharType="end"/>
                    </w:r>
                  </w:p>
                </w:txbxContent>
              </v:textbox>
            </v:shape>
          </w:pict>
        </mc:Fallback>
      </mc:AlternateContent>
    </w:r>
    <w:r>
      <w:rPr>
        <w:rFonts w:ascii="Times New Roman" w:hAnsi="Times New Roman" w:eastAsia="Times New Roman" w:cs="Times New Roman"/>
        <w:spacing w:val="-4"/>
        <w:sz w:val="18"/>
        <w:szCs w:val="18"/>
      </w:rPr>
      <w:t>56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43E8E">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9F76B">
                          <w:pPr>
                            <w:pStyle w:val="2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A9F76B">
                    <w:pPr>
                      <w:pStyle w:val="23"/>
                    </w:pPr>
                    <w:r>
                      <w:fldChar w:fldCharType="begin"/>
                    </w:r>
                    <w:r>
                      <w:instrText xml:space="preserve"> PAGE  \* MERGEFORMAT </w:instrText>
                    </w:r>
                    <w:r>
                      <w:fldChar w:fldCharType="separate"/>
                    </w:r>
                    <w:r>
                      <w:t>57</w:t>
                    </w:r>
                    <w:r>
                      <w:fldChar w:fldCharType="end"/>
                    </w:r>
                  </w:p>
                </w:txbxContent>
              </v:textbox>
            </v:shape>
          </w:pict>
        </mc:Fallback>
      </mc:AlternateContent>
    </w:r>
    <w:r>
      <w:rPr>
        <w:rFonts w:ascii="Times New Roman" w:hAnsi="Times New Roman" w:eastAsia="Times New Roman" w:cs="Times New Roman"/>
        <w:spacing w:val="-4"/>
        <w:sz w:val="18"/>
        <w:szCs w:val="18"/>
      </w:rPr>
      <w:t>57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28DA">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C2D35">
                          <w:pPr>
                            <w:pStyle w:val="2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BDC2D35">
                    <w:pPr>
                      <w:pStyle w:val="23"/>
                    </w:pPr>
                    <w:r>
                      <w:fldChar w:fldCharType="begin"/>
                    </w:r>
                    <w:r>
                      <w:instrText xml:space="preserve"> PAGE  \* MERGEFORMAT </w:instrText>
                    </w:r>
                    <w:r>
                      <w:fldChar w:fldCharType="separate"/>
                    </w:r>
                    <w:r>
                      <w:t>58</w:t>
                    </w:r>
                    <w:r>
                      <w:fldChar w:fldCharType="end"/>
                    </w:r>
                  </w:p>
                </w:txbxContent>
              </v:textbox>
            </v:shape>
          </w:pict>
        </mc:Fallback>
      </mc:AlternateContent>
    </w:r>
    <w:r>
      <w:rPr>
        <w:rFonts w:ascii="Times New Roman" w:hAnsi="Times New Roman" w:eastAsia="Times New Roman" w:cs="Times New Roman"/>
        <w:spacing w:val="-4"/>
        <w:sz w:val="18"/>
        <w:szCs w:val="18"/>
      </w:rPr>
      <w:t>58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FE434">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94E9A">
                          <w:pPr>
                            <w:pStyle w:val="2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094E9A">
                    <w:pPr>
                      <w:pStyle w:val="23"/>
                    </w:pPr>
                    <w:r>
                      <w:fldChar w:fldCharType="begin"/>
                    </w:r>
                    <w:r>
                      <w:instrText xml:space="preserve"> PAGE  \* MERGEFORMAT </w:instrText>
                    </w:r>
                    <w:r>
                      <w:fldChar w:fldCharType="separate"/>
                    </w:r>
                    <w:r>
                      <w:t>59</w:t>
                    </w:r>
                    <w:r>
                      <w:fldChar w:fldCharType="end"/>
                    </w:r>
                  </w:p>
                </w:txbxContent>
              </v:textbox>
            </v:shape>
          </w:pict>
        </mc:Fallback>
      </mc:AlternateContent>
    </w:r>
    <w:r>
      <w:rPr>
        <w:rFonts w:ascii="Times New Roman" w:hAnsi="Times New Roman" w:eastAsia="Times New Roman" w:cs="Times New Roman"/>
        <w:spacing w:val="-4"/>
        <w:sz w:val="18"/>
        <w:szCs w:val="18"/>
      </w:rPr>
      <w:t>61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2FDE">
    <w:pPr>
      <w:pStyle w:val="23"/>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CDEFC0">
                          <w:pPr>
                            <w:pStyle w:val="23"/>
                          </w:pPr>
                          <w:r>
                            <w:fldChar w:fldCharType="begin"/>
                          </w:r>
                          <w:r>
                            <w:instrText xml:space="preserve"> PAGE  \* MERGEFORMAT </w:instrText>
                          </w:r>
                          <w:r>
                            <w:fldChar w:fldCharType="separate"/>
                          </w:r>
                          <w:r>
                            <w:t>- 42 -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H2an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bFJYjFOm6w4bIeJwta1R2TW&#10;4wo01OLGU6K/WFQ4bctshNnYzsbeB7Xr8jql/uBv9hHHyVOmDiPs1BjfLvOc9iwtx1M/Vz3+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IhH2anQAQAAowMAAA4AAAAAAAAAAQAgAAAAIgEA&#10;AGRycy9lMm9Eb2MueG1sUEsFBgAAAAAGAAYAWQEAAGQFAAAAAA==&#10;">
              <v:fill on="f" focussize="0,0"/>
              <v:stroke on="f" weight="1.25pt"/>
              <v:imagedata o:title=""/>
              <o:lock v:ext="edit" aspectratio="f"/>
              <v:textbox inset="0mm,0mm,0mm,0mm" style="mso-fit-shape-to-text:t;">
                <w:txbxContent>
                  <w:p w14:paraId="18CDEFC0">
                    <w:pPr>
                      <w:pStyle w:val="23"/>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3B7C">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FD70">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pStyle w:val="101"/>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
    <w:nsid w:val="00000007"/>
    <w:multiLevelType w:val="multilevel"/>
    <w:tmpl w:val="00000007"/>
    <w:lvl w:ilvl="0" w:tentative="0">
      <w:start w:val="1"/>
      <w:numFmt w:val="chineseCountingThousand"/>
      <w:pStyle w:val="32"/>
      <w:lvlText w:val="%1、"/>
      <w:lvlJc w:val="left"/>
      <w:pPr>
        <w:ind w:left="420" w:hanging="42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decimal"/>
      <w:pStyle w:val="94"/>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00000010"/>
    <w:multiLevelType w:val="multilevel"/>
    <w:tmpl w:val="00000010"/>
    <w:lvl w:ilvl="0" w:tentative="0">
      <w:start w:val="1"/>
      <w:numFmt w:val="decimal"/>
      <w:pStyle w:val="10"/>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00000012"/>
    <w:multiLevelType w:val="multilevel"/>
    <w:tmpl w:val="00000012"/>
    <w:lvl w:ilvl="0" w:tentative="0">
      <w:start w:val="1"/>
      <w:numFmt w:val="chineseCountingThousand"/>
      <w:pStyle w:val="117"/>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6">
    <w:nsid w:val="00000014"/>
    <w:multiLevelType w:val="multilevel"/>
    <w:tmpl w:val="00000014"/>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8460BCF"/>
    <w:multiLevelType w:val="singleLevel"/>
    <w:tmpl w:val="78460BCF"/>
    <w:lvl w:ilvl="0" w:tentative="0">
      <w:start w:val="4"/>
      <w:numFmt w:val="chineseCounting"/>
      <w:suff w:val="space"/>
      <w:lvlText w:val="第%1章"/>
      <w:lvlJc w:val="left"/>
      <w:rPr>
        <w:rFonts w:hint="eastAsia"/>
      </w:r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s>
  <w:rsids>
    <w:rsidRoot w:val="00172A27"/>
    <w:rsid w:val="000126F2"/>
    <w:rsid w:val="00086696"/>
    <w:rsid w:val="0009024D"/>
    <w:rsid w:val="000F5645"/>
    <w:rsid w:val="00115C78"/>
    <w:rsid w:val="00153AFF"/>
    <w:rsid w:val="00186C2B"/>
    <w:rsid w:val="00212728"/>
    <w:rsid w:val="00233C4E"/>
    <w:rsid w:val="00251036"/>
    <w:rsid w:val="002E50F8"/>
    <w:rsid w:val="003225FB"/>
    <w:rsid w:val="00330766"/>
    <w:rsid w:val="003419E5"/>
    <w:rsid w:val="003955F9"/>
    <w:rsid w:val="00395E25"/>
    <w:rsid w:val="003E670B"/>
    <w:rsid w:val="00401F67"/>
    <w:rsid w:val="00403054"/>
    <w:rsid w:val="00466F77"/>
    <w:rsid w:val="004C4A9A"/>
    <w:rsid w:val="004F3A79"/>
    <w:rsid w:val="004F5165"/>
    <w:rsid w:val="00506947"/>
    <w:rsid w:val="00510AFB"/>
    <w:rsid w:val="00533663"/>
    <w:rsid w:val="005868F5"/>
    <w:rsid w:val="005931B7"/>
    <w:rsid w:val="005A3C00"/>
    <w:rsid w:val="005B5679"/>
    <w:rsid w:val="00620A2A"/>
    <w:rsid w:val="00677F31"/>
    <w:rsid w:val="0069368B"/>
    <w:rsid w:val="007678C6"/>
    <w:rsid w:val="007D541D"/>
    <w:rsid w:val="007F45BE"/>
    <w:rsid w:val="008005F7"/>
    <w:rsid w:val="008201B4"/>
    <w:rsid w:val="00833AB6"/>
    <w:rsid w:val="00853109"/>
    <w:rsid w:val="008766D7"/>
    <w:rsid w:val="008C7661"/>
    <w:rsid w:val="008E0C60"/>
    <w:rsid w:val="009255FE"/>
    <w:rsid w:val="009269A2"/>
    <w:rsid w:val="009343AA"/>
    <w:rsid w:val="00937817"/>
    <w:rsid w:val="009B2C38"/>
    <w:rsid w:val="009D17C8"/>
    <w:rsid w:val="009E196C"/>
    <w:rsid w:val="009F2CCC"/>
    <w:rsid w:val="00A012AB"/>
    <w:rsid w:val="00A54152"/>
    <w:rsid w:val="00A67D58"/>
    <w:rsid w:val="00A975DD"/>
    <w:rsid w:val="00AF40A6"/>
    <w:rsid w:val="00AF43B5"/>
    <w:rsid w:val="00B41BDC"/>
    <w:rsid w:val="00B45701"/>
    <w:rsid w:val="00B502D3"/>
    <w:rsid w:val="00B627A9"/>
    <w:rsid w:val="00B77363"/>
    <w:rsid w:val="00B8500A"/>
    <w:rsid w:val="00BF0751"/>
    <w:rsid w:val="00C069E8"/>
    <w:rsid w:val="00C24AE6"/>
    <w:rsid w:val="00CD391E"/>
    <w:rsid w:val="00CF1FFF"/>
    <w:rsid w:val="00D24FF0"/>
    <w:rsid w:val="00D25ACB"/>
    <w:rsid w:val="00D46C3D"/>
    <w:rsid w:val="00D50329"/>
    <w:rsid w:val="00D651BA"/>
    <w:rsid w:val="00DD6A62"/>
    <w:rsid w:val="00E4156B"/>
    <w:rsid w:val="00E700A9"/>
    <w:rsid w:val="00E70847"/>
    <w:rsid w:val="00E87AA3"/>
    <w:rsid w:val="00F036C9"/>
    <w:rsid w:val="00F13E63"/>
    <w:rsid w:val="00F768E1"/>
    <w:rsid w:val="00FC3E1B"/>
    <w:rsid w:val="00FF16F3"/>
    <w:rsid w:val="016947F9"/>
    <w:rsid w:val="01826A17"/>
    <w:rsid w:val="01CB7DA6"/>
    <w:rsid w:val="01D9415D"/>
    <w:rsid w:val="01DA5E9C"/>
    <w:rsid w:val="01DB6127"/>
    <w:rsid w:val="01DE01EE"/>
    <w:rsid w:val="0219028B"/>
    <w:rsid w:val="022E6257"/>
    <w:rsid w:val="023850C1"/>
    <w:rsid w:val="02477318"/>
    <w:rsid w:val="0255285E"/>
    <w:rsid w:val="026B1259"/>
    <w:rsid w:val="02827B99"/>
    <w:rsid w:val="029F2E1F"/>
    <w:rsid w:val="02BC3AEB"/>
    <w:rsid w:val="02D079EE"/>
    <w:rsid w:val="02E1227E"/>
    <w:rsid w:val="02E54D69"/>
    <w:rsid w:val="02F254D6"/>
    <w:rsid w:val="02F53218"/>
    <w:rsid w:val="030355FF"/>
    <w:rsid w:val="0341645D"/>
    <w:rsid w:val="035241C7"/>
    <w:rsid w:val="037E320E"/>
    <w:rsid w:val="038A570F"/>
    <w:rsid w:val="039E11BA"/>
    <w:rsid w:val="03A2514E"/>
    <w:rsid w:val="03B409DD"/>
    <w:rsid w:val="03C03826"/>
    <w:rsid w:val="03C30C20"/>
    <w:rsid w:val="03C36058"/>
    <w:rsid w:val="03D1158F"/>
    <w:rsid w:val="03D96696"/>
    <w:rsid w:val="03DB41BC"/>
    <w:rsid w:val="03EF7C67"/>
    <w:rsid w:val="03FE7EAB"/>
    <w:rsid w:val="041C543C"/>
    <w:rsid w:val="04221DEB"/>
    <w:rsid w:val="04435676"/>
    <w:rsid w:val="044E498E"/>
    <w:rsid w:val="04651CD8"/>
    <w:rsid w:val="046A5576"/>
    <w:rsid w:val="04754611"/>
    <w:rsid w:val="04A942BA"/>
    <w:rsid w:val="04AB3862"/>
    <w:rsid w:val="04BF3332"/>
    <w:rsid w:val="04F01EE9"/>
    <w:rsid w:val="04F76DD4"/>
    <w:rsid w:val="05085485"/>
    <w:rsid w:val="050B6D23"/>
    <w:rsid w:val="053242B0"/>
    <w:rsid w:val="05373674"/>
    <w:rsid w:val="053E4A03"/>
    <w:rsid w:val="05455577"/>
    <w:rsid w:val="05465FAD"/>
    <w:rsid w:val="054B0F4A"/>
    <w:rsid w:val="058F1702"/>
    <w:rsid w:val="05A351AD"/>
    <w:rsid w:val="05DE3CE5"/>
    <w:rsid w:val="05E82BC0"/>
    <w:rsid w:val="05F477B7"/>
    <w:rsid w:val="061816F7"/>
    <w:rsid w:val="062278D0"/>
    <w:rsid w:val="06370ACC"/>
    <w:rsid w:val="06632AA3"/>
    <w:rsid w:val="06836B5F"/>
    <w:rsid w:val="06A55ADF"/>
    <w:rsid w:val="06A64F55"/>
    <w:rsid w:val="06C453DB"/>
    <w:rsid w:val="06D82C35"/>
    <w:rsid w:val="06DA075B"/>
    <w:rsid w:val="06F224DF"/>
    <w:rsid w:val="06F9554A"/>
    <w:rsid w:val="070659F4"/>
    <w:rsid w:val="0721282E"/>
    <w:rsid w:val="07371FAF"/>
    <w:rsid w:val="075239E7"/>
    <w:rsid w:val="07750484"/>
    <w:rsid w:val="0788465B"/>
    <w:rsid w:val="07950B26"/>
    <w:rsid w:val="07AD2313"/>
    <w:rsid w:val="07B611C8"/>
    <w:rsid w:val="07B76CEE"/>
    <w:rsid w:val="07E0529D"/>
    <w:rsid w:val="07ED2710"/>
    <w:rsid w:val="07F613C5"/>
    <w:rsid w:val="08140B8B"/>
    <w:rsid w:val="08143A40"/>
    <w:rsid w:val="081E6D6D"/>
    <w:rsid w:val="08293B60"/>
    <w:rsid w:val="082C4FE6"/>
    <w:rsid w:val="08362309"/>
    <w:rsid w:val="08395955"/>
    <w:rsid w:val="084A1910"/>
    <w:rsid w:val="084F5934"/>
    <w:rsid w:val="085D1644"/>
    <w:rsid w:val="08607386"/>
    <w:rsid w:val="08713341"/>
    <w:rsid w:val="088A4403"/>
    <w:rsid w:val="088A5A8D"/>
    <w:rsid w:val="08A13C26"/>
    <w:rsid w:val="08BF40AC"/>
    <w:rsid w:val="08C07429"/>
    <w:rsid w:val="08D35DAA"/>
    <w:rsid w:val="08D51B22"/>
    <w:rsid w:val="08E27D9B"/>
    <w:rsid w:val="08E92ED7"/>
    <w:rsid w:val="08EE00FD"/>
    <w:rsid w:val="08FA50E4"/>
    <w:rsid w:val="092B6141"/>
    <w:rsid w:val="0935241C"/>
    <w:rsid w:val="094620D8"/>
    <w:rsid w:val="09524F20"/>
    <w:rsid w:val="097035F9"/>
    <w:rsid w:val="099217C1"/>
    <w:rsid w:val="09963123"/>
    <w:rsid w:val="09981838"/>
    <w:rsid w:val="09B5283E"/>
    <w:rsid w:val="09C166B7"/>
    <w:rsid w:val="09C851E3"/>
    <w:rsid w:val="09CB469C"/>
    <w:rsid w:val="09CF3948"/>
    <w:rsid w:val="09D678FF"/>
    <w:rsid w:val="09E71B0D"/>
    <w:rsid w:val="09EF44EC"/>
    <w:rsid w:val="09F14739"/>
    <w:rsid w:val="0A03621B"/>
    <w:rsid w:val="0A2D3F49"/>
    <w:rsid w:val="0A8712AB"/>
    <w:rsid w:val="0AA04DDE"/>
    <w:rsid w:val="0AB12DCE"/>
    <w:rsid w:val="0AB45767"/>
    <w:rsid w:val="0AC43BFC"/>
    <w:rsid w:val="0AD16319"/>
    <w:rsid w:val="0AD96F7B"/>
    <w:rsid w:val="0AEC4F01"/>
    <w:rsid w:val="0AF3628F"/>
    <w:rsid w:val="0B343101"/>
    <w:rsid w:val="0B4B60CB"/>
    <w:rsid w:val="0B627EDA"/>
    <w:rsid w:val="0B704808"/>
    <w:rsid w:val="0B982B0E"/>
    <w:rsid w:val="0B98567B"/>
    <w:rsid w:val="0BA94BA0"/>
    <w:rsid w:val="0BAB31B1"/>
    <w:rsid w:val="0BAF62FB"/>
    <w:rsid w:val="0BC66C7D"/>
    <w:rsid w:val="0BED3778"/>
    <w:rsid w:val="0C232BA4"/>
    <w:rsid w:val="0C2A577B"/>
    <w:rsid w:val="0C2D26E3"/>
    <w:rsid w:val="0C373ADB"/>
    <w:rsid w:val="0C37733F"/>
    <w:rsid w:val="0C3856AB"/>
    <w:rsid w:val="0C3C5A14"/>
    <w:rsid w:val="0C4274CE"/>
    <w:rsid w:val="0C6952DD"/>
    <w:rsid w:val="0CAD06C0"/>
    <w:rsid w:val="0CC53C5B"/>
    <w:rsid w:val="0CDB7B95"/>
    <w:rsid w:val="0CE95B9C"/>
    <w:rsid w:val="0CEA5470"/>
    <w:rsid w:val="0D077DD0"/>
    <w:rsid w:val="0D2B61B4"/>
    <w:rsid w:val="0D3E4B53"/>
    <w:rsid w:val="0D6B65B1"/>
    <w:rsid w:val="0D8544BC"/>
    <w:rsid w:val="0D8F76E7"/>
    <w:rsid w:val="0DA20C83"/>
    <w:rsid w:val="0DA707B9"/>
    <w:rsid w:val="0DE01542"/>
    <w:rsid w:val="0DF2282E"/>
    <w:rsid w:val="0DFD3DA4"/>
    <w:rsid w:val="0E24538F"/>
    <w:rsid w:val="0E46735F"/>
    <w:rsid w:val="0E4969BD"/>
    <w:rsid w:val="0E5928AD"/>
    <w:rsid w:val="0E5B4877"/>
    <w:rsid w:val="0E707BF7"/>
    <w:rsid w:val="0E7D0D45"/>
    <w:rsid w:val="0E8611C8"/>
    <w:rsid w:val="0E975183"/>
    <w:rsid w:val="0EAD1661"/>
    <w:rsid w:val="0EBE21D3"/>
    <w:rsid w:val="0EBF7B36"/>
    <w:rsid w:val="0EC51CF1"/>
    <w:rsid w:val="0ECC307F"/>
    <w:rsid w:val="0F0C791F"/>
    <w:rsid w:val="0F1A6FD6"/>
    <w:rsid w:val="0F4E7F38"/>
    <w:rsid w:val="0F891446"/>
    <w:rsid w:val="0F9A13CF"/>
    <w:rsid w:val="0F9B000F"/>
    <w:rsid w:val="0F9D2C6D"/>
    <w:rsid w:val="0FB747DD"/>
    <w:rsid w:val="0FC91CB4"/>
    <w:rsid w:val="0FD10D03"/>
    <w:rsid w:val="0FD710A5"/>
    <w:rsid w:val="0FD718E6"/>
    <w:rsid w:val="0FD77F2D"/>
    <w:rsid w:val="0FD83CA6"/>
    <w:rsid w:val="10131364"/>
    <w:rsid w:val="101822F4"/>
    <w:rsid w:val="105B218F"/>
    <w:rsid w:val="10616837"/>
    <w:rsid w:val="107E794C"/>
    <w:rsid w:val="10857989"/>
    <w:rsid w:val="10AC25CA"/>
    <w:rsid w:val="10B4201D"/>
    <w:rsid w:val="10CA7A92"/>
    <w:rsid w:val="10EF574B"/>
    <w:rsid w:val="10F845FF"/>
    <w:rsid w:val="110C1E59"/>
    <w:rsid w:val="110D0173"/>
    <w:rsid w:val="11125CD9"/>
    <w:rsid w:val="111D5E14"/>
    <w:rsid w:val="112951FE"/>
    <w:rsid w:val="11317B11"/>
    <w:rsid w:val="116E6670"/>
    <w:rsid w:val="117A3C75"/>
    <w:rsid w:val="11826A7D"/>
    <w:rsid w:val="118616F9"/>
    <w:rsid w:val="11904838"/>
    <w:rsid w:val="11A6405B"/>
    <w:rsid w:val="11B83956"/>
    <w:rsid w:val="11C40985"/>
    <w:rsid w:val="11CC786A"/>
    <w:rsid w:val="11E93F48"/>
    <w:rsid w:val="11EC68FB"/>
    <w:rsid w:val="12046FD4"/>
    <w:rsid w:val="121420F8"/>
    <w:rsid w:val="12214445"/>
    <w:rsid w:val="12273D08"/>
    <w:rsid w:val="12324FEA"/>
    <w:rsid w:val="123D2FB3"/>
    <w:rsid w:val="124538DB"/>
    <w:rsid w:val="125067AE"/>
    <w:rsid w:val="12637655"/>
    <w:rsid w:val="12A12A75"/>
    <w:rsid w:val="12C80001"/>
    <w:rsid w:val="12CF56B4"/>
    <w:rsid w:val="12DB0575"/>
    <w:rsid w:val="12EF558E"/>
    <w:rsid w:val="12F92791"/>
    <w:rsid w:val="13033659"/>
    <w:rsid w:val="130354DD"/>
    <w:rsid w:val="13066050"/>
    <w:rsid w:val="13132BFE"/>
    <w:rsid w:val="132A7687"/>
    <w:rsid w:val="133236CD"/>
    <w:rsid w:val="134F1DF4"/>
    <w:rsid w:val="13557827"/>
    <w:rsid w:val="13631AD8"/>
    <w:rsid w:val="137F4B64"/>
    <w:rsid w:val="138B3117"/>
    <w:rsid w:val="138E7538"/>
    <w:rsid w:val="13904FC3"/>
    <w:rsid w:val="13C06B9F"/>
    <w:rsid w:val="13CD2CC1"/>
    <w:rsid w:val="140B464A"/>
    <w:rsid w:val="140D6614"/>
    <w:rsid w:val="14172FEE"/>
    <w:rsid w:val="14364B2C"/>
    <w:rsid w:val="1438503B"/>
    <w:rsid w:val="144933C4"/>
    <w:rsid w:val="145F3F52"/>
    <w:rsid w:val="14694230"/>
    <w:rsid w:val="14720C0D"/>
    <w:rsid w:val="147D0BDA"/>
    <w:rsid w:val="14860A3B"/>
    <w:rsid w:val="14972381"/>
    <w:rsid w:val="14AA2FD3"/>
    <w:rsid w:val="14B06F9F"/>
    <w:rsid w:val="14B52807"/>
    <w:rsid w:val="14BA1BCC"/>
    <w:rsid w:val="14C724CE"/>
    <w:rsid w:val="14CA5427"/>
    <w:rsid w:val="14DD669C"/>
    <w:rsid w:val="14E07884"/>
    <w:rsid w:val="14EA0703"/>
    <w:rsid w:val="150572EB"/>
    <w:rsid w:val="150A448F"/>
    <w:rsid w:val="150C68CB"/>
    <w:rsid w:val="152229F1"/>
    <w:rsid w:val="154461CC"/>
    <w:rsid w:val="15597637"/>
    <w:rsid w:val="15804BC3"/>
    <w:rsid w:val="15BD23EA"/>
    <w:rsid w:val="15C9430D"/>
    <w:rsid w:val="15D373E9"/>
    <w:rsid w:val="15E213DA"/>
    <w:rsid w:val="15E52C78"/>
    <w:rsid w:val="16210154"/>
    <w:rsid w:val="1633342F"/>
    <w:rsid w:val="164E6A70"/>
    <w:rsid w:val="16683008"/>
    <w:rsid w:val="168E3310"/>
    <w:rsid w:val="16A36DBB"/>
    <w:rsid w:val="16A50D85"/>
    <w:rsid w:val="16B81E85"/>
    <w:rsid w:val="16CF7F44"/>
    <w:rsid w:val="16F94C2D"/>
    <w:rsid w:val="16FE3FF2"/>
    <w:rsid w:val="171323AA"/>
    <w:rsid w:val="173B5246"/>
    <w:rsid w:val="17516817"/>
    <w:rsid w:val="17B63456"/>
    <w:rsid w:val="17F2764F"/>
    <w:rsid w:val="1833416F"/>
    <w:rsid w:val="18524B4C"/>
    <w:rsid w:val="185C36C6"/>
    <w:rsid w:val="18737F6A"/>
    <w:rsid w:val="187D1E98"/>
    <w:rsid w:val="187D53EA"/>
    <w:rsid w:val="18A817AE"/>
    <w:rsid w:val="18B21538"/>
    <w:rsid w:val="18BB7749"/>
    <w:rsid w:val="18C44192"/>
    <w:rsid w:val="18D9512F"/>
    <w:rsid w:val="18ED431E"/>
    <w:rsid w:val="18F558C8"/>
    <w:rsid w:val="18F877F3"/>
    <w:rsid w:val="1901601B"/>
    <w:rsid w:val="19070275"/>
    <w:rsid w:val="19106B6F"/>
    <w:rsid w:val="19235F91"/>
    <w:rsid w:val="193C7053"/>
    <w:rsid w:val="193F7C64"/>
    <w:rsid w:val="196C36C2"/>
    <w:rsid w:val="196D1903"/>
    <w:rsid w:val="19724162"/>
    <w:rsid w:val="198F1879"/>
    <w:rsid w:val="19B47531"/>
    <w:rsid w:val="19C214C4"/>
    <w:rsid w:val="19F70AC5"/>
    <w:rsid w:val="19F85670"/>
    <w:rsid w:val="19F94F44"/>
    <w:rsid w:val="1A1324AA"/>
    <w:rsid w:val="1A2B77F4"/>
    <w:rsid w:val="1A2F16BB"/>
    <w:rsid w:val="1A501008"/>
    <w:rsid w:val="1A766595"/>
    <w:rsid w:val="1A8C59F8"/>
    <w:rsid w:val="1AA57FC0"/>
    <w:rsid w:val="1AAC1FB7"/>
    <w:rsid w:val="1AAE61FB"/>
    <w:rsid w:val="1AB01AA7"/>
    <w:rsid w:val="1AB23324"/>
    <w:rsid w:val="1ADF554D"/>
    <w:rsid w:val="1AED13C7"/>
    <w:rsid w:val="1B1069E9"/>
    <w:rsid w:val="1B193AF0"/>
    <w:rsid w:val="1B245FF1"/>
    <w:rsid w:val="1B2D30F7"/>
    <w:rsid w:val="1B7747F3"/>
    <w:rsid w:val="1B79254B"/>
    <w:rsid w:val="1B972C67"/>
    <w:rsid w:val="1BA55384"/>
    <w:rsid w:val="1BD712B5"/>
    <w:rsid w:val="1BDD4B1E"/>
    <w:rsid w:val="1BE35EAC"/>
    <w:rsid w:val="1BE76F28"/>
    <w:rsid w:val="1C177904"/>
    <w:rsid w:val="1C284B16"/>
    <w:rsid w:val="1C5A26D3"/>
    <w:rsid w:val="1C5D0DA4"/>
    <w:rsid w:val="1C5F6917"/>
    <w:rsid w:val="1C6F5742"/>
    <w:rsid w:val="1C76287C"/>
    <w:rsid w:val="1C872925"/>
    <w:rsid w:val="1C9E0082"/>
    <w:rsid w:val="1CAA693B"/>
    <w:rsid w:val="1CB14442"/>
    <w:rsid w:val="1CC66428"/>
    <w:rsid w:val="1CC80B99"/>
    <w:rsid w:val="1CCB0E1A"/>
    <w:rsid w:val="1D0113C9"/>
    <w:rsid w:val="1D0A2DA7"/>
    <w:rsid w:val="1D1140B4"/>
    <w:rsid w:val="1D2B18B9"/>
    <w:rsid w:val="1D3E783E"/>
    <w:rsid w:val="1D630F86"/>
    <w:rsid w:val="1D7019C1"/>
    <w:rsid w:val="1D752B34"/>
    <w:rsid w:val="1D7E5E8C"/>
    <w:rsid w:val="1D836591"/>
    <w:rsid w:val="1DB55626"/>
    <w:rsid w:val="1DB7314C"/>
    <w:rsid w:val="1DC15D79"/>
    <w:rsid w:val="1DC53ABB"/>
    <w:rsid w:val="1DC85AE6"/>
    <w:rsid w:val="1DDB503E"/>
    <w:rsid w:val="1DE84D03"/>
    <w:rsid w:val="1DE85A9D"/>
    <w:rsid w:val="1DF13B3B"/>
    <w:rsid w:val="1E0E2B0B"/>
    <w:rsid w:val="1E1660C5"/>
    <w:rsid w:val="1E205195"/>
    <w:rsid w:val="1E276322"/>
    <w:rsid w:val="1E5F2F8D"/>
    <w:rsid w:val="1E650DFA"/>
    <w:rsid w:val="1E982F7E"/>
    <w:rsid w:val="1EAC45D3"/>
    <w:rsid w:val="1EC71AB5"/>
    <w:rsid w:val="1ECF4FD3"/>
    <w:rsid w:val="1ED0096A"/>
    <w:rsid w:val="1ED7455A"/>
    <w:rsid w:val="1EDB6610"/>
    <w:rsid w:val="1EF34658"/>
    <w:rsid w:val="1F02489B"/>
    <w:rsid w:val="1F095D51"/>
    <w:rsid w:val="1F132604"/>
    <w:rsid w:val="1F242A63"/>
    <w:rsid w:val="1F2627EB"/>
    <w:rsid w:val="1F294332"/>
    <w:rsid w:val="1F2A62AD"/>
    <w:rsid w:val="1F3233D2"/>
    <w:rsid w:val="1F4804CC"/>
    <w:rsid w:val="1F4D3C73"/>
    <w:rsid w:val="1FEB1DE0"/>
    <w:rsid w:val="1FEF6DB8"/>
    <w:rsid w:val="1FF64400"/>
    <w:rsid w:val="200D799B"/>
    <w:rsid w:val="201E4F4F"/>
    <w:rsid w:val="20256A93"/>
    <w:rsid w:val="20384A18"/>
    <w:rsid w:val="20390790"/>
    <w:rsid w:val="203F5E7C"/>
    <w:rsid w:val="205055EF"/>
    <w:rsid w:val="206C46C2"/>
    <w:rsid w:val="20976AB4"/>
    <w:rsid w:val="20A81514"/>
    <w:rsid w:val="20AB6760"/>
    <w:rsid w:val="20B16579"/>
    <w:rsid w:val="20C95670"/>
    <w:rsid w:val="20D65FDF"/>
    <w:rsid w:val="20E85D1A"/>
    <w:rsid w:val="210055F8"/>
    <w:rsid w:val="21052421"/>
    <w:rsid w:val="2126121F"/>
    <w:rsid w:val="216B1A91"/>
    <w:rsid w:val="217B0F40"/>
    <w:rsid w:val="218A192D"/>
    <w:rsid w:val="21A972E1"/>
    <w:rsid w:val="21BF0821"/>
    <w:rsid w:val="21F816C1"/>
    <w:rsid w:val="221C5C74"/>
    <w:rsid w:val="222B0959"/>
    <w:rsid w:val="222F1E4B"/>
    <w:rsid w:val="2240564F"/>
    <w:rsid w:val="224F6049"/>
    <w:rsid w:val="22575E31"/>
    <w:rsid w:val="22816594"/>
    <w:rsid w:val="22A00653"/>
    <w:rsid w:val="22A52EFA"/>
    <w:rsid w:val="22A567AC"/>
    <w:rsid w:val="22A77054"/>
    <w:rsid w:val="22AA3280"/>
    <w:rsid w:val="22BD2FB3"/>
    <w:rsid w:val="22CB1F7F"/>
    <w:rsid w:val="22CC31F6"/>
    <w:rsid w:val="22D43C96"/>
    <w:rsid w:val="22DB5B2F"/>
    <w:rsid w:val="22EC6903"/>
    <w:rsid w:val="22FB3ADB"/>
    <w:rsid w:val="23076924"/>
    <w:rsid w:val="2318468D"/>
    <w:rsid w:val="23214B81"/>
    <w:rsid w:val="23250B58"/>
    <w:rsid w:val="23287A3B"/>
    <w:rsid w:val="234C2589"/>
    <w:rsid w:val="234E0C74"/>
    <w:rsid w:val="235D595F"/>
    <w:rsid w:val="2366667A"/>
    <w:rsid w:val="236B1B92"/>
    <w:rsid w:val="23725A46"/>
    <w:rsid w:val="239F4DAE"/>
    <w:rsid w:val="23A75A11"/>
    <w:rsid w:val="23D46034"/>
    <w:rsid w:val="23DD1433"/>
    <w:rsid w:val="23ED1676"/>
    <w:rsid w:val="23EF1892"/>
    <w:rsid w:val="23F37F14"/>
    <w:rsid w:val="23F956E8"/>
    <w:rsid w:val="23FA0237"/>
    <w:rsid w:val="24015121"/>
    <w:rsid w:val="24264B88"/>
    <w:rsid w:val="24305A06"/>
    <w:rsid w:val="2447702E"/>
    <w:rsid w:val="24765B0F"/>
    <w:rsid w:val="247C0C4C"/>
    <w:rsid w:val="247C50B5"/>
    <w:rsid w:val="248F4E23"/>
    <w:rsid w:val="249B0281"/>
    <w:rsid w:val="24A55645"/>
    <w:rsid w:val="24C22B02"/>
    <w:rsid w:val="24D570AE"/>
    <w:rsid w:val="24D6035C"/>
    <w:rsid w:val="24E01EF1"/>
    <w:rsid w:val="24E2777A"/>
    <w:rsid w:val="24F51DFC"/>
    <w:rsid w:val="250C30B2"/>
    <w:rsid w:val="25423C43"/>
    <w:rsid w:val="256B13EC"/>
    <w:rsid w:val="25924268"/>
    <w:rsid w:val="25E67FEE"/>
    <w:rsid w:val="25F3318F"/>
    <w:rsid w:val="2629095F"/>
    <w:rsid w:val="26355556"/>
    <w:rsid w:val="263B7010"/>
    <w:rsid w:val="263C7979"/>
    <w:rsid w:val="264B2FCC"/>
    <w:rsid w:val="264E5249"/>
    <w:rsid w:val="2650413E"/>
    <w:rsid w:val="265359DC"/>
    <w:rsid w:val="26551754"/>
    <w:rsid w:val="26834513"/>
    <w:rsid w:val="26A10E3D"/>
    <w:rsid w:val="26AC3A6A"/>
    <w:rsid w:val="26B96187"/>
    <w:rsid w:val="26BE763B"/>
    <w:rsid w:val="26E730BC"/>
    <w:rsid w:val="270135A4"/>
    <w:rsid w:val="271635D9"/>
    <w:rsid w:val="2751016E"/>
    <w:rsid w:val="277420AE"/>
    <w:rsid w:val="279F3713"/>
    <w:rsid w:val="27B84691"/>
    <w:rsid w:val="27BD1CA7"/>
    <w:rsid w:val="27C923FA"/>
    <w:rsid w:val="27CA464D"/>
    <w:rsid w:val="27CB7F20"/>
    <w:rsid w:val="27E91720"/>
    <w:rsid w:val="27F136A9"/>
    <w:rsid w:val="27F21934"/>
    <w:rsid w:val="27F6382B"/>
    <w:rsid w:val="27FD20A3"/>
    <w:rsid w:val="280F14ED"/>
    <w:rsid w:val="280F3776"/>
    <w:rsid w:val="281C4C20"/>
    <w:rsid w:val="28527CD1"/>
    <w:rsid w:val="287C7ABF"/>
    <w:rsid w:val="28844573"/>
    <w:rsid w:val="28AA3FD9"/>
    <w:rsid w:val="28C52BC1"/>
    <w:rsid w:val="28D472A8"/>
    <w:rsid w:val="28E9787B"/>
    <w:rsid w:val="28F434A6"/>
    <w:rsid w:val="29441132"/>
    <w:rsid w:val="29890753"/>
    <w:rsid w:val="298962E5"/>
    <w:rsid w:val="29934A6D"/>
    <w:rsid w:val="29B50E88"/>
    <w:rsid w:val="29B72649"/>
    <w:rsid w:val="29CD1E2A"/>
    <w:rsid w:val="29CF7F37"/>
    <w:rsid w:val="2A0C29B8"/>
    <w:rsid w:val="2A0E5104"/>
    <w:rsid w:val="2A131C98"/>
    <w:rsid w:val="2A385615"/>
    <w:rsid w:val="2A570E85"/>
    <w:rsid w:val="2A830F86"/>
    <w:rsid w:val="2A8745B6"/>
    <w:rsid w:val="2A922F77"/>
    <w:rsid w:val="2A9860B3"/>
    <w:rsid w:val="2A9A1E2C"/>
    <w:rsid w:val="2A9F5694"/>
    <w:rsid w:val="2AA23A25"/>
    <w:rsid w:val="2AAA6513"/>
    <w:rsid w:val="2AD15C14"/>
    <w:rsid w:val="2AE71AF4"/>
    <w:rsid w:val="2B045837"/>
    <w:rsid w:val="2B07429B"/>
    <w:rsid w:val="2B0D0850"/>
    <w:rsid w:val="2B154372"/>
    <w:rsid w:val="2B230073"/>
    <w:rsid w:val="2B520958"/>
    <w:rsid w:val="2B634913"/>
    <w:rsid w:val="2B85488A"/>
    <w:rsid w:val="2BA07916"/>
    <w:rsid w:val="2BEC2B5B"/>
    <w:rsid w:val="2BFF63EA"/>
    <w:rsid w:val="2C002162"/>
    <w:rsid w:val="2C063C1D"/>
    <w:rsid w:val="2C246995"/>
    <w:rsid w:val="2C3562B0"/>
    <w:rsid w:val="2C385DA0"/>
    <w:rsid w:val="2C4944EB"/>
    <w:rsid w:val="2C4B162F"/>
    <w:rsid w:val="2C5D1363"/>
    <w:rsid w:val="2C5F50DB"/>
    <w:rsid w:val="2C792640"/>
    <w:rsid w:val="2C8B4122"/>
    <w:rsid w:val="2C9C1E8B"/>
    <w:rsid w:val="2CA91FCE"/>
    <w:rsid w:val="2CB847EB"/>
    <w:rsid w:val="2CD72C54"/>
    <w:rsid w:val="2CEA709A"/>
    <w:rsid w:val="2D022235"/>
    <w:rsid w:val="2D031F0A"/>
    <w:rsid w:val="2D0F08AF"/>
    <w:rsid w:val="2D1C7470"/>
    <w:rsid w:val="2D2125B0"/>
    <w:rsid w:val="2D2C76B3"/>
    <w:rsid w:val="2D371BB4"/>
    <w:rsid w:val="2D3B78F6"/>
    <w:rsid w:val="2D7C1CBC"/>
    <w:rsid w:val="2D8017AD"/>
    <w:rsid w:val="2D8868B3"/>
    <w:rsid w:val="2DAC4350"/>
    <w:rsid w:val="2E1755ED"/>
    <w:rsid w:val="2E3A7BAD"/>
    <w:rsid w:val="2E56250D"/>
    <w:rsid w:val="2E623354"/>
    <w:rsid w:val="2E6A4E27"/>
    <w:rsid w:val="2E876B6B"/>
    <w:rsid w:val="2E9B12B3"/>
    <w:rsid w:val="2ED33B5E"/>
    <w:rsid w:val="2EDA313F"/>
    <w:rsid w:val="2EE53D89"/>
    <w:rsid w:val="2EEC10D1"/>
    <w:rsid w:val="2F030EDA"/>
    <w:rsid w:val="2F0412C1"/>
    <w:rsid w:val="2F171C9D"/>
    <w:rsid w:val="2F202F46"/>
    <w:rsid w:val="2F2E6FE6"/>
    <w:rsid w:val="2F43007A"/>
    <w:rsid w:val="2F47268D"/>
    <w:rsid w:val="2F484F80"/>
    <w:rsid w:val="2F8F5CD7"/>
    <w:rsid w:val="2F926074"/>
    <w:rsid w:val="2F971630"/>
    <w:rsid w:val="2FA774C5"/>
    <w:rsid w:val="2FB44E46"/>
    <w:rsid w:val="2FCA005B"/>
    <w:rsid w:val="2FFF4CAE"/>
    <w:rsid w:val="30042C3B"/>
    <w:rsid w:val="301F1BC4"/>
    <w:rsid w:val="30204B81"/>
    <w:rsid w:val="302E5110"/>
    <w:rsid w:val="303A5A64"/>
    <w:rsid w:val="304E74D7"/>
    <w:rsid w:val="305111DE"/>
    <w:rsid w:val="30823A8E"/>
    <w:rsid w:val="30901D07"/>
    <w:rsid w:val="309317F7"/>
    <w:rsid w:val="30C85944"/>
    <w:rsid w:val="30D95A3C"/>
    <w:rsid w:val="30E12562"/>
    <w:rsid w:val="30E84AF7"/>
    <w:rsid w:val="31103BE8"/>
    <w:rsid w:val="31490108"/>
    <w:rsid w:val="315736D8"/>
    <w:rsid w:val="3166515D"/>
    <w:rsid w:val="31684A32"/>
    <w:rsid w:val="317403C7"/>
    <w:rsid w:val="3179559F"/>
    <w:rsid w:val="317E6003"/>
    <w:rsid w:val="319B6BB5"/>
    <w:rsid w:val="31A1154D"/>
    <w:rsid w:val="31A17F44"/>
    <w:rsid w:val="31AD053C"/>
    <w:rsid w:val="31CB6D6E"/>
    <w:rsid w:val="31D64091"/>
    <w:rsid w:val="31DE2F46"/>
    <w:rsid w:val="31E340B8"/>
    <w:rsid w:val="32056724"/>
    <w:rsid w:val="320B1E88"/>
    <w:rsid w:val="3220530C"/>
    <w:rsid w:val="325B29A2"/>
    <w:rsid w:val="3268280F"/>
    <w:rsid w:val="32690A61"/>
    <w:rsid w:val="326D226F"/>
    <w:rsid w:val="32755BEE"/>
    <w:rsid w:val="32785148"/>
    <w:rsid w:val="327B2543"/>
    <w:rsid w:val="328533C1"/>
    <w:rsid w:val="32A4546A"/>
    <w:rsid w:val="32B31CDC"/>
    <w:rsid w:val="32ED1980"/>
    <w:rsid w:val="32F1304C"/>
    <w:rsid w:val="32F50547"/>
    <w:rsid w:val="33094881"/>
    <w:rsid w:val="333F3794"/>
    <w:rsid w:val="335A57BD"/>
    <w:rsid w:val="339E5D33"/>
    <w:rsid w:val="33EC17CD"/>
    <w:rsid w:val="33EF143A"/>
    <w:rsid w:val="33EF1C73"/>
    <w:rsid w:val="33F97BC3"/>
    <w:rsid w:val="33FA6F1E"/>
    <w:rsid w:val="340661A5"/>
    <w:rsid w:val="34076784"/>
    <w:rsid w:val="340903E3"/>
    <w:rsid w:val="340E30B9"/>
    <w:rsid w:val="341E3ACD"/>
    <w:rsid w:val="343678CD"/>
    <w:rsid w:val="34480B4A"/>
    <w:rsid w:val="345968B4"/>
    <w:rsid w:val="345A0C5F"/>
    <w:rsid w:val="345B087E"/>
    <w:rsid w:val="346D120F"/>
    <w:rsid w:val="346E774D"/>
    <w:rsid w:val="34702AF7"/>
    <w:rsid w:val="347A2085"/>
    <w:rsid w:val="347F27BE"/>
    <w:rsid w:val="34897199"/>
    <w:rsid w:val="34945B3E"/>
    <w:rsid w:val="34AD7661"/>
    <w:rsid w:val="34B01E1E"/>
    <w:rsid w:val="34E16FD5"/>
    <w:rsid w:val="34E94961"/>
    <w:rsid w:val="34EA39B0"/>
    <w:rsid w:val="35171719"/>
    <w:rsid w:val="352E7D40"/>
    <w:rsid w:val="354B26A0"/>
    <w:rsid w:val="357243F8"/>
    <w:rsid w:val="35853917"/>
    <w:rsid w:val="35906305"/>
    <w:rsid w:val="359C73A0"/>
    <w:rsid w:val="35A10512"/>
    <w:rsid w:val="35A26038"/>
    <w:rsid w:val="35AA3A3A"/>
    <w:rsid w:val="35AA4722"/>
    <w:rsid w:val="35CF507F"/>
    <w:rsid w:val="360B340E"/>
    <w:rsid w:val="365E28A7"/>
    <w:rsid w:val="366B14C0"/>
    <w:rsid w:val="369342FF"/>
    <w:rsid w:val="369D456C"/>
    <w:rsid w:val="36A8455A"/>
    <w:rsid w:val="36AE738B"/>
    <w:rsid w:val="36C95F72"/>
    <w:rsid w:val="36DF3C16"/>
    <w:rsid w:val="36E27034"/>
    <w:rsid w:val="36ED1FA3"/>
    <w:rsid w:val="36F36DEE"/>
    <w:rsid w:val="36F6663C"/>
    <w:rsid w:val="370E607B"/>
    <w:rsid w:val="372E4027"/>
    <w:rsid w:val="373F79B1"/>
    <w:rsid w:val="37537F32"/>
    <w:rsid w:val="376C4F8C"/>
    <w:rsid w:val="376F2F1F"/>
    <w:rsid w:val="378400EB"/>
    <w:rsid w:val="37904CE2"/>
    <w:rsid w:val="37976071"/>
    <w:rsid w:val="379D00C8"/>
    <w:rsid w:val="379F2985"/>
    <w:rsid w:val="37C03BF9"/>
    <w:rsid w:val="37E1109A"/>
    <w:rsid w:val="37E97122"/>
    <w:rsid w:val="37F35CB8"/>
    <w:rsid w:val="382D2531"/>
    <w:rsid w:val="383A697D"/>
    <w:rsid w:val="383C09C6"/>
    <w:rsid w:val="384F4255"/>
    <w:rsid w:val="385633E2"/>
    <w:rsid w:val="386F79F1"/>
    <w:rsid w:val="38767A34"/>
    <w:rsid w:val="38795776"/>
    <w:rsid w:val="388D2FD0"/>
    <w:rsid w:val="389205E6"/>
    <w:rsid w:val="38983E4E"/>
    <w:rsid w:val="38A84A79"/>
    <w:rsid w:val="392C0A3B"/>
    <w:rsid w:val="39400042"/>
    <w:rsid w:val="39490357"/>
    <w:rsid w:val="397877DC"/>
    <w:rsid w:val="397B0F78"/>
    <w:rsid w:val="3999678C"/>
    <w:rsid w:val="39A22AAB"/>
    <w:rsid w:val="39A6259B"/>
    <w:rsid w:val="39D377DB"/>
    <w:rsid w:val="3A223DCB"/>
    <w:rsid w:val="3A296D28"/>
    <w:rsid w:val="3A3462BA"/>
    <w:rsid w:val="3A3F654C"/>
    <w:rsid w:val="3A58475F"/>
    <w:rsid w:val="3A5E7E93"/>
    <w:rsid w:val="3A6E6C87"/>
    <w:rsid w:val="3AB46F3A"/>
    <w:rsid w:val="3AD13648"/>
    <w:rsid w:val="3AE0388B"/>
    <w:rsid w:val="3B1C0596"/>
    <w:rsid w:val="3B2319C9"/>
    <w:rsid w:val="3B364677"/>
    <w:rsid w:val="3B5B1163"/>
    <w:rsid w:val="3B5F7ABE"/>
    <w:rsid w:val="3B84063D"/>
    <w:rsid w:val="3B8701AA"/>
    <w:rsid w:val="3B8875E3"/>
    <w:rsid w:val="3B955700"/>
    <w:rsid w:val="3BC27434"/>
    <w:rsid w:val="3BC95C98"/>
    <w:rsid w:val="3BCB453B"/>
    <w:rsid w:val="3BD75940"/>
    <w:rsid w:val="3BDD7DCA"/>
    <w:rsid w:val="3BF42260"/>
    <w:rsid w:val="3C265C15"/>
    <w:rsid w:val="3C284C49"/>
    <w:rsid w:val="3C522566"/>
    <w:rsid w:val="3C541BC5"/>
    <w:rsid w:val="3C65673D"/>
    <w:rsid w:val="3C722C08"/>
    <w:rsid w:val="3C7C5F7D"/>
    <w:rsid w:val="3C9506A5"/>
    <w:rsid w:val="3C9C7C85"/>
    <w:rsid w:val="3C9E3DCB"/>
    <w:rsid w:val="3CA31014"/>
    <w:rsid w:val="3CB123E6"/>
    <w:rsid w:val="3CCA65A0"/>
    <w:rsid w:val="3CDB6174"/>
    <w:rsid w:val="3D050477"/>
    <w:rsid w:val="3D14341C"/>
    <w:rsid w:val="3D3D4FC4"/>
    <w:rsid w:val="3D404852"/>
    <w:rsid w:val="3D477BF1"/>
    <w:rsid w:val="3D4A76E1"/>
    <w:rsid w:val="3D5D5666"/>
    <w:rsid w:val="3DB668C6"/>
    <w:rsid w:val="3DEB4A20"/>
    <w:rsid w:val="3DF062BF"/>
    <w:rsid w:val="3E0618F6"/>
    <w:rsid w:val="3E0869AC"/>
    <w:rsid w:val="3E246184"/>
    <w:rsid w:val="3E2C6DE7"/>
    <w:rsid w:val="3E3068D7"/>
    <w:rsid w:val="3E32264F"/>
    <w:rsid w:val="3E3E1A04"/>
    <w:rsid w:val="3E53454B"/>
    <w:rsid w:val="3E6F204E"/>
    <w:rsid w:val="3E815973"/>
    <w:rsid w:val="3E88151A"/>
    <w:rsid w:val="3E894239"/>
    <w:rsid w:val="3E8D3D29"/>
    <w:rsid w:val="3E9450B8"/>
    <w:rsid w:val="3EAF3CA0"/>
    <w:rsid w:val="3EC62D97"/>
    <w:rsid w:val="3F0D6C18"/>
    <w:rsid w:val="3F1735F3"/>
    <w:rsid w:val="3F364D39"/>
    <w:rsid w:val="3F505A98"/>
    <w:rsid w:val="3F6207BA"/>
    <w:rsid w:val="3F7B1DD4"/>
    <w:rsid w:val="3F810615"/>
    <w:rsid w:val="3F843560"/>
    <w:rsid w:val="3F8C5D8F"/>
    <w:rsid w:val="3F8E7D59"/>
    <w:rsid w:val="3F984C13"/>
    <w:rsid w:val="3FA72BC9"/>
    <w:rsid w:val="3FBD063E"/>
    <w:rsid w:val="3FC90D91"/>
    <w:rsid w:val="3FCF3ECE"/>
    <w:rsid w:val="3FD919BA"/>
    <w:rsid w:val="3FDC2B4A"/>
    <w:rsid w:val="3FFD010D"/>
    <w:rsid w:val="400A40D9"/>
    <w:rsid w:val="401A783F"/>
    <w:rsid w:val="401F452F"/>
    <w:rsid w:val="40330901"/>
    <w:rsid w:val="40515724"/>
    <w:rsid w:val="405F16F6"/>
    <w:rsid w:val="408B38B3"/>
    <w:rsid w:val="40B27A77"/>
    <w:rsid w:val="40D40AAB"/>
    <w:rsid w:val="40D77011"/>
    <w:rsid w:val="40E90FBF"/>
    <w:rsid w:val="40F40090"/>
    <w:rsid w:val="40FB76BC"/>
    <w:rsid w:val="41036525"/>
    <w:rsid w:val="41072D28"/>
    <w:rsid w:val="41173D7E"/>
    <w:rsid w:val="411E335F"/>
    <w:rsid w:val="412344D1"/>
    <w:rsid w:val="4125450E"/>
    <w:rsid w:val="412973EA"/>
    <w:rsid w:val="41320BB8"/>
    <w:rsid w:val="41AA69A0"/>
    <w:rsid w:val="41B45A71"/>
    <w:rsid w:val="41F71B81"/>
    <w:rsid w:val="42010DBE"/>
    <w:rsid w:val="42044303"/>
    <w:rsid w:val="42075BA1"/>
    <w:rsid w:val="42424E2B"/>
    <w:rsid w:val="426B25D4"/>
    <w:rsid w:val="4278084D"/>
    <w:rsid w:val="428611BC"/>
    <w:rsid w:val="42927B60"/>
    <w:rsid w:val="42BD2703"/>
    <w:rsid w:val="42C27D1A"/>
    <w:rsid w:val="42E04834"/>
    <w:rsid w:val="43140A2D"/>
    <w:rsid w:val="43301127"/>
    <w:rsid w:val="43364990"/>
    <w:rsid w:val="434150E2"/>
    <w:rsid w:val="4355293C"/>
    <w:rsid w:val="4359067E"/>
    <w:rsid w:val="436117D4"/>
    <w:rsid w:val="437049F2"/>
    <w:rsid w:val="43842246"/>
    <w:rsid w:val="43A7763B"/>
    <w:rsid w:val="43B92ECB"/>
    <w:rsid w:val="43BE0166"/>
    <w:rsid w:val="440E3217"/>
    <w:rsid w:val="440F0504"/>
    <w:rsid w:val="4421185F"/>
    <w:rsid w:val="4437557C"/>
    <w:rsid w:val="444C2BC0"/>
    <w:rsid w:val="444F71A2"/>
    <w:rsid w:val="445361E5"/>
    <w:rsid w:val="447C0AC8"/>
    <w:rsid w:val="4482717F"/>
    <w:rsid w:val="44A21CDC"/>
    <w:rsid w:val="44D05FB9"/>
    <w:rsid w:val="44D75CFE"/>
    <w:rsid w:val="44E5721A"/>
    <w:rsid w:val="44F22B38"/>
    <w:rsid w:val="44F248E6"/>
    <w:rsid w:val="45091C30"/>
    <w:rsid w:val="45244CBC"/>
    <w:rsid w:val="452B1E36"/>
    <w:rsid w:val="452B6B92"/>
    <w:rsid w:val="45350C77"/>
    <w:rsid w:val="453C0257"/>
    <w:rsid w:val="453C7EA3"/>
    <w:rsid w:val="454B3FF6"/>
    <w:rsid w:val="45682DFA"/>
    <w:rsid w:val="456C5AB9"/>
    <w:rsid w:val="4577128F"/>
    <w:rsid w:val="45952817"/>
    <w:rsid w:val="459534C4"/>
    <w:rsid w:val="45A863B8"/>
    <w:rsid w:val="45BB6D3C"/>
    <w:rsid w:val="45F91CA4"/>
    <w:rsid w:val="46017508"/>
    <w:rsid w:val="460F14C8"/>
    <w:rsid w:val="46130FB8"/>
    <w:rsid w:val="46132D66"/>
    <w:rsid w:val="46164604"/>
    <w:rsid w:val="46342CDD"/>
    <w:rsid w:val="46431B1A"/>
    <w:rsid w:val="464E1FF0"/>
    <w:rsid w:val="466366B9"/>
    <w:rsid w:val="46955E71"/>
    <w:rsid w:val="469C7200"/>
    <w:rsid w:val="46C10A14"/>
    <w:rsid w:val="46D67F86"/>
    <w:rsid w:val="46F448C2"/>
    <w:rsid w:val="47060D7D"/>
    <w:rsid w:val="473F67A2"/>
    <w:rsid w:val="474536E0"/>
    <w:rsid w:val="47463365"/>
    <w:rsid w:val="47596E9F"/>
    <w:rsid w:val="476B55F6"/>
    <w:rsid w:val="47777325"/>
    <w:rsid w:val="477E4B57"/>
    <w:rsid w:val="47863A0C"/>
    <w:rsid w:val="47925F0D"/>
    <w:rsid w:val="47A876DF"/>
    <w:rsid w:val="47AA76FA"/>
    <w:rsid w:val="47B370C9"/>
    <w:rsid w:val="48027536"/>
    <w:rsid w:val="48042FA6"/>
    <w:rsid w:val="481C57BF"/>
    <w:rsid w:val="48240342"/>
    <w:rsid w:val="48343468"/>
    <w:rsid w:val="485578E8"/>
    <w:rsid w:val="48680CE3"/>
    <w:rsid w:val="487516C9"/>
    <w:rsid w:val="48A147B6"/>
    <w:rsid w:val="48A73C3A"/>
    <w:rsid w:val="48D367DD"/>
    <w:rsid w:val="48E82D4D"/>
    <w:rsid w:val="48F007F6"/>
    <w:rsid w:val="48F14EB5"/>
    <w:rsid w:val="491D5CAA"/>
    <w:rsid w:val="49537DE0"/>
    <w:rsid w:val="495518E8"/>
    <w:rsid w:val="49584F34"/>
    <w:rsid w:val="4977360C"/>
    <w:rsid w:val="498703ED"/>
    <w:rsid w:val="49C425C9"/>
    <w:rsid w:val="49C72B69"/>
    <w:rsid w:val="49E62540"/>
    <w:rsid w:val="4A0E6954"/>
    <w:rsid w:val="4A1A47F4"/>
    <w:rsid w:val="4A275032"/>
    <w:rsid w:val="4A275F90"/>
    <w:rsid w:val="4A280DAA"/>
    <w:rsid w:val="4A29760D"/>
    <w:rsid w:val="4A2D4613"/>
    <w:rsid w:val="4A392FB7"/>
    <w:rsid w:val="4A522065"/>
    <w:rsid w:val="4A64191B"/>
    <w:rsid w:val="4A722025"/>
    <w:rsid w:val="4A745F18"/>
    <w:rsid w:val="4A8B3EC0"/>
    <w:rsid w:val="4AAC4A05"/>
    <w:rsid w:val="4AB112AD"/>
    <w:rsid w:val="4AB918F6"/>
    <w:rsid w:val="4AD14F9E"/>
    <w:rsid w:val="4AEB42B2"/>
    <w:rsid w:val="4AF403AA"/>
    <w:rsid w:val="4AFD616C"/>
    <w:rsid w:val="4B0B04B0"/>
    <w:rsid w:val="4B3E2640"/>
    <w:rsid w:val="4B447AD4"/>
    <w:rsid w:val="4B7050AD"/>
    <w:rsid w:val="4B717B63"/>
    <w:rsid w:val="4BA30828"/>
    <w:rsid w:val="4BA93D64"/>
    <w:rsid w:val="4BBE0554"/>
    <w:rsid w:val="4BBF20A9"/>
    <w:rsid w:val="4BCB40E3"/>
    <w:rsid w:val="4BD20FCE"/>
    <w:rsid w:val="4BD74836"/>
    <w:rsid w:val="4BED5E07"/>
    <w:rsid w:val="4BF70A34"/>
    <w:rsid w:val="4BFD1393"/>
    <w:rsid w:val="4C194E4E"/>
    <w:rsid w:val="4C1C26CD"/>
    <w:rsid w:val="4C2555A1"/>
    <w:rsid w:val="4C2C2DD4"/>
    <w:rsid w:val="4C3F1BAE"/>
    <w:rsid w:val="4C5C4D3B"/>
    <w:rsid w:val="4C5D5CA7"/>
    <w:rsid w:val="4C76404F"/>
    <w:rsid w:val="4C8147A2"/>
    <w:rsid w:val="4CB26A62"/>
    <w:rsid w:val="4CCA7AE1"/>
    <w:rsid w:val="4CE216E4"/>
    <w:rsid w:val="4CEE0366"/>
    <w:rsid w:val="4CF569B5"/>
    <w:rsid w:val="4CFB4947"/>
    <w:rsid w:val="4D04165B"/>
    <w:rsid w:val="4D11448E"/>
    <w:rsid w:val="4D267823"/>
    <w:rsid w:val="4D275D07"/>
    <w:rsid w:val="4D3A507C"/>
    <w:rsid w:val="4D5325E2"/>
    <w:rsid w:val="4D6848C0"/>
    <w:rsid w:val="4D8602C2"/>
    <w:rsid w:val="4D9E5143"/>
    <w:rsid w:val="4D9F75D5"/>
    <w:rsid w:val="4DAE03C1"/>
    <w:rsid w:val="4DC97603"/>
    <w:rsid w:val="4DE163BF"/>
    <w:rsid w:val="4DF72F6D"/>
    <w:rsid w:val="4DFE10C7"/>
    <w:rsid w:val="4E086F29"/>
    <w:rsid w:val="4E140B6A"/>
    <w:rsid w:val="4E1B739A"/>
    <w:rsid w:val="4E233D62"/>
    <w:rsid w:val="4E2875CB"/>
    <w:rsid w:val="4E407F3C"/>
    <w:rsid w:val="4E41243B"/>
    <w:rsid w:val="4E676345"/>
    <w:rsid w:val="4E6C17FA"/>
    <w:rsid w:val="4E8B5D8F"/>
    <w:rsid w:val="4E943545"/>
    <w:rsid w:val="4EB86BA1"/>
    <w:rsid w:val="4ECC43FA"/>
    <w:rsid w:val="4EE94FAC"/>
    <w:rsid w:val="4F0B3CA6"/>
    <w:rsid w:val="4F107345"/>
    <w:rsid w:val="4F1847B3"/>
    <w:rsid w:val="4F2314B3"/>
    <w:rsid w:val="4F3B50DC"/>
    <w:rsid w:val="4F5D5052"/>
    <w:rsid w:val="4F691C49"/>
    <w:rsid w:val="4F813436"/>
    <w:rsid w:val="4FB619EF"/>
    <w:rsid w:val="4FBD1F95"/>
    <w:rsid w:val="4FC861DA"/>
    <w:rsid w:val="4FFB544B"/>
    <w:rsid w:val="500A342C"/>
    <w:rsid w:val="500D6A78"/>
    <w:rsid w:val="500F69BB"/>
    <w:rsid w:val="50406E4E"/>
    <w:rsid w:val="505B77CA"/>
    <w:rsid w:val="50970A38"/>
    <w:rsid w:val="509B22D6"/>
    <w:rsid w:val="50A126B7"/>
    <w:rsid w:val="50A82C45"/>
    <w:rsid w:val="50AE094F"/>
    <w:rsid w:val="50DB294E"/>
    <w:rsid w:val="50DC3D6E"/>
    <w:rsid w:val="510936E3"/>
    <w:rsid w:val="510A2FB8"/>
    <w:rsid w:val="51145BE4"/>
    <w:rsid w:val="511856D5"/>
    <w:rsid w:val="51321C80"/>
    <w:rsid w:val="515661FD"/>
    <w:rsid w:val="516A3A56"/>
    <w:rsid w:val="517255BD"/>
    <w:rsid w:val="517B5C63"/>
    <w:rsid w:val="518C4D4D"/>
    <w:rsid w:val="51A46F68"/>
    <w:rsid w:val="51B13335"/>
    <w:rsid w:val="51D75590"/>
    <w:rsid w:val="521D3CB5"/>
    <w:rsid w:val="523302EC"/>
    <w:rsid w:val="52426781"/>
    <w:rsid w:val="52454FAD"/>
    <w:rsid w:val="524B15B3"/>
    <w:rsid w:val="528374C6"/>
    <w:rsid w:val="528B1ED6"/>
    <w:rsid w:val="52A70D2C"/>
    <w:rsid w:val="52BE405A"/>
    <w:rsid w:val="52E361B6"/>
    <w:rsid w:val="531210C9"/>
    <w:rsid w:val="532742F5"/>
    <w:rsid w:val="53607807"/>
    <w:rsid w:val="538434F5"/>
    <w:rsid w:val="538A03E0"/>
    <w:rsid w:val="539835FD"/>
    <w:rsid w:val="53A2397B"/>
    <w:rsid w:val="53B92A73"/>
    <w:rsid w:val="53BB67EB"/>
    <w:rsid w:val="53C71634"/>
    <w:rsid w:val="53D224B3"/>
    <w:rsid w:val="53EB1FF8"/>
    <w:rsid w:val="53EC2E48"/>
    <w:rsid w:val="53F45760"/>
    <w:rsid w:val="5406215C"/>
    <w:rsid w:val="547C41CC"/>
    <w:rsid w:val="54A379AB"/>
    <w:rsid w:val="54B27BEE"/>
    <w:rsid w:val="54BD0C40"/>
    <w:rsid w:val="54D659D2"/>
    <w:rsid w:val="54F75F49"/>
    <w:rsid w:val="54FC355F"/>
    <w:rsid w:val="55284354"/>
    <w:rsid w:val="55432F3C"/>
    <w:rsid w:val="554A42CB"/>
    <w:rsid w:val="5560589C"/>
    <w:rsid w:val="556C4241"/>
    <w:rsid w:val="5579695E"/>
    <w:rsid w:val="558C043F"/>
    <w:rsid w:val="559807C9"/>
    <w:rsid w:val="55A133E3"/>
    <w:rsid w:val="55B87486"/>
    <w:rsid w:val="55C404FA"/>
    <w:rsid w:val="55C45E2B"/>
    <w:rsid w:val="55CC345F"/>
    <w:rsid w:val="55F04E72"/>
    <w:rsid w:val="56203207"/>
    <w:rsid w:val="562A2C28"/>
    <w:rsid w:val="562C2ED7"/>
    <w:rsid w:val="564D4072"/>
    <w:rsid w:val="56610227"/>
    <w:rsid w:val="567B54EE"/>
    <w:rsid w:val="567C4958"/>
    <w:rsid w:val="56846C29"/>
    <w:rsid w:val="5689497F"/>
    <w:rsid w:val="56917593"/>
    <w:rsid w:val="56A703F5"/>
    <w:rsid w:val="56C97471"/>
    <w:rsid w:val="56D64EB7"/>
    <w:rsid w:val="56E314E0"/>
    <w:rsid w:val="57282705"/>
    <w:rsid w:val="574C75A3"/>
    <w:rsid w:val="574D2F08"/>
    <w:rsid w:val="5774562F"/>
    <w:rsid w:val="57754BF2"/>
    <w:rsid w:val="57BD6FD6"/>
    <w:rsid w:val="57CA16F3"/>
    <w:rsid w:val="57CA3880"/>
    <w:rsid w:val="57E417E0"/>
    <w:rsid w:val="57EE53E1"/>
    <w:rsid w:val="57F32A52"/>
    <w:rsid w:val="57FE50EE"/>
    <w:rsid w:val="58073B8C"/>
    <w:rsid w:val="580E7831"/>
    <w:rsid w:val="58256929"/>
    <w:rsid w:val="583F3E8F"/>
    <w:rsid w:val="58A40196"/>
    <w:rsid w:val="58BF0B2C"/>
    <w:rsid w:val="58D67320"/>
    <w:rsid w:val="593432C8"/>
    <w:rsid w:val="593E026C"/>
    <w:rsid w:val="593E5EF4"/>
    <w:rsid w:val="593F3A1A"/>
    <w:rsid w:val="594D6137"/>
    <w:rsid w:val="5989503C"/>
    <w:rsid w:val="59977C6E"/>
    <w:rsid w:val="599B50F5"/>
    <w:rsid w:val="59A25D4A"/>
    <w:rsid w:val="59AA17DC"/>
    <w:rsid w:val="59B14918"/>
    <w:rsid w:val="59B15C2B"/>
    <w:rsid w:val="59B25F2D"/>
    <w:rsid w:val="59D86349"/>
    <w:rsid w:val="59DD0C04"/>
    <w:rsid w:val="59EC76FE"/>
    <w:rsid w:val="5A034978"/>
    <w:rsid w:val="5A040EEC"/>
    <w:rsid w:val="5A16280E"/>
    <w:rsid w:val="5A1B5A10"/>
    <w:rsid w:val="5A266807"/>
    <w:rsid w:val="5A2C21F1"/>
    <w:rsid w:val="5A6977D7"/>
    <w:rsid w:val="5A6E45B7"/>
    <w:rsid w:val="5A963B0E"/>
    <w:rsid w:val="5AA955EF"/>
    <w:rsid w:val="5ACC2E57"/>
    <w:rsid w:val="5AEB3E5A"/>
    <w:rsid w:val="5B044F1C"/>
    <w:rsid w:val="5B070568"/>
    <w:rsid w:val="5B1C2265"/>
    <w:rsid w:val="5B2E3D47"/>
    <w:rsid w:val="5B33135D"/>
    <w:rsid w:val="5B435A44"/>
    <w:rsid w:val="5B4672E2"/>
    <w:rsid w:val="5B4A6DD2"/>
    <w:rsid w:val="5B572513"/>
    <w:rsid w:val="5B773CF2"/>
    <w:rsid w:val="5B953DC6"/>
    <w:rsid w:val="5B9B5880"/>
    <w:rsid w:val="5BB21D9A"/>
    <w:rsid w:val="5BB7600F"/>
    <w:rsid w:val="5BCD355F"/>
    <w:rsid w:val="5BF037E6"/>
    <w:rsid w:val="5BFD3E45"/>
    <w:rsid w:val="5C0F2714"/>
    <w:rsid w:val="5C2A09B2"/>
    <w:rsid w:val="5C3A263A"/>
    <w:rsid w:val="5C531CB7"/>
    <w:rsid w:val="5C814A76"/>
    <w:rsid w:val="5C9D1184"/>
    <w:rsid w:val="5CAE513F"/>
    <w:rsid w:val="5CAF25EE"/>
    <w:rsid w:val="5CAF7F16"/>
    <w:rsid w:val="5CBE74EA"/>
    <w:rsid w:val="5CC56713"/>
    <w:rsid w:val="5CC71DD8"/>
    <w:rsid w:val="5CCE3A33"/>
    <w:rsid w:val="5CD66444"/>
    <w:rsid w:val="5CF82EF2"/>
    <w:rsid w:val="5CF9414D"/>
    <w:rsid w:val="5CF9552F"/>
    <w:rsid w:val="5D0631CD"/>
    <w:rsid w:val="5D0B433F"/>
    <w:rsid w:val="5D17501F"/>
    <w:rsid w:val="5D213B63"/>
    <w:rsid w:val="5D2E44D2"/>
    <w:rsid w:val="5D3C6BEF"/>
    <w:rsid w:val="5D431D2B"/>
    <w:rsid w:val="5D4569AE"/>
    <w:rsid w:val="5D5E0913"/>
    <w:rsid w:val="5D6F2B20"/>
    <w:rsid w:val="5D7C6FEB"/>
    <w:rsid w:val="5D883BE2"/>
    <w:rsid w:val="5D9B5E1F"/>
    <w:rsid w:val="5DA36C6E"/>
    <w:rsid w:val="5DAF116F"/>
    <w:rsid w:val="5DB426F2"/>
    <w:rsid w:val="5DBE7604"/>
    <w:rsid w:val="5DF11787"/>
    <w:rsid w:val="5E0771FD"/>
    <w:rsid w:val="5E2733FB"/>
    <w:rsid w:val="5E3D2C1E"/>
    <w:rsid w:val="5E647215"/>
    <w:rsid w:val="5E6F6B70"/>
    <w:rsid w:val="5E7128C8"/>
    <w:rsid w:val="5E785A05"/>
    <w:rsid w:val="5E7E5BC7"/>
    <w:rsid w:val="5EA467FA"/>
    <w:rsid w:val="5EAC5CC5"/>
    <w:rsid w:val="5EBB3B43"/>
    <w:rsid w:val="5EC24ED2"/>
    <w:rsid w:val="5ECF669A"/>
    <w:rsid w:val="5EF64B7B"/>
    <w:rsid w:val="5F131BD1"/>
    <w:rsid w:val="5F1C68EB"/>
    <w:rsid w:val="5F304531"/>
    <w:rsid w:val="5F3A658F"/>
    <w:rsid w:val="5F4B6DF9"/>
    <w:rsid w:val="5F5244A8"/>
    <w:rsid w:val="5F5E109E"/>
    <w:rsid w:val="5F675CE8"/>
    <w:rsid w:val="5F6D7533"/>
    <w:rsid w:val="5F904FD0"/>
    <w:rsid w:val="5F9E101E"/>
    <w:rsid w:val="5FD4310E"/>
    <w:rsid w:val="5FD80582"/>
    <w:rsid w:val="5FE377F5"/>
    <w:rsid w:val="60326087"/>
    <w:rsid w:val="603E7754"/>
    <w:rsid w:val="604D407A"/>
    <w:rsid w:val="605E0C2A"/>
    <w:rsid w:val="6061582C"/>
    <w:rsid w:val="60712742"/>
    <w:rsid w:val="60787F3E"/>
    <w:rsid w:val="60940AF0"/>
    <w:rsid w:val="609D64AA"/>
    <w:rsid w:val="60A27B32"/>
    <w:rsid w:val="60BE5D83"/>
    <w:rsid w:val="60DD3A26"/>
    <w:rsid w:val="60E51508"/>
    <w:rsid w:val="60F82E2D"/>
    <w:rsid w:val="60FC0223"/>
    <w:rsid w:val="614A3DAA"/>
    <w:rsid w:val="6155027F"/>
    <w:rsid w:val="616821E1"/>
    <w:rsid w:val="61730B8F"/>
    <w:rsid w:val="618463A2"/>
    <w:rsid w:val="618741B1"/>
    <w:rsid w:val="61B2747F"/>
    <w:rsid w:val="61B90451"/>
    <w:rsid w:val="61DE0274"/>
    <w:rsid w:val="61E73B15"/>
    <w:rsid w:val="61EA259B"/>
    <w:rsid w:val="61EB473F"/>
    <w:rsid w:val="62013F63"/>
    <w:rsid w:val="622540F5"/>
    <w:rsid w:val="623B7475"/>
    <w:rsid w:val="62405FC3"/>
    <w:rsid w:val="62482F7C"/>
    <w:rsid w:val="62677DAD"/>
    <w:rsid w:val="6281113E"/>
    <w:rsid w:val="62854B94"/>
    <w:rsid w:val="62935219"/>
    <w:rsid w:val="62CD6AEC"/>
    <w:rsid w:val="62D94595"/>
    <w:rsid w:val="63103C43"/>
    <w:rsid w:val="631E6C0A"/>
    <w:rsid w:val="633B34A5"/>
    <w:rsid w:val="6347009B"/>
    <w:rsid w:val="63566066"/>
    <w:rsid w:val="63901A42"/>
    <w:rsid w:val="63C45248"/>
    <w:rsid w:val="63C60FC0"/>
    <w:rsid w:val="63CB65D6"/>
    <w:rsid w:val="63D41366"/>
    <w:rsid w:val="640E2967"/>
    <w:rsid w:val="64153CF6"/>
    <w:rsid w:val="6419594B"/>
    <w:rsid w:val="64264155"/>
    <w:rsid w:val="644C769A"/>
    <w:rsid w:val="64520AA6"/>
    <w:rsid w:val="64664551"/>
    <w:rsid w:val="647153D0"/>
    <w:rsid w:val="64805613"/>
    <w:rsid w:val="6486074F"/>
    <w:rsid w:val="64BB2AEF"/>
    <w:rsid w:val="64CB26DD"/>
    <w:rsid w:val="650171EE"/>
    <w:rsid w:val="65055B18"/>
    <w:rsid w:val="65433804"/>
    <w:rsid w:val="65556AA0"/>
    <w:rsid w:val="65684D07"/>
    <w:rsid w:val="657D2B9C"/>
    <w:rsid w:val="6593581A"/>
    <w:rsid w:val="65956E9C"/>
    <w:rsid w:val="65A215B9"/>
    <w:rsid w:val="65BD63F3"/>
    <w:rsid w:val="65C46536"/>
    <w:rsid w:val="65D406EA"/>
    <w:rsid w:val="66542B2C"/>
    <w:rsid w:val="665723A3"/>
    <w:rsid w:val="667B400E"/>
    <w:rsid w:val="66911D59"/>
    <w:rsid w:val="66E005EB"/>
    <w:rsid w:val="66E53E53"/>
    <w:rsid w:val="66E55C01"/>
    <w:rsid w:val="66EA7812"/>
    <w:rsid w:val="6704527C"/>
    <w:rsid w:val="673F1F3F"/>
    <w:rsid w:val="673F79B4"/>
    <w:rsid w:val="67442824"/>
    <w:rsid w:val="674A1F08"/>
    <w:rsid w:val="67795693"/>
    <w:rsid w:val="677A0A3F"/>
    <w:rsid w:val="67987117"/>
    <w:rsid w:val="67A43BE0"/>
    <w:rsid w:val="67AB6E4B"/>
    <w:rsid w:val="67B37F71"/>
    <w:rsid w:val="67CE6C86"/>
    <w:rsid w:val="67D31319"/>
    <w:rsid w:val="67D72D6F"/>
    <w:rsid w:val="67DC6D5A"/>
    <w:rsid w:val="67E206D5"/>
    <w:rsid w:val="683E4D48"/>
    <w:rsid w:val="685A261F"/>
    <w:rsid w:val="6865349E"/>
    <w:rsid w:val="68655F18"/>
    <w:rsid w:val="68B00491"/>
    <w:rsid w:val="68C14BF3"/>
    <w:rsid w:val="68E343C2"/>
    <w:rsid w:val="68FA309F"/>
    <w:rsid w:val="68FB170C"/>
    <w:rsid w:val="68FE0507"/>
    <w:rsid w:val="69034A64"/>
    <w:rsid w:val="690F3409"/>
    <w:rsid w:val="69272501"/>
    <w:rsid w:val="692C5D69"/>
    <w:rsid w:val="692E7D33"/>
    <w:rsid w:val="692F7608"/>
    <w:rsid w:val="69401815"/>
    <w:rsid w:val="694A487B"/>
    <w:rsid w:val="694D6631"/>
    <w:rsid w:val="695025CA"/>
    <w:rsid w:val="6958090C"/>
    <w:rsid w:val="695928D6"/>
    <w:rsid w:val="69765236"/>
    <w:rsid w:val="698E07D2"/>
    <w:rsid w:val="69AB0D0D"/>
    <w:rsid w:val="69B27B43"/>
    <w:rsid w:val="69BE0005"/>
    <w:rsid w:val="69DF2DDC"/>
    <w:rsid w:val="69EA352F"/>
    <w:rsid w:val="69EB2192"/>
    <w:rsid w:val="6A2E5B11"/>
    <w:rsid w:val="6A3C0286"/>
    <w:rsid w:val="6A570136"/>
    <w:rsid w:val="6A695DCD"/>
    <w:rsid w:val="6A731776"/>
    <w:rsid w:val="6A753740"/>
    <w:rsid w:val="6A7A6FA8"/>
    <w:rsid w:val="6A7E2C0A"/>
    <w:rsid w:val="6A802F8E"/>
    <w:rsid w:val="6AAD4C88"/>
    <w:rsid w:val="6ABA55F7"/>
    <w:rsid w:val="6AC10733"/>
    <w:rsid w:val="6ACD7255"/>
    <w:rsid w:val="6AD2649C"/>
    <w:rsid w:val="6AE17565"/>
    <w:rsid w:val="6AFE3735"/>
    <w:rsid w:val="6B2111D2"/>
    <w:rsid w:val="6B361E7E"/>
    <w:rsid w:val="6B3C7DBA"/>
    <w:rsid w:val="6B3D4EC2"/>
    <w:rsid w:val="6B43383E"/>
    <w:rsid w:val="6B4E489C"/>
    <w:rsid w:val="6B6F63E1"/>
    <w:rsid w:val="6B8071BE"/>
    <w:rsid w:val="6BB16221"/>
    <w:rsid w:val="6BE40B7D"/>
    <w:rsid w:val="6BE45953"/>
    <w:rsid w:val="6BE94F3A"/>
    <w:rsid w:val="6BF40694"/>
    <w:rsid w:val="6C061F17"/>
    <w:rsid w:val="6C0D1CBF"/>
    <w:rsid w:val="6C0E5BFA"/>
    <w:rsid w:val="6C150D37"/>
    <w:rsid w:val="6C2F1E55"/>
    <w:rsid w:val="6C376EFF"/>
    <w:rsid w:val="6C661592"/>
    <w:rsid w:val="6C741E4F"/>
    <w:rsid w:val="6C787517"/>
    <w:rsid w:val="6C914D27"/>
    <w:rsid w:val="6CAA6CFE"/>
    <w:rsid w:val="6CC369E5"/>
    <w:rsid w:val="6CDC7AA6"/>
    <w:rsid w:val="6D013FEB"/>
    <w:rsid w:val="6D1930EC"/>
    <w:rsid w:val="6D2F407A"/>
    <w:rsid w:val="6DA71186"/>
    <w:rsid w:val="6DB30918"/>
    <w:rsid w:val="6DB620A5"/>
    <w:rsid w:val="6DC42A14"/>
    <w:rsid w:val="6DCF4F15"/>
    <w:rsid w:val="6DD036A3"/>
    <w:rsid w:val="6DE81D0F"/>
    <w:rsid w:val="6DE85FD7"/>
    <w:rsid w:val="6DF76B0A"/>
    <w:rsid w:val="6E054DB3"/>
    <w:rsid w:val="6E0D5EB7"/>
    <w:rsid w:val="6E1A0994"/>
    <w:rsid w:val="6E7004A6"/>
    <w:rsid w:val="6E9A19C7"/>
    <w:rsid w:val="6EBD3E7A"/>
    <w:rsid w:val="6EBD700A"/>
    <w:rsid w:val="6EC72090"/>
    <w:rsid w:val="6ED53771"/>
    <w:rsid w:val="6EFD2502"/>
    <w:rsid w:val="6F082DD5"/>
    <w:rsid w:val="6F1352D6"/>
    <w:rsid w:val="6F5E1724"/>
    <w:rsid w:val="6F6618A9"/>
    <w:rsid w:val="6F71097A"/>
    <w:rsid w:val="6F743FC6"/>
    <w:rsid w:val="6F783707"/>
    <w:rsid w:val="6F7D7049"/>
    <w:rsid w:val="6F963F3C"/>
    <w:rsid w:val="6FE1043B"/>
    <w:rsid w:val="6FF670D1"/>
    <w:rsid w:val="700B760E"/>
    <w:rsid w:val="700D7F77"/>
    <w:rsid w:val="703B4AE4"/>
    <w:rsid w:val="706E310B"/>
    <w:rsid w:val="70794B97"/>
    <w:rsid w:val="70860455"/>
    <w:rsid w:val="70860D62"/>
    <w:rsid w:val="70891C83"/>
    <w:rsid w:val="708C17E3"/>
    <w:rsid w:val="70981F36"/>
    <w:rsid w:val="70CD6084"/>
    <w:rsid w:val="70D016D0"/>
    <w:rsid w:val="70F35BF8"/>
    <w:rsid w:val="71160F53"/>
    <w:rsid w:val="711A0B9D"/>
    <w:rsid w:val="713C4FB8"/>
    <w:rsid w:val="71491244"/>
    <w:rsid w:val="714B51FB"/>
    <w:rsid w:val="71582A07"/>
    <w:rsid w:val="717943B6"/>
    <w:rsid w:val="71900E5F"/>
    <w:rsid w:val="71916F49"/>
    <w:rsid w:val="71A33B87"/>
    <w:rsid w:val="71AB63BC"/>
    <w:rsid w:val="71AE4713"/>
    <w:rsid w:val="71B27028"/>
    <w:rsid w:val="71D25565"/>
    <w:rsid w:val="71D945B4"/>
    <w:rsid w:val="71F11C1F"/>
    <w:rsid w:val="723314F1"/>
    <w:rsid w:val="724A62A9"/>
    <w:rsid w:val="72646574"/>
    <w:rsid w:val="727F33AE"/>
    <w:rsid w:val="72802C82"/>
    <w:rsid w:val="72A8433C"/>
    <w:rsid w:val="72AA7CFF"/>
    <w:rsid w:val="72BD1CA1"/>
    <w:rsid w:val="72C07522"/>
    <w:rsid w:val="72D468CD"/>
    <w:rsid w:val="73156124"/>
    <w:rsid w:val="731A30D6"/>
    <w:rsid w:val="7320374B"/>
    <w:rsid w:val="73426189"/>
    <w:rsid w:val="734C0DB6"/>
    <w:rsid w:val="73584999"/>
    <w:rsid w:val="735A3B0C"/>
    <w:rsid w:val="7361796E"/>
    <w:rsid w:val="737427E7"/>
    <w:rsid w:val="737669D2"/>
    <w:rsid w:val="737C78ED"/>
    <w:rsid w:val="739369E5"/>
    <w:rsid w:val="739B4217"/>
    <w:rsid w:val="73AD5CF9"/>
    <w:rsid w:val="73D94D40"/>
    <w:rsid w:val="740D2C3B"/>
    <w:rsid w:val="742E508B"/>
    <w:rsid w:val="744877CF"/>
    <w:rsid w:val="74692D8A"/>
    <w:rsid w:val="74716D26"/>
    <w:rsid w:val="74933140"/>
    <w:rsid w:val="74B81FE2"/>
    <w:rsid w:val="74B86703"/>
    <w:rsid w:val="74BD1F6B"/>
    <w:rsid w:val="74CE23CA"/>
    <w:rsid w:val="74DE12C2"/>
    <w:rsid w:val="74E813D5"/>
    <w:rsid w:val="74FF4332"/>
    <w:rsid w:val="750E0AAE"/>
    <w:rsid w:val="751C1388"/>
    <w:rsid w:val="75581C94"/>
    <w:rsid w:val="755F3023"/>
    <w:rsid w:val="75874327"/>
    <w:rsid w:val="75995FB8"/>
    <w:rsid w:val="75A1188D"/>
    <w:rsid w:val="75B50E95"/>
    <w:rsid w:val="75CA0DE4"/>
    <w:rsid w:val="75CD4430"/>
    <w:rsid w:val="75D25EEA"/>
    <w:rsid w:val="75F75951"/>
    <w:rsid w:val="75FC4D15"/>
    <w:rsid w:val="75FE0A8D"/>
    <w:rsid w:val="76097029"/>
    <w:rsid w:val="76133C04"/>
    <w:rsid w:val="764A4CEF"/>
    <w:rsid w:val="766C1E9B"/>
    <w:rsid w:val="76880357"/>
    <w:rsid w:val="769D2054"/>
    <w:rsid w:val="76AA4771"/>
    <w:rsid w:val="76B31878"/>
    <w:rsid w:val="76CC0B8C"/>
    <w:rsid w:val="76E13170"/>
    <w:rsid w:val="76E311A3"/>
    <w:rsid w:val="772938E8"/>
    <w:rsid w:val="7734344E"/>
    <w:rsid w:val="774424D0"/>
    <w:rsid w:val="77813724"/>
    <w:rsid w:val="77972F48"/>
    <w:rsid w:val="7798554B"/>
    <w:rsid w:val="77A2369A"/>
    <w:rsid w:val="77B561D9"/>
    <w:rsid w:val="77CB0E43"/>
    <w:rsid w:val="77E141C3"/>
    <w:rsid w:val="77F008AA"/>
    <w:rsid w:val="78054355"/>
    <w:rsid w:val="78202F3D"/>
    <w:rsid w:val="782347DB"/>
    <w:rsid w:val="78300CA6"/>
    <w:rsid w:val="783267CC"/>
    <w:rsid w:val="783951EC"/>
    <w:rsid w:val="783C3AEF"/>
    <w:rsid w:val="783E1615"/>
    <w:rsid w:val="78484242"/>
    <w:rsid w:val="78485FF0"/>
    <w:rsid w:val="786646C8"/>
    <w:rsid w:val="786C4C30"/>
    <w:rsid w:val="7874661E"/>
    <w:rsid w:val="78827754"/>
    <w:rsid w:val="78B91B03"/>
    <w:rsid w:val="78BE2756"/>
    <w:rsid w:val="78D12489"/>
    <w:rsid w:val="78EA354B"/>
    <w:rsid w:val="79711576"/>
    <w:rsid w:val="7973634F"/>
    <w:rsid w:val="797F0066"/>
    <w:rsid w:val="79862855"/>
    <w:rsid w:val="79AB7B9C"/>
    <w:rsid w:val="79C36276"/>
    <w:rsid w:val="79D33BD7"/>
    <w:rsid w:val="79E65AC0"/>
    <w:rsid w:val="7A0712A8"/>
    <w:rsid w:val="7A1A5F3C"/>
    <w:rsid w:val="7A293BFF"/>
    <w:rsid w:val="7A2E3F8E"/>
    <w:rsid w:val="7A440A39"/>
    <w:rsid w:val="7A486B67"/>
    <w:rsid w:val="7A5C5D83"/>
    <w:rsid w:val="7A63380E"/>
    <w:rsid w:val="7A7C01D3"/>
    <w:rsid w:val="7A7E002C"/>
    <w:rsid w:val="7A8734B8"/>
    <w:rsid w:val="7A8A6D94"/>
    <w:rsid w:val="7A911ED0"/>
    <w:rsid w:val="7AB64546"/>
    <w:rsid w:val="7AC04563"/>
    <w:rsid w:val="7ACB4729"/>
    <w:rsid w:val="7AE220D3"/>
    <w:rsid w:val="7AE70BAE"/>
    <w:rsid w:val="7AEA7832"/>
    <w:rsid w:val="7AEC455F"/>
    <w:rsid w:val="7B05466C"/>
    <w:rsid w:val="7B0703E4"/>
    <w:rsid w:val="7B4D1357"/>
    <w:rsid w:val="7B641393"/>
    <w:rsid w:val="7B6E2F9B"/>
    <w:rsid w:val="7B89704B"/>
    <w:rsid w:val="7B98702C"/>
    <w:rsid w:val="7BC71922"/>
    <w:rsid w:val="7BC77B74"/>
    <w:rsid w:val="7BD04C7A"/>
    <w:rsid w:val="7BD57CCF"/>
    <w:rsid w:val="7C022E76"/>
    <w:rsid w:val="7C213B75"/>
    <w:rsid w:val="7C305719"/>
    <w:rsid w:val="7C3163FF"/>
    <w:rsid w:val="7C896BD7"/>
    <w:rsid w:val="7C8B6DF3"/>
    <w:rsid w:val="7C8D6749"/>
    <w:rsid w:val="7CA61385"/>
    <w:rsid w:val="7CB718F6"/>
    <w:rsid w:val="7CCC0C02"/>
    <w:rsid w:val="7CE24C65"/>
    <w:rsid w:val="7CE64C01"/>
    <w:rsid w:val="7CFB7AD5"/>
    <w:rsid w:val="7D0270B5"/>
    <w:rsid w:val="7D07647A"/>
    <w:rsid w:val="7D0E5A5A"/>
    <w:rsid w:val="7D123C1F"/>
    <w:rsid w:val="7D1467DB"/>
    <w:rsid w:val="7D2C7C8E"/>
    <w:rsid w:val="7D625DA6"/>
    <w:rsid w:val="7D871368"/>
    <w:rsid w:val="7D8B70AB"/>
    <w:rsid w:val="7D931348"/>
    <w:rsid w:val="7DC12ACC"/>
    <w:rsid w:val="7DD32800"/>
    <w:rsid w:val="7DF14781"/>
    <w:rsid w:val="7DFA2E1C"/>
    <w:rsid w:val="7E0D3978"/>
    <w:rsid w:val="7E3A287F"/>
    <w:rsid w:val="7E3F7E95"/>
    <w:rsid w:val="7E6873EC"/>
    <w:rsid w:val="7E9E4BBC"/>
    <w:rsid w:val="7EB10D93"/>
    <w:rsid w:val="7EB459DD"/>
    <w:rsid w:val="7ECD724F"/>
    <w:rsid w:val="7EE22D5E"/>
    <w:rsid w:val="7EF02C27"/>
    <w:rsid w:val="7EF91AB2"/>
    <w:rsid w:val="7EFB3E85"/>
    <w:rsid w:val="7F016EF9"/>
    <w:rsid w:val="7F030EC3"/>
    <w:rsid w:val="7F0E20E8"/>
    <w:rsid w:val="7F177E9D"/>
    <w:rsid w:val="7F2729DE"/>
    <w:rsid w:val="7F390D88"/>
    <w:rsid w:val="7F841BB1"/>
    <w:rsid w:val="7F8C2C66"/>
    <w:rsid w:val="7FCF1996"/>
    <w:rsid w:val="7FD17D13"/>
    <w:rsid w:val="7FD7406F"/>
    <w:rsid w:val="7FDF106F"/>
    <w:rsid w:val="7FF107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beforeLines="0" w:after="330" w:afterLines="0" w:line="578" w:lineRule="auto"/>
      <w:jc w:val="center"/>
      <w:outlineLvl w:val="0"/>
    </w:pPr>
    <w:rPr>
      <w:b/>
      <w:bCs/>
      <w:kern w:val="44"/>
      <w:sz w:val="32"/>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rFonts w:ascii="Times New Roman" w:hAnsi="Times New Roman" w:eastAsia="宋体" w:cs="Times New Roman"/>
      <w:kern w:val="0"/>
      <w:sz w:val="24"/>
      <w:szCs w:val="20"/>
    </w:rPr>
  </w:style>
  <w:style w:type="paragraph" w:styleId="4">
    <w:name w:val="heading 3"/>
    <w:basedOn w:val="1"/>
    <w:next w:val="1"/>
    <w:qFormat/>
    <w:uiPriority w:val="0"/>
    <w:pPr>
      <w:keepNext/>
      <w:keepLines/>
      <w:spacing w:before="260" w:beforeLines="0" w:after="260" w:afterLines="0" w:line="416" w:lineRule="atLeast"/>
      <w:jc w:val="both"/>
      <w:textAlignment w:val="baseline"/>
      <w:outlineLvl w:val="2"/>
    </w:pPr>
    <w:rPr>
      <w:rFonts w:ascii="Times New Roman" w:hAnsi="Times New Roman" w:eastAsia="宋体" w:cs="Times New Roman"/>
      <w:b/>
      <w:bCs/>
      <w:color w:val="000000"/>
      <w:sz w:val="32"/>
      <w:szCs w:val="32"/>
      <w:u w:val="none" w:color="000000"/>
      <w:lang w:val="en-US" w:eastAsia="zh-CN" w:bidi="ar-SA"/>
    </w:rPr>
  </w:style>
  <w:style w:type="paragraph" w:styleId="5">
    <w:name w:val="heading 4"/>
    <w:basedOn w:val="1"/>
    <w:next w:val="1"/>
    <w:link w:val="56"/>
    <w:qFormat/>
    <w:uiPriority w:val="0"/>
    <w:pPr>
      <w:keepNext/>
      <w:keepLines/>
      <w:widowControl/>
      <w:spacing w:before="280" w:beforeLines="0" w:after="290" w:afterLines="0" w:line="376" w:lineRule="atLeast"/>
      <w:textAlignment w:val="baseline"/>
      <w:outlineLvl w:val="3"/>
    </w:pPr>
    <w:rPr>
      <w:rFonts w:ascii="Arial" w:hAnsi="Arial" w:eastAsia="黑体"/>
      <w:b/>
      <w:bCs/>
      <w:color w:val="000000"/>
      <w:kern w:val="0"/>
      <w:sz w:val="28"/>
      <w:szCs w:val="28"/>
      <w:u w:val="none" w:color="000000"/>
    </w:rPr>
  </w:style>
  <w:style w:type="paragraph" w:styleId="6">
    <w:name w:val="heading 5"/>
    <w:basedOn w:val="1"/>
    <w:next w:val="1"/>
    <w:link w:val="57"/>
    <w:qFormat/>
    <w:uiPriority w:val="0"/>
    <w:pPr>
      <w:keepNext/>
      <w:keepLines/>
      <w:spacing w:before="280" w:beforeLines="0" w:after="290" w:afterLines="0" w:line="376" w:lineRule="auto"/>
      <w:outlineLvl w:val="4"/>
    </w:pPr>
    <w:rPr>
      <w:b/>
      <w:bCs/>
      <w:sz w:val="28"/>
      <w:szCs w:val="28"/>
    </w:rPr>
  </w:style>
  <w:style w:type="paragraph" w:styleId="7">
    <w:name w:val="heading 6"/>
    <w:basedOn w:val="1"/>
    <w:next w:val="1"/>
    <w:link w:val="58"/>
    <w:qFormat/>
    <w:uiPriority w:val="0"/>
    <w:pPr>
      <w:keepNext/>
      <w:keepLines/>
      <w:spacing w:before="240" w:beforeLines="0" w:after="64" w:afterLines="0" w:line="320" w:lineRule="auto"/>
      <w:outlineLvl w:val="5"/>
    </w:pPr>
    <w:rPr>
      <w:rFonts w:ascii="Cambria" w:hAnsi="Cambria"/>
      <w:b/>
      <w:bCs/>
      <w:sz w:val="24"/>
    </w:rPr>
  </w:style>
  <w:style w:type="paragraph" w:styleId="8">
    <w:name w:val="heading 7"/>
    <w:basedOn w:val="1"/>
    <w:next w:val="1"/>
    <w:link w:val="59"/>
    <w:qFormat/>
    <w:uiPriority w:val="0"/>
    <w:pPr>
      <w:keepNext/>
      <w:keepLines/>
      <w:spacing w:before="240" w:beforeLines="0" w:after="64" w:afterLines="0" w:line="320" w:lineRule="auto"/>
      <w:outlineLvl w:val="6"/>
    </w:pPr>
    <w:rPr>
      <w:b/>
      <w:bCs/>
      <w:sz w:val="24"/>
    </w:rPr>
  </w:style>
  <w:style w:type="character" w:default="1" w:styleId="37">
    <w:name w:val="Default Paragraph Font"/>
    <w:qFormat/>
    <w:uiPriority w:val="0"/>
    <w:rPr>
      <w:rFonts w:ascii="Times New Roman" w:hAnsi="Times New Roman" w:eastAsia="宋体" w:cs="Times New Roman"/>
    </w:rPr>
  </w:style>
  <w:style w:type="table" w:default="1" w:styleId="35">
    <w:name w:val="Normal Table"/>
    <w:semiHidden/>
    <w:qFormat/>
    <w:uiPriority w:val="0"/>
    <w:tblPr>
      <w:tblCellMar>
        <w:top w:w="0" w:type="dxa"/>
        <w:left w:w="108" w:type="dxa"/>
        <w:bottom w:w="0" w:type="dxa"/>
        <w:right w:w="108" w:type="dxa"/>
      </w:tblCellMar>
    </w:tblPr>
  </w:style>
  <w:style w:type="paragraph" w:styleId="9">
    <w:name w:val="toc 7"/>
    <w:basedOn w:val="1"/>
    <w:next w:val="1"/>
    <w:qFormat/>
    <w:uiPriority w:val="39"/>
    <w:pPr>
      <w:ind w:left="1260"/>
      <w:jc w:val="left"/>
    </w:pPr>
    <w:rPr>
      <w:sz w:val="18"/>
      <w:szCs w:val="18"/>
    </w:rPr>
  </w:style>
  <w:style w:type="paragraph" w:styleId="10">
    <w:name w:val="List Number 2"/>
    <w:basedOn w:val="1"/>
    <w:qFormat/>
    <w:uiPriority w:val="0"/>
    <w:pPr>
      <w:numPr>
        <w:ilvl w:val="0"/>
        <w:numId w:val="2"/>
      </w:numPr>
      <w:tabs>
        <w:tab w:val="left" w:pos="567"/>
        <w:tab w:val="clear" w:pos="425"/>
      </w:tabs>
      <w:adjustRightInd w:val="0"/>
      <w:spacing w:line="300" w:lineRule="auto"/>
      <w:textAlignment w:val="baseline"/>
    </w:pPr>
    <w:rPr>
      <w:rFonts w:ascii="Times New Roman" w:hAnsi="Times New Roman" w:eastAsia="宋体" w:cs="Times New Roman"/>
      <w:kern w:val="0"/>
      <w:sz w:val="28"/>
      <w:szCs w:val="20"/>
    </w:rPr>
  </w:style>
  <w:style w:type="paragraph" w:styleId="11">
    <w:name w:val="Normal Indent"/>
    <w:basedOn w:val="1"/>
    <w:next w:val="12"/>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2">
    <w:name w:val="Body Text First Indent 2"/>
    <w:basedOn w:val="13"/>
    <w:next w:val="1"/>
    <w:link w:val="54"/>
    <w:qFormat/>
    <w:uiPriority w:val="0"/>
    <w:pPr>
      <w:ind w:left="420" w:firstLine="420" w:firstLineChars="200"/>
    </w:pPr>
    <w:rPr>
      <w:kern w:val="0"/>
      <w:sz w:val="20"/>
      <w:szCs w:val="20"/>
    </w:rPr>
  </w:style>
  <w:style w:type="paragraph" w:styleId="13">
    <w:name w:val="Body Text Indent"/>
    <w:basedOn w:val="1"/>
    <w:next w:val="14"/>
    <w:link w:val="53"/>
    <w:qFormat/>
    <w:uiPriority w:val="0"/>
    <w:pPr>
      <w:spacing w:after="120" w:afterLines="0"/>
      <w:ind w:left="200" w:leftChars="200"/>
    </w:pPr>
  </w:style>
  <w:style w:type="paragraph" w:styleId="14">
    <w:name w:val="envelope return"/>
    <w:basedOn w:val="1"/>
    <w:next w:val="9"/>
    <w:qFormat/>
    <w:uiPriority w:val="0"/>
    <w:pPr>
      <w:snapToGrid w:val="0"/>
    </w:pPr>
    <w:rPr>
      <w:rFonts w:ascii="Arial" w:hAnsi="Arial" w:eastAsia="宋体" w:cs="Times New Roman"/>
    </w:rPr>
  </w:style>
  <w:style w:type="paragraph" w:styleId="15">
    <w:name w:val="Document Map"/>
    <w:basedOn w:val="1"/>
    <w:next w:val="1"/>
    <w:qFormat/>
    <w:uiPriority w:val="0"/>
    <w:pPr>
      <w:widowControl/>
      <w:shd w:val="clear" w:color="000000" w:fill="000080"/>
      <w:autoSpaceDE/>
      <w:autoSpaceDN/>
      <w:spacing w:before="0" w:beforeLines="0" w:after="0" w:afterLines="0" w:line="357" w:lineRule="atLeast"/>
      <w:ind w:left="0" w:firstLine="0"/>
      <w:jc w:val="both"/>
    </w:pPr>
    <w:rPr>
      <w:rFonts w:ascii="Times New Roman" w:hAnsi="Times New Roman" w:eastAsia="宋体" w:cs="Times New Roman"/>
      <w:color w:val="000000"/>
      <w:sz w:val="21"/>
    </w:rPr>
  </w:style>
  <w:style w:type="paragraph" w:styleId="16">
    <w:name w:val="annotation text"/>
    <w:basedOn w:val="1"/>
    <w:link w:val="60"/>
    <w:qFormat/>
    <w:uiPriority w:val="0"/>
    <w:pPr>
      <w:jc w:val="left"/>
    </w:pPr>
  </w:style>
  <w:style w:type="paragraph" w:styleId="17">
    <w:name w:val="Body Text"/>
    <w:basedOn w:val="1"/>
    <w:qFormat/>
    <w:uiPriority w:val="0"/>
    <w:pPr>
      <w:spacing w:after="120" w:afterLines="0"/>
    </w:pPr>
    <w:rPr>
      <w:rFonts w:ascii="Times New Roman" w:hAnsi="Times New Roman" w:eastAsia="宋体" w:cs="Times New Roman"/>
    </w:rPr>
  </w:style>
  <w:style w:type="paragraph" w:styleId="18">
    <w:name w:val="toc 3"/>
    <w:basedOn w:val="1"/>
    <w:next w:val="1"/>
    <w:qFormat/>
    <w:uiPriority w:val="0"/>
    <w:pPr>
      <w:tabs>
        <w:tab w:val="right" w:leader="dot" w:pos="9288"/>
      </w:tabs>
      <w:ind w:left="400" w:leftChars="400"/>
    </w:pPr>
    <w:rPr>
      <w:rFonts w:ascii="宋体" w:hAnsi="Times New Roman" w:eastAsia="宋体" w:cs="Times New Roman"/>
    </w:rPr>
  </w:style>
  <w:style w:type="paragraph" w:styleId="19">
    <w:name w:val="Plain Text"/>
    <w:basedOn w:val="1"/>
    <w:link w:val="61"/>
    <w:qFormat/>
    <w:uiPriority w:val="0"/>
    <w:rPr>
      <w:rFonts w:ascii="宋体"/>
      <w:color w:val="000000"/>
      <w:szCs w:val="20"/>
      <w:u w:val="none" w:color="000000"/>
    </w:rPr>
  </w:style>
  <w:style w:type="paragraph" w:styleId="20">
    <w:name w:val="Date"/>
    <w:basedOn w:val="1"/>
    <w:next w:val="1"/>
    <w:link w:val="62"/>
    <w:qFormat/>
    <w:uiPriority w:val="0"/>
    <w:rPr>
      <w:rFonts w:ascii="Arial" w:hAnsi="Arial" w:eastAsia="仿宋_GB2312"/>
      <w:color w:val="000000"/>
      <w:sz w:val="32"/>
      <w:szCs w:val="20"/>
      <w:u w:val="none" w:color="000000"/>
    </w:rPr>
  </w:style>
  <w:style w:type="paragraph" w:styleId="21">
    <w:name w:val="Body Text Indent 2"/>
    <w:basedOn w:val="1"/>
    <w:link w:val="63"/>
    <w:qFormat/>
    <w:uiPriority w:val="0"/>
    <w:pPr>
      <w:spacing w:after="120" w:afterLines="0" w:line="480" w:lineRule="auto"/>
      <w:ind w:left="420" w:leftChars="200"/>
    </w:pPr>
  </w:style>
  <w:style w:type="paragraph" w:styleId="22">
    <w:name w:val="Balloon Text"/>
    <w:basedOn w:val="1"/>
    <w:link w:val="64"/>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rPr>
      <w:rFonts w:ascii="Times New Roman" w:hAnsi="Times New Roman" w:eastAsia="宋体" w:cs="Times New Roman"/>
    </w:rPr>
  </w:style>
  <w:style w:type="paragraph" w:styleId="26">
    <w:name w:val="Subtitle"/>
    <w:basedOn w:val="1"/>
    <w:next w:val="1"/>
    <w:qFormat/>
    <w:uiPriority w:val="0"/>
    <w:pPr>
      <w:numPr>
        <w:ilvl w:val="0"/>
        <w:numId w:val="3"/>
      </w:numPr>
      <w:spacing w:line="360" w:lineRule="auto"/>
      <w:jc w:val="left"/>
      <w:outlineLvl w:val="1"/>
    </w:pPr>
    <w:rPr>
      <w:rFonts w:ascii="Calibri Light" w:hAnsi="Calibri Light" w:eastAsia="宋体" w:cs="Times New Roman"/>
      <w:bCs/>
      <w:kern w:val="28"/>
      <w:szCs w:val="32"/>
    </w:rPr>
  </w:style>
  <w:style w:type="paragraph" w:styleId="27">
    <w:name w:val="List"/>
    <w:basedOn w:val="1"/>
    <w:next w:val="1"/>
    <w:qFormat/>
    <w:uiPriority w:val="0"/>
    <w:pPr>
      <w:widowControl w:val="0"/>
      <w:spacing w:line="240" w:lineRule="auto"/>
      <w:ind w:left="420" w:hanging="420"/>
      <w:textAlignment w:val="auto"/>
    </w:pPr>
    <w:rPr>
      <w:rFonts w:ascii="Arial" w:hAnsi="Arial" w:eastAsia="楷体_GB2312" w:cs="Times New Roman"/>
      <w:color w:val="auto"/>
      <w:kern w:val="2"/>
      <w:sz w:val="28"/>
      <w:u w:val="none" w:color="auto"/>
    </w:rPr>
  </w:style>
  <w:style w:type="paragraph" w:styleId="28">
    <w:name w:val="toc 6"/>
    <w:basedOn w:val="1"/>
    <w:next w:val="1"/>
    <w:qFormat/>
    <w:uiPriority w:val="0"/>
    <w:pPr>
      <w:autoSpaceDE w:val="0"/>
      <w:autoSpaceDN w:val="0"/>
      <w:ind w:left="1700"/>
      <w:jc w:val="left"/>
      <w:textAlignment w:val="baseline"/>
    </w:pPr>
    <w:rPr>
      <w:kern w:val="0"/>
      <w:sz w:val="18"/>
      <w:szCs w:val="18"/>
    </w:rPr>
  </w:style>
  <w:style w:type="paragraph" w:styleId="29">
    <w:name w:val="toc 2"/>
    <w:basedOn w:val="1"/>
    <w:next w:val="1"/>
    <w:qFormat/>
    <w:uiPriority w:val="0"/>
    <w:pPr>
      <w:ind w:left="200" w:leftChars="200"/>
    </w:pPr>
    <w:rPr>
      <w:rFonts w:ascii="Times New Roman" w:hAnsi="Times New Roman" w:eastAsia="宋体" w:cs="Times New Roman"/>
    </w:r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Arial" w:hAnsi="Arial"/>
    </w:rPr>
  </w:style>
  <w:style w:type="paragraph" w:styleId="31">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32">
    <w:name w:val="Title"/>
    <w:basedOn w:val="1"/>
    <w:next w:val="1"/>
    <w:qFormat/>
    <w:uiPriority w:val="0"/>
    <w:pPr>
      <w:numPr>
        <w:ilvl w:val="0"/>
        <w:numId w:val="4"/>
      </w:numPr>
      <w:spacing w:line="360" w:lineRule="auto"/>
      <w:jc w:val="left"/>
      <w:outlineLvl w:val="0"/>
    </w:pPr>
    <w:rPr>
      <w:rFonts w:ascii="Cambria" w:hAnsi="Cambria" w:eastAsia="宋体" w:cs="Times New Roman"/>
      <w:b/>
      <w:bCs/>
      <w:sz w:val="28"/>
      <w:szCs w:val="32"/>
    </w:rPr>
  </w:style>
  <w:style w:type="paragraph" w:styleId="33">
    <w:name w:val="annotation subject"/>
    <w:basedOn w:val="16"/>
    <w:next w:val="16"/>
    <w:link w:val="67"/>
    <w:qFormat/>
    <w:uiPriority w:val="0"/>
    <w:rPr>
      <w:b/>
      <w:bCs/>
    </w:rPr>
  </w:style>
  <w:style w:type="paragraph" w:styleId="34">
    <w:name w:val="Body Text First Indent"/>
    <w:basedOn w:val="17"/>
    <w:qFormat/>
    <w:uiPriority w:val="0"/>
    <w:pPr>
      <w:ind w:firstLine="420" w:firstLineChars="100"/>
    </w:pPr>
    <w:rPr>
      <w:rFonts w:ascii="Times New Roman" w:hAnsi="Times New Roman" w:eastAsia="宋体" w:cs="Times New Roman"/>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ascii="Times New Roman" w:hAnsi="Times New Roman" w:eastAsia="宋体" w:cs="Times New Roman"/>
      <w:b/>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333333"/>
      <w:u w:val="none"/>
    </w:rPr>
  </w:style>
  <w:style w:type="character" w:styleId="41">
    <w:name w:val="Emphasis"/>
    <w:qFormat/>
    <w:uiPriority w:val="0"/>
    <w:rPr>
      <w:rFonts w:ascii="Times New Roman" w:hAnsi="Times New Roman" w:eastAsia="宋体" w:cs="Times New Roman"/>
      <w:i/>
      <w:iCs/>
    </w:rPr>
  </w:style>
  <w:style w:type="character" w:styleId="42">
    <w:name w:val="HTML Definition"/>
    <w:qFormat/>
    <w:uiPriority w:val="0"/>
    <w:rPr>
      <w:rFonts w:ascii="Times New Roman" w:hAnsi="Times New Roman" w:eastAsia="宋体" w:cs="Times New Roman"/>
    </w:rPr>
  </w:style>
  <w:style w:type="character" w:styleId="43">
    <w:name w:val="HTML Typewriter"/>
    <w:qFormat/>
    <w:uiPriority w:val="0"/>
    <w:rPr>
      <w:rFonts w:hint="default" w:ascii="monospace" w:hAnsi="monospace" w:eastAsia="monospace" w:cs="monospace"/>
      <w:sz w:val="20"/>
    </w:rPr>
  </w:style>
  <w:style w:type="character" w:styleId="44">
    <w:name w:val="HTML Acronym"/>
    <w:qFormat/>
    <w:uiPriority w:val="0"/>
    <w:rPr>
      <w:rFonts w:ascii="Times New Roman" w:hAnsi="Times New Roman" w:eastAsia="宋体" w:cs="Times New Roman"/>
    </w:rPr>
  </w:style>
  <w:style w:type="character" w:styleId="45">
    <w:name w:val="HTML Variable"/>
    <w:qFormat/>
    <w:uiPriority w:val="0"/>
    <w:rPr>
      <w:rFonts w:ascii="Times New Roman" w:hAnsi="Times New Roman" w:eastAsia="宋体" w:cs="Times New Roman"/>
    </w:rPr>
  </w:style>
  <w:style w:type="character" w:styleId="46">
    <w:name w:val="Hyperlink"/>
    <w:qFormat/>
    <w:uiPriority w:val="0"/>
    <w:rPr>
      <w:rFonts w:ascii="Times New Roman" w:hAnsi="Times New Roman" w:eastAsia="宋体" w:cs="Times New Roman"/>
      <w:color w:val="333333"/>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qFormat/>
    <w:uiPriority w:val="0"/>
    <w:rPr>
      <w:rFonts w:ascii="Times New Roman" w:hAnsi="Times New Roman" w:eastAsia="宋体" w:cs="Times New Roman"/>
      <w:sz w:val="21"/>
      <w:szCs w:val="21"/>
    </w:rPr>
  </w:style>
  <w:style w:type="character" w:styleId="49">
    <w:name w:val="HTML Cite"/>
    <w:qFormat/>
    <w:uiPriority w:val="0"/>
    <w:rPr>
      <w:rFonts w:ascii="Times New Roman" w:hAnsi="Times New Roman" w:eastAsia="宋体" w:cs="Times New Roman"/>
    </w:rPr>
  </w:style>
  <w:style w:type="character" w:styleId="50">
    <w:name w:val="HTML Keyboard"/>
    <w:qFormat/>
    <w:uiPriority w:val="0"/>
    <w:rPr>
      <w:rFonts w:hint="default" w:ascii="monospace" w:hAnsi="monospace" w:eastAsia="monospace" w:cs="monospace"/>
      <w:sz w:val="20"/>
    </w:rPr>
  </w:style>
  <w:style w:type="character" w:styleId="51">
    <w:name w:val="HTML Sample"/>
    <w:qFormat/>
    <w:uiPriority w:val="0"/>
    <w:rPr>
      <w:rFonts w:ascii="monospace" w:hAnsi="monospace" w:eastAsia="monospace" w:cs="monospace"/>
    </w:rPr>
  </w:style>
  <w:style w:type="paragraph" w:customStyle="1" w:styleId="5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53">
    <w:name w:val="正文文本缩进 Char"/>
    <w:link w:val="13"/>
    <w:qFormat/>
    <w:uiPriority w:val="0"/>
    <w:rPr>
      <w:rFonts w:ascii="Times New Roman" w:hAnsi="Times New Roman" w:eastAsia="宋体" w:cs="Times New Roman"/>
      <w:kern w:val="2"/>
      <w:sz w:val="21"/>
      <w:szCs w:val="24"/>
    </w:rPr>
  </w:style>
  <w:style w:type="character" w:customStyle="1" w:styleId="54">
    <w:name w:val="正文首行缩进 2 Char"/>
    <w:link w:val="12"/>
    <w:qFormat/>
    <w:uiPriority w:val="0"/>
    <w:rPr>
      <w:rFonts w:ascii="Times New Roman" w:hAnsi="Times New Roman" w:eastAsia="宋体" w:cs="Times New Roman"/>
    </w:rPr>
  </w:style>
  <w:style w:type="character" w:customStyle="1" w:styleId="55">
    <w:name w:val="标题 1 Char"/>
    <w:link w:val="2"/>
    <w:qFormat/>
    <w:uiPriority w:val="0"/>
    <w:rPr>
      <w:rFonts w:ascii="Times New Roman" w:hAnsi="Times New Roman" w:eastAsia="宋体" w:cs="Times New Roman"/>
      <w:b/>
      <w:bCs/>
      <w:kern w:val="44"/>
      <w:sz w:val="32"/>
      <w:szCs w:val="44"/>
    </w:rPr>
  </w:style>
  <w:style w:type="character" w:customStyle="1" w:styleId="56">
    <w:name w:val="标题 4 Char"/>
    <w:link w:val="5"/>
    <w:qFormat/>
    <w:uiPriority w:val="0"/>
    <w:rPr>
      <w:rFonts w:ascii="Arial" w:hAnsi="Arial" w:eastAsia="黑体" w:cs="Times New Roman"/>
      <w:b/>
      <w:bCs/>
      <w:color w:val="000000"/>
      <w:sz w:val="28"/>
      <w:szCs w:val="28"/>
      <w:u w:val="none" w:color="000000"/>
      <w:lang w:val="en-US" w:eastAsia="zh-CN" w:bidi="ar-SA"/>
    </w:rPr>
  </w:style>
  <w:style w:type="character" w:customStyle="1" w:styleId="57">
    <w:name w:val="标题 5 Char"/>
    <w:link w:val="6"/>
    <w:qFormat/>
    <w:uiPriority w:val="0"/>
    <w:rPr>
      <w:rFonts w:ascii="Times New Roman" w:hAnsi="Times New Roman" w:eastAsia="宋体" w:cs="Times New Roman"/>
      <w:b/>
      <w:bCs/>
      <w:kern w:val="2"/>
      <w:sz w:val="28"/>
      <w:szCs w:val="28"/>
    </w:rPr>
  </w:style>
  <w:style w:type="character" w:customStyle="1" w:styleId="58">
    <w:name w:val="标题 6 Char"/>
    <w:link w:val="7"/>
    <w:qFormat/>
    <w:uiPriority w:val="0"/>
    <w:rPr>
      <w:rFonts w:ascii="Cambria" w:hAnsi="Cambria" w:eastAsia="宋体" w:cs="Times New Roman"/>
      <w:b/>
      <w:bCs/>
      <w:kern w:val="2"/>
      <w:sz w:val="24"/>
      <w:szCs w:val="24"/>
    </w:rPr>
  </w:style>
  <w:style w:type="character" w:customStyle="1" w:styleId="59">
    <w:name w:val="标题 7 Char"/>
    <w:link w:val="8"/>
    <w:qFormat/>
    <w:uiPriority w:val="0"/>
    <w:rPr>
      <w:rFonts w:ascii="Times New Roman" w:hAnsi="Times New Roman" w:eastAsia="宋体" w:cs="Times New Roman"/>
      <w:b/>
      <w:bCs/>
      <w:kern w:val="2"/>
      <w:sz w:val="24"/>
      <w:szCs w:val="24"/>
    </w:rPr>
  </w:style>
  <w:style w:type="character" w:customStyle="1" w:styleId="60">
    <w:name w:val="批注文字 Char"/>
    <w:link w:val="16"/>
    <w:qFormat/>
    <w:uiPriority w:val="0"/>
    <w:rPr>
      <w:rFonts w:ascii="Times New Roman" w:hAnsi="Times New Roman" w:eastAsia="宋体" w:cs="Times New Roman"/>
      <w:kern w:val="2"/>
      <w:sz w:val="21"/>
      <w:szCs w:val="24"/>
    </w:rPr>
  </w:style>
  <w:style w:type="character" w:customStyle="1" w:styleId="61">
    <w:name w:val="纯文本 Char"/>
    <w:link w:val="19"/>
    <w:qFormat/>
    <w:uiPriority w:val="0"/>
    <w:rPr>
      <w:rFonts w:ascii="宋体" w:hAnsi="Times New Roman" w:eastAsia="宋体" w:cs="Times New Roman"/>
      <w:color w:val="000000"/>
      <w:kern w:val="2"/>
      <w:sz w:val="21"/>
      <w:u w:val="none" w:color="000000"/>
      <w:lang w:val="en-US" w:eastAsia="zh-CN" w:bidi="ar-SA"/>
    </w:rPr>
  </w:style>
  <w:style w:type="character" w:customStyle="1" w:styleId="62">
    <w:name w:val="日期 Char"/>
    <w:link w:val="20"/>
    <w:qFormat/>
    <w:uiPriority w:val="0"/>
    <w:rPr>
      <w:rFonts w:ascii="Arial" w:hAnsi="Arial" w:eastAsia="仿宋_GB2312" w:cs="Times New Roman"/>
      <w:color w:val="000000"/>
      <w:kern w:val="2"/>
      <w:sz w:val="32"/>
      <w:u w:val="none" w:color="000000"/>
    </w:rPr>
  </w:style>
  <w:style w:type="character" w:customStyle="1" w:styleId="63">
    <w:name w:val="正文文本缩进 2 Char"/>
    <w:link w:val="21"/>
    <w:qFormat/>
    <w:uiPriority w:val="0"/>
    <w:rPr>
      <w:rFonts w:ascii="Times New Roman" w:hAnsi="Times New Roman" w:eastAsia="宋体" w:cs="Times New Roman"/>
      <w:kern w:val="2"/>
      <w:sz w:val="21"/>
      <w:szCs w:val="24"/>
    </w:rPr>
  </w:style>
  <w:style w:type="character" w:customStyle="1" w:styleId="64">
    <w:name w:val="批注框文本 Char"/>
    <w:link w:val="22"/>
    <w:qFormat/>
    <w:uiPriority w:val="0"/>
    <w:rPr>
      <w:rFonts w:ascii="Times New Roman" w:hAnsi="Times New Roman" w:eastAsia="宋体" w:cs="Times New Roman"/>
      <w:kern w:val="2"/>
      <w:sz w:val="18"/>
      <w:szCs w:val="18"/>
    </w:rPr>
  </w:style>
  <w:style w:type="character" w:customStyle="1" w:styleId="65">
    <w:name w:val="页脚 Char"/>
    <w:link w:val="23"/>
    <w:qFormat/>
    <w:uiPriority w:val="0"/>
    <w:rPr>
      <w:rFonts w:ascii="Times New Roman" w:hAnsi="Times New Roman" w:eastAsia="宋体" w:cs="Times New Roman"/>
      <w:kern w:val="2"/>
      <w:sz w:val="18"/>
      <w:szCs w:val="18"/>
    </w:rPr>
  </w:style>
  <w:style w:type="character" w:customStyle="1" w:styleId="66">
    <w:name w:val="页眉 Char"/>
    <w:link w:val="24"/>
    <w:qFormat/>
    <w:uiPriority w:val="0"/>
    <w:rPr>
      <w:rFonts w:ascii="Times New Roman" w:hAnsi="Times New Roman" w:eastAsia="宋体" w:cs="Times New Roman"/>
      <w:kern w:val="2"/>
      <w:sz w:val="18"/>
      <w:szCs w:val="18"/>
    </w:rPr>
  </w:style>
  <w:style w:type="character" w:customStyle="1" w:styleId="67">
    <w:name w:val="批注主题 Char"/>
    <w:link w:val="33"/>
    <w:qFormat/>
    <w:uiPriority w:val="0"/>
    <w:rPr>
      <w:rFonts w:ascii="Times New Roman" w:hAnsi="Times New Roman" w:eastAsia="宋体" w:cs="Times New Roman"/>
      <w:b/>
      <w:bCs/>
      <w:kern w:val="2"/>
      <w:sz w:val="21"/>
      <w:szCs w:val="24"/>
    </w:rPr>
  </w:style>
  <w:style w:type="character" w:customStyle="1" w:styleId="68">
    <w:name w:val="图表 Char Char"/>
    <w:link w:val="69"/>
    <w:qFormat/>
    <w:uiPriority w:val="0"/>
    <w:rPr>
      <w:rFonts w:ascii="Times New Roman" w:hAnsi="Times New Roman" w:eastAsia="宋体" w:cs="Times New Roman"/>
      <w:kern w:val="2"/>
      <w:sz w:val="21"/>
      <w:szCs w:val="21"/>
    </w:rPr>
  </w:style>
  <w:style w:type="paragraph" w:customStyle="1" w:styleId="69">
    <w:name w:val="图表"/>
    <w:basedOn w:val="1"/>
    <w:next w:val="1"/>
    <w:link w:val="68"/>
    <w:qFormat/>
    <w:uiPriority w:val="0"/>
    <w:pPr>
      <w:jc w:val="center"/>
    </w:pPr>
    <w:rPr>
      <w:szCs w:val="21"/>
    </w:rPr>
  </w:style>
  <w:style w:type="character" w:customStyle="1" w:styleId="70">
    <w:name w:val="【正文】 Char Char"/>
    <w:link w:val="71"/>
    <w:qFormat/>
    <w:uiPriority w:val="0"/>
    <w:rPr>
      <w:rFonts w:ascii="Times New Roman" w:hAnsi="Times New Roman" w:eastAsia="宋体" w:cs="DokChampa"/>
      <w:kern w:val="2"/>
      <w:sz w:val="24"/>
      <w:szCs w:val="22"/>
    </w:rPr>
  </w:style>
  <w:style w:type="paragraph" w:customStyle="1" w:styleId="71">
    <w:name w:val="【正文】"/>
    <w:basedOn w:val="1"/>
    <w:link w:val="70"/>
    <w:qFormat/>
    <w:uiPriority w:val="0"/>
    <w:pPr>
      <w:spacing w:line="360" w:lineRule="auto"/>
      <w:ind w:firstLine="480" w:firstLineChars="200"/>
    </w:pPr>
    <w:rPr>
      <w:sz w:val="24"/>
      <w:szCs w:val="22"/>
    </w:rPr>
  </w:style>
  <w:style w:type="character" w:customStyle="1" w:styleId="72">
    <w:name w:val="selected"/>
    <w:qFormat/>
    <w:uiPriority w:val="0"/>
    <w:rPr>
      <w:rFonts w:ascii="Times New Roman" w:hAnsi="Times New Roman" w:eastAsia="宋体" w:cs="Times New Roman"/>
      <w:shd w:val="clear" w:color="auto" w:fill="B00006"/>
    </w:rPr>
  </w:style>
  <w:style w:type="character" w:customStyle="1" w:styleId="73">
    <w:name w:val="font21"/>
    <w:basedOn w:val="37"/>
    <w:qFormat/>
    <w:uiPriority w:val="0"/>
    <w:rPr>
      <w:rFonts w:hint="eastAsia" w:ascii="宋体" w:hAnsi="宋体" w:eastAsia="宋体" w:cs="宋体"/>
      <w:color w:val="000000"/>
      <w:sz w:val="18"/>
      <w:szCs w:val="18"/>
      <w:u w:val="none"/>
    </w:rPr>
  </w:style>
  <w:style w:type="character" w:customStyle="1" w:styleId="74">
    <w:name w:val="bds_nopic"/>
    <w:qFormat/>
    <w:uiPriority w:val="0"/>
    <w:rPr>
      <w:rFonts w:ascii="Times New Roman" w:hAnsi="Times New Roman" w:eastAsia="宋体" w:cs="Times New Roman"/>
    </w:rPr>
  </w:style>
  <w:style w:type="character" w:customStyle="1" w:styleId="75">
    <w:name w:val="NormalCharacter"/>
    <w:qFormat/>
    <w:uiPriority w:val="0"/>
    <w:rPr>
      <w:rFonts w:ascii="Times New Roman" w:hAnsi="Times New Roman" w:eastAsia="宋体" w:cs="Times New Roman"/>
      <w:kern w:val="2"/>
      <w:sz w:val="21"/>
      <w:szCs w:val="24"/>
      <w:lang w:val="en-US" w:eastAsia="zh-CN" w:bidi="ar-SA"/>
    </w:rPr>
  </w:style>
  <w:style w:type="character" w:customStyle="1" w:styleId="76">
    <w:name w:val="gpa"/>
    <w:qFormat/>
    <w:uiPriority w:val="0"/>
    <w:rPr>
      <w:rFonts w:ascii="Arial" w:hAnsi="Arial" w:eastAsia="宋体" w:cs="Arial"/>
      <w:sz w:val="15"/>
      <w:szCs w:val="15"/>
    </w:rPr>
  </w:style>
  <w:style w:type="character" w:customStyle="1" w:styleId="77">
    <w:name w:val="正文首行缩进 2 Char1"/>
    <w:qFormat/>
    <w:uiPriority w:val="0"/>
    <w:rPr>
      <w:rFonts w:ascii="Times New Roman" w:hAnsi="Times New Roman" w:eastAsia="宋体" w:cs="Times New Roman"/>
    </w:rPr>
  </w:style>
  <w:style w:type="character" w:customStyle="1" w:styleId="78">
    <w:name w:val="列出段落 Char"/>
    <w:link w:val="79"/>
    <w:qFormat/>
    <w:uiPriority w:val="0"/>
    <w:rPr>
      <w:rFonts w:ascii="Calibri" w:hAnsi="Calibri" w:eastAsia="宋体" w:cs="Times New Roman"/>
      <w:kern w:val="2"/>
      <w:sz w:val="21"/>
      <w:szCs w:val="22"/>
      <w:lang w:val="en-US" w:eastAsia="zh-CN" w:bidi="ar-SA"/>
    </w:rPr>
  </w:style>
  <w:style w:type="paragraph" w:customStyle="1" w:styleId="79">
    <w:name w:val="List Paragraph1"/>
    <w:basedOn w:val="1"/>
    <w:link w:val="78"/>
    <w:qFormat/>
    <w:uiPriority w:val="0"/>
    <w:pPr>
      <w:spacing w:line="312" w:lineRule="auto"/>
      <w:ind w:firstLine="420" w:firstLineChars="200"/>
    </w:pPr>
    <w:rPr>
      <w:rFonts w:ascii="Calibri" w:hAnsi="Calibri"/>
      <w:szCs w:val="22"/>
    </w:rPr>
  </w:style>
  <w:style w:type="character" w:customStyle="1" w:styleId="80">
    <w:name w:val="bds_nopic2"/>
    <w:qFormat/>
    <w:uiPriority w:val="0"/>
    <w:rPr>
      <w:rFonts w:ascii="Times New Roman" w:hAnsi="Times New Roman" w:eastAsia="宋体" w:cs="Times New Roman"/>
    </w:rPr>
  </w:style>
  <w:style w:type="character" w:customStyle="1" w:styleId="81">
    <w:name w:val="font61"/>
    <w:qFormat/>
    <w:uiPriority w:val="0"/>
    <w:rPr>
      <w:rFonts w:hint="default" w:ascii="MS Sans Serif" w:hAnsi="MS Sans Serif" w:eastAsia="MS Sans Serif" w:cs="MS Sans Serif"/>
      <w:color w:val="000000"/>
      <w:sz w:val="18"/>
      <w:szCs w:val="18"/>
      <w:u w:val="none"/>
    </w:rPr>
  </w:style>
  <w:style w:type="character" w:customStyle="1" w:styleId="82">
    <w:name w:val="bds_more1"/>
    <w:qFormat/>
    <w:uiPriority w:val="0"/>
    <w:rPr>
      <w:rFonts w:ascii="Times New Roman" w:hAnsi="Times New Roman" w:eastAsia="宋体" w:cs="Times New Roman"/>
    </w:rPr>
  </w:style>
  <w:style w:type="character" w:customStyle="1" w:styleId="83">
    <w:name w:val="font71"/>
    <w:qFormat/>
    <w:uiPriority w:val="0"/>
    <w:rPr>
      <w:rFonts w:hint="default" w:ascii="MS Sans Serif" w:hAnsi="MS Sans Serif" w:eastAsia="MS Sans Serif" w:cs="MS Sans Serif"/>
      <w:color w:val="000000"/>
      <w:sz w:val="18"/>
      <w:szCs w:val="18"/>
      <w:u w:val="none"/>
    </w:rPr>
  </w:style>
  <w:style w:type="character" w:customStyle="1" w:styleId="84">
    <w:name w:val="first-child"/>
    <w:qFormat/>
    <w:uiPriority w:val="0"/>
    <w:rPr>
      <w:rFonts w:ascii="Times New Roman" w:hAnsi="Times New Roman" w:eastAsia="宋体" w:cs="Times New Roman"/>
    </w:rPr>
  </w:style>
  <w:style w:type="character" w:customStyle="1" w:styleId="85">
    <w:name w:val="bds_nopic1"/>
    <w:qFormat/>
    <w:uiPriority w:val="0"/>
    <w:rPr>
      <w:rFonts w:ascii="Times New Roman" w:hAnsi="Times New Roman" w:eastAsia="宋体" w:cs="Times New Roman"/>
    </w:rPr>
  </w:style>
  <w:style w:type="character" w:customStyle="1" w:styleId="86">
    <w:name w:val="layui-this"/>
    <w:qFormat/>
    <w:uiPriority w:val="0"/>
    <w:rPr>
      <w:rFonts w:ascii="Times New Roman" w:hAnsi="Times New Roman" w:eastAsia="宋体" w:cs="Times New Roman"/>
      <w:bdr w:val="single" w:color="EEEEEE" w:sz="6" w:space="0"/>
      <w:shd w:val="clear" w:color="auto" w:fill="FFFFFF"/>
    </w:rPr>
  </w:style>
  <w:style w:type="character" w:customStyle="1" w:styleId="87">
    <w:name w:val="font81"/>
    <w:qFormat/>
    <w:uiPriority w:val="0"/>
    <w:rPr>
      <w:rFonts w:ascii="Arial Unicode MS" w:hAnsi="Arial Unicode MS" w:eastAsia="Arial Unicode MS" w:cs="Arial Unicode MS"/>
      <w:color w:val="000000"/>
      <w:sz w:val="18"/>
      <w:szCs w:val="18"/>
      <w:u w:val="none"/>
    </w:rPr>
  </w:style>
  <w:style w:type="character" w:customStyle="1" w:styleId="88">
    <w:name w:val="apple-converted-space"/>
    <w:qFormat/>
    <w:uiPriority w:val="0"/>
    <w:rPr>
      <w:rFonts w:ascii="Times New Roman" w:hAnsi="Times New Roman" w:eastAsia="宋体" w:cs="Times New Roman"/>
    </w:rPr>
  </w:style>
  <w:style w:type="character" w:customStyle="1" w:styleId="89">
    <w:name w:val="displayarti"/>
    <w:qFormat/>
    <w:uiPriority w:val="0"/>
    <w:rPr>
      <w:rFonts w:ascii="Times New Roman" w:hAnsi="Times New Roman" w:eastAsia="宋体" w:cs="Times New Roman"/>
      <w:color w:val="FFFFFF"/>
      <w:shd w:val="clear" w:color="auto" w:fill="A00000"/>
    </w:rPr>
  </w:style>
  <w:style w:type="character" w:customStyle="1" w:styleId="90">
    <w:name w:val="font131"/>
    <w:qFormat/>
    <w:uiPriority w:val="0"/>
    <w:rPr>
      <w:rFonts w:hint="eastAsia" w:ascii="宋体" w:hAnsi="宋体" w:eastAsia="宋体" w:cs="宋体"/>
      <w:b/>
      <w:bCs/>
      <w:color w:val="000000"/>
      <w:sz w:val="20"/>
      <w:szCs w:val="20"/>
      <w:u w:val="none"/>
    </w:rPr>
  </w:style>
  <w:style w:type="character" w:customStyle="1" w:styleId="91">
    <w:name w:val="bds_more2"/>
    <w:qFormat/>
    <w:uiPriority w:val="0"/>
    <w:rPr>
      <w:rFonts w:ascii="Times New Roman" w:hAnsi="Times New Roman" w:eastAsia="宋体" w:cs="Times New Roman"/>
    </w:rPr>
  </w:style>
  <w:style w:type="character" w:customStyle="1" w:styleId="92">
    <w:name w:val="bds_more"/>
    <w:qFormat/>
    <w:uiPriority w:val="0"/>
    <w:rPr>
      <w:rFonts w:hint="eastAsia" w:ascii="宋体" w:hAnsi="宋体" w:eastAsia="宋体" w:cs="宋体"/>
    </w:rPr>
  </w:style>
  <w:style w:type="paragraph" w:customStyle="1" w:styleId="93">
    <w:name w:val=" Char Char Char Char"/>
    <w:basedOn w:val="1"/>
    <w:qFormat/>
    <w:uiPriority w:val="0"/>
    <w:rPr>
      <w:rFonts w:ascii="Tahoma" w:hAnsi="Tahoma" w:eastAsia="宋体" w:cs="Times New Roman"/>
      <w:sz w:val="24"/>
      <w:szCs w:val="20"/>
    </w:rPr>
  </w:style>
  <w:style w:type="paragraph" w:customStyle="1" w:styleId="94">
    <w:name w:val="标题4"/>
    <w:basedOn w:val="1"/>
    <w:qFormat/>
    <w:uiPriority w:val="0"/>
    <w:pPr>
      <w:numPr>
        <w:ilvl w:val="0"/>
        <w:numId w:val="5"/>
      </w:numPr>
      <w:spacing w:line="360" w:lineRule="auto"/>
      <w:ind w:left="720" w:leftChars="300"/>
      <w:jc w:val="left"/>
    </w:pPr>
    <w:rPr>
      <w:rFonts w:ascii="宋体" w:hAnsi="宋体" w:eastAsia="宋体" w:cs="Times New Roman"/>
      <w:sz w:val="18"/>
      <w:szCs w:val="18"/>
    </w:rPr>
  </w:style>
  <w:style w:type="paragraph" w:customStyle="1" w:styleId="95">
    <w:name w:val="Table Paragraph"/>
    <w:basedOn w:val="1"/>
    <w:qFormat/>
    <w:uiPriority w:val="0"/>
    <w:rPr>
      <w:rFonts w:ascii="宋体" w:hAnsi="宋体" w:eastAsia="宋体" w:cs="宋体"/>
      <w:lang w:val="zh-CN" w:eastAsia="zh-CN" w:bidi="zh-CN"/>
    </w:rPr>
  </w:style>
  <w:style w:type="paragraph" w:customStyle="1" w:styleId="96">
    <w:name w:val="p0"/>
    <w:basedOn w:val="1"/>
    <w:qFormat/>
    <w:uiPriority w:val="0"/>
    <w:pPr>
      <w:widowControl/>
      <w:spacing w:line="365" w:lineRule="atLeast"/>
      <w:ind w:left="1"/>
      <w:textAlignment w:val="bottom"/>
    </w:pPr>
    <w:rPr>
      <w:rFonts w:ascii="Calibri" w:hAnsi="Calibri" w:eastAsia="宋体" w:cs="Times New Roman"/>
      <w:kern w:val="0"/>
      <w:sz w:val="20"/>
      <w:szCs w:val="22"/>
    </w:rPr>
  </w:style>
  <w:style w:type="paragraph" w:customStyle="1" w:styleId="97">
    <w:name w:val="正文 New"/>
    <w:next w:val="98"/>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8">
    <w:name w:val="正文缩进1"/>
    <w:basedOn w:val="1"/>
    <w:next w:val="15"/>
    <w:qFormat/>
    <w:uiPriority w:val="0"/>
    <w:pPr>
      <w:widowControl w:val="0"/>
      <w:autoSpaceDE/>
      <w:autoSpaceDN/>
      <w:spacing w:before="0" w:beforeLines="0" w:after="0" w:afterLines="0" w:line="360" w:lineRule="atLeast"/>
      <w:ind w:left="0" w:firstLine="482"/>
      <w:jc w:val="both"/>
    </w:pPr>
    <w:rPr>
      <w:rFonts w:ascii="Times New Roman" w:hAnsi="Times New Roman" w:eastAsia="宋体" w:cs="Times New Roman"/>
      <w:sz w:val="24"/>
    </w:rPr>
  </w:style>
  <w:style w:type="paragraph" w:customStyle="1" w:styleId="99">
    <w:name w:val="Char Char Char Char Char Char Char1 Char"/>
    <w:basedOn w:val="1"/>
    <w:qFormat/>
    <w:uiPriority w:val="0"/>
    <w:rPr>
      <w:rFonts w:ascii="Tahoma" w:hAnsi="Tahoma" w:eastAsia="宋体" w:cs="Times New Roman"/>
      <w:sz w:val="24"/>
      <w:szCs w:val="20"/>
    </w:rPr>
  </w:style>
  <w:style w:type="paragraph" w:customStyle="1" w:styleId="100">
    <w:name w:val=" Char"/>
    <w:basedOn w:val="1"/>
    <w:qFormat/>
    <w:uiPriority w:val="0"/>
    <w:rPr>
      <w:rFonts w:ascii="Times New Roman" w:hAnsi="Times New Roman" w:eastAsia="宋体" w:cs="Times New Roman"/>
    </w:rPr>
  </w:style>
  <w:style w:type="paragraph" w:customStyle="1" w:styleId="101">
    <w:name w:val="（无样式）"/>
    <w:basedOn w:val="1"/>
    <w:qFormat/>
    <w:uiPriority w:val="0"/>
    <w:pPr>
      <w:widowControl/>
      <w:numPr>
        <w:ilvl w:val="0"/>
        <w:numId w:val="6"/>
      </w:numPr>
      <w:spacing w:line="360" w:lineRule="auto"/>
      <w:ind w:firstLine="0"/>
    </w:pPr>
    <w:rPr>
      <w:rFonts w:ascii="Times New Roman" w:hAnsi="Times New Roman" w:eastAsia="宋体" w:cs="Times New Roman"/>
      <w:sz w:val="24"/>
      <w:szCs w:val="20"/>
    </w:rPr>
  </w:style>
  <w:style w:type="paragraph" w:customStyle="1" w:styleId="10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03">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val="none" w:color="000000"/>
    </w:rPr>
  </w:style>
  <w:style w:type="paragraph" w:customStyle="1" w:styleId="104">
    <w:name w:val="_Style 102"/>
    <w:qFormat/>
    <w:uiPriority w:val="0"/>
    <w:rPr>
      <w:rFonts w:ascii="Times New Roman" w:hAnsi="Times New Roman" w:eastAsia="宋体" w:cs="Times New Roman"/>
      <w:kern w:val="2"/>
      <w:sz w:val="21"/>
      <w:szCs w:val="24"/>
      <w:lang w:val="en-US" w:eastAsia="zh-CN" w:bidi="ar-SA"/>
    </w:rPr>
  </w:style>
  <w:style w:type="paragraph" w:customStyle="1" w:styleId="105">
    <w:name w:val="Char"/>
    <w:basedOn w:val="1"/>
    <w:next w:val="1"/>
    <w:qFormat/>
    <w:uiPriority w:val="0"/>
    <w:pPr>
      <w:widowControl/>
      <w:spacing w:line="360" w:lineRule="auto"/>
      <w:jc w:val="left"/>
    </w:pPr>
    <w:rPr>
      <w:rFonts w:ascii="Times New Roman" w:hAnsi="Times New Roman" w:eastAsia="宋体" w:cs="Times New Roman"/>
      <w:kern w:val="0"/>
      <w:szCs w:val="20"/>
      <w:lang w:eastAsia="en-US"/>
    </w:rPr>
  </w:style>
  <w:style w:type="paragraph" w:customStyle="1" w:styleId="106">
    <w:name w:val="_Style 2"/>
    <w:basedOn w:val="1"/>
    <w:qFormat/>
    <w:uiPriority w:val="0"/>
    <w:rPr>
      <w:rFonts w:ascii="Times New Roman" w:hAnsi="Times New Roman" w:eastAsia="宋体" w:cs="Times New Roman"/>
    </w:rPr>
  </w:style>
  <w:style w:type="paragraph" w:customStyle="1" w:styleId="107">
    <w:name w:val="列出段落2"/>
    <w:basedOn w:val="1"/>
    <w:qFormat/>
    <w:uiPriority w:val="0"/>
    <w:pPr>
      <w:ind w:firstLine="420" w:firstLineChars="200"/>
    </w:pPr>
    <w:rPr>
      <w:rFonts w:ascii="Calibri" w:hAnsi="Calibri" w:eastAsia="宋体" w:cs="Times New Roman"/>
      <w:szCs w:val="22"/>
    </w:rPr>
  </w:style>
  <w:style w:type="paragraph" w:customStyle="1" w:styleId="108">
    <w:name w:val="*正文"/>
    <w:basedOn w:val="1"/>
    <w:qFormat/>
    <w:uiPriority w:val="0"/>
    <w:pPr>
      <w:widowControl/>
      <w:snapToGrid w:val="0"/>
      <w:ind w:firstLine="560"/>
      <w:jc w:val="left"/>
    </w:pPr>
    <w:rPr>
      <w:rFonts w:ascii="仿宋_GB2312" w:hAnsi="Times New Roman" w:eastAsia="宋体" w:cs="Times New Roman"/>
      <w:color w:val="191919"/>
      <w:sz w:val="28"/>
      <w:szCs w:val="28"/>
    </w:rPr>
  </w:style>
  <w:style w:type="paragraph" w:customStyle="1" w:styleId="109">
    <w:name w:val="列出段落1"/>
    <w:basedOn w:val="1"/>
    <w:qFormat/>
    <w:uiPriority w:val="0"/>
    <w:pPr>
      <w:ind w:firstLine="420" w:firstLineChars="200"/>
    </w:pPr>
    <w:rPr>
      <w:rFonts w:ascii="Times New Roman" w:hAnsi="Times New Roman" w:eastAsia="宋体" w:cs="Times New Roman"/>
    </w:rPr>
  </w:style>
  <w:style w:type="paragraph" w:customStyle="1" w:styleId="110">
    <w:name w:val="HtmlNormal"/>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111">
    <w:name w:val="List Paragraph"/>
    <w:basedOn w:val="1"/>
    <w:qFormat/>
    <w:uiPriority w:val="0"/>
    <w:pPr>
      <w:spacing w:line="360" w:lineRule="auto"/>
      <w:ind w:firstLine="420" w:firstLineChars="200"/>
    </w:pPr>
    <w:rPr>
      <w:rFonts w:ascii="宋体" w:hAnsi="宋体" w:eastAsia="宋体" w:cs="宋体"/>
      <w:sz w:val="24"/>
    </w:rPr>
  </w:style>
  <w:style w:type="paragraph" w:customStyle="1" w:styleId="112">
    <w:name w:val="列出段落11"/>
    <w:basedOn w:val="1"/>
    <w:qFormat/>
    <w:uiPriority w:val="0"/>
    <w:pPr>
      <w:spacing w:after="120" w:afterLines="0" w:line="360" w:lineRule="auto"/>
      <w:ind w:firstLine="420" w:firstLineChars="200"/>
    </w:pPr>
    <w:rPr>
      <w:rFonts w:ascii="Calibri" w:hAnsi="Calibri" w:eastAsia="宋体" w:cs="Times New Roman"/>
      <w:szCs w:val="22"/>
    </w:rPr>
  </w:style>
  <w:style w:type="paragraph" w:customStyle="1" w:styleId="113">
    <w:name w:val="_Style 4"/>
    <w:basedOn w:val="1"/>
    <w:qFormat/>
    <w:uiPriority w:val="0"/>
    <w:pPr>
      <w:adjustRightInd w:val="0"/>
      <w:ind w:firstLine="420" w:firstLineChars="200"/>
      <w:jc w:val="left"/>
      <w:textAlignment w:val="baseline"/>
    </w:pPr>
    <w:rPr>
      <w:rFonts w:ascii="Times New Roman" w:hAnsi="Times New Roman" w:eastAsia="宋体" w:cs="Times New Roman"/>
      <w:kern w:val="0"/>
      <w:szCs w:val="20"/>
    </w:rPr>
  </w:style>
  <w:style w:type="paragraph" w:customStyle="1" w:styleId="114">
    <w:name w:val="List Paragraph2"/>
    <w:basedOn w:val="1"/>
    <w:qFormat/>
    <w:uiPriority w:val="0"/>
    <w:pPr>
      <w:spacing w:line="360" w:lineRule="auto"/>
      <w:ind w:firstLine="420"/>
    </w:pPr>
    <w:rPr>
      <w:rFonts w:ascii="Times New Roman" w:hAnsi="Times New Roman" w:eastAsia="宋体" w:cs="Times New Roman"/>
      <w:color w:val="000000"/>
      <w:sz w:val="24"/>
      <w:szCs w:val="21"/>
    </w:rPr>
  </w:style>
  <w:style w:type="paragraph" w:customStyle="1" w:styleId="115">
    <w:name w:val="正文文字 8"/>
    <w:basedOn w:val="1"/>
    <w:next w:val="1"/>
    <w:qFormat/>
    <w:uiPriority w:val="0"/>
    <w:pPr>
      <w:ind w:left="240"/>
    </w:pPr>
    <w:rPr>
      <w:sz w:val="16"/>
    </w:rPr>
  </w:style>
  <w:style w:type="paragraph" w:customStyle="1" w:styleId="116">
    <w:name w:val="样式1"/>
    <w:basedOn w:val="1"/>
    <w:qFormat/>
    <w:uiPriority w:val="0"/>
    <w:pPr>
      <w:spacing w:line="360" w:lineRule="auto"/>
      <w:jc w:val="center"/>
    </w:pPr>
    <w:rPr>
      <w:rFonts w:ascii="Times New Roman" w:hAnsi="Times New Roman" w:eastAsia="宋体" w:cs="Times New Roman"/>
      <w:b/>
      <w:sz w:val="30"/>
      <w:szCs w:val="30"/>
    </w:rPr>
  </w:style>
  <w:style w:type="paragraph" w:customStyle="1" w:styleId="117">
    <w:name w:val="列表2"/>
    <w:basedOn w:val="1"/>
    <w:next w:val="1"/>
    <w:qFormat/>
    <w:uiPriority w:val="0"/>
    <w:pPr>
      <w:numPr>
        <w:ilvl w:val="0"/>
        <w:numId w:val="7"/>
      </w:numPr>
      <w:spacing w:line="200" w:lineRule="atLeast"/>
    </w:pPr>
    <w:rPr>
      <w:rFonts w:ascii="Times New Roman" w:hAnsi="Times New Roman" w:eastAsia="仿宋" w:cs="Times New Roman"/>
      <w:sz w:val="28"/>
    </w:rPr>
  </w:style>
  <w:style w:type="paragraph" w:customStyle="1" w:styleId="118">
    <w:name w:val="标题3-副本"/>
    <w:basedOn w:val="26"/>
    <w:qFormat/>
    <w:uiPriority w:val="0"/>
    <w:pPr>
      <w:numPr>
        <w:ilvl w:val="0"/>
        <w:numId w:val="0"/>
      </w:numPr>
      <w:ind w:left="840"/>
    </w:pPr>
    <w:rPr>
      <w:rFonts w:ascii="Times New Roman" w:hAnsi="Times New Roman" w:eastAsia="宋体" w:cs="Times New Roman"/>
    </w:rPr>
  </w:style>
  <w:style w:type="paragraph" w:customStyle="1" w:styleId="119">
    <w:name w:val="_Style 117"/>
    <w:basedOn w:val="1"/>
    <w:next w:val="1"/>
    <w:qFormat/>
    <w:uiPriority w:val="0"/>
    <w:pPr>
      <w:pBdr>
        <w:bottom w:val="single" w:color="auto" w:sz="6" w:space="1"/>
      </w:pBdr>
      <w:jc w:val="center"/>
    </w:pPr>
    <w:rPr>
      <w:rFonts w:ascii="Arial" w:eastAsia="宋体"/>
      <w:vanish/>
      <w:sz w:val="16"/>
    </w:rPr>
  </w:style>
  <w:style w:type="paragraph" w:customStyle="1" w:styleId="120">
    <w:name w:val="_Style 118"/>
    <w:basedOn w:val="1"/>
    <w:next w:val="1"/>
    <w:qFormat/>
    <w:uiPriority w:val="0"/>
    <w:pPr>
      <w:pBdr>
        <w:top w:val="single" w:color="auto" w:sz="6" w:space="1"/>
      </w:pBdr>
      <w:jc w:val="center"/>
    </w:pPr>
    <w:rPr>
      <w:rFonts w:ascii="Arial" w:eastAsia="宋体"/>
      <w:vanish/>
      <w:sz w:val="16"/>
    </w:rPr>
  </w:style>
  <w:style w:type="paragraph" w:customStyle="1" w:styleId="121">
    <w:name w:val="无间隔1"/>
    <w:basedOn w:val="1"/>
    <w:qFormat/>
    <w:uiPriority w:val="0"/>
    <w:pPr>
      <w:widowControl/>
      <w:adjustRightInd w:val="0"/>
      <w:snapToGrid w:val="0"/>
      <w:jc w:val="left"/>
    </w:pPr>
    <w:rPr>
      <w:rFonts w:ascii="Tahoma" w:hAnsi="Tahoma" w:eastAsia="微软雅黑" w:cs="Times New Roman"/>
      <w:kern w:val="0"/>
      <w:sz w:val="24"/>
      <w:szCs w:val="22"/>
    </w:rPr>
  </w:style>
  <w:style w:type="paragraph" w:customStyle="1" w:styleId="122">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3">
    <w:name w:val="font11"/>
    <w:qFormat/>
    <w:uiPriority w:val="0"/>
    <w:rPr>
      <w:rFonts w:hint="eastAsia" w:ascii="宋体" w:hAnsi="宋体" w:eastAsia="宋体" w:cs="宋体"/>
      <w:color w:val="000000"/>
      <w:sz w:val="16"/>
      <w:szCs w:val="16"/>
      <w:u w:val="none"/>
    </w:rPr>
  </w:style>
  <w:style w:type="character" w:customStyle="1" w:styleId="124">
    <w:name w:val="font31"/>
    <w:basedOn w:val="37"/>
    <w:qFormat/>
    <w:uiPriority w:val="0"/>
    <w:rPr>
      <w:rFonts w:ascii="宋体" w:hAnsi="宋体" w:eastAsia="宋体" w:cs="宋体"/>
      <w:color w:val="000000"/>
      <w:sz w:val="16"/>
      <w:szCs w:val="16"/>
      <w:u w:val="none"/>
    </w:rPr>
  </w:style>
  <w:style w:type="character" w:customStyle="1" w:styleId="125">
    <w:name w:val="font41"/>
    <w:basedOn w:val="37"/>
    <w:qFormat/>
    <w:uiPriority w:val="0"/>
    <w:rPr>
      <w:rFonts w:hint="eastAsia" w:ascii="宋体" w:hAnsi="宋体" w:eastAsia="宋体" w:cs="宋体"/>
      <w:color w:val="000000"/>
      <w:sz w:val="21"/>
      <w:szCs w:val="21"/>
      <w:u w:val="none"/>
    </w:rPr>
  </w:style>
  <w:style w:type="character" w:customStyle="1" w:styleId="126">
    <w:name w:val="hover"/>
    <w:basedOn w:val="37"/>
    <w:qFormat/>
    <w:uiPriority w:val="0"/>
  </w:style>
  <w:style w:type="character" w:customStyle="1" w:styleId="127">
    <w:name w:val="hover1"/>
    <w:basedOn w:val="37"/>
    <w:qFormat/>
    <w:uiPriority w:val="0"/>
    <w:rPr>
      <w:color w:val="2590EB"/>
    </w:rPr>
  </w:style>
  <w:style w:type="character" w:customStyle="1" w:styleId="128">
    <w:name w:val="hover2"/>
    <w:basedOn w:val="37"/>
    <w:qFormat/>
    <w:uiPriority w:val="0"/>
    <w:rPr>
      <w:color w:val="2590EB"/>
    </w:rPr>
  </w:style>
  <w:style w:type="character" w:customStyle="1" w:styleId="129">
    <w:name w:val="hover3"/>
    <w:basedOn w:val="37"/>
    <w:qFormat/>
    <w:uiPriority w:val="0"/>
    <w:rPr>
      <w:color w:val="2590EB"/>
      <w:shd w:val="clear" w:fill="E9F4FD"/>
    </w:rPr>
  </w:style>
  <w:style w:type="table" w:customStyle="1" w:styleId="130">
    <w:name w:val="Table Normal"/>
    <w:semiHidden/>
    <w:unhideWhenUsed/>
    <w:qFormat/>
    <w:uiPriority w:val="0"/>
    <w:tblPr>
      <w:tblCellMar>
        <w:top w:w="0" w:type="dxa"/>
        <w:left w:w="0" w:type="dxa"/>
        <w:bottom w:w="0" w:type="dxa"/>
        <w:right w:w="0" w:type="dxa"/>
      </w:tblCellMar>
    </w:tblPr>
  </w:style>
  <w:style w:type="paragraph" w:customStyle="1" w:styleId="131">
    <w:name w:val="Table Text"/>
    <w:basedOn w:val="1"/>
    <w:semiHidden/>
    <w:qFormat/>
    <w:uiPriority w:val="0"/>
    <w:rPr>
      <w:rFonts w:ascii="宋体" w:hAnsi="宋体" w:eastAsia="宋体" w:cs="宋体"/>
      <w:sz w:val="20"/>
      <w:szCs w:val="20"/>
      <w:lang w:val="en-US" w:eastAsia="en-US" w:bidi="ar-SA"/>
    </w:rPr>
  </w:style>
  <w:style w:type="character" w:customStyle="1" w:styleId="132">
    <w:name w:val="hover4"/>
    <w:basedOn w:val="37"/>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3260</Words>
  <Characters>3833</Characters>
  <Lines>414</Lines>
  <Paragraphs>116</Paragraphs>
  <TotalTime>0</TotalTime>
  <ScaleCrop>false</ScaleCrop>
  <LinksUpToDate>false</LinksUpToDate>
  <CharactersWithSpaces>4103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2022-04-22T03:46:00Z</dcterms:created>
  <dc:creator>陈倩倩</dc:creator>
  <cp:lastModifiedBy>朱启</cp:lastModifiedBy>
  <cp:lastPrinted>2025-08-27T02:24:00Z</cp:lastPrinted>
  <dcterms:modified xsi:type="dcterms:W3CDTF">2025-09-05T06:59:11Z</dcterms:modified>
  <dc:title>滁州市人力资源和社会保障信息中心信息网络设备采购及安装项目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8DB45D7797904C5B98A3CC3408F11A01_13</vt:lpwstr>
  </property>
  <property fmtid="{D5CDD505-2E9C-101B-9397-08002B2CF9AE}" pid="4" name="KSOTemplateDocerSaveRecord">
    <vt:lpwstr>eyJoZGlkIjoiM2Y4Y2Y0ZDM4YWE5ZDY5ODM0OTEzNWM4ODQ4N2U4MmYiLCJ1c2VySWQiOiI3MDAwNjg2OTUifQ==</vt:lpwstr>
  </property>
</Properties>
</file>