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C430">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0E6112D8">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2079EE63">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70BA8ABB">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竞争性磋商文件示范文本（工程类）</w:t>
      </w:r>
    </w:p>
    <w:p w14:paraId="77738FDC">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2026版本</w:t>
      </w:r>
      <w:r>
        <w:rPr>
          <w:rFonts w:hint="eastAsia"/>
          <w:b/>
          <w:bCs/>
          <w:color w:val="auto"/>
          <w:sz w:val="52"/>
          <w:szCs w:val="52"/>
          <w:highlight w:val="none"/>
        </w:rPr>
        <w:t>）</w:t>
      </w:r>
    </w:p>
    <w:bookmarkEnd w:id="0"/>
    <w:p w14:paraId="1F710565">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0079A0BD">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DFEB20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E6C5A70">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EBD2A7B">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1BCE5C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48E43B5">
      <w:pPr>
        <w:tabs>
          <w:tab w:val="left" w:pos="2410"/>
        </w:tabs>
        <w:autoSpaceDE w:val="0"/>
        <w:autoSpaceDN w:val="0"/>
        <w:adjustRightInd w:val="0"/>
        <w:snapToGrid w:val="0"/>
        <w:spacing w:line="360" w:lineRule="auto"/>
        <w:rPr>
          <w:rFonts w:hint="eastAsia"/>
          <w:b/>
          <w:color w:val="auto"/>
          <w:spacing w:val="20"/>
          <w:sz w:val="32"/>
          <w:szCs w:val="32"/>
          <w:highlight w:val="none"/>
        </w:rPr>
      </w:pPr>
      <w:r>
        <w:rPr>
          <w:rFonts w:hint="eastAsia"/>
          <w:b/>
          <w:color w:val="auto"/>
          <w:spacing w:val="20"/>
          <w:sz w:val="32"/>
          <w:szCs w:val="32"/>
          <w:highlight w:val="none"/>
        </w:rPr>
        <w:t>项目名称：</w:t>
      </w:r>
      <w:r>
        <w:rPr>
          <w:rFonts w:hint="eastAsia"/>
          <w:b/>
          <w:color w:val="auto"/>
          <w:spacing w:val="20"/>
          <w:sz w:val="32"/>
          <w:szCs w:val="32"/>
          <w:highlight w:val="none"/>
          <w:u w:val="single"/>
        </w:rPr>
        <w:t>滁州学院2026年教室空调线路安装工程</w:t>
      </w:r>
    </w:p>
    <w:p w14:paraId="60987956">
      <w:pPr>
        <w:tabs>
          <w:tab w:val="left" w:pos="2410"/>
        </w:tabs>
        <w:autoSpaceDE w:val="0"/>
        <w:autoSpaceDN w:val="0"/>
        <w:adjustRightInd w:val="0"/>
        <w:snapToGrid w:val="0"/>
        <w:spacing w:line="360" w:lineRule="auto"/>
        <w:rPr>
          <w:rFonts w:hint="default"/>
          <w:b/>
          <w:color w:val="auto"/>
          <w:spacing w:val="20"/>
          <w:sz w:val="32"/>
          <w:szCs w:val="32"/>
          <w:highlight w:val="none"/>
          <w:lang w:val="en-US"/>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 xml:space="preserve"> czsjcg202604-020               </w:t>
      </w:r>
    </w:p>
    <w:p w14:paraId="0D138822">
      <w:pPr>
        <w:tabs>
          <w:tab w:val="left" w:pos="2410"/>
        </w:tabs>
        <w:autoSpaceDE w:val="0"/>
        <w:autoSpaceDN w:val="0"/>
        <w:adjustRightInd w:val="0"/>
        <w:snapToGrid w:val="0"/>
        <w:spacing w:line="360" w:lineRule="auto"/>
        <w:rPr>
          <w:rFonts w:hint="default" w:ascii="宋体" w:hAnsi="宋体" w:eastAsia="宋体"/>
          <w:b/>
          <w:color w:val="auto"/>
          <w:spacing w:val="20"/>
          <w:sz w:val="32"/>
          <w:szCs w:val="32"/>
          <w:highlight w:val="none"/>
          <w:u w:val="single"/>
          <w:lang w:val="en-US"/>
        </w:rPr>
      </w:pPr>
      <w:r>
        <w:rPr>
          <w:rFonts w:hint="eastAsia"/>
          <w:b/>
          <w:color w:val="auto"/>
          <w:spacing w:val="20"/>
          <w:sz w:val="32"/>
          <w:szCs w:val="32"/>
          <w:highlight w:val="none"/>
        </w:rPr>
        <w:t>采 购 人：</w:t>
      </w:r>
      <w:r>
        <w:rPr>
          <w:rFonts w:hint="eastAsia" w:ascii="宋体" w:hAnsi="宋体" w:eastAsia="宋体"/>
          <w:b/>
          <w:color w:val="auto"/>
          <w:spacing w:val="20"/>
          <w:sz w:val="32"/>
          <w:szCs w:val="32"/>
          <w:highlight w:val="none"/>
          <w:u w:val="single"/>
          <w:lang w:val="en-US" w:eastAsia="zh-CN"/>
        </w:rPr>
        <w:t xml:space="preserve"> 滁州学院 </w:t>
      </w:r>
      <w:r>
        <w:rPr>
          <w:rFonts w:hint="eastAsia"/>
          <w:b/>
          <w:color w:val="auto"/>
          <w:spacing w:val="20"/>
          <w:sz w:val="32"/>
          <w:szCs w:val="32"/>
          <w:highlight w:val="none"/>
          <w:u w:val="single"/>
          <w:lang w:val="en-US" w:eastAsia="zh-CN"/>
        </w:rPr>
        <w:t xml:space="preserve">                     </w:t>
      </w:r>
    </w:p>
    <w:p w14:paraId="69FBF24F">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ascii="宋体" w:hAnsi="宋体" w:eastAsia="宋体"/>
          <w:b/>
          <w:color w:val="auto"/>
          <w:spacing w:val="20"/>
          <w:sz w:val="32"/>
          <w:szCs w:val="32"/>
          <w:highlight w:val="none"/>
          <w:u w:val="single"/>
        </w:rPr>
        <w:t>滁州市城投工程咨询管理有限公司</w:t>
      </w:r>
    </w:p>
    <w:p w14:paraId="5E80583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89E1684">
      <w:pPr>
        <w:tabs>
          <w:tab w:val="left" w:pos="2410"/>
        </w:tabs>
        <w:autoSpaceDE w:val="0"/>
        <w:autoSpaceDN w:val="0"/>
        <w:adjustRightInd w:val="0"/>
        <w:snapToGrid w:val="0"/>
        <w:spacing w:line="360" w:lineRule="auto"/>
        <w:jc w:val="center"/>
        <w:rPr>
          <w:b/>
          <w:color w:val="auto"/>
          <w:sz w:val="36"/>
          <w:highlight w:val="none"/>
        </w:rPr>
      </w:pPr>
    </w:p>
    <w:p w14:paraId="6ADDE832">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lang w:val="en-US" w:eastAsia="zh-CN"/>
        </w:rPr>
        <w:t>2026</w:t>
      </w:r>
      <w:r>
        <w:rPr>
          <w:rFonts w:hint="eastAsia"/>
          <w:b/>
          <w:color w:val="auto"/>
          <w:sz w:val="36"/>
          <w:highlight w:val="none"/>
        </w:rPr>
        <w:t>年</w:t>
      </w:r>
      <w:r>
        <w:rPr>
          <w:rFonts w:hint="eastAsia"/>
          <w:b/>
          <w:color w:val="auto"/>
          <w:sz w:val="36"/>
          <w:highlight w:val="none"/>
          <w:u w:val="single"/>
          <w:lang w:val="en-US" w:eastAsia="zh-CN"/>
        </w:rPr>
        <w:t>4</w:t>
      </w:r>
      <w:r>
        <w:rPr>
          <w:rFonts w:hint="eastAsia"/>
          <w:b/>
          <w:color w:val="auto"/>
          <w:sz w:val="36"/>
          <w:highlight w:val="none"/>
        </w:rPr>
        <w:t>月</w:t>
      </w:r>
      <w:r>
        <w:rPr>
          <w:b/>
          <w:color w:val="auto"/>
          <w:sz w:val="36"/>
          <w:highlight w:val="none"/>
        </w:rPr>
        <w:br w:type="page"/>
      </w:r>
    </w:p>
    <w:p w14:paraId="0A80D35B">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18F3B0BA">
      <w:pPr>
        <w:tabs>
          <w:tab w:val="left" w:pos="2410"/>
        </w:tabs>
        <w:autoSpaceDE w:val="0"/>
        <w:autoSpaceDN w:val="0"/>
        <w:adjustRightInd w:val="0"/>
        <w:snapToGrid w:val="0"/>
        <w:spacing w:line="360" w:lineRule="auto"/>
        <w:jc w:val="center"/>
        <w:rPr>
          <w:b/>
          <w:color w:val="auto"/>
          <w:sz w:val="28"/>
          <w:highlight w:val="none"/>
        </w:rPr>
      </w:pPr>
    </w:p>
    <w:p w14:paraId="59DF1163">
      <w:pPr>
        <w:pStyle w:val="35"/>
        <w:tabs>
          <w:tab w:val="right" w:leader="dot" w:pos="8279"/>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_Toc11403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磋商邀请</w:t>
      </w:r>
      <w:r>
        <w:rPr>
          <w:color w:val="auto"/>
          <w:highlight w:val="none"/>
        </w:rPr>
        <w:tab/>
      </w:r>
      <w:r>
        <w:rPr>
          <w:color w:val="auto"/>
          <w:highlight w:val="none"/>
        </w:rPr>
        <w:fldChar w:fldCharType="begin"/>
      </w:r>
      <w:r>
        <w:rPr>
          <w:color w:val="auto"/>
          <w:highlight w:val="none"/>
        </w:rPr>
        <w:instrText xml:space="preserve"> PAGEREF _Toc11403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color w:val="auto"/>
          <w:szCs w:val="24"/>
          <w:highlight w:val="none"/>
        </w:rPr>
        <w:fldChar w:fldCharType="end"/>
      </w:r>
    </w:p>
    <w:p w14:paraId="179442B6">
      <w:pPr>
        <w:pStyle w:val="35"/>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_Toc28080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供应商</w:t>
      </w:r>
      <w:r>
        <w:rPr>
          <w:rFonts w:asciiTheme="minorEastAsia" w:hAnsiTheme="minorEastAsia" w:eastAsiaTheme="minorEastAsia"/>
          <w:color w:val="auto"/>
          <w:highlight w:val="none"/>
        </w:rPr>
        <w:t>须知</w:t>
      </w:r>
      <w:r>
        <w:rPr>
          <w:color w:val="auto"/>
          <w:highlight w:val="none"/>
        </w:rPr>
        <w:tab/>
      </w:r>
      <w:r>
        <w:rPr>
          <w:rFonts w:hint="eastAsia"/>
          <w:color w:val="auto"/>
          <w:highlight w:val="none"/>
          <w:lang w:val="en-US" w:eastAsia="zh-CN"/>
        </w:rPr>
        <w:t>5</w:t>
      </w:r>
      <w:r>
        <w:rPr>
          <w:rFonts w:asciiTheme="minorEastAsia" w:hAnsiTheme="minorEastAsia"/>
          <w:color w:val="auto"/>
          <w:szCs w:val="24"/>
          <w:highlight w:val="none"/>
        </w:rPr>
        <w:fldChar w:fldCharType="end"/>
      </w:r>
    </w:p>
    <w:p w14:paraId="54835936">
      <w:pPr>
        <w:pStyle w:val="35"/>
        <w:tabs>
          <w:tab w:val="right" w:leader="dot" w:pos="8279"/>
        </w:tabs>
        <w:rPr>
          <w:rFonts w:hint="eastAsia" w:eastAsiaTheme="minorEastAsia"/>
          <w:color w:val="auto"/>
          <w:highlight w:val="none"/>
          <w:lang w:val="en-US" w:eastAsia="zh-CN"/>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_Toc30873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rFonts w:hint="eastAsia"/>
          <w:color w:val="auto"/>
          <w:highlight w:val="none"/>
          <w:lang w:val="en-US" w:eastAsia="zh-CN"/>
        </w:rPr>
        <w:t>2</w:t>
      </w:r>
      <w:r>
        <w:rPr>
          <w:rFonts w:asciiTheme="minorEastAsia" w:hAnsiTheme="minorEastAsia"/>
          <w:color w:val="auto"/>
          <w:szCs w:val="24"/>
          <w:highlight w:val="none"/>
        </w:rPr>
        <w:fldChar w:fldCharType="end"/>
      </w:r>
      <w:r>
        <w:rPr>
          <w:rFonts w:hint="eastAsia" w:asciiTheme="minorEastAsia" w:hAnsiTheme="minorEastAsia"/>
          <w:color w:val="auto"/>
          <w:szCs w:val="24"/>
          <w:highlight w:val="none"/>
          <w:lang w:val="en-US" w:eastAsia="zh-CN"/>
        </w:rPr>
        <w:t>5</w:t>
      </w:r>
    </w:p>
    <w:p w14:paraId="625AC819">
      <w:pPr>
        <w:pStyle w:val="35"/>
        <w:tabs>
          <w:tab w:val="right" w:leader="dot" w:pos="8279"/>
        </w:tabs>
        <w:rPr>
          <w:rFonts w:hint="eastAsia" w:eastAsiaTheme="minorEastAsia"/>
          <w:color w:val="auto"/>
          <w:highlight w:val="none"/>
          <w:lang w:val="en-US" w:eastAsia="zh-CN"/>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_Toc11353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第四章  评审方法和标准</w:t>
      </w:r>
      <w:r>
        <w:rPr>
          <w:color w:val="auto"/>
          <w:highlight w:val="none"/>
        </w:rPr>
        <w:tab/>
      </w:r>
      <w:r>
        <w:rPr>
          <w:rFonts w:hint="eastAsia"/>
          <w:color w:val="auto"/>
          <w:highlight w:val="none"/>
          <w:lang w:val="en-US" w:eastAsia="zh-CN"/>
        </w:rPr>
        <w:t>2</w:t>
      </w:r>
      <w:r>
        <w:rPr>
          <w:rFonts w:asciiTheme="minorEastAsia" w:hAnsiTheme="minorEastAsia"/>
          <w:color w:val="auto"/>
          <w:szCs w:val="24"/>
          <w:highlight w:val="none"/>
        </w:rPr>
        <w:fldChar w:fldCharType="end"/>
      </w:r>
      <w:r>
        <w:rPr>
          <w:rFonts w:hint="eastAsia" w:asciiTheme="minorEastAsia" w:hAnsiTheme="minorEastAsia"/>
          <w:color w:val="auto"/>
          <w:szCs w:val="24"/>
          <w:highlight w:val="none"/>
          <w:lang w:val="en-US" w:eastAsia="zh-CN"/>
        </w:rPr>
        <w:t>8</w:t>
      </w:r>
    </w:p>
    <w:p w14:paraId="6B39CC35">
      <w:pPr>
        <w:pStyle w:val="35"/>
        <w:tabs>
          <w:tab w:val="right" w:leader="dot" w:pos="8279"/>
        </w:tabs>
        <w:rPr>
          <w:rFonts w:hint="eastAsia" w:eastAsiaTheme="minorEastAsia"/>
          <w:color w:val="auto"/>
          <w:highlight w:val="none"/>
          <w:lang w:val="en-US" w:eastAsia="zh-CN"/>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_Toc31277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highlight w:val="none"/>
        </w:rPr>
        <w:tab/>
      </w:r>
      <w:r>
        <w:rPr>
          <w:rFonts w:hint="eastAsia"/>
          <w:color w:val="auto"/>
          <w:highlight w:val="none"/>
          <w:lang w:val="en-US" w:eastAsia="zh-CN"/>
        </w:rPr>
        <w:t>3</w:t>
      </w:r>
      <w:r>
        <w:rPr>
          <w:rFonts w:asciiTheme="minorEastAsia" w:hAnsiTheme="minorEastAsia"/>
          <w:color w:val="auto"/>
          <w:szCs w:val="24"/>
          <w:highlight w:val="none"/>
        </w:rPr>
        <w:fldChar w:fldCharType="end"/>
      </w:r>
      <w:r>
        <w:rPr>
          <w:rFonts w:hint="eastAsia" w:asciiTheme="minorEastAsia" w:hAnsiTheme="minorEastAsia"/>
          <w:color w:val="auto"/>
          <w:szCs w:val="24"/>
          <w:highlight w:val="none"/>
          <w:lang w:val="en-US" w:eastAsia="zh-CN"/>
        </w:rPr>
        <w:t>9</w:t>
      </w:r>
    </w:p>
    <w:p w14:paraId="5EC0F1D2">
      <w:pPr>
        <w:pStyle w:val="35"/>
        <w:tabs>
          <w:tab w:val="right" w:leader="dot" w:pos="8279"/>
        </w:tabs>
        <w:rPr>
          <w:rFonts w:hint="eastAsia" w:eastAsiaTheme="minorEastAsia"/>
          <w:color w:val="auto"/>
          <w:highlight w:val="none"/>
          <w:lang w:val="en-US" w:eastAsia="zh-CN"/>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_Toc22734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第六章  响应文件格式</w:t>
      </w:r>
      <w:r>
        <w:rPr>
          <w:color w:val="auto"/>
          <w:highlight w:val="none"/>
        </w:rPr>
        <w:tab/>
      </w:r>
      <w:r>
        <w:rPr>
          <w:rFonts w:hint="eastAsia"/>
          <w:color w:val="auto"/>
          <w:highlight w:val="none"/>
          <w:lang w:val="en-US" w:eastAsia="zh-CN"/>
        </w:rPr>
        <w:t>9</w:t>
      </w:r>
      <w:r>
        <w:rPr>
          <w:rFonts w:asciiTheme="minorEastAsia" w:hAnsiTheme="minorEastAsia"/>
          <w:color w:val="auto"/>
          <w:szCs w:val="24"/>
          <w:highlight w:val="none"/>
        </w:rPr>
        <w:fldChar w:fldCharType="end"/>
      </w:r>
      <w:r>
        <w:rPr>
          <w:rFonts w:hint="eastAsia" w:asciiTheme="minorEastAsia" w:hAnsiTheme="minorEastAsia"/>
          <w:color w:val="auto"/>
          <w:szCs w:val="24"/>
          <w:highlight w:val="none"/>
          <w:lang w:val="en-US" w:eastAsia="zh-CN"/>
        </w:rPr>
        <w:t>2</w:t>
      </w:r>
    </w:p>
    <w:p w14:paraId="17C68126">
      <w:pPr>
        <w:pStyle w:val="35"/>
        <w:tabs>
          <w:tab w:val="right" w:leader="dot" w:pos="8279"/>
        </w:tabs>
        <w:rPr>
          <w:rFonts w:hint="default" w:eastAsiaTheme="minorEastAsia"/>
          <w:color w:val="auto"/>
          <w:highlight w:val="none"/>
          <w:lang w:val="en-US" w:eastAsia="zh-CN"/>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_Toc24879 </w:instrText>
      </w:r>
      <w:r>
        <w:rPr>
          <w:rFonts w:asciiTheme="minorEastAsia" w:hAnsiTheme="minorEastAsia"/>
          <w:color w:val="auto"/>
          <w:szCs w:val="24"/>
          <w:highlight w:val="none"/>
        </w:rPr>
        <w:fldChar w:fldCharType="separate"/>
      </w:r>
      <w:r>
        <w:rPr>
          <w:rFonts w:hint="eastAsia"/>
          <w:bCs/>
          <w:color w:val="auto"/>
          <w:highlight w:val="none"/>
        </w:rPr>
        <w:t>第</w:t>
      </w:r>
      <w:r>
        <w:rPr>
          <w:rFonts w:hint="eastAsia"/>
          <w:bCs/>
          <w:color w:val="auto"/>
          <w:highlight w:val="none"/>
          <w:lang w:val="en-US" w:eastAsia="zh-CN"/>
        </w:rPr>
        <w:t>七</w:t>
      </w:r>
      <w:r>
        <w:rPr>
          <w:rFonts w:hint="eastAsia"/>
          <w:bCs/>
          <w:color w:val="auto"/>
          <w:highlight w:val="none"/>
        </w:rPr>
        <w:t>章  政府采购</w:t>
      </w:r>
      <w:r>
        <w:rPr>
          <w:rFonts w:hint="eastAsia" w:asciiTheme="minorEastAsia" w:hAnsiTheme="minorEastAsia" w:eastAsiaTheme="minorEastAsia"/>
          <w:color w:val="auto"/>
          <w:highlight w:val="none"/>
        </w:rPr>
        <w:t>供应</w:t>
      </w:r>
      <w:r>
        <w:rPr>
          <w:rFonts w:hint="eastAsia"/>
          <w:bCs/>
          <w:color w:val="auto"/>
          <w:highlight w:val="none"/>
        </w:rPr>
        <w:t>商询问函和质疑函范本</w:t>
      </w:r>
      <w:r>
        <w:rPr>
          <w:color w:val="auto"/>
          <w:highlight w:val="none"/>
        </w:rPr>
        <w:tab/>
      </w:r>
      <w:r>
        <w:rPr>
          <w:rFonts w:hint="eastAsia"/>
          <w:color w:val="auto"/>
          <w:highlight w:val="none"/>
          <w:lang w:val="en-US" w:eastAsia="zh-CN"/>
        </w:rPr>
        <w:t>1</w:t>
      </w:r>
      <w:r>
        <w:rPr>
          <w:rFonts w:asciiTheme="minorEastAsia" w:hAnsiTheme="minorEastAsia"/>
          <w:color w:val="auto"/>
          <w:szCs w:val="24"/>
          <w:highlight w:val="none"/>
        </w:rPr>
        <w:fldChar w:fldCharType="end"/>
      </w:r>
      <w:r>
        <w:rPr>
          <w:rFonts w:hint="eastAsia" w:asciiTheme="minorEastAsia" w:hAnsiTheme="minorEastAsia"/>
          <w:color w:val="auto"/>
          <w:szCs w:val="24"/>
          <w:highlight w:val="none"/>
          <w:lang w:val="en-US" w:eastAsia="zh-CN"/>
        </w:rPr>
        <w:t>09</w:t>
      </w:r>
    </w:p>
    <w:p w14:paraId="1317E34F">
      <w:pPr>
        <w:pStyle w:val="45"/>
        <w:tabs>
          <w:tab w:val="right" w:leader="dot" w:pos="8296"/>
        </w:tabs>
        <w:rPr>
          <w:rFonts w:asciiTheme="minorEastAsia" w:hAnsiTheme="minorEastAsia"/>
          <w:b/>
          <w:color w:val="auto"/>
          <w:szCs w:val="24"/>
          <w:highlight w:val="none"/>
        </w:rPr>
      </w:pPr>
      <w:r>
        <w:rPr>
          <w:rFonts w:asciiTheme="minorEastAsia" w:hAnsiTheme="minorEastAsia"/>
          <w:color w:val="auto"/>
          <w:szCs w:val="24"/>
          <w:highlight w:val="none"/>
        </w:rPr>
        <w:fldChar w:fldCharType="end"/>
      </w:r>
    </w:p>
    <w:p w14:paraId="0A7C1527">
      <w:pPr>
        <w:pStyle w:val="5"/>
        <w:rPr>
          <w:color w:val="auto"/>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5F60CF7E">
      <w:pPr>
        <w:spacing w:line="360" w:lineRule="auto"/>
        <w:jc w:val="center"/>
        <w:outlineLvl w:val="0"/>
        <w:rPr>
          <w:rFonts w:asciiTheme="minorEastAsia" w:hAnsiTheme="minorEastAsia" w:eastAsiaTheme="minorEastAsia"/>
          <w:b/>
          <w:color w:val="auto"/>
          <w:sz w:val="28"/>
          <w:highlight w:val="none"/>
        </w:rPr>
      </w:pPr>
      <w:bookmarkStart w:id="1"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5B54D449">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07EEF487">
      <w:pPr>
        <w:spacing w:line="360" w:lineRule="auto"/>
        <w:ind w:firstLine="435"/>
        <w:rPr>
          <w:rFonts w:hint="eastAsia" w:asciiTheme="minorEastAsia" w:hAnsiTheme="minorEastAsia" w:eastAsiaTheme="minorEastAsia"/>
          <w:color w:val="auto"/>
          <w:sz w:val="24"/>
          <w:highlight w:val="none"/>
          <w:u w:val="single"/>
          <w:lang w:val="en-US" w:eastAsia="zh-CN"/>
        </w:rPr>
      </w:pPr>
      <w:bookmarkStart w:id="4" w:name="_Toc26628"/>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u w:val="single"/>
        </w:rPr>
        <w:t>czsjcg202604-020</w:t>
      </w:r>
    </w:p>
    <w:p w14:paraId="28C88B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rPr>
        <w:t>滁州学院2026年教室空调线路安装工程</w:t>
      </w:r>
    </w:p>
    <w:p w14:paraId="63FDFACB">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3.预算金额：</w:t>
      </w:r>
      <w:r>
        <w:rPr>
          <w:rFonts w:hint="eastAsia"/>
          <w:color w:val="auto"/>
          <w:sz w:val="24"/>
          <w:szCs w:val="18"/>
          <w:highlight w:val="none"/>
          <w:u w:val="single"/>
          <w:lang w:val="en-US" w:eastAsia="zh-CN"/>
        </w:rPr>
        <w:t>128.8万元</w:t>
      </w:r>
    </w:p>
    <w:p w14:paraId="65F37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color w:val="auto"/>
          <w:sz w:val="24"/>
          <w:szCs w:val="18"/>
          <w:highlight w:val="none"/>
          <w:u w:val="single"/>
          <w:lang w:val="en-US" w:eastAsia="zh-CN"/>
        </w:rPr>
        <w:t>1287962.92元</w:t>
      </w:r>
      <w:r>
        <w:rPr>
          <w:rFonts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31E8486">
      <w:pPr>
        <w:spacing w:line="360" w:lineRule="auto"/>
        <w:ind w:firstLine="435"/>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5.采购需求：</w:t>
      </w:r>
      <w:r>
        <w:rPr>
          <w:rFonts w:hint="eastAsia" w:asciiTheme="minorEastAsia" w:hAnsiTheme="minorEastAsia" w:eastAsiaTheme="minorEastAsia"/>
          <w:color w:val="auto"/>
          <w:sz w:val="24"/>
          <w:highlight w:val="none"/>
          <w:u w:val="single"/>
        </w:rPr>
        <w:t>主要内容为配电容量调剂、主配电线路安装、教室空调用电线路安装、配电桥架、配电柜、配电箱、计量设施设备安装和土建施工改造。待改造教室涵盖琅琊校区与会峰校区，包含音乐楼158间、美术楼23间、综合楼2间和文学楼16间。</w:t>
      </w:r>
    </w:p>
    <w:p w14:paraId="5D4304A5">
      <w:pPr>
        <w:spacing w:line="360" w:lineRule="auto"/>
        <w:ind w:firstLine="435"/>
        <w:rPr>
          <w:rFonts w:hint="eastAsia"/>
          <w:color w:val="auto"/>
          <w:sz w:val="24"/>
          <w:szCs w:val="18"/>
          <w:highlight w:val="none"/>
          <w:u w:val="single"/>
          <w:lang w:val="en-US" w:eastAsia="zh-CN"/>
        </w:rPr>
      </w:pPr>
      <w:r>
        <w:rPr>
          <w:rFonts w:hint="eastAsia" w:asciiTheme="minorEastAsia" w:hAnsiTheme="minorEastAsia" w:eastAsiaTheme="minorEastAsia"/>
          <w:color w:val="auto"/>
          <w:sz w:val="24"/>
          <w:highlight w:val="none"/>
        </w:rPr>
        <w:t>6.合同履行期限：</w:t>
      </w:r>
      <w:r>
        <w:rPr>
          <w:rFonts w:hint="eastAsia"/>
          <w:color w:val="auto"/>
          <w:sz w:val="24"/>
          <w:szCs w:val="18"/>
          <w:highlight w:val="none"/>
          <w:u w:val="single"/>
          <w:lang w:val="en-US" w:eastAsia="zh-CN"/>
        </w:rPr>
        <w:t>50个日历天</w:t>
      </w:r>
    </w:p>
    <w:p w14:paraId="46BE2B5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17F5EF22">
      <w:pPr>
        <w:spacing w:line="360" w:lineRule="auto"/>
        <w:ind w:firstLine="435"/>
        <w:outlineLvl w:val="1"/>
        <w:rPr>
          <w:rFonts w:hint="eastAsia" w:eastAsia="宋体"/>
          <w:b/>
          <w:bCs/>
          <w:color w:val="auto"/>
          <w:sz w:val="24"/>
          <w:szCs w:val="18"/>
          <w:highlight w:val="none"/>
          <w:lang w:val="en-US" w:eastAsia="zh-CN"/>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5E9A1DE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7C09C20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3DE36E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5EED27F6">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04241E32">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2.1.2☑本项目专门面向 </w:t>
      </w:r>
      <w:r>
        <w:rPr>
          <w:rFonts w:hint="eastAsia" w:asciiTheme="minorEastAsia" w:hAnsiTheme="minorEastAsia" w:eastAsiaTheme="minorEastAsia"/>
          <w:color w:val="auto"/>
          <w:sz w:val="24"/>
          <w:highlight w:val="none"/>
          <w:u w:val="single"/>
          <w:lang w:val="en-US" w:eastAsia="zh-CN"/>
        </w:rPr>
        <w:t xml:space="preserve">中小企业 </w:t>
      </w:r>
      <w:r>
        <w:rPr>
          <w:rFonts w:hint="eastAsia" w:asciiTheme="minorEastAsia" w:hAnsiTheme="minorEastAsia" w:eastAsiaTheme="minorEastAsia"/>
          <w:color w:val="auto"/>
          <w:sz w:val="24"/>
          <w:highlight w:val="none"/>
          <w:lang w:val="en-US" w:eastAsia="zh-CN"/>
        </w:rPr>
        <w:t>采购。</w:t>
      </w:r>
    </w:p>
    <w:p w14:paraId="25E5E4C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2.1.3□本项目预留部分采购项目预算专门面向中小企业采购。对于预留份额，提供的工程由符合政策要求的中小企业承建。预留份额通过以下措施进行：</w:t>
      </w:r>
      <w:r>
        <w:rPr>
          <w:rFonts w:hint="default" w:asciiTheme="minorEastAsia" w:hAnsiTheme="minorEastAsia" w:eastAsiaTheme="minorEastAsia"/>
          <w:color w:val="auto"/>
          <w:sz w:val="24"/>
          <w:highlight w:val="none"/>
          <w:lang w:val="en-US" w:eastAsia="zh-CN"/>
        </w:rPr>
        <w:t>__</w:t>
      </w:r>
      <w:r>
        <w:rPr>
          <w:rFonts w:hint="eastAsia" w:asciiTheme="minorEastAsia" w:hAnsiTheme="minorEastAsia" w:eastAsiaTheme="minorEastAsia"/>
          <w:color w:val="auto"/>
          <w:sz w:val="24"/>
          <w:highlight w:val="none"/>
          <w:lang w:val="en-US" w:eastAsia="zh-CN"/>
        </w:rPr>
        <w:t>/</w:t>
      </w:r>
      <w:r>
        <w:rPr>
          <w:rFonts w:hint="default" w:asciiTheme="minorEastAsia" w:hAnsiTheme="minorEastAsia" w:eastAsiaTheme="minorEastAsia"/>
          <w:color w:val="auto"/>
          <w:sz w:val="24"/>
          <w:highlight w:val="none"/>
          <w:lang w:val="en-US" w:eastAsia="zh-CN"/>
        </w:rPr>
        <w:t>________</w:t>
      </w:r>
      <w:r>
        <w:rPr>
          <w:rFonts w:hint="eastAsia" w:asciiTheme="minorEastAsia" w:hAnsiTheme="minorEastAsia" w:eastAsiaTheme="minorEastAsia"/>
          <w:color w:val="auto"/>
          <w:sz w:val="24"/>
          <w:highlight w:val="none"/>
          <w:lang w:val="en-US" w:eastAsia="zh-CN"/>
        </w:rPr>
        <w:t>。</w:t>
      </w:r>
    </w:p>
    <w:p w14:paraId="4368AC5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w:t>
      </w:r>
    </w:p>
    <w:p w14:paraId="323F4F17">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本项目的特定资格要求：①建筑机电安装工程专业承包三级（或以上）资质或电力工程施工总承包三级（或以上）资质或输变电工程专业承包三级（或以上）资质同时具有有效的企业安全生产许可证；②项目经理须具备注册在供应商的机电工程专业二级（或以上）注册建造师且同时具有安全生产考核合格证书（B证）</w:t>
      </w:r>
    </w:p>
    <w:p w14:paraId="47D70EB5">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4.信誉要求：投标人不得存在以下情形：</w:t>
      </w:r>
    </w:p>
    <w:p w14:paraId="39D718FB">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①被列入“信用中国”网站“失信被执行人”的；</w:t>
      </w:r>
    </w:p>
    <w:p w14:paraId="71916845">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②被列入“信用中国”网站“重大税收违法失信主体”的；</w:t>
      </w:r>
    </w:p>
    <w:p w14:paraId="00722271">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③被列入“信用中国”网站 “严重失信主体名单”的；</w:t>
      </w:r>
    </w:p>
    <w:p w14:paraId="1B6D6597">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④在</w:t>
      </w:r>
      <w:bookmarkStart w:id="7" w:name="OLE_LINK129"/>
      <w:bookmarkStart w:id="8" w:name="OLE_LINK127"/>
      <w:bookmarkStart w:id="9" w:name="OLE_LINK128"/>
      <w:r>
        <w:rPr>
          <w:rFonts w:hint="eastAsia" w:asciiTheme="minorEastAsia" w:hAnsiTheme="minorEastAsia" w:eastAsiaTheme="minorEastAsia"/>
          <w:color w:val="auto"/>
          <w:sz w:val="24"/>
          <w:highlight w:val="none"/>
          <w:lang w:val="en-US" w:eastAsia="zh-CN"/>
        </w:rPr>
        <w:t>“信用中国”网站</w:t>
      </w:r>
      <w:bookmarkEnd w:id="7"/>
      <w:bookmarkEnd w:id="8"/>
      <w:bookmarkEnd w:id="9"/>
      <w:r>
        <w:rPr>
          <w:rFonts w:hint="eastAsia" w:asciiTheme="minorEastAsia" w:hAnsiTheme="minorEastAsia" w:eastAsiaTheme="minorEastAsia"/>
          <w:color w:val="auto"/>
          <w:sz w:val="24"/>
          <w:highlight w:val="none"/>
          <w:lang w:val="en-US" w:eastAsia="zh-CN"/>
        </w:rPr>
        <w:t>上披露的仍在公示期的严重失信行为(具体行为类别及判定依据见“信用中国”查询的严重失信行为类别及判定依据)的。</w:t>
      </w:r>
    </w:p>
    <w:p w14:paraId="55176AE1">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⑤被列入国家企业信用信息公示系统网站“经营异常名录”或者“严重违法失信名单”的。</w:t>
      </w:r>
    </w:p>
    <w:p w14:paraId="6B58B85C">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⑥被列入中国政府采购网站“政府采购严重违法失信行为信息记录”的。</w:t>
      </w:r>
    </w:p>
    <w:p w14:paraId="4EDE9056">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⑦前三年有行贿犯罪行为的单位和个人。</w:t>
      </w:r>
    </w:p>
    <w:p w14:paraId="5CC5CDD1">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5.投标人所属分公司、办事处等分支机构存在第4款信誉要求①-⑦项情形之一的，接受其被确定为中标人。</w:t>
      </w:r>
    </w:p>
    <w:p w14:paraId="606373B1">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备注：第4、5条按照“关于联合惩戒失信行为加强信用查询管理的通知”查询或承诺。</w:t>
      </w:r>
    </w:p>
    <w:p w14:paraId="61E96FC5">
      <w:pPr>
        <w:spacing w:line="360" w:lineRule="auto"/>
        <w:ind w:firstLine="435"/>
        <w:outlineLvl w:val="1"/>
        <w:rPr>
          <w:rFonts w:hint="eastAsia"/>
          <w:b/>
          <w:bCs/>
          <w:color w:val="auto"/>
          <w:sz w:val="24"/>
          <w:highlight w:val="none"/>
        </w:rPr>
      </w:pPr>
      <w:bookmarkStart w:id="10" w:name="_Toc2855"/>
      <w:r>
        <w:rPr>
          <w:rFonts w:hint="eastAsia"/>
          <w:b/>
          <w:bCs/>
          <w:color w:val="auto"/>
          <w:sz w:val="24"/>
          <w:highlight w:val="none"/>
        </w:rPr>
        <w:t>三、</w:t>
      </w:r>
      <w:bookmarkEnd w:id="6"/>
      <w:r>
        <w:rPr>
          <w:rFonts w:hint="eastAsia"/>
          <w:b/>
          <w:bCs/>
          <w:color w:val="auto"/>
          <w:sz w:val="24"/>
          <w:highlight w:val="none"/>
        </w:rPr>
        <w:t>获取采购文件</w:t>
      </w:r>
      <w:bookmarkEnd w:id="10"/>
    </w:p>
    <w:p w14:paraId="169A3A35">
      <w:pPr>
        <w:spacing w:line="360" w:lineRule="auto"/>
        <w:ind w:firstLine="540"/>
        <w:rPr>
          <w:rFonts w:hint="eastAsia" w:ascii="宋体" w:hAnsi="宋体" w:eastAsia="宋体" w:cs="宋体"/>
          <w:color w:val="auto"/>
          <w:sz w:val="24"/>
          <w:szCs w:val="24"/>
          <w:highlight w:val="none"/>
        </w:rPr>
      </w:pPr>
      <w:bookmarkStart w:id="11" w:name="_Toc16910"/>
      <w:r>
        <w:rPr>
          <w:rFonts w:hint="eastAsia" w:ascii="宋体" w:hAnsi="宋体" w:eastAsia="宋体" w:cs="宋体"/>
          <w:color w:val="auto"/>
          <w:sz w:val="24"/>
          <w:szCs w:val="24"/>
          <w:highlight w:val="none"/>
        </w:rPr>
        <w:t>时间：</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single"/>
          <w:lang w:val="en-US" w:eastAsia="zh-CN"/>
        </w:rPr>
        <w:t>4</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28</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rPr>
        <w:t>至</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single"/>
          <w:lang w:val="en-US" w:eastAsia="zh-CN"/>
        </w:rPr>
        <w:t>5</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12</w:t>
      </w:r>
      <w:r>
        <w:rPr>
          <w:rFonts w:hint="eastAsia" w:ascii="宋体" w:hAnsi="宋体" w:eastAsia="宋体" w:cs="宋体"/>
          <w:color w:val="auto"/>
          <w:sz w:val="24"/>
          <w:szCs w:val="24"/>
          <w:highlight w:val="none"/>
          <w:u w:val="none"/>
        </w:rPr>
        <w:t>日</w:t>
      </w:r>
      <w:r>
        <w:rPr>
          <w:rFonts w:hint="eastAsia" w:ascii="宋体" w:hAnsi="宋体" w:eastAsia="宋体" w:cs="宋体"/>
          <w:iCs/>
          <w:color w:val="auto"/>
          <w:sz w:val="24"/>
          <w:szCs w:val="24"/>
          <w:highlight w:val="none"/>
          <w:u w:val="none"/>
        </w:rPr>
        <w:t>（</w:t>
      </w:r>
      <w:r>
        <w:rPr>
          <w:rFonts w:hint="eastAsia" w:ascii="宋体" w:hAnsi="宋体" w:eastAsia="宋体" w:cs="宋体"/>
          <w:i/>
          <w:color w:val="auto"/>
          <w:sz w:val="24"/>
          <w:szCs w:val="24"/>
          <w:highlight w:val="none"/>
          <w:u w:val="none"/>
        </w:rPr>
        <w:t>磋商文件的发售期限自开始之日起不得少于5个工作日</w:t>
      </w:r>
      <w:r>
        <w:rPr>
          <w:rFonts w:hint="eastAsia" w:ascii="宋体" w:hAnsi="宋体" w:eastAsia="宋体" w:cs="宋体"/>
          <w:iCs/>
          <w:color w:val="auto"/>
          <w:sz w:val="24"/>
          <w:szCs w:val="24"/>
          <w:highlight w:val="none"/>
          <w:u w:val="none"/>
        </w:rPr>
        <w:t>）</w:t>
      </w:r>
    </w:p>
    <w:p w14:paraId="108CFE5B">
      <w:pPr>
        <w:spacing w:line="360" w:lineRule="auto"/>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地点：滁州市公共资源交易中心网</w:t>
      </w:r>
    </w:p>
    <w:p w14:paraId="256A1850">
      <w:pPr>
        <w:spacing w:line="360" w:lineRule="auto"/>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方式：网上下载</w:t>
      </w:r>
    </w:p>
    <w:p w14:paraId="08A04E14">
      <w:pPr>
        <w:spacing w:line="360" w:lineRule="auto"/>
        <w:ind w:firstLine="435"/>
        <w:outlineLvl w:val="1"/>
        <w:rPr>
          <w:rFonts w:hint="eastAsia"/>
          <w:b/>
          <w:bCs/>
          <w:color w:val="auto"/>
          <w:sz w:val="24"/>
          <w:highlight w:val="none"/>
        </w:rPr>
      </w:pPr>
      <w:bookmarkStart w:id="12" w:name="_Toc1322"/>
      <w:r>
        <w:rPr>
          <w:rFonts w:hint="eastAsia"/>
          <w:b/>
          <w:bCs/>
          <w:color w:val="auto"/>
          <w:sz w:val="24"/>
          <w:highlight w:val="none"/>
        </w:rPr>
        <w:t>四、</w:t>
      </w:r>
      <w:bookmarkEnd w:id="11"/>
      <w:r>
        <w:rPr>
          <w:rFonts w:hint="eastAsia"/>
          <w:b/>
          <w:bCs/>
          <w:color w:val="auto"/>
          <w:sz w:val="24"/>
          <w:highlight w:val="none"/>
        </w:rPr>
        <w:t>响应文件提交</w:t>
      </w:r>
      <w:bookmarkEnd w:id="12"/>
    </w:p>
    <w:p w14:paraId="73EE23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none"/>
        </w:rPr>
      </w:pPr>
      <w:bookmarkStart w:id="13" w:name="_Toc11944"/>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bCs/>
          <w:color w:val="auto"/>
          <w:sz w:val="24"/>
          <w:szCs w:val="24"/>
          <w:highlight w:val="none"/>
          <w:u w:val="single"/>
          <w:lang w:val="en-US" w:eastAsia="zh-CN"/>
        </w:rPr>
        <w:t>:2026</w:t>
      </w:r>
      <w:r>
        <w:rPr>
          <w:rFonts w:hint="eastAsia" w:asciiTheme="minorEastAsia" w:hAnsiTheme="minorEastAsia" w:eastAsiaTheme="minorEastAsia" w:cstheme="minorEastAsia"/>
          <w:bCs/>
          <w:color w:val="auto"/>
          <w:sz w:val="24"/>
          <w:szCs w:val="24"/>
          <w:highlight w:val="none"/>
          <w:u w:val="none"/>
        </w:rPr>
        <w:t>年</w:t>
      </w:r>
      <w:r>
        <w:rPr>
          <w:rFonts w:hint="eastAsia" w:asciiTheme="minorEastAsia" w:hAnsiTheme="minorEastAsia" w:eastAsiaTheme="minorEastAsia" w:cstheme="minorEastAsia"/>
          <w:bCs/>
          <w:color w:val="auto"/>
          <w:sz w:val="24"/>
          <w:szCs w:val="24"/>
          <w:highlight w:val="none"/>
          <w:u w:val="single"/>
          <w:lang w:val="en-US" w:eastAsia="zh-CN"/>
        </w:rPr>
        <w:t>5</w:t>
      </w:r>
      <w:r>
        <w:rPr>
          <w:rFonts w:hint="eastAsia" w:asciiTheme="minorEastAsia" w:hAnsiTheme="minorEastAsia" w:eastAsiaTheme="minorEastAsia" w:cstheme="minorEastAsia"/>
          <w:bCs/>
          <w:color w:val="auto"/>
          <w:sz w:val="24"/>
          <w:szCs w:val="24"/>
          <w:highlight w:val="none"/>
          <w:u w:val="none"/>
        </w:rPr>
        <w:t>月</w:t>
      </w:r>
      <w:r>
        <w:rPr>
          <w:rFonts w:hint="eastAsia" w:asciiTheme="minorEastAsia" w:hAnsiTheme="minorEastAsia" w:eastAsiaTheme="minorEastAsia" w:cstheme="minorEastAsia"/>
          <w:bCs/>
          <w:color w:val="auto"/>
          <w:sz w:val="24"/>
          <w:szCs w:val="24"/>
          <w:highlight w:val="none"/>
          <w:u w:val="single"/>
          <w:lang w:val="en-US" w:eastAsia="zh-CN"/>
        </w:rPr>
        <w:t>12</w:t>
      </w:r>
      <w:r>
        <w:rPr>
          <w:rFonts w:hint="eastAsia" w:asciiTheme="minorEastAsia" w:hAnsiTheme="minorEastAsia" w:eastAsiaTheme="minorEastAsia" w:cstheme="minorEastAsia"/>
          <w:bCs/>
          <w:color w:val="auto"/>
          <w:sz w:val="24"/>
          <w:szCs w:val="24"/>
          <w:highlight w:val="none"/>
          <w:u w:val="none"/>
        </w:rPr>
        <w:t>日</w:t>
      </w:r>
      <w:r>
        <w:rPr>
          <w:rFonts w:hint="eastAsia" w:asciiTheme="minorEastAsia" w:hAnsiTheme="minorEastAsia" w:eastAsiaTheme="minorEastAsia" w:cstheme="minorEastAsia"/>
          <w:bCs/>
          <w:color w:val="auto"/>
          <w:sz w:val="24"/>
          <w:szCs w:val="24"/>
          <w:highlight w:val="none"/>
          <w:u w:val="single"/>
          <w:lang w:val="en-US" w:eastAsia="zh-CN"/>
        </w:rPr>
        <w:t>9</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single"/>
          <w:lang w:val="en-US" w:eastAsia="zh-CN"/>
        </w:rPr>
        <w:t>30</w:t>
      </w:r>
      <w:r>
        <w:rPr>
          <w:rFonts w:hint="eastAsia" w:asciiTheme="minorEastAsia" w:hAnsiTheme="minorEastAsia" w:eastAsiaTheme="minorEastAsia" w:cstheme="minorEastAsia"/>
          <w:bCs/>
          <w:color w:val="auto"/>
          <w:sz w:val="24"/>
          <w:szCs w:val="24"/>
          <w:highlight w:val="none"/>
          <w:u w:val="none"/>
        </w:rPr>
        <w:t>分</w:t>
      </w:r>
      <w:r>
        <w:rPr>
          <w:rFonts w:hint="eastAsia" w:asciiTheme="minorEastAsia" w:hAnsiTheme="minorEastAsia" w:eastAsiaTheme="minorEastAsia" w:cstheme="minorEastAsia"/>
          <w:bCs/>
          <w:color w:val="auto"/>
          <w:sz w:val="24"/>
          <w:szCs w:val="24"/>
          <w:highlight w:val="none"/>
        </w:rPr>
        <w:t>（北京时间）</w:t>
      </w:r>
      <w:r>
        <w:rPr>
          <w:rFonts w:hint="eastAsia" w:asciiTheme="minorEastAsia" w:hAnsiTheme="minorEastAsia" w:eastAsiaTheme="minorEastAsia" w:cstheme="minorEastAsia"/>
          <w:iCs/>
          <w:color w:val="auto"/>
          <w:sz w:val="24"/>
          <w:szCs w:val="24"/>
          <w:highlight w:val="none"/>
          <w:u w:val="none"/>
        </w:rPr>
        <w:t>（</w:t>
      </w:r>
      <w:r>
        <w:rPr>
          <w:rFonts w:hint="eastAsia" w:asciiTheme="minorEastAsia" w:hAnsiTheme="minorEastAsia" w:eastAsiaTheme="minorEastAsia" w:cstheme="minorEastAsia"/>
          <w:i/>
          <w:color w:val="auto"/>
          <w:sz w:val="24"/>
          <w:szCs w:val="24"/>
          <w:highlight w:val="none"/>
          <w:u w:val="none"/>
        </w:rPr>
        <w:t>从磋商文件开始发出之日起至供应商提交首次响应文件截止之日止不得少于10日</w:t>
      </w:r>
      <w:r>
        <w:rPr>
          <w:rFonts w:hint="eastAsia" w:asciiTheme="minorEastAsia" w:hAnsiTheme="minorEastAsia" w:eastAsiaTheme="minorEastAsia" w:cstheme="minorEastAsia"/>
          <w:iCs/>
          <w:color w:val="auto"/>
          <w:sz w:val="24"/>
          <w:szCs w:val="24"/>
          <w:highlight w:val="none"/>
          <w:u w:val="none"/>
        </w:rPr>
        <w:t>）</w:t>
      </w:r>
    </w:p>
    <w:p w14:paraId="3EDE9E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地点：滁州市公共资源交易平台电子交易系统</w:t>
      </w:r>
    </w:p>
    <w:p w14:paraId="0517DAA7">
      <w:pPr>
        <w:spacing w:line="360" w:lineRule="auto"/>
        <w:ind w:firstLine="435"/>
        <w:outlineLvl w:val="1"/>
        <w:rPr>
          <w:rFonts w:hint="eastAsia"/>
          <w:b/>
          <w:bCs/>
          <w:color w:val="auto"/>
          <w:sz w:val="24"/>
          <w:highlight w:val="none"/>
        </w:rPr>
      </w:pPr>
      <w:bookmarkStart w:id="14" w:name="_Toc28359016"/>
      <w:bookmarkStart w:id="15" w:name="_Toc28359093"/>
      <w:bookmarkStart w:id="16" w:name="_Toc35393802"/>
      <w:bookmarkStart w:id="17" w:name="_Toc27720"/>
      <w:bookmarkStart w:id="18" w:name="_Toc35393633"/>
      <w:r>
        <w:rPr>
          <w:rFonts w:hint="eastAsia"/>
          <w:b/>
          <w:bCs/>
          <w:color w:val="auto"/>
          <w:sz w:val="24"/>
          <w:highlight w:val="none"/>
        </w:rPr>
        <w:t>五、开启</w:t>
      </w:r>
      <w:bookmarkEnd w:id="14"/>
      <w:bookmarkEnd w:id="15"/>
      <w:bookmarkEnd w:id="16"/>
      <w:bookmarkEnd w:id="17"/>
      <w:bookmarkEnd w:id="18"/>
    </w:p>
    <w:p w14:paraId="19858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none"/>
        </w:rPr>
        <w:t>年</w:t>
      </w:r>
      <w:r>
        <w:rPr>
          <w:rFonts w:hint="eastAsia"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none"/>
        </w:rPr>
        <w:t>月</w:t>
      </w:r>
      <w:r>
        <w:rPr>
          <w:rFonts w:hint="eastAsia"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none"/>
        </w:rPr>
        <w:t>日</w:t>
      </w:r>
      <w:r>
        <w:rPr>
          <w:rFonts w:hint="eastAsia"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none"/>
        </w:rPr>
        <w:t>点</w:t>
      </w:r>
      <w:r>
        <w:rPr>
          <w:rFonts w:hint="eastAsia"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auto"/>
          <w:sz w:val="24"/>
          <w:szCs w:val="24"/>
          <w:highlight w:val="none"/>
        </w:rPr>
        <w:t>（北京时间）</w:t>
      </w:r>
    </w:p>
    <w:p w14:paraId="5EAFB4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宋体" w:hAnsi="宋体" w:eastAsia="宋体" w:cs="宋体"/>
          <w:color w:val="auto"/>
          <w:sz w:val="24"/>
          <w:szCs w:val="24"/>
          <w:highlight w:val="none"/>
        </w:rPr>
        <w:t>地点：滁州市公共资源交易平台电子交易系统</w:t>
      </w:r>
    </w:p>
    <w:p w14:paraId="3F457CD1">
      <w:pPr>
        <w:spacing w:line="360" w:lineRule="auto"/>
        <w:ind w:firstLine="435"/>
        <w:outlineLvl w:val="1"/>
        <w:rPr>
          <w:rFonts w:hint="eastAsia"/>
          <w:b/>
          <w:bCs/>
          <w:color w:val="auto"/>
          <w:sz w:val="24"/>
          <w:highlight w:val="none"/>
        </w:rPr>
      </w:pPr>
      <w:bookmarkStart w:id="19" w:name="_Toc24365"/>
      <w:r>
        <w:rPr>
          <w:rFonts w:hint="eastAsia"/>
          <w:b/>
          <w:bCs/>
          <w:color w:val="auto"/>
          <w:sz w:val="24"/>
          <w:highlight w:val="none"/>
          <w:lang w:val="en-US" w:eastAsia="zh-CN"/>
        </w:rPr>
        <w:t>六</w:t>
      </w:r>
      <w:r>
        <w:rPr>
          <w:rFonts w:hint="eastAsia"/>
          <w:b/>
          <w:bCs/>
          <w:color w:val="auto"/>
          <w:sz w:val="24"/>
          <w:highlight w:val="none"/>
        </w:rPr>
        <w:t>、</w:t>
      </w:r>
      <w:bookmarkEnd w:id="13"/>
      <w:r>
        <w:rPr>
          <w:rFonts w:hint="eastAsia"/>
          <w:b/>
          <w:bCs/>
          <w:color w:val="auto"/>
          <w:sz w:val="24"/>
          <w:highlight w:val="none"/>
        </w:rPr>
        <w:t>公告期限</w:t>
      </w:r>
      <w:bookmarkEnd w:id="19"/>
    </w:p>
    <w:p w14:paraId="4860E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20" w:name="_Toc7722"/>
      <w:r>
        <w:rPr>
          <w:rFonts w:hint="eastAsia" w:ascii="宋体" w:hAnsi="宋体" w:eastAsia="宋体" w:cs="宋体"/>
          <w:color w:val="auto"/>
          <w:sz w:val="24"/>
          <w:szCs w:val="24"/>
          <w:highlight w:val="none"/>
        </w:rPr>
        <w:t>自本公告发布之日起3个工作日。</w:t>
      </w:r>
    </w:p>
    <w:p w14:paraId="25F0619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21" w:name="_Toc35393626"/>
      <w:bookmarkStart w:id="22" w:name="_Toc35393795"/>
      <w:bookmarkStart w:id="23" w:name="_Toc22198"/>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21"/>
      <w:bookmarkEnd w:id="22"/>
      <w:bookmarkEnd w:id="23"/>
    </w:p>
    <w:p w14:paraId="74ABDA01">
      <w:pPr>
        <w:pStyle w:val="2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color w:val="auto"/>
          <w:sz w:val="24"/>
          <w:szCs w:val="18"/>
          <w:highlight w:val="none"/>
          <w:lang w:val="en-US" w:eastAsia="zh-CN"/>
        </w:rPr>
        <w:t>1</w:t>
      </w:r>
      <w:r>
        <w:rPr>
          <w:rFonts w:hint="eastAsia" w:ascii="宋体" w:hAnsi="宋体" w:eastAsia="宋体"/>
          <w:color w:val="auto"/>
          <w:sz w:val="24"/>
          <w:szCs w:val="18"/>
          <w:highlight w:val="none"/>
        </w:rPr>
        <w:t>.</w:t>
      </w: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p>
    <w:p w14:paraId="38C40627">
      <w:pPr>
        <w:pStyle w:val="2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CA数字证书有关问题：安徽CA客服400-615-8899、0550-3019013（工作日），CFCA客服025-66085508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2105F12D">
      <w:pPr>
        <w:pStyle w:val="2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（2）请投标人登录滁州市公共资源交易中心网站查看参加本项目的程序（具体操作步骤和程序请参见服务指南&lt;交易须知&gt;投标人填写投标信息、下载文件及网上提问操作手册）。</w:t>
      </w:r>
    </w:p>
    <w:p w14:paraId="2F18928A">
      <w:pPr>
        <w:pStyle w:val="2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4FBADA21">
      <w:pPr>
        <w:pStyle w:val="2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p w14:paraId="63A99509">
      <w:pPr>
        <w:spacing w:line="360" w:lineRule="auto"/>
        <w:ind w:firstLine="437"/>
        <w:outlineLvl w:val="1"/>
        <w:rPr>
          <w:b/>
          <w:bCs/>
          <w:color w:val="auto"/>
          <w:sz w:val="24"/>
          <w:szCs w:val="18"/>
          <w:highlight w:val="none"/>
        </w:rPr>
      </w:pPr>
      <w:bookmarkStart w:id="24" w:name="_Toc2576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20"/>
      <w:r>
        <w:rPr>
          <w:rFonts w:hint="eastAsia" w:ascii="宋体" w:hAnsi="宋体" w:eastAsia="宋体"/>
          <w:b/>
          <w:bCs/>
          <w:color w:val="auto"/>
          <w:sz w:val="24"/>
          <w:szCs w:val="18"/>
          <w:highlight w:val="none"/>
        </w:rPr>
        <w:t>对本次招标提出询问，请按以下方式联系</w:t>
      </w:r>
      <w:bookmarkEnd w:id="24"/>
    </w:p>
    <w:p w14:paraId="54883576">
      <w:pPr>
        <w:spacing w:line="360" w:lineRule="auto"/>
        <w:ind w:firstLine="437"/>
        <w:outlineLvl w:val="2"/>
        <w:rPr>
          <w:rFonts w:hint="eastAsia" w:ascii="宋体" w:hAnsi="宋体" w:eastAsia="宋体"/>
          <w:color w:val="auto"/>
          <w:sz w:val="24"/>
          <w:szCs w:val="18"/>
          <w:highlight w:val="none"/>
          <w:lang w:val="en-US" w:eastAsia="zh-CN"/>
        </w:rPr>
      </w:pPr>
      <w:bookmarkStart w:id="25"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0AA0058F">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滁州学院</w:t>
      </w:r>
    </w:p>
    <w:p w14:paraId="4CBE8763">
      <w:pPr>
        <w:spacing w:line="360" w:lineRule="auto"/>
        <w:ind w:firstLine="435"/>
        <w:rPr>
          <w:rFonts w:hint="eastAsia"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安徽省滁州市会峰西路1号滁州学院会峰校区</w:t>
      </w:r>
    </w:p>
    <w:p w14:paraId="78FE03D5">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color w:val="auto"/>
          <w:sz w:val="24"/>
          <w:szCs w:val="18"/>
          <w:highlight w:val="none"/>
          <w:u w:val="single"/>
          <w:lang w:val="en-US" w:eastAsia="zh-CN"/>
        </w:rPr>
        <w:t>尹</w:t>
      </w:r>
      <w:r>
        <w:rPr>
          <w:rFonts w:hint="eastAsia" w:ascii="宋体" w:hAnsi="宋体" w:eastAsia="宋体"/>
          <w:color w:val="auto"/>
          <w:sz w:val="24"/>
          <w:szCs w:val="18"/>
          <w:highlight w:val="none"/>
          <w:u w:val="single"/>
          <w:lang w:val="en-US" w:eastAsia="zh-CN"/>
        </w:rPr>
        <w:t>老师</w:t>
      </w:r>
    </w:p>
    <w:p w14:paraId="622A17F8">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0550-3512003</w:t>
      </w:r>
    </w:p>
    <w:p w14:paraId="3BCE892A">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69B1FDE3">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滁州市城投工程咨询管理有限公司</w:t>
      </w:r>
    </w:p>
    <w:p w14:paraId="1D9B9849">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滁州市龙蟠大道109号房产大厦6楼</w:t>
      </w:r>
    </w:p>
    <w:p w14:paraId="24EA3637">
      <w:pPr>
        <w:spacing w:line="360" w:lineRule="auto"/>
        <w:ind w:firstLine="435"/>
        <w:rPr>
          <w:color w:val="auto"/>
          <w:highlight w:val="none"/>
        </w:rPr>
      </w:pPr>
      <w:r>
        <w:rPr>
          <w:rFonts w:hint="eastAsia" w:ascii="宋体" w:hAnsi="宋体" w:eastAsia="宋体"/>
          <w:color w:val="auto"/>
          <w:sz w:val="24"/>
          <w:szCs w:val="18"/>
          <w:highlight w:val="none"/>
          <w:lang w:val="en-US" w:eastAsia="zh-CN"/>
        </w:rPr>
        <w:t>联系人</w:t>
      </w:r>
      <w:r>
        <w:rPr>
          <w:rFonts w:hint="eastAsia"/>
          <w:color w:val="auto"/>
          <w:sz w:val="24"/>
          <w:szCs w:val="18"/>
          <w:highlight w:val="none"/>
          <w:lang w:val="en-US" w:eastAsia="zh-CN"/>
        </w:rPr>
        <w:t>:</w:t>
      </w:r>
      <w:r>
        <w:rPr>
          <w:rFonts w:hint="eastAsia" w:ascii="宋体" w:hAnsi="宋体" w:eastAsia="宋体"/>
          <w:color w:val="auto"/>
          <w:sz w:val="24"/>
          <w:szCs w:val="18"/>
          <w:highlight w:val="none"/>
          <w:u w:val="single"/>
          <w:lang w:val="en-US" w:eastAsia="zh-CN"/>
        </w:rPr>
        <w:t>杨韦</w:t>
      </w:r>
    </w:p>
    <w:p w14:paraId="790ABBBF">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0550-3519590、18005501210</w:t>
      </w:r>
    </w:p>
    <w:p w14:paraId="4640BFFB">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5BDA1647">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安徽省财政厅</w:t>
      </w:r>
    </w:p>
    <w:p w14:paraId="281E4A46">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合肥市阜南西路238号</w:t>
      </w:r>
    </w:p>
    <w:p w14:paraId="243280E8">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0551-68150413</w:t>
      </w:r>
    </w:p>
    <w:bookmarkEnd w:id="25"/>
    <w:p w14:paraId="384FC5D9">
      <w:pPr>
        <w:spacing w:line="360" w:lineRule="auto"/>
        <w:ind w:firstLine="435"/>
        <w:rPr>
          <w:color w:val="auto"/>
          <w:sz w:val="24"/>
          <w:szCs w:val="18"/>
          <w:highlight w:val="none"/>
        </w:rPr>
      </w:pPr>
      <w:r>
        <w:rPr>
          <w:color w:val="auto"/>
          <w:sz w:val="24"/>
          <w:szCs w:val="18"/>
          <w:highlight w:val="none"/>
        </w:rPr>
        <w:br w:type="page"/>
      </w:r>
    </w:p>
    <w:p w14:paraId="58EE2BFC">
      <w:pPr>
        <w:spacing w:line="360" w:lineRule="auto"/>
        <w:jc w:val="center"/>
        <w:outlineLvl w:val="0"/>
        <w:rPr>
          <w:rFonts w:asciiTheme="minorEastAsia" w:hAnsiTheme="minorEastAsia" w:eastAsiaTheme="minorEastAsia"/>
          <w:b/>
          <w:color w:val="auto"/>
          <w:sz w:val="28"/>
          <w:highlight w:val="none"/>
        </w:rPr>
      </w:pPr>
      <w:bookmarkStart w:id="26"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6"/>
    </w:p>
    <w:p w14:paraId="370FE04A">
      <w:pPr>
        <w:spacing w:line="360" w:lineRule="auto"/>
        <w:jc w:val="center"/>
        <w:outlineLvl w:val="1"/>
        <w:rPr>
          <w:rFonts w:asciiTheme="minorEastAsia" w:hAnsiTheme="minorEastAsia" w:eastAsiaTheme="minorEastAsia"/>
          <w:b/>
          <w:color w:val="auto"/>
          <w:sz w:val="24"/>
          <w:highlight w:val="none"/>
        </w:rPr>
      </w:pPr>
      <w:bookmarkStart w:id="27" w:name="_Toc18621"/>
      <w:bookmarkStart w:id="28" w:name="_Toc1202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7"/>
      <w:bookmarkEnd w:id="28"/>
    </w:p>
    <w:p w14:paraId="2E3B4C1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11"/>
        <w:gridCol w:w="6229"/>
      </w:tblGrid>
      <w:tr w14:paraId="571A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465" w:type="pct"/>
            <w:vAlign w:val="center"/>
          </w:tcPr>
          <w:p w14:paraId="628ADB11">
            <w:pPr>
              <w:pStyle w:val="76"/>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06ABCD9">
            <w:pPr>
              <w:pStyle w:val="76"/>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64A1A7FA">
            <w:pPr>
              <w:pStyle w:val="76"/>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6580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13016A6">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711" w:type="dxa"/>
            <w:vAlign w:val="center"/>
          </w:tcPr>
          <w:p w14:paraId="186EF350">
            <w:pPr>
              <w:pStyle w:val="76"/>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6229" w:type="dxa"/>
            <w:vAlign w:val="center"/>
          </w:tcPr>
          <w:p w14:paraId="28F21A0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06476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DE96507">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0F6009B5">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548A7E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7A89B4F">
            <w:pPr>
              <w:pStyle w:val="7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672C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116C3C4">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11FAF766">
            <w:pPr>
              <w:pStyle w:val="76"/>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17961FE2">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2026</w:t>
            </w:r>
            <w:r>
              <w:rPr>
                <w:b w:val="0"/>
                <w:color w:val="auto"/>
                <w:sz w:val="24"/>
                <w:highlight w:val="none"/>
              </w:rPr>
              <w:t>年</w:t>
            </w:r>
            <w:r>
              <w:rPr>
                <w:rFonts w:hint="eastAsia"/>
                <w:b w:val="0"/>
                <w:color w:val="auto"/>
                <w:sz w:val="24"/>
                <w:highlight w:val="none"/>
                <w:u w:val="single"/>
                <w:lang w:val="en-US" w:eastAsia="zh-CN"/>
              </w:rPr>
              <w:t>5</w:t>
            </w:r>
            <w:r>
              <w:rPr>
                <w:b w:val="0"/>
                <w:color w:val="auto"/>
                <w:sz w:val="24"/>
                <w:highlight w:val="none"/>
              </w:rPr>
              <w:t>月</w:t>
            </w:r>
            <w:r>
              <w:rPr>
                <w:rFonts w:hint="eastAsia"/>
                <w:b w:val="0"/>
                <w:color w:val="auto"/>
                <w:sz w:val="24"/>
                <w:highlight w:val="none"/>
                <w:u w:val="single"/>
                <w:lang w:val="en-US" w:eastAsia="zh-CN"/>
              </w:rPr>
              <w:t>7</w:t>
            </w:r>
            <w:r>
              <w:rPr>
                <w:b w:val="0"/>
                <w:color w:val="auto"/>
                <w:sz w:val="24"/>
                <w:highlight w:val="none"/>
              </w:rPr>
              <w:t>日</w:t>
            </w:r>
            <w:r>
              <w:rPr>
                <w:rFonts w:hint="eastAsia"/>
                <w:b w:val="0"/>
                <w:color w:val="auto"/>
                <w:sz w:val="24"/>
                <w:highlight w:val="none"/>
                <w:u w:val="single"/>
                <w:lang w:val="en-US" w:eastAsia="zh-CN"/>
              </w:rPr>
              <w:t>17</w:t>
            </w:r>
            <w:r>
              <w:rPr>
                <w:b w:val="0"/>
                <w:color w:val="auto"/>
                <w:sz w:val="24"/>
                <w:highlight w:val="none"/>
              </w:rPr>
              <w:t>时</w:t>
            </w:r>
            <w:r>
              <w:rPr>
                <w:rFonts w:hint="eastAsia"/>
                <w:b w:val="0"/>
                <w:color w:val="auto"/>
                <w:sz w:val="24"/>
                <w:highlight w:val="none"/>
                <w:u w:val="single"/>
                <w:lang w:val="en-US" w:eastAsia="zh-CN"/>
              </w:rPr>
              <w:t>30</w:t>
            </w:r>
            <w:r>
              <w:rPr>
                <w:rFonts w:hint="eastAsia"/>
                <w:b w:val="0"/>
                <w:color w:val="auto"/>
                <w:sz w:val="24"/>
                <w:highlight w:val="none"/>
              </w:rPr>
              <w:t>分</w:t>
            </w:r>
          </w:p>
        </w:tc>
      </w:tr>
      <w:tr w14:paraId="519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16" w:type="dxa"/>
            <w:vAlign w:val="center"/>
          </w:tcPr>
          <w:p w14:paraId="576AC7EA">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7026D976">
            <w:pPr>
              <w:pStyle w:val="76"/>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67D762E5">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lang w:eastAsia="zh-CN"/>
              </w:rPr>
              <w:t>☑</w:t>
            </w:r>
            <w:r>
              <w:rPr>
                <w:b w:val="0"/>
                <w:color w:val="auto"/>
                <w:sz w:val="24"/>
                <w:highlight w:val="none"/>
              </w:rPr>
              <w:t>不分包     □分为  个包</w:t>
            </w:r>
          </w:p>
          <w:p w14:paraId="19006EF2">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r>
              <w:rPr>
                <w:rFonts w:hint="eastAsia"/>
                <w:b w:val="0"/>
                <w:bCs w:val="0"/>
                <w:color w:val="auto"/>
                <w:sz w:val="24"/>
                <w:szCs w:val="18"/>
                <w:highlight w:val="none"/>
                <w:u w:val="single"/>
                <w:lang w:val="en-US" w:eastAsia="zh-CN"/>
              </w:rPr>
              <w:t>/</w:t>
            </w:r>
            <w:r>
              <w:rPr>
                <w:b w:val="0"/>
                <w:bCs w:val="0"/>
                <w:color w:val="auto"/>
                <w:sz w:val="24"/>
                <w:szCs w:val="18"/>
                <w:highlight w:val="none"/>
                <w:u w:val="single"/>
              </w:rPr>
              <w:t xml:space="preserve">       </w:t>
            </w:r>
          </w:p>
        </w:tc>
      </w:tr>
      <w:tr w14:paraId="1C7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6" w:type="dxa"/>
            <w:vAlign w:val="center"/>
          </w:tcPr>
          <w:p w14:paraId="18640B59">
            <w:pPr>
              <w:pStyle w:val="77"/>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6CF7A031">
            <w:pPr>
              <w:pStyle w:val="76"/>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6" w:type="pct"/>
            <w:vAlign w:val="center"/>
          </w:tcPr>
          <w:p w14:paraId="70AB614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092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A6DDB7C">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2B95BD20">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6" w:type="pct"/>
            <w:vAlign w:val="center"/>
          </w:tcPr>
          <w:p w14:paraId="530296D3">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 xml:space="preserve"> </w:t>
            </w:r>
            <w:r>
              <w:rPr>
                <w:rFonts w:hint="eastAsia"/>
                <w:b w:val="0"/>
                <w:color w:val="auto"/>
                <w:sz w:val="24"/>
                <w:highlight w:val="none"/>
                <w:u w:val="single"/>
                <w:lang w:val="en-US" w:eastAsia="zh-CN"/>
              </w:rPr>
              <w:t xml:space="preserve">90 </w:t>
            </w:r>
            <w:r>
              <w:rPr>
                <w:rFonts w:hint="eastAsia"/>
                <w:b w:val="0"/>
                <w:color w:val="auto"/>
                <w:sz w:val="24"/>
                <w:highlight w:val="none"/>
              </w:rPr>
              <w:t>日历日</w:t>
            </w:r>
          </w:p>
        </w:tc>
      </w:tr>
      <w:tr w14:paraId="53C6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6D2A6C5">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1ADB9331">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5209EDC1">
            <w:pPr>
              <w:pStyle w:val="76"/>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 xml:space="preserve"> 60 </w:t>
            </w:r>
            <w:r>
              <w:rPr>
                <w:rFonts w:hint="eastAsia"/>
                <w:b w:val="0"/>
                <w:color w:val="auto"/>
                <w:sz w:val="24"/>
                <w:highlight w:val="none"/>
                <w:u w:val="none"/>
              </w:rPr>
              <w:t>分钟内</w:t>
            </w:r>
          </w:p>
        </w:tc>
      </w:tr>
      <w:tr w14:paraId="313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76CA974">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24CC240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35A7040F">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003B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327A479">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1BE0F5A8">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36F35D5C">
            <w:pPr>
              <w:pStyle w:val="76"/>
              <w:widowControl w:val="0"/>
              <w:spacing w:before="0" w:beforeAutospacing="0" w:after="0" w:afterAutospacing="0" w:line="360" w:lineRule="auto"/>
              <w:jc w:val="both"/>
              <w:rPr>
                <w:b w:val="0"/>
                <w:color w:val="auto"/>
                <w:sz w:val="24"/>
                <w:highlight w:val="none"/>
              </w:rPr>
            </w:pPr>
            <w:r>
              <w:rPr>
                <w:rFonts w:hint="eastAsia"/>
                <w:b w:val="0"/>
                <w:i/>
                <w:color w:val="auto"/>
                <w:sz w:val="24"/>
                <w:highlight w:val="none"/>
              </w:rPr>
              <w:t>（非专门面向中小企业采购项目适用）</w:t>
            </w:r>
          </w:p>
        </w:tc>
        <w:tc>
          <w:tcPr>
            <w:tcW w:w="3556" w:type="pct"/>
            <w:vAlign w:val="center"/>
          </w:tcPr>
          <w:p w14:paraId="0B988EFD">
            <w:pPr>
              <w:pStyle w:val="7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77AE2312">
            <w:pPr>
              <w:pStyle w:val="7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6159E14">
            <w:pPr>
              <w:pStyle w:val="7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DE8FA87">
            <w:pPr>
              <w:pStyle w:val="7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6EB6BD0E">
            <w:pPr>
              <w:pStyle w:val="76"/>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tc>
      </w:tr>
      <w:tr w14:paraId="7C8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Merge w:val="restart"/>
            <w:vAlign w:val="center"/>
          </w:tcPr>
          <w:p w14:paraId="51C34DB0">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622C21A0">
            <w:pPr>
              <w:pStyle w:val="76"/>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76178504">
            <w:pPr>
              <w:pStyle w:val="76"/>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p>
          <w:p w14:paraId="29C179CC">
            <w:pPr>
              <w:pStyle w:val="76"/>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0C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6745B143">
            <w:pPr>
              <w:pStyle w:val="77"/>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31DE47F">
            <w:pPr>
              <w:pStyle w:val="76"/>
              <w:widowControl w:val="0"/>
              <w:spacing w:before="0" w:beforeAutospacing="0" w:after="0" w:afterAutospacing="0" w:line="360" w:lineRule="auto"/>
              <w:jc w:val="both"/>
              <w:rPr>
                <w:b w:val="0"/>
                <w:color w:val="auto"/>
                <w:sz w:val="24"/>
                <w:highlight w:val="none"/>
              </w:rPr>
            </w:pPr>
          </w:p>
        </w:tc>
        <w:tc>
          <w:tcPr>
            <w:tcW w:w="3556" w:type="pct"/>
            <w:vAlign w:val="center"/>
          </w:tcPr>
          <w:p w14:paraId="3E2A567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2B73D998">
            <w:pPr>
              <w:pStyle w:val="76"/>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FE"/>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□采购人确定</w:t>
            </w:r>
          </w:p>
        </w:tc>
      </w:tr>
      <w:tr w14:paraId="520C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17847A9E">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6A9A0D52">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3D97A663">
            <w:pPr>
              <w:pStyle w:val="76"/>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610897A6">
            <w:pPr>
              <w:pStyle w:val="76"/>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2E336721">
            <w:pPr>
              <w:pStyle w:val="76"/>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tc>
      </w:tr>
      <w:tr w14:paraId="0F4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060E769">
            <w:pPr>
              <w:pStyle w:val="77"/>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0E289BA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3C6189A3">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481F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D8EA391">
            <w:pPr>
              <w:pStyle w:val="77"/>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77" w:type="pct"/>
            <w:vAlign w:val="center"/>
          </w:tcPr>
          <w:p w14:paraId="1FE416F8">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6" w:type="pct"/>
            <w:vAlign w:val="center"/>
          </w:tcPr>
          <w:p w14:paraId="550D0936">
            <w:pPr>
              <w:pStyle w:val="76"/>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24426C4B">
            <w:pPr>
              <w:pStyle w:val="76"/>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294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B024883">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2288C87E">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7111A7A9">
            <w:pPr>
              <w:spacing w:line="360" w:lineRule="auto"/>
              <w:rPr>
                <w:bCs/>
                <w:color w:val="auto"/>
                <w:sz w:val="24"/>
                <w:szCs w:val="28"/>
                <w:highlight w:val="none"/>
              </w:rPr>
            </w:pPr>
            <w:r>
              <w:rPr>
                <w:rFonts w:hint="eastAsia"/>
                <w:bCs/>
                <w:color w:val="auto"/>
                <w:sz w:val="24"/>
                <w:szCs w:val="28"/>
                <w:highlight w:val="none"/>
              </w:rPr>
              <w:t>（1）金额：</w:t>
            </w:r>
          </w:p>
          <w:p w14:paraId="6C0CE609">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免收</w:t>
            </w:r>
          </w:p>
          <w:p w14:paraId="7EC7D754">
            <w:pPr>
              <w:spacing w:line="360" w:lineRule="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合同价的</w:t>
            </w:r>
            <w:r>
              <w:rPr>
                <w:rFonts w:hint="eastAsia"/>
                <w:bCs/>
                <w:color w:val="auto"/>
                <w:sz w:val="24"/>
                <w:szCs w:val="28"/>
                <w:highlight w:val="none"/>
                <w:u w:val="single"/>
                <w:lang w:val="en-US" w:eastAsia="zh-CN"/>
              </w:rPr>
              <w:t>2.5</w:t>
            </w:r>
            <w:r>
              <w:rPr>
                <w:bCs/>
                <w:color w:val="auto"/>
                <w:sz w:val="24"/>
                <w:szCs w:val="28"/>
                <w:highlight w:val="none"/>
              </w:rPr>
              <w:t>%</w:t>
            </w:r>
          </w:p>
          <w:p w14:paraId="3177661E">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定额收取：人民币</w:t>
            </w:r>
            <w:r>
              <w:rPr>
                <w:rFonts w:hint="eastAsia"/>
                <w:bCs/>
                <w:color w:val="auto"/>
                <w:sz w:val="24"/>
                <w:szCs w:val="28"/>
                <w:highlight w:val="none"/>
                <w:u w:val="single"/>
              </w:rPr>
              <w:t xml:space="preserve">              </w:t>
            </w:r>
            <w:r>
              <w:rPr>
                <w:rFonts w:hint="eastAsia"/>
                <w:bCs/>
                <w:color w:val="auto"/>
                <w:sz w:val="24"/>
                <w:szCs w:val="28"/>
                <w:highlight w:val="none"/>
              </w:rPr>
              <w:t>元</w:t>
            </w:r>
          </w:p>
          <w:p w14:paraId="73F3B94F">
            <w:pPr>
              <w:spacing w:line="360" w:lineRule="auto"/>
              <w:rPr>
                <w:bCs/>
                <w:color w:val="auto"/>
                <w:sz w:val="24"/>
                <w:szCs w:val="28"/>
                <w:highlight w:val="none"/>
              </w:rPr>
            </w:pPr>
            <w:r>
              <w:rPr>
                <w:rFonts w:hint="eastAsia"/>
                <w:bCs/>
                <w:color w:val="auto"/>
                <w:sz w:val="24"/>
                <w:szCs w:val="28"/>
                <w:highlight w:val="none"/>
              </w:rPr>
              <w:t>（2）支付方式：</w:t>
            </w:r>
          </w:p>
          <w:p w14:paraId="2FCAB721">
            <w:pPr>
              <w:spacing w:line="360" w:lineRule="auto"/>
              <w:rPr>
                <w:bCs/>
                <w:color w:val="auto"/>
                <w:sz w:val="24"/>
                <w:szCs w:val="28"/>
                <w:highlight w:val="none"/>
              </w:rPr>
            </w:pPr>
            <w:r>
              <w:rPr>
                <w:rFonts w:hint="eastAsia"/>
                <w:bCs/>
                <w:color w:val="auto"/>
                <w:sz w:val="24"/>
                <w:szCs w:val="28"/>
                <w:highlight w:val="none"/>
              </w:rPr>
              <w:sym w:font="Wingdings" w:char="00FE"/>
            </w:r>
            <w:r>
              <w:rPr>
                <w:bCs/>
                <w:color w:val="auto"/>
                <w:sz w:val="24"/>
                <w:szCs w:val="28"/>
                <w:highlight w:val="none"/>
              </w:rPr>
              <w:t>转账/电汇</w:t>
            </w:r>
            <w:r>
              <w:rPr>
                <w:rFonts w:hint="eastAsia"/>
                <w:bCs/>
                <w:color w:val="auto"/>
                <w:sz w:val="24"/>
                <w:szCs w:val="28"/>
                <w:highlight w:val="none"/>
              </w:rPr>
              <w:t xml:space="preserve"> </w:t>
            </w:r>
            <w:r>
              <w:rPr>
                <w:rFonts w:hint="eastAsia"/>
                <w:bCs/>
                <w:color w:val="auto"/>
                <w:sz w:val="24"/>
                <w:szCs w:val="28"/>
                <w:highlight w:val="none"/>
              </w:rPr>
              <w:sym w:font="Wingdings" w:char="00FE"/>
            </w:r>
            <w:r>
              <w:rPr>
                <w:bCs/>
                <w:color w:val="auto"/>
                <w:sz w:val="24"/>
                <w:szCs w:val="28"/>
                <w:highlight w:val="none"/>
              </w:rPr>
              <w:t xml:space="preserve">支票 </w:t>
            </w:r>
            <w:r>
              <w:rPr>
                <w:rFonts w:hint="eastAsia"/>
                <w:bCs/>
                <w:color w:val="auto"/>
                <w:sz w:val="24"/>
                <w:szCs w:val="28"/>
                <w:highlight w:val="none"/>
              </w:rPr>
              <w:sym w:font="Wingdings" w:char="00FE"/>
            </w:r>
            <w:r>
              <w:rPr>
                <w:bCs/>
                <w:color w:val="auto"/>
                <w:sz w:val="24"/>
                <w:szCs w:val="28"/>
                <w:highlight w:val="none"/>
              </w:rPr>
              <w:t>汇票</w:t>
            </w:r>
            <w:r>
              <w:rPr>
                <w:rFonts w:hint="eastAsia"/>
                <w:bCs/>
                <w:color w:val="auto"/>
                <w:sz w:val="24"/>
                <w:szCs w:val="28"/>
                <w:highlight w:val="none"/>
              </w:rPr>
              <w:t xml:space="preserve"> </w:t>
            </w:r>
            <w:r>
              <w:rPr>
                <w:rFonts w:hint="eastAsia"/>
                <w:bCs/>
                <w:color w:val="auto"/>
                <w:sz w:val="24"/>
                <w:szCs w:val="28"/>
                <w:highlight w:val="none"/>
              </w:rPr>
              <w:sym w:font="Wingdings" w:char="00FE"/>
            </w:r>
            <w:r>
              <w:rPr>
                <w:rFonts w:hint="eastAsia"/>
                <w:bCs/>
                <w:color w:val="auto"/>
                <w:sz w:val="24"/>
                <w:szCs w:val="28"/>
                <w:highlight w:val="none"/>
              </w:rPr>
              <w:t xml:space="preserve">本票 </w:t>
            </w:r>
            <w:r>
              <w:rPr>
                <w:rFonts w:hint="eastAsia"/>
                <w:bCs/>
                <w:color w:val="auto"/>
                <w:sz w:val="24"/>
                <w:szCs w:val="28"/>
                <w:highlight w:val="none"/>
              </w:rPr>
              <w:sym w:font="Wingdings" w:char="00FE"/>
            </w:r>
            <w:r>
              <w:rPr>
                <w:bCs/>
                <w:color w:val="auto"/>
                <w:sz w:val="24"/>
                <w:szCs w:val="28"/>
                <w:highlight w:val="none"/>
              </w:rPr>
              <w:t>保</w:t>
            </w:r>
            <w:r>
              <w:rPr>
                <w:rFonts w:hint="eastAsia"/>
                <w:bCs/>
                <w:color w:val="auto"/>
                <w:sz w:val="24"/>
                <w:szCs w:val="28"/>
                <w:highlight w:val="none"/>
              </w:rPr>
              <w:t xml:space="preserve">险 </w:t>
            </w:r>
            <w:r>
              <w:rPr>
                <w:rFonts w:hint="eastAsia"/>
                <w:bCs/>
                <w:color w:val="auto"/>
                <w:sz w:val="24"/>
                <w:szCs w:val="28"/>
                <w:highlight w:val="none"/>
              </w:rPr>
              <w:sym w:font="Wingdings" w:char="00FE"/>
            </w:r>
            <w:r>
              <w:rPr>
                <w:rFonts w:hint="eastAsia"/>
                <w:bCs/>
                <w:color w:val="auto"/>
                <w:sz w:val="24"/>
                <w:szCs w:val="28"/>
                <w:highlight w:val="none"/>
              </w:rPr>
              <w:t>保</w:t>
            </w:r>
            <w:r>
              <w:rPr>
                <w:bCs/>
                <w:color w:val="auto"/>
                <w:sz w:val="24"/>
                <w:szCs w:val="28"/>
                <w:highlight w:val="none"/>
              </w:rPr>
              <w:t>函</w:t>
            </w:r>
          </w:p>
          <w:p w14:paraId="2FB6F645">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cs="宋体"/>
                <w:bCs/>
                <w:color w:val="auto"/>
                <w:kern w:val="0"/>
                <w:sz w:val="24"/>
                <w:szCs w:val="24"/>
                <w:highlight w:val="none"/>
                <w:u w:val="single"/>
                <w:lang w:val="en-US" w:eastAsia="zh-CN"/>
              </w:rPr>
              <w:t>滁州学院</w:t>
            </w:r>
            <w:r>
              <w:rPr>
                <w:rFonts w:hint="eastAsia" w:ascii="宋体" w:hAnsi="宋体" w:eastAsia="宋体" w:cs="宋体"/>
                <w:bCs/>
                <w:color w:val="auto"/>
                <w:kern w:val="0"/>
                <w:sz w:val="24"/>
                <w:szCs w:val="24"/>
                <w:highlight w:val="none"/>
              </w:rPr>
              <w:t xml:space="preserve"> </w:t>
            </w:r>
            <w:r>
              <w:rPr>
                <w:rFonts w:hint="eastAsia" w:ascii="宋体" w:hAnsi="宋体" w:eastAsia="宋体"/>
                <w:bCs/>
                <w:color w:val="auto"/>
                <w:kern w:val="0"/>
                <w:sz w:val="24"/>
                <w:szCs w:val="28"/>
                <w:highlight w:val="none"/>
              </w:rPr>
              <w:t xml:space="preserve">           </w:t>
            </w:r>
          </w:p>
          <w:p w14:paraId="682E9956">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cs="宋体"/>
                <w:bCs/>
                <w:color w:val="auto"/>
                <w:kern w:val="0"/>
                <w:sz w:val="24"/>
                <w:szCs w:val="24"/>
                <w:highlight w:val="none"/>
                <w:u w:val="single"/>
                <w:lang w:val="en-US" w:eastAsia="zh-CN"/>
              </w:rPr>
              <w:t>另行通知</w:t>
            </w:r>
          </w:p>
          <w:p w14:paraId="45B8694D">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cs="宋体"/>
                <w:bCs/>
                <w:color w:val="auto"/>
                <w:kern w:val="0"/>
                <w:sz w:val="24"/>
                <w:szCs w:val="24"/>
                <w:highlight w:val="none"/>
                <w:u w:val="single"/>
                <w:lang w:val="en-US" w:eastAsia="zh-CN"/>
              </w:rPr>
              <w:t>验收合格后，一次性退还。</w:t>
            </w:r>
          </w:p>
          <w:p w14:paraId="64C27A0E">
            <w:pPr>
              <w:spacing w:line="360" w:lineRule="auto"/>
              <w:rPr>
                <w:b/>
                <w:bCs/>
                <w:color w:val="auto"/>
                <w:sz w:val="24"/>
                <w:szCs w:val="24"/>
                <w:highlight w:val="none"/>
              </w:rPr>
            </w:pPr>
            <w:r>
              <w:rPr>
                <w:rFonts w:hint="eastAsia"/>
                <w:b/>
                <w:bCs/>
                <w:color w:val="auto"/>
                <w:sz w:val="24"/>
                <w:szCs w:val="24"/>
                <w:highlight w:val="none"/>
              </w:rPr>
              <w:t>注意事项：</w:t>
            </w:r>
          </w:p>
          <w:p w14:paraId="5FF0F573">
            <w:pPr>
              <w:spacing w:line="360" w:lineRule="auto"/>
              <w:rPr>
                <w:b/>
                <w:bCs/>
                <w:color w:val="auto"/>
                <w:sz w:val="24"/>
                <w:szCs w:val="24"/>
                <w:highlight w:val="none"/>
              </w:rPr>
            </w:pPr>
            <w:r>
              <w:rPr>
                <w:rFonts w:hint="eastAsia"/>
                <w:b/>
                <w:bCs/>
                <w:color w:val="auto"/>
                <w:sz w:val="24"/>
                <w:szCs w:val="24"/>
                <w:highlight w:val="none"/>
              </w:rPr>
              <w:t>（1）以上各类机构出具的以担保函、保证保险承担责任的方式均须满足无条件见索即付条件。</w:t>
            </w:r>
          </w:p>
          <w:p w14:paraId="154C0BB1">
            <w:pPr>
              <w:pStyle w:val="76"/>
              <w:widowControl w:val="0"/>
              <w:spacing w:before="0" w:beforeAutospacing="0" w:after="0" w:afterAutospacing="0" w:line="360" w:lineRule="auto"/>
              <w:jc w:val="both"/>
              <w:rPr>
                <w:color w:val="auto"/>
                <w:sz w:val="24"/>
                <w:highlight w:val="none"/>
              </w:rPr>
            </w:pPr>
            <w:r>
              <w:rPr>
                <w:rFonts w:hint="eastAsia"/>
                <w:bCs w:val="0"/>
                <w:color w:val="auto"/>
                <w:sz w:val="24"/>
                <w:szCs w:val="24"/>
                <w:highlight w:val="none"/>
              </w:rPr>
              <w:t>（2）以担保函、保证保险形式缴纳履约保证金的，受益人和收取单位须为采购人。</w:t>
            </w:r>
          </w:p>
        </w:tc>
      </w:tr>
      <w:tr w14:paraId="16C7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AE815A7">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488350AC">
            <w:pPr>
              <w:pStyle w:val="76"/>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6" w:type="pct"/>
            <w:vAlign w:val="center"/>
          </w:tcPr>
          <w:p w14:paraId="6B171853">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eastAsia" w:cs="宋体"/>
                <w:color w:val="auto"/>
                <w:spacing w:val="14"/>
                <w:sz w:val="24"/>
                <w:szCs w:val="24"/>
                <w:highlight w:val="none"/>
                <w:lang w:val="en-US" w:eastAsia="zh-CN"/>
              </w:rPr>
              <w:t>成交供应商</w:t>
            </w:r>
          </w:p>
          <w:p w14:paraId="619719B2">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成交供应商</w:t>
            </w:r>
            <w:r>
              <w:rPr>
                <w:rFonts w:hint="eastAsia" w:ascii="宋体" w:hAnsi="宋体" w:eastAsia="宋体" w:cs="宋体"/>
                <w:color w:val="auto"/>
                <w:sz w:val="24"/>
                <w:szCs w:val="24"/>
                <w:highlight w:val="none"/>
                <w:u w:val="single"/>
              </w:rPr>
              <w:t>在获取成交通知书时一次性支付给代理机构</w:t>
            </w:r>
          </w:p>
          <w:p w14:paraId="297AC97F">
            <w:pPr>
              <w:pStyle w:val="7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bCs/>
                <w:color w:val="auto"/>
                <w:sz w:val="24"/>
                <w:szCs w:val="28"/>
                <w:highlight w:val="none"/>
                <w:lang w:val="en-US"/>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color w:val="auto"/>
                <w:kern w:val="0"/>
                <w:sz w:val="24"/>
                <w:szCs w:val="24"/>
                <w:highlight w:val="none"/>
                <w:u w:val="single"/>
                <w:lang w:val="en-US" w:eastAsia="zh-CN" w:bidi="ar-SA"/>
              </w:rPr>
              <w:t>按照计价格[2002]1980 号文规定标准的80%收取采购代理服务费。(</w:t>
            </w:r>
            <w:r>
              <w:rPr>
                <w:rFonts w:hint="eastAsia" w:cs="宋体"/>
                <w:b w:val="0"/>
                <w:bCs/>
                <w:color w:val="auto"/>
                <w:kern w:val="0"/>
                <w:sz w:val="24"/>
                <w:szCs w:val="24"/>
                <w:highlight w:val="none"/>
                <w:u w:val="single"/>
                <w:lang w:val="en-US" w:eastAsia="zh-CN" w:bidi="ar-SA"/>
              </w:rPr>
              <w:t>约</w:t>
            </w:r>
            <w:r>
              <w:rPr>
                <w:rFonts w:hint="eastAsia" w:ascii="宋体" w:hAnsi="宋体" w:eastAsia="宋体" w:cs="宋体"/>
                <w:b w:val="0"/>
                <w:bCs/>
                <w:color w:val="auto"/>
                <w:kern w:val="0"/>
                <w:sz w:val="24"/>
                <w:szCs w:val="24"/>
                <w:highlight w:val="none"/>
                <w:u w:val="single"/>
                <w:lang w:val="en-US" w:eastAsia="zh-CN" w:bidi="ar-SA"/>
              </w:rPr>
              <w:t>9600元）</w:t>
            </w:r>
          </w:p>
        </w:tc>
      </w:tr>
      <w:tr w14:paraId="6DD2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F65D464">
            <w:pPr>
              <w:pStyle w:val="77"/>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28F413C0">
            <w:pPr>
              <w:pStyle w:val="7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45FF6AF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148D5E9E">
            <w:pPr>
              <w:pStyle w:val="7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2FD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21548F1">
            <w:pPr>
              <w:pStyle w:val="77"/>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44E5FD33">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3958835D">
            <w:pPr>
              <w:pStyle w:val="7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供应商</w:t>
            </w:r>
            <w:r>
              <w:rPr>
                <w:rFonts w:hint="eastAsia" w:ascii="宋体" w:hAnsi="宋体" w:eastAsia="宋体"/>
                <w:b w:val="0"/>
                <w:color w:val="auto"/>
                <w:sz w:val="24"/>
                <w:highlight w:val="none"/>
                <w:u w:val="single"/>
                <w:lang w:val="en-US" w:eastAsia="zh-CN"/>
              </w:rPr>
              <w:t>可</w:t>
            </w:r>
            <w:r>
              <w:rPr>
                <w:rFonts w:hint="eastAsia" w:ascii="宋体" w:hAnsi="宋体" w:eastAsia="宋体"/>
                <w:b w:val="0"/>
                <w:color w:val="auto"/>
                <w:sz w:val="24"/>
                <w:highlight w:val="none"/>
                <w:u w:val="single"/>
              </w:rPr>
              <w:t>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032D553C">
            <w:pPr>
              <w:pStyle w:val="76"/>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cs="宋体"/>
                <w:b w:val="0"/>
                <w:bCs w:val="0"/>
                <w:color w:val="auto"/>
                <w:sz w:val="24"/>
                <w:szCs w:val="24"/>
                <w:highlight w:val="none"/>
                <w:u w:val="single"/>
                <w:lang w:val="en-US" w:eastAsia="zh-CN"/>
              </w:rPr>
              <w:t>滁州学院、滁州市城投工程咨询管理有限公司</w:t>
            </w:r>
            <w:r>
              <w:rPr>
                <w:rFonts w:ascii="宋体" w:hAnsi="宋体" w:eastAsia="宋体"/>
                <w:b w:val="0"/>
                <w:color w:val="auto"/>
                <w:sz w:val="24"/>
                <w:highlight w:val="none"/>
              </w:rPr>
              <w:t>联系电话：</w:t>
            </w:r>
            <w:r>
              <w:rPr>
                <w:rFonts w:hint="eastAsia" w:ascii="宋体" w:hAnsi="宋体" w:eastAsia="宋体" w:cs="宋体"/>
                <w:b w:val="0"/>
                <w:bCs/>
                <w:color w:val="auto"/>
                <w:kern w:val="0"/>
                <w:sz w:val="24"/>
                <w:szCs w:val="24"/>
                <w:highlight w:val="none"/>
                <w:u w:val="single"/>
                <w:lang w:val="en-US" w:eastAsia="zh-CN"/>
              </w:rPr>
              <w:t>0550-3512003、0550-3159590</w:t>
            </w:r>
            <w:r>
              <w:rPr>
                <w:rFonts w:hint="eastAsia" w:ascii="宋体" w:hAnsi="宋体" w:eastAsia="宋体" w:cs="宋体"/>
                <w:b w:val="0"/>
                <w:bCs/>
                <w:color w:val="auto"/>
                <w:kern w:val="0"/>
                <w:sz w:val="24"/>
                <w:szCs w:val="24"/>
                <w:highlight w:val="none"/>
                <w:u w:val="single"/>
              </w:rPr>
              <w:t xml:space="preserve"> </w:t>
            </w:r>
          </w:p>
          <w:p w14:paraId="516A987A">
            <w:pPr>
              <w:pStyle w:val="76"/>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cs="宋体"/>
                <w:b w:val="0"/>
                <w:bCs/>
                <w:color w:val="auto"/>
                <w:kern w:val="0"/>
                <w:sz w:val="24"/>
                <w:szCs w:val="24"/>
                <w:highlight w:val="none"/>
                <w:u w:val="single"/>
              </w:rPr>
              <w:t>安徽省滁州市会峰西路1号滁州学院会峰校区</w:t>
            </w:r>
            <w:r>
              <w:rPr>
                <w:rFonts w:hint="eastAsia" w:ascii="宋体" w:hAnsi="宋体" w:eastAsia="宋体" w:cs="宋体"/>
                <w:b w:val="0"/>
                <w:bCs/>
                <w:color w:val="auto"/>
                <w:kern w:val="0"/>
                <w:sz w:val="24"/>
                <w:szCs w:val="24"/>
                <w:highlight w:val="none"/>
                <w:u w:val="single"/>
                <w:lang w:eastAsia="zh-CN"/>
              </w:rPr>
              <w:t>、滁州市龙蟠大道109号房产大厦6楼</w:t>
            </w:r>
          </w:p>
        </w:tc>
      </w:tr>
      <w:tr w14:paraId="579A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151567F">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7397BED6">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4C1176D0">
            <w:pPr>
              <w:keepNext w:val="0"/>
              <w:keepLines w:val="0"/>
              <w:pageBreakBefore w:val="0"/>
              <w:kinsoku/>
              <w:wordWrap w:val="0"/>
              <w:overflowPunct/>
              <w:autoSpaceDE/>
              <w:autoSpaceDN/>
              <w:bidi w:val="0"/>
              <w:spacing w:line="520" w:lineRule="exac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1.质疑供应商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2EA85779">
            <w:pPr>
              <w:keepNext w:val="0"/>
              <w:keepLines w:val="0"/>
              <w:pageBreakBefore w:val="0"/>
              <w:kinsoku/>
              <w:wordWrap w:val="0"/>
              <w:overflowPunct/>
              <w:autoSpaceDE/>
              <w:autoSpaceDN/>
              <w:bidi w:val="0"/>
              <w:spacing w:line="520" w:lineRule="exac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3AD154E7">
            <w:pPr>
              <w:pStyle w:val="76"/>
              <w:widowControl w:val="0"/>
              <w:spacing w:before="0" w:beforeAutospacing="0" w:after="0" w:afterAutospacing="0" w:line="360" w:lineRule="auto"/>
              <w:jc w:val="both"/>
              <w:rPr>
                <w:b w:val="0"/>
                <w:color w:val="auto"/>
                <w:sz w:val="24"/>
                <w:highlight w:val="none"/>
              </w:rPr>
            </w:pPr>
            <w:r>
              <w:rPr>
                <w:rFonts w:hint="eastAsia" w:ascii="宋体" w:hAnsi="宋体" w:eastAsia="宋体" w:cs="宋体"/>
                <w:b w:val="0"/>
                <w:bCs/>
                <w:color w:val="auto"/>
                <w:sz w:val="24"/>
                <w:szCs w:val="24"/>
                <w:highlight w:val="none"/>
                <w:lang w:val="en-US" w:eastAsia="zh-CN" w:bidi="ar-SA"/>
              </w:rPr>
              <w:t>3.政府采购监督管理部门在处理投诉事项期间，可以视具体情况书面通知采购人暂停采购活动，但暂停时间最长不得超过30日。</w:t>
            </w:r>
          </w:p>
        </w:tc>
      </w:tr>
      <w:tr w14:paraId="727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13A336F">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3AFFEAEB">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232E9704">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6AD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B55F86">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396AD061">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7B83370A">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2BAB9C1B">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□全费用综合单价报价法</w:t>
            </w:r>
          </w:p>
        </w:tc>
      </w:tr>
      <w:tr w14:paraId="79E7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8D344F3">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4DE0687A">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2EA85FC8">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single"/>
                <w:lang w:val="en-US" w:eastAsia="zh-CN"/>
              </w:rPr>
              <w:t>50个</w:t>
            </w:r>
            <w:r>
              <w:rPr>
                <w:b w:val="0"/>
                <w:color w:val="auto"/>
                <w:sz w:val="24"/>
                <w:highlight w:val="none"/>
              </w:rPr>
              <w:t>日历天</w:t>
            </w:r>
          </w:p>
          <w:p w14:paraId="1102753E">
            <w:pPr>
              <w:pStyle w:val="76"/>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b w:val="0"/>
                <w:color w:val="auto"/>
                <w:sz w:val="24"/>
                <w:highlight w:val="none"/>
                <w:u w:val="single"/>
              </w:rPr>
              <w:t xml:space="preserve">    </w:t>
            </w:r>
            <w:r>
              <w:rPr>
                <w:b w:val="0"/>
                <w:color w:val="auto"/>
                <w:sz w:val="24"/>
                <w:highlight w:val="none"/>
              </w:rPr>
              <w:t>年</w:t>
            </w:r>
            <w:r>
              <w:rPr>
                <w:b w:val="0"/>
                <w:color w:val="auto"/>
                <w:sz w:val="24"/>
                <w:highlight w:val="none"/>
                <w:u w:val="single"/>
              </w:rPr>
              <w:t xml:space="preserve">  </w:t>
            </w:r>
            <w:r>
              <w:rPr>
                <w:b w:val="0"/>
                <w:color w:val="auto"/>
                <w:sz w:val="24"/>
                <w:highlight w:val="none"/>
              </w:rPr>
              <w:t>月</w:t>
            </w:r>
            <w:r>
              <w:rPr>
                <w:b w:val="0"/>
                <w:color w:val="auto"/>
                <w:sz w:val="24"/>
                <w:highlight w:val="none"/>
                <w:u w:val="single"/>
              </w:rPr>
              <w:t xml:space="preserve">  </w:t>
            </w:r>
            <w:r>
              <w:rPr>
                <w:b w:val="0"/>
                <w:color w:val="auto"/>
                <w:sz w:val="24"/>
                <w:highlight w:val="none"/>
              </w:rPr>
              <w:t>日</w:t>
            </w:r>
            <w:r>
              <w:rPr>
                <w:rFonts w:hint="eastAsia"/>
                <w:b w:val="0"/>
                <w:color w:val="auto"/>
                <w:sz w:val="24"/>
                <w:highlight w:val="none"/>
              </w:rPr>
              <w:t>，</w:t>
            </w:r>
            <w:bookmarkStart w:id="29" w:name="EB2a2e1a22d449405a860670c095486ab8"/>
            <w:r>
              <w:rPr>
                <w:rFonts w:hint="eastAsia"/>
                <w:b w:val="0"/>
                <w:color w:val="auto"/>
                <w:sz w:val="24"/>
                <w:highlight w:val="none"/>
              </w:rPr>
              <w:t>具体开工时间以采购人通知时间为准</w:t>
            </w:r>
            <w:r>
              <w:rPr>
                <w:rFonts w:hint="eastAsia"/>
                <w:b w:val="0"/>
                <w:color w:val="auto"/>
                <w:sz w:val="24"/>
                <w:highlight w:val="none"/>
              </w:rPr>
              <w:t>。</w:t>
            </w:r>
            <w:bookmarkEnd w:id="29"/>
            <w:r>
              <w:rPr>
                <w:rFonts w:hint="eastAsia"/>
                <w:b w:val="0"/>
                <w:color w:val="auto"/>
                <w:sz w:val="24"/>
                <w:highlight w:val="none"/>
              </w:rPr>
              <w:t>成交人按合同工期要求，每延迟一天，按5000元/天处以违约金，从工程结算款中扣除。如延误工期超出合同工期50%的，不予支付工程款。如因采购人要求增加工程量、教育教学、重大活动、极端天气等不可抗拒因素造成，工期予以顺延，经采购人和成交人书面确认后，具体以实际发生时间为依据。</w:t>
            </w:r>
          </w:p>
        </w:tc>
      </w:tr>
      <w:tr w14:paraId="2CFA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D3E6637">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2C25BF6E">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6" w:type="pct"/>
            <w:vAlign w:val="center"/>
          </w:tcPr>
          <w:p w14:paraId="0F84E49E">
            <w:pPr>
              <w:pStyle w:val="103"/>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691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B95E801">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6FFC3E9C">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28C69C41">
            <w:pPr>
              <w:pStyle w:val="76"/>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443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7746626">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3364FFF6">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3F9F3BB3">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E30B4F0">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FD786D6">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330EAF85">
            <w:pPr>
              <w:pStyle w:val="76"/>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214C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7BC5DAE">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3B4C9F66">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45B30E58">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2358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41BFB29">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5E6C73C3">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55157EC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79C89484">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61AE1135">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019412B6">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电子版图纸</w:t>
            </w:r>
          </w:p>
          <w:p w14:paraId="41D8A9C5">
            <w:pPr>
              <w:adjustRightInd w:val="0"/>
              <w:snapToGrid w:val="0"/>
              <w:spacing w:line="360" w:lineRule="auto"/>
              <w:jc w:val="left"/>
              <w:rPr>
                <w:rFonts w:hint="default" w:eastAsia="宋体"/>
                <w:bCs/>
                <w:color w:val="auto"/>
                <w:sz w:val="24"/>
                <w:szCs w:val="28"/>
                <w:highlight w:val="none"/>
                <w:lang w:val="en-US" w:eastAsia="zh-CN"/>
              </w:rPr>
            </w:pPr>
            <w:r>
              <w:rPr>
                <w:rFonts w:hint="eastAsia"/>
                <w:bCs/>
                <w:color w:val="auto"/>
                <w:sz w:val="24"/>
                <w:szCs w:val="28"/>
                <w:highlight w:val="none"/>
              </w:rPr>
              <w:t>获得方式：</w:t>
            </w:r>
            <w:r>
              <w:rPr>
                <w:rFonts w:hint="eastAsia"/>
                <w:bCs/>
                <w:color w:val="auto"/>
                <w:sz w:val="24"/>
                <w:szCs w:val="28"/>
                <w:highlight w:val="none"/>
                <w:lang w:val="en-US" w:eastAsia="zh-CN"/>
              </w:rPr>
              <w:t>网上下载</w:t>
            </w:r>
          </w:p>
          <w:p w14:paraId="34EC4252">
            <w:pPr>
              <w:pStyle w:val="76"/>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376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3805B5C">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977" w:type="pct"/>
            <w:vAlign w:val="center"/>
          </w:tcPr>
          <w:p w14:paraId="1506C3DA">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工程量清单和最高投标限价编制费</w:t>
            </w:r>
          </w:p>
        </w:tc>
        <w:tc>
          <w:tcPr>
            <w:tcW w:w="3556" w:type="pct"/>
            <w:vAlign w:val="center"/>
          </w:tcPr>
          <w:p w14:paraId="18249F77">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cs="宋体"/>
                <w:color w:val="auto"/>
                <w:spacing w:val="-12"/>
                <w:sz w:val="24"/>
                <w:szCs w:val="24"/>
                <w:highlight w:val="none"/>
                <w:u w:val="single"/>
                <w:lang w:val="en-US" w:eastAsia="zh-CN"/>
              </w:rPr>
              <w:t>采购人</w:t>
            </w:r>
          </w:p>
          <w:p w14:paraId="378829C7">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转账</w:t>
            </w:r>
          </w:p>
          <w:p w14:paraId="4B004CCC">
            <w:pPr>
              <w:pStyle w:val="76"/>
              <w:widowControl w:val="0"/>
              <w:spacing w:before="0" w:beforeAutospacing="0" w:after="0" w:afterAutospacing="0" w:line="360" w:lineRule="auto"/>
              <w:jc w:val="both"/>
              <w:rPr>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color w:val="auto"/>
                <w:kern w:val="0"/>
                <w:sz w:val="24"/>
                <w:szCs w:val="24"/>
                <w:highlight w:val="none"/>
                <w:u w:val="single"/>
                <w:lang w:val="en-US" w:eastAsia="zh-CN" w:bidi="ar-SA"/>
              </w:rPr>
              <w:t>双方约定为准</w:t>
            </w:r>
          </w:p>
        </w:tc>
      </w:tr>
      <w:tr w14:paraId="783C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E6B2BA6">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77" w:type="pct"/>
            <w:vAlign w:val="center"/>
          </w:tcPr>
          <w:p w14:paraId="096AB9F9">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555CAF2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6B5543D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730B61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B1E23F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BDF8C4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A2D2116">
            <w:pPr>
              <w:pStyle w:val="76"/>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01BBA3DB">
            <w:pPr>
              <w:pStyle w:val="76"/>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p w14:paraId="58C59361">
            <w:pPr>
              <w:pStyle w:val="76"/>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4、部分可提供线下政采贷的金融机构</w:t>
            </w:r>
          </w:p>
          <w:p w14:paraId="0C94E6FE">
            <w:pPr>
              <w:pStyle w:val="76"/>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市本级</w:t>
            </w:r>
          </w:p>
          <w:p w14:paraId="64A5063E">
            <w:pPr>
              <w:pStyle w:val="76"/>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金融机构名称：兴业银行滁州分行</w:t>
            </w:r>
          </w:p>
          <w:p w14:paraId="17BEEB89">
            <w:pPr>
              <w:pStyle w:val="76"/>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安徽省滁州市琅琊区丰乐大道1090号</w:t>
            </w:r>
          </w:p>
          <w:p w14:paraId="6DD992ED">
            <w:pPr>
              <w:pStyle w:val="76"/>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伏庚：17755080811</w:t>
            </w:r>
          </w:p>
          <w:p w14:paraId="460ADB64">
            <w:pPr>
              <w:pStyle w:val="7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5</w:t>
            </w:r>
            <w:r>
              <w:rPr>
                <w:rFonts w:hint="eastAsia" w:ascii="宋体" w:hAnsi="宋体" w:eastAsia="宋体" w:cs="宋体"/>
                <w:b w:val="0"/>
                <w:color w:val="auto"/>
                <w:kern w:val="2"/>
                <w:sz w:val="24"/>
                <w:szCs w:val="24"/>
                <w:highlight w:val="none"/>
              </w:rPr>
              <w:t>、特别提示：</w:t>
            </w:r>
          </w:p>
          <w:p w14:paraId="280DBEE8">
            <w:pPr>
              <w:pStyle w:val="7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4B5CC7CC">
            <w:pPr>
              <w:pStyle w:val="7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4E450954">
            <w:pPr>
              <w:pStyle w:val="76"/>
              <w:keepNext w:val="0"/>
              <w:keepLines w:val="0"/>
              <w:pageBreakBefore w:val="0"/>
              <w:widowControl w:val="0"/>
              <w:kinsoku/>
              <w:wordWrap w:val="0"/>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w:t>
            </w:r>
            <w:r>
              <w:rPr>
                <w:rFonts w:hint="eastAsia" w:ascii="宋体" w:hAnsi="宋体" w:eastAsia="宋体" w:cs="宋体"/>
                <w:b w:val="0"/>
                <w:color w:val="auto"/>
                <w:kern w:val="2"/>
                <w:sz w:val="24"/>
                <w:szCs w:val="24"/>
                <w:highlight w:val="none"/>
              </w:rPr>
              <w:t>0512-58188516。</w:t>
            </w:r>
          </w:p>
          <w:p w14:paraId="5615295D">
            <w:pPr>
              <w:pStyle w:val="7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15C75C64">
            <w:pPr>
              <w:pStyle w:val="7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03BBE91D">
            <w:pPr>
              <w:pStyle w:val="7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738F823">
            <w:pPr>
              <w:pStyle w:val="7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2EE07DC5">
            <w:pPr>
              <w:pStyle w:val="7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039EE3D5">
            <w:pPr>
              <w:pStyle w:val="7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5C956BD3">
            <w:pPr>
              <w:pStyle w:val="7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0AD7716">
            <w:pPr>
              <w:pStyle w:val="7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6EE8FAD8">
            <w:pPr>
              <w:pStyle w:val="7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6</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评标过程中的澄清、说明或补正：</w:t>
            </w:r>
          </w:p>
          <w:p w14:paraId="6B6B8A5C">
            <w:pPr>
              <w:pStyle w:val="7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32601730">
            <w:pPr>
              <w:pStyle w:val="7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5B93369">
            <w:pPr>
              <w:pStyle w:val="7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7</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同义词语：</w:t>
            </w:r>
          </w:p>
          <w:p w14:paraId="43491F5D">
            <w:pPr>
              <w:pStyle w:val="7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5ECEE654">
            <w:pPr>
              <w:pStyle w:val="76"/>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rPr>
              <w:t>8</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落实政府采购支持节能产品、环境标志产品政策。</w:t>
            </w:r>
          </w:p>
        </w:tc>
      </w:tr>
    </w:tbl>
    <w:p w14:paraId="1AC0222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0" w:name="_Toc18784"/>
      <w:bookmarkStart w:id="31" w:name="_Toc2685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30"/>
      <w:bookmarkEnd w:id="31"/>
    </w:p>
    <w:p w14:paraId="459D67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A08032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5FA69B7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83C2D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0A2E9E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3D27F61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73CA3A91">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5AE473D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color w:val="auto"/>
          <w:sz w:val="24"/>
          <w:highlight w:val="none"/>
        </w:rPr>
        <w:t>联合体参加磋商的，</w:t>
      </w:r>
      <w:r>
        <w:rPr>
          <w:rFonts w:hint="eastAsia"/>
          <w:b w:val="0"/>
          <w:color w:val="auto"/>
          <w:sz w:val="24"/>
          <w:highlight w:val="none"/>
        </w:rPr>
        <w:t>磋商文件获取</w:t>
      </w:r>
      <w:r>
        <w:rPr>
          <w:b w:val="0"/>
          <w:color w:val="auto"/>
          <w:sz w:val="24"/>
          <w:highlight w:val="none"/>
        </w:rPr>
        <w:t>手续由联合体</w:t>
      </w:r>
      <w:r>
        <w:rPr>
          <w:rFonts w:hint="eastAsia"/>
          <w:b w:val="0"/>
          <w:color w:val="auto"/>
          <w:sz w:val="24"/>
          <w:highlight w:val="none"/>
        </w:rPr>
        <w:t>中</w:t>
      </w:r>
      <w:r>
        <w:rPr>
          <w:b w:val="0"/>
          <w:color w:val="auto"/>
          <w:sz w:val="24"/>
          <w:highlight w:val="none"/>
        </w:rPr>
        <w:t>任一</w:t>
      </w:r>
      <w:r>
        <w:rPr>
          <w:rFonts w:hint="eastAsia"/>
          <w:b w:val="0"/>
          <w:color w:val="auto"/>
          <w:sz w:val="24"/>
          <w:highlight w:val="none"/>
        </w:rPr>
        <w:t>成员单位</w:t>
      </w:r>
      <w:r>
        <w:rPr>
          <w:b w:val="0"/>
          <w:color w:val="auto"/>
          <w:sz w:val="24"/>
          <w:highlight w:val="none"/>
        </w:rPr>
        <w:t>办理均可。</w:t>
      </w:r>
    </w:p>
    <w:p w14:paraId="7783552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313DDB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76E1123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8EB221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618450B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2391A1A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14E790E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454C11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7F8089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A2275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BD832AD">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80531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04E3263F">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2B141F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36CCF9D">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114351E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2ADA54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0BB407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610C4C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A8516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9B345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DAEC2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F1C26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B8A49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2A629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23B3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20484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32" w:name="_Hlk16458572"/>
      <w:r>
        <w:rPr>
          <w:rFonts w:hint="eastAsia"/>
          <w:color w:val="auto"/>
          <w:sz w:val="24"/>
          <w:szCs w:val="18"/>
          <w:highlight w:val="none"/>
        </w:rPr>
        <w:t>安徽省政府采购网</w:t>
      </w:r>
      <w:bookmarkEnd w:id="32"/>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70308FD4">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0029C9B">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A0365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069B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A2E48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0919D3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7A2AE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15F0A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86E430E">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652807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3" w:name="_Hlk11703583"/>
      <w:r>
        <w:rPr>
          <w:rFonts w:hint="eastAsia" w:asciiTheme="minorEastAsia" w:hAnsiTheme="minorEastAsia" w:eastAsiaTheme="minorEastAsia"/>
          <w:color w:val="auto"/>
          <w:sz w:val="24"/>
          <w:highlight w:val="none"/>
        </w:rPr>
        <w:t>。</w:t>
      </w:r>
      <w:bookmarkEnd w:id="33"/>
    </w:p>
    <w:p w14:paraId="640D2F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7FFA4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3770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4C75F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F5E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80082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70ECBF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55E38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367E4F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EBD09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3DD109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624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6845D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826576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99DA81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E6D1A8E">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075D0BD8">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49CF6B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7D3556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59AC47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AE58B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C560E98">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36A891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1D0606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19D439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32DEA3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725166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07F92F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701260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0016BA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8E608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4C5FB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color w:val="auto"/>
          <w:highlight w:val="none"/>
        </w:rPr>
      </w:pPr>
      <w:r>
        <w:rPr>
          <w:rFonts w:hint="eastAsia" w:asciiTheme="minorEastAsia" w:hAnsiTheme="minorEastAsia" w:eastAsiaTheme="minorEastAsia"/>
          <w:color w:val="auto"/>
          <w:sz w:val="24"/>
          <w:highlight w:val="none"/>
          <w:lang w:val="en-US" w:eastAsia="zh-CN"/>
        </w:rPr>
        <w:t xml:space="preserve">14.3.4 </w:t>
      </w:r>
      <w:r>
        <w:rPr>
          <w:rFonts w:hint="eastAsia" w:asciiTheme="minorEastAsia" w:hAnsiTheme="minorEastAsia" w:eastAsiaTheme="minorEastAsia"/>
          <w:b/>
          <w:bCs/>
          <w:color w:val="auto"/>
          <w:sz w:val="24"/>
          <w:highlight w:val="none"/>
          <w:lang w:val="en-US" w:eastAsia="zh-CN"/>
        </w:rPr>
        <w:t>异常低价响应审查。</w:t>
      </w: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color w:val="auto"/>
          <w:sz w:val="24"/>
          <w:highlight w:val="none"/>
          <w:lang w:eastAsia="zh-CN"/>
        </w:rPr>
        <w:t>、</w:t>
      </w:r>
      <w:r>
        <w:rPr>
          <w:rFonts w:hint="eastAsia" w:ascii="宋体" w:hAnsi="宋体" w:eastAsia="宋体"/>
          <w:color w:val="auto"/>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6C67F6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CE5DB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565C80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AC21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6747C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2DD0E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EAAEC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6ECE4C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334ADA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80888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78B86F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1890FF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F5FAA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C77C4B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556DDC8">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2FC10C2E">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731C8E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295C349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lang w:eastAsia="zh-CN"/>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本项目约定为两次报价</w:t>
      </w:r>
      <w:r>
        <w:rPr>
          <w:rFonts w:hint="eastAsia" w:ascii="宋体" w:hAnsi="宋体" w:eastAsia="宋体" w:cs="宋体"/>
          <w:color w:val="auto"/>
          <w:sz w:val="24"/>
          <w:highlight w:val="none"/>
          <w:lang w:eastAsia="zh-CN"/>
        </w:rPr>
        <w:t>）</w:t>
      </w:r>
    </w:p>
    <w:p w14:paraId="6BA6BC73">
      <w:pPr>
        <w:spacing w:line="360" w:lineRule="auto"/>
        <w:ind w:firstLine="435"/>
        <w:rPr>
          <w:rFonts w:hint="eastAsia" w:ascii="宋体" w:hAnsi="宋体" w:eastAsia="宋体" w:cs="宋体"/>
          <w:b/>
          <w:color w:val="auto"/>
          <w:kern w:val="0"/>
          <w:sz w:val="24"/>
          <w:szCs w:val="20"/>
          <w:highlight w:val="none"/>
          <w:lang w:val="en-US" w:eastAsia="zh-CN" w:bidi="ar-SA"/>
        </w:rPr>
      </w:pPr>
      <w:r>
        <w:rPr>
          <w:rFonts w:hint="eastAsia" w:cs="宋体"/>
          <w:b/>
          <w:color w:val="auto"/>
          <w:sz w:val="24"/>
        </w:rPr>
        <w:t>本次磋商实行两次报价。第一次报价为供应商在响应文件中填报的报价，第二次报价在响应文件通过评审后，由磋商小组通过评标系统以询标方式，向响应文件评审有效的各供应商进行询标，各供应商应在评标系统询标规定的时间内，通过“评标澄清回复”进行二次报价。各供应商应及时查看系统质询问题并及时进行二次报价，第二次报价即为最后报价。望各供应商务必全程在线，及时进行回复，否则，因此给其造成相关后果，自行承担。</w:t>
      </w:r>
    </w:p>
    <w:p w14:paraId="2575E720">
      <w:pPr>
        <w:spacing w:line="360" w:lineRule="auto"/>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17</w:t>
      </w:r>
      <w:r>
        <w:rPr>
          <w:rFonts w:hint="eastAsia" w:asciiTheme="minorEastAsia" w:hAnsiTheme="minorEastAsia" w:eastAsiaTheme="minorEastAsia"/>
          <w:b/>
          <w:bCs/>
          <w:color w:val="auto"/>
          <w:sz w:val="24"/>
          <w:highlight w:val="none"/>
        </w:rPr>
        <w:t>.2</w:t>
      </w:r>
      <w:r>
        <w:rPr>
          <w:rFonts w:asciiTheme="minorEastAsia" w:hAnsiTheme="minorEastAsia" w:eastAsiaTheme="minorEastAsia"/>
          <w:b/>
          <w:bCs/>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b/>
          <w:bCs/>
          <w:color w:val="auto"/>
          <w:sz w:val="24"/>
          <w:highlight w:val="none"/>
        </w:rPr>
        <w:t>。</w:t>
      </w:r>
    </w:p>
    <w:p w14:paraId="756B1F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3C0787AA">
      <w:pPr>
        <w:spacing w:line="360" w:lineRule="auto"/>
        <w:ind w:firstLine="435"/>
        <w:rPr>
          <w:rFonts w:asciiTheme="majorEastAsia" w:hAnsiTheme="majorEastAsia" w:eastAsiaTheme="majorEastAsia"/>
          <w:color w:val="auto"/>
          <w:sz w:val="24"/>
          <w:highlight w:val="none"/>
        </w:rPr>
      </w:pPr>
      <w:bookmarkStart w:id="34"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66CC0D3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B9D846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4"/>
    </w:p>
    <w:p w14:paraId="10EF17A3">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5A485CE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582DCE3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2B076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D3897B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052AE9F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604092F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A08B6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127DD6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2776B3C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77483FB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5D10C1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3973B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35D47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10D0C8CA">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4C0DA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1F1B0F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1FB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5E85D0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7320A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64D384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60E75A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5FDA3AA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36B71FF1">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374E713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1D2ADC5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B5F1D07">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848CDD9">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344C672D">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7BF3638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29C2A7D5">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3F3922EB">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0B4BCCE7">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F0CB617">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387B72E0">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386D84DA">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5195CA7A">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58BAF41">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24243F0A">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F1B2ABB">
      <w:pPr>
        <w:spacing w:line="360" w:lineRule="auto"/>
        <w:ind w:firstLine="470" w:firstLineChars="196"/>
        <w:rPr>
          <w:color w:val="auto"/>
          <w:sz w:val="24"/>
          <w:highlight w:val="none"/>
        </w:rPr>
      </w:pPr>
      <w:bookmarkStart w:id="35"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5"/>
    </w:p>
    <w:p w14:paraId="4EB81F00">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6FD0AA4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41A3A40">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7E680C0C">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059A09F7">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0A598AE8">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4457D0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A99F0E1">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65D82988">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396DF675">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86D16F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19D8127">
      <w:pPr>
        <w:spacing w:line="360" w:lineRule="auto"/>
        <w:jc w:val="center"/>
        <w:outlineLvl w:val="0"/>
        <w:rPr>
          <w:rFonts w:asciiTheme="minorEastAsia" w:hAnsiTheme="minorEastAsia" w:eastAsiaTheme="minorEastAsia"/>
          <w:b/>
          <w:color w:val="auto"/>
          <w:sz w:val="28"/>
          <w:highlight w:val="none"/>
        </w:rPr>
      </w:pPr>
      <w:bookmarkStart w:id="36" w:name="_Toc30873"/>
      <w:r>
        <w:rPr>
          <w:rFonts w:hint="eastAsia" w:asciiTheme="minorEastAsia" w:hAnsiTheme="minorEastAsia" w:eastAsiaTheme="minorEastAsia"/>
          <w:b/>
          <w:color w:val="auto"/>
          <w:sz w:val="28"/>
          <w:highlight w:val="none"/>
        </w:rPr>
        <w:t>第三章  采购需求</w:t>
      </w:r>
      <w:bookmarkEnd w:id="36"/>
    </w:p>
    <w:tbl>
      <w:tblPr>
        <w:tblStyle w:val="104"/>
        <w:tblW w:w="5887" w:type="pct"/>
        <w:tblInd w:w="-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783"/>
        <w:gridCol w:w="7261"/>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7ED0AE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序号</w:t>
            </w:r>
          </w:p>
        </w:tc>
        <w:tc>
          <w:tcPr>
            <w:tcW w:w="888" w:type="pct"/>
            <w:vAlign w:val="center"/>
          </w:tcPr>
          <w:p w14:paraId="4CF5B897">
            <w:pPr>
              <w:keepNext w:val="0"/>
              <w:keepLines w:val="0"/>
              <w:pageBreakBefore w:val="0"/>
              <w:widowControl w:val="0"/>
              <w:kinsoku/>
              <w:wordWrap/>
              <w:overflowPunct/>
              <w:topLinePunct w:val="0"/>
              <w:autoSpaceDE/>
              <w:autoSpaceDN/>
              <w:bidi w:val="0"/>
              <w:adjustRightInd/>
              <w:snapToGrid/>
              <w:spacing w:line="500" w:lineRule="exact"/>
              <w:ind w:firstLine="435"/>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内容</w:t>
            </w:r>
          </w:p>
        </w:tc>
        <w:tc>
          <w:tcPr>
            <w:tcW w:w="3617" w:type="pct"/>
            <w:vAlign w:val="center"/>
          </w:tcPr>
          <w:p w14:paraId="51B292B6">
            <w:pPr>
              <w:keepNext w:val="0"/>
              <w:keepLines w:val="0"/>
              <w:pageBreakBefore w:val="0"/>
              <w:widowControl w:val="0"/>
              <w:kinsoku/>
              <w:wordWrap/>
              <w:overflowPunct/>
              <w:topLinePunct w:val="0"/>
              <w:autoSpaceDE/>
              <w:autoSpaceDN/>
              <w:bidi w:val="0"/>
              <w:adjustRightInd/>
              <w:snapToGrid/>
              <w:spacing w:line="500" w:lineRule="exact"/>
              <w:ind w:firstLine="435"/>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77ABB8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888" w:type="pct"/>
            <w:vAlign w:val="center"/>
          </w:tcPr>
          <w:p w14:paraId="28F119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人员到岗及履约要求</w:t>
            </w:r>
          </w:p>
        </w:tc>
        <w:tc>
          <w:tcPr>
            <w:tcW w:w="3617" w:type="pct"/>
            <w:vAlign w:val="center"/>
          </w:tcPr>
          <w:p w14:paraId="727D2B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项目经理驻场要求</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不得更换项目经理；项目经理驻场累计时间不得低于实际工期的80%，不得无故脱离施工现场，缺少一天按5000元/天从工程结算价抵扣；</w:t>
            </w:r>
            <w:r>
              <w:rPr>
                <w:rFonts w:hint="eastAsia" w:ascii="宋体" w:hAnsi="宋体" w:eastAsia="宋体" w:cs="宋体"/>
                <w:color w:val="auto"/>
                <w:kern w:val="2"/>
                <w:sz w:val="24"/>
                <w:szCs w:val="24"/>
                <w:highlight w:val="none"/>
              </w:rPr>
              <w:t>无故不参加采购人召开的例会、连续缺勤3天、累计缺勤5天或在施工关键技术环节缺勤的</w:t>
            </w:r>
            <w:r>
              <w:rPr>
                <w:rFonts w:hint="eastAsia" w:cs="宋体"/>
                <w:color w:val="auto"/>
                <w:kern w:val="2"/>
                <w:sz w:val="24"/>
                <w:szCs w:val="24"/>
                <w:highlight w:val="none"/>
                <w:lang w:eastAsia="zh-CN"/>
              </w:rPr>
              <w:t>，</w:t>
            </w:r>
            <w:r>
              <w:rPr>
                <w:rFonts w:hint="eastAsia" w:ascii="宋体" w:hAnsi="宋体" w:eastAsia="宋体" w:cs="宋体"/>
                <w:color w:val="auto"/>
                <w:kern w:val="2"/>
                <w:sz w:val="24"/>
                <w:szCs w:val="24"/>
                <w:highlight w:val="none"/>
              </w:rPr>
              <w:t>采购人终止合同并对已完工程不予以计量计价，视为成交人违约并承担一切损失和赔偿。</w:t>
            </w:r>
            <w:r>
              <w:rPr>
                <w:rFonts w:hint="eastAsia" w:ascii="宋体" w:hAnsi="宋体" w:eastAsia="宋体" w:cs="宋体"/>
                <w:b/>
                <w:bCs/>
                <w:color w:val="auto"/>
                <w:kern w:val="2"/>
                <w:sz w:val="24"/>
                <w:szCs w:val="24"/>
                <w:highlight w:val="none"/>
              </w:rPr>
              <w:t>响应文件内未提供承诺的，</w:t>
            </w:r>
            <w:r>
              <w:rPr>
                <w:rFonts w:hint="eastAsia" w:cs="宋体"/>
                <w:b/>
                <w:bCs/>
                <w:color w:val="auto"/>
                <w:kern w:val="2"/>
                <w:sz w:val="24"/>
                <w:szCs w:val="24"/>
                <w:highlight w:val="none"/>
                <w:lang w:val="en-US" w:eastAsia="zh-CN"/>
              </w:rPr>
              <w:t>按</w:t>
            </w:r>
            <w:r>
              <w:rPr>
                <w:rFonts w:hint="eastAsia" w:ascii="宋体" w:hAnsi="宋体" w:eastAsia="宋体" w:cs="宋体"/>
                <w:b/>
                <w:bCs/>
                <w:color w:val="auto"/>
                <w:kern w:val="2"/>
                <w:sz w:val="24"/>
                <w:szCs w:val="24"/>
                <w:highlight w:val="none"/>
              </w:rPr>
              <w:t>无效处理。</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3798F7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888" w:type="pct"/>
            <w:vAlign w:val="center"/>
          </w:tcPr>
          <w:p w14:paraId="55F26A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材料要求</w:t>
            </w:r>
          </w:p>
        </w:tc>
        <w:tc>
          <w:tcPr>
            <w:tcW w:w="3617" w:type="pct"/>
            <w:vAlign w:val="center"/>
          </w:tcPr>
          <w:p w14:paraId="26780BAE">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24"/>
                <w:szCs w:val="24"/>
                <w:highlight w:val="none"/>
              </w:rPr>
              <w:t>本项目主材为</w:t>
            </w:r>
            <w:r>
              <w:rPr>
                <w:rFonts w:hint="eastAsia" w:cs="宋体"/>
                <w:color w:val="auto"/>
                <w:kern w:val="2"/>
                <w:sz w:val="24"/>
                <w:szCs w:val="24"/>
                <w:highlight w:val="none"/>
                <w:lang w:val="en-US" w:eastAsia="zh-CN"/>
              </w:rPr>
              <w:t>电力电缆</w:t>
            </w:r>
            <w:r>
              <w:rPr>
                <w:rFonts w:hint="eastAsia" w:ascii="宋体" w:hAnsi="宋体" w:eastAsia="宋体" w:cs="宋体"/>
                <w:color w:val="auto"/>
                <w:kern w:val="2"/>
                <w:sz w:val="24"/>
                <w:szCs w:val="24"/>
                <w:highlight w:val="none"/>
              </w:rPr>
              <w:t>（YJV22、YJV、BV）、配电</w:t>
            </w:r>
            <w:r>
              <w:rPr>
                <w:rFonts w:hint="eastAsia" w:cs="宋体"/>
                <w:color w:val="auto"/>
                <w:kern w:val="2"/>
                <w:sz w:val="24"/>
                <w:szCs w:val="24"/>
                <w:highlight w:val="none"/>
                <w:lang w:val="en-US" w:eastAsia="zh-CN"/>
              </w:rPr>
              <w:t>开关</w:t>
            </w:r>
            <w:r>
              <w:rPr>
                <w:rFonts w:hint="eastAsia" w:ascii="宋体" w:hAnsi="宋体" w:eastAsia="宋体" w:cs="宋体"/>
                <w:color w:val="auto"/>
                <w:kern w:val="2"/>
                <w:sz w:val="24"/>
                <w:szCs w:val="24"/>
                <w:highlight w:val="none"/>
              </w:rPr>
              <w:t>、断路器、配电箱、电缆保护管、桥架等</w:t>
            </w:r>
            <w:r>
              <w:rPr>
                <w:rFonts w:hint="eastAsia" w:ascii="宋体" w:hAnsi="宋体" w:eastAsia="宋体" w:cs="宋体"/>
                <w:color w:val="auto"/>
                <w:kern w:val="2"/>
                <w:sz w:val="24"/>
                <w:szCs w:val="24"/>
                <w:highlight w:val="none"/>
              </w:rPr>
              <w:t>。</w:t>
            </w:r>
            <w:r>
              <w:rPr>
                <w:rFonts w:hint="eastAsia" w:ascii="宋体" w:hAnsi="宋体" w:eastAsia="宋体" w:cs="宋体"/>
                <w:b/>
                <w:bCs/>
                <w:color w:val="auto"/>
                <w:kern w:val="2"/>
                <w:sz w:val="24"/>
                <w:szCs w:val="24"/>
                <w:highlight w:val="none"/>
              </w:rPr>
              <w:t>供应商在响应文件中需明确</w:t>
            </w:r>
            <w:r>
              <w:rPr>
                <w:rFonts w:hint="eastAsia" w:ascii="宋体" w:hAnsi="宋体" w:eastAsia="宋体" w:cs="宋体"/>
                <w:b/>
                <w:bCs/>
                <w:color w:val="auto"/>
                <w:kern w:val="2"/>
                <w:sz w:val="24"/>
                <w:szCs w:val="24"/>
                <w:highlight w:val="none"/>
              </w:rPr>
              <w:t>上述材料品牌、规格或型号</w:t>
            </w:r>
            <w:r>
              <w:rPr>
                <w:rFonts w:hint="eastAsia" w:ascii="宋体" w:hAnsi="宋体" w:eastAsia="宋体" w:cs="宋体"/>
                <w:b/>
                <w:bCs/>
                <w:color w:val="auto"/>
                <w:kern w:val="2"/>
                <w:sz w:val="24"/>
                <w:szCs w:val="24"/>
                <w:highlight w:val="none"/>
              </w:rPr>
              <w:t>，承诺主材进场前提供主材产品检测报告或出厂检测合格证。响应文件内未提供承诺的，</w:t>
            </w:r>
            <w:r>
              <w:rPr>
                <w:rFonts w:hint="eastAsia" w:cs="宋体"/>
                <w:b/>
                <w:bCs/>
                <w:color w:val="auto"/>
                <w:kern w:val="2"/>
                <w:sz w:val="24"/>
                <w:szCs w:val="24"/>
                <w:highlight w:val="none"/>
                <w:lang w:val="en-US" w:eastAsia="zh-CN"/>
              </w:rPr>
              <w:t>按</w:t>
            </w:r>
            <w:r>
              <w:rPr>
                <w:rFonts w:hint="eastAsia" w:ascii="宋体" w:hAnsi="宋体" w:eastAsia="宋体" w:cs="宋体"/>
                <w:b/>
                <w:bCs/>
                <w:color w:val="auto"/>
                <w:kern w:val="2"/>
                <w:sz w:val="24"/>
                <w:szCs w:val="24"/>
                <w:highlight w:val="none"/>
              </w:rPr>
              <w:t>无效处理。</w:t>
            </w:r>
          </w:p>
          <w:p w14:paraId="78500EAB">
            <w:pPr>
              <w:pStyle w:val="5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2.供应商在响应文件中需承诺配电从采购人指定的取电时，根据配电设计图要求，做好用电负荷检</w:t>
            </w:r>
            <w:bookmarkStart w:id="770" w:name="_GoBack"/>
            <w:bookmarkEnd w:id="770"/>
            <w:r>
              <w:rPr>
                <w:rFonts w:hint="eastAsia" w:ascii="宋体" w:hAnsi="宋体" w:eastAsia="宋体" w:cs="宋体"/>
                <w:color w:val="auto"/>
                <w:sz w:val="24"/>
                <w:szCs w:val="24"/>
                <w:highlight w:val="none"/>
                <w:lang w:val="en-US" w:eastAsia="zh-CN"/>
              </w:rPr>
              <w:t>测、调配和安装改造，竣工后提供配电改造竣工图，总配电柜的规格尺寸应预留采购人后期安装计量控制设备，其费用包含在工程内。</w:t>
            </w:r>
            <w:r>
              <w:rPr>
                <w:rFonts w:hint="eastAsia" w:ascii="宋体" w:hAnsi="宋体" w:eastAsia="宋体" w:cs="宋体"/>
                <w:b/>
                <w:bCs/>
                <w:color w:val="auto"/>
                <w:sz w:val="24"/>
                <w:szCs w:val="24"/>
                <w:highlight w:val="none"/>
                <w:lang w:val="en-US" w:eastAsia="zh-CN"/>
              </w:rPr>
              <w:t>响应文件内未提供承诺的，</w:t>
            </w:r>
            <w:r>
              <w:rPr>
                <w:rFonts w:hint="eastAsia" w:ascii="宋体" w:hAnsi="宋体" w:cs="宋体"/>
                <w:b/>
                <w:bCs/>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无效处理</w:t>
            </w:r>
            <w:r>
              <w:rPr>
                <w:rFonts w:hint="eastAsia" w:ascii="宋体" w:hAnsi="宋体" w:eastAsia="宋体" w:cs="宋体"/>
                <w:b/>
                <w:bCs/>
                <w:color w:val="auto"/>
                <w:sz w:val="24"/>
                <w:szCs w:val="24"/>
                <w:highlight w:val="none"/>
                <w:lang w:eastAsia="zh-CN"/>
              </w:rPr>
              <w:t>。</w:t>
            </w:r>
          </w:p>
          <w:p w14:paraId="0EF6364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3.所有主材和辅材、主件和配件应为市面可见的全新正规产品，不得使用二手产品；所购设备及材料必须符合招标要求和国家相关安全、环保标准。</w:t>
            </w:r>
            <w:r>
              <w:rPr>
                <w:rFonts w:hint="eastAsia" w:ascii="宋体" w:hAnsi="宋体" w:eastAsia="宋体" w:cs="宋体"/>
                <w:b/>
                <w:bCs/>
                <w:color w:val="auto"/>
                <w:kern w:val="2"/>
                <w:sz w:val="24"/>
                <w:szCs w:val="24"/>
                <w:highlight w:val="none"/>
                <w:lang w:val="en-US" w:eastAsia="zh-CN"/>
              </w:rPr>
              <w:t>响应文件内未提供承诺的，</w:t>
            </w:r>
            <w:r>
              <w:rPr>
                <w:rFonts w:hint="eastAsia" w:cs="宋体"/>
                <w:b/>
                <w:bCs/>
                <w:color w:val="auto"/>
                <w:kern w:val="2"/>
                <w:sz w:val="24"/>
                <w:szCs w:val="24"/>
                <w:highlight w:val="none"/>
                <w:lang w:val="en-US" w:eastAsia="zh-CN"/>
              </w:rPr>
              <w:t>按</w:t>
            </w:r>
            <w:r>
              <w:rPr>
                <w:rFonts w:hint="eastAsia" w:ascii="宋体" w:hAnsi="宋体" w:eastAsia="宋体" w:cs="宋体"/>
                <w:b/>
                <w:bCs/>
                <w:color w:val="auto"/>
                <w:kern w:val="2"/>
                <w:sz w:val="24"/>
                <w:szCs w:val="24"/>
                <w:highlight w:val="none"/>
                <w:lang w:val="en-US" w:eastAsia="zh-CN"/>
              </w:rPr>
              <w:t>无效处理</w:t>
            </w:r>
            <w:r>
              <w:rPr>
                <w:rFonts w:hint="eastAsia" w:ascii="宋体" w:hAnsi="宋体" w:eastAsia="宋体" w:cs="宋体"/>
                <w:color w:val="auto"/>
                <w:kern w:val="2"/>
                <w:sz w:val="24"/>
                <w:szCs w:val="24"/>
                <w:highlight w:val="none"/>
                <w:lang w:val="en-US" w:eastAsia="zh-CN"/>
              </w:rPr>
              <w:t>。</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5650DF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888" w:type="pct"/>
            <w:vAlign w:val="center"/>
          </w:tcPr>
          <w:p w14:paraId="024836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工程施工重点难点</w:t>
            </w:r>
          </w:p>
        </w:tc>
        <w:tc>
          <w:tcPr>
            <w:tcW w:w="3617" w:type="pct"/>
            <w:vAlign w:val="center"/>
          </w:tcPr>
          <w:p w14:paraId="7B2AA3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无</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5A6A7E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p>
        </w:tc>
        <w:tc>
          <w:tcPr>
            <w:tcW w:w="888" w:type="pct"/>
            <w:vAlign w:val="center"/>
          </w:tcPr>
          <w:p w14:paraId="5D175C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报价须知</w:t>
            </w:r>
          </w:p>
        </w:tc>
        <w:tc>
          <w:tcPr>
            <w:tcW w:w="3617" w:type="pct"/>
            <w:vAlign w:val="center"/>
          </w:tcPr>
          <w:p w14:paraId="4717948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供应商最后报价均不得高于磋商文件（公告）列明的项目预算、最高投标限价，否则其响应文件将被认定为响应无效。</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5C128B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w:t>
            </w:r>
          </w:p>
        </w:tc>
        <w:tc>
          <w:tcPr>
            <w:tcW w:w="888" w:type="pct"/>
            <w:vAlign w:val="center"/>
          </w:tcPr>
          <w:p w14:paraId="764B01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重要说明</w:t>
            </w:r>
          </w:p>
        </w:tc>
        <w:tc>
          <w:tcPr>
            <w:tcW w:w="3617" w:type="pct"/>
            <w:vAlign w:val="center"/>
          </w:tcPr>
          <w:p w14:paraId="5BD834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政府采购政策（包括但不限于下列具体政策要求</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p>
          <w:p w14:paraId="1C86B2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4D1A62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65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2C7E1A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w:t>
            </w:r>
          </w:p>
        </w:tc>
        <w:tc>
          <w:tcPr>
            <w:tcW w:w="888" w:type="pct"/>
            <w:vAlign w:val="center"/>
          </w:tcPr>
          <w:p w14:paraId="7C6E06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项目经理</w:t>
            </w:r>
          </w:p>
        </w:tc>
        <w:tc>
          <w:tcPr>
            <w:tcW w:w="3617" w:type="pct"/>
            <w:vAlign w:val="center"/>
          </w:tcPr>
          <w:p w14:paraId="0E6460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见第一章《磋商邀请》</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399967D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w:t>
            </w:r>
          </w:p>
        </w:tc>
        <w:tc>
          <w:tcPr>
            <w:tcW w:w="888" w:type="pct"/>
            <w:vAlign w:val="center"/>
          </w:tcPr>
          <w:p w14:paraId="2CBC270C">
            <w:pPr>
              <w:pStyle w:val="7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b w:val="0"/>
                <w:color w:val="auto"/>
                <w:kern w:val="2"/>
                <w:sz w:val="24"/>
                <w:szCs w:val="24"/>
                <w:highlight w:val="none"/>
              </w:rPr>
              <w:t>本项目采购标的名称及所属行业</w:t>
            </w:r>
          </w:p>
        </w:tc>
        <w:tc>
          <w:tcPr>
            <w:tcW w:w="3617" w:type="pct"/>
            <w:vAlign w:val="center"/>
          </w:tcPr>
          <w:p w14:paraId="17BF0A2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标的名称：滁州学院2026年教室空调线路安装工程</w:t>
            </w:r>
          </w:p>
          <w:p w14:paraId="511999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所属行业：建筑业</w:t>
            </w:r>
          </w:p>
        </w:tc>
      </w:tr>
      <w:tr w14:paraId="74FA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37AB80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w:t>
            </w:r>
          </w:p>
        </w:tc>
        <w:tc>
          <w:tcPr>
            <w:tcW w:w="888" w:type="pct"/>
            <w:vAlign w:val="center"/>
          </w:tcPr>
          <w:p w14:paraId="52C6B4BD">
            <w:pPr>
              <w:pStyle w:val="7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免费质保期</w:t>
            </w:r>
          </w:p>
        </w:tc>
        <w:tc>
          <w:tcPr>
            <w:tcW w:w="3617" w:type="pct"/>
            <w:vAlign w:val="center"/>
          </w:tcPr>
          <w:p w14:paraId="7E7EF2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验收合格之日，最低年限2年，具体期限以成交人评审时承诺的期限为准。质保期内发生设备运行故障等问题，成交人收到采购人通知时，应及时响应及时现场排查故障，符合维修条件时，3天内完成修复，如遇紧急情况，按采购人要求执行。不能按采购人要求及时到达及时维修的，由采购人组织维修，费用从质保金中支付，其发生的费用无需征得成交人同意。质保金费用不足以支付的，应由成交人另行支付。质保期内同一地点同一故障累计发生20次以上的，全额扣除质量保证金。成交人不服从采购人要求，给采购人造成损失或社会不良影响的，视为违约行为，采购人依法依规追究其法律责任。</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7C8A1C2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9</w:t>
            </w:r>
          </w:p>
        </w:tc>
        <w:tc>
          <w:tcPr>
            <w:tcW w:w="888" w:type="pct"/>
            <w:vAlign w:val="center"/>
          </w:tcPr>
          <w:p w14:paraId="4448E7D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rPr>
              <w:t>其他要求</w:t>
            </w:r>
          </w:p>
        </w:tc>
        <w:tc>
          <w:tcPr>
            <w:tcW w:w="3617" w:type="pct"/>
            <w:vAlign w:val="center"/>
          </w:tcPr>
          <w:p w14:paraId="1A7904F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成交人在施工期间，做好采购人既有设施设备的保护和管理，因施工给采购人带来损失的，应予以修复或赔偿，赔偿款从工程结算款价中抵扣。工程结束后提交验收前应做好现场保洁，确保整洁干净。响应文件内未提供承诺的，视为无效处理。</w:t>
            </w:r>
          </w:p>
          <w:p w14:paraId="377F222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本项目配电安装工程，成交人在施工中所使用的电费，据实结算，从工程结算款价中抵扣。对无法装表计量的用电，按工程结算价款的4‰收取电费。</w:t>
            </w:r>
          </w:p>
        </w:tc>
      </w:tr>
      <w:tr w14:paraId="6A84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1FE2D2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w:t>
            </w:r>
          </w:p>
        </w:tc>
        <w:tc>
          <w:tcPr>
            <w:tcW w:w="888" w:type="pct"/>
            <w:vAlign w:val="center"/>
          </w:tcPr>
          <w:p w14:paraId="5A8D28E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施工图设计与工艺要求</w:t>
            </w:r>
          </w:p>
        </w:tc>
        <w:tc>
          <w:tcPr>
            <w:tcW w:w="3617" w:type="pct"/>
            <w:vAlign w:val="center"/>
          </w:tcPr>
          <w:p w14:paraId="29AD20F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具体以配电设计图、工程量清单为准，施工工艺按设计图纸和国家、行业规范执行；清单之外的以签证为准。</w:t>
            </w:r>
          </w:p>
        </w:tc>
      </w:tr>
    </w:tbl>
    <w:p w14:paraId="02D7BCED">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EEACBA5">
      <w:pPr>
        <w:spacing w:line="360" w:lineRule="auto"/>
        <w:jc w:val="center"/>
        <w:outlineLvl w:val="0"/>
        <w:rPr>
          <w:rFonts w:asciiTheme="minorEastAsia" w:hAnsiTheme="minorEastAsia" w:eastAsiaTheme="minorEastAsia"/>
          <w:b/>
          <w:color w:val="auto"/>
          <w:sz w:val="28"/>
          <w:highlight w:val="none"/>
        </w:rPr>
      </w:pPr>
      <w:bookmarkStart w:id="37" w:name="_Toc11353"/>
      <w:r>
        <w:rPr>
          <w:rFonts w:hint="eastAsia" w:asciiTheme="minorEastAsia" w:hAnsiTheme="minorEastAsia" w:eastAsiaTheme="minorEastAsia"/>
          <w:b/>
          <w:color w:val="auto"/>
          <w:sz w:val="28"/>
          <w:highlight w:val="none"/>
        </w:rPr>
        <w:t>第四章  评审方法和标准</w:t>
      </w:r>
      <w:bookmarkEnd w:id="37"/>
    </w:p>
    <w:p w14:paraId="405AFB19">
      <w:pPr>
        <w:spacing w:line="360" w:lineRule="auto"/>
        <w:ind w:firstLine="437"/>
        <w:outlineLvl w:val="1"/>
        <w:rPr>
          <w:rFonts w:asciiTheme="minorEastAsia" w:hAnsiTheme="minorEastAsia" w:eastAsiaTheme="minorEastAsia"/>
          <w:b/>
          <w:color w:val="auto"/>
          <w:sz w:val="24"/>
          <w:highlight w:val="none"/>
        </w:rPr>
      </w:pPr>
      <w:bookmarkStart w:id="38" w:name="_Toc31533"/>
      <w:bookmarkStart w:id="39" w:name="_Toc3679"/>
      <w:r>
        <w:rPr>
          <w:rFonts w:hint="eastAsia" w:asciiTheme="minorEastAsia" w:hAnsiTheme="minorEastAsia" w:eastAsiaTheme="minorEastAsia"/>
          <w:b/>
          <w:color w:val="auto"/>
          <w:sz w:val="24"/>
          <w:highlight w:val="none"/>
        </w:rPr>
        <w:t>一、总则</w:t>
      </w:r>
      <w:bookmarkEnd w:id="38"/>
      <w:bookmarkEnd w:id="39"/>
    </w:p>
    <w:p w14:paraId="554277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736BF2">
      <w:pPr>
        <w:spacing w:line="360" w:lineRule="auto"/>
        <w:ind w:firstLine="437"/>
        <w:outlineLvl w:val="1"/>
        <w:rPr>
          <w:rFonts w:asciiTheme="minorEastAsia" w:hAnsiTheme="minorEastAsia" w:eastAsiaTheme="minorEastAsia"/>
          <w:b/>
          <w:color w:val="auto"/>
          <w:sz w:val="24"/>
          <w:highlight w:val="none"/>
        </w:rPr>
      </w:pPr>
      <w:bookmarkStart w:id="40" w:name="_Toc16232"/>
      <w:bookmarkStart w:id="41" w:name="_Toc13405"/>
      <w:r>
        <w:rPr>
          <w:rFonts w:hint="eastAsia" w:asciiTheme="minorEastAsia" w:hAnsiTheme="minorEastAsia" w:eastAsiaTheme="minorEastAsia"/>
          <w:b/>
          <w:color w:val="auto"/>
          <w:sz w:val="24"/>
          <w:highlight w:val="none"/>
        </w:rPr>
        <w:t>二、评审方法</w:t>
      </w:r>
      <w:bookmarkEnd w:id="40"/>
      <w:bookmarkEnd w:id="41"/>
    </w:p>
    <w:p w14:paraId="6D85C35D">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01006C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3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608"/>
        <w:gridCol w:w="4225"/>
        <w:gridCol w:w="2569"/>
      </w:tblGrid>
      <w:tr w14:paraId="56D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3729D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初审表</w:t>
            </w:r>
          </w:p>
        </w:tc>
      </w:tr>
      <w:tr w14:paraId="46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2" w:type="pct"/>
            <w:tcBorders>
              <w:bottom w:val="single" w:color="auto" w:sz="4" w:space="0"/>
            </w:tcBorders>
            <w:vAlign w:val="center"/>
          </w:tcPr>
          <w:p w14:paraId="5A5D2716">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rPr>
              <w:t>序号</w:t>
            </w:r>
          </w:p>
        </w:tc>
        <w:tc>
          <w:tcPr>
            <w:tcW w:w="882" w:type="pct"/>
            <w:tcBorders>
              <w:bottom w:val="single" w:color="auto" w:sz="4" w:space="0"/>
            </w:tcBorders>
            <w:vAlign w:val="center"/>
          </w:tcPr>
          <w:p w14:paraId="29066BA6">
            <w:pPr>
              <w:pStyle w:val="7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auto"/>
              <w:ind w:right="-10" w:rightChars="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审查因素</w:t>
            </w:r>
          </w:p>
        </w:tc>
        <w:tc>
          <w:tcPr>
            <w:tcW w:w="2316" w:type="pct"/>
            <w:tcBorders>
              <w:bottom w:val="single" w:color="auto" w:sz="4" w:space="0"/>
            </w:tcBorders>
            <w:vAlign w:val="center"/>
          </w:tcPr>
          <w:p w14:paraId="0C8807FF">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审查内容</w:t>
            </w:r>
          </w:p>
        </w:tc>
        <w:tc>
          <w:tcPr>
            <w:tcW w:w="1408" w:type="pct"/>
            <w:tcBorders>
              <w:bottom w:val="single" w:color="auto" w:sz="4" w:space="0"/>
            </w:tcBorders>
            <w:vAlign w:val="center"/>
          </w:tcPr>
          <w:p w14:paraId="6DC65911">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rPr>
              <w:t>格式要求</w:t>
            </w:r>
          </w:p>
        </w:tc>
      </w:tr>
      <w:tr w14:paraId="1A3A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392" w:type="pct"/>
            <w:tcBorders>
              <w:bottom w:val="single" w:color="auto" w:sz="4" w:space="0"/>
            </w:tcBorders>
            <w:vAlign w:val="center"/>
          </w:tcPr>
          <w:p w14:paraId="190C42D7">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1</w:t>
            </w:r>
          </w:p>
        </w:tc>
        <w:tc>
          <w:tcPr>
            <w:tcW w:w="882" w:type="pct"/>
            <w:tcBorders>
              <w:bottom w:val="single" w:color="auto" w:sz="4" w:space="0"/>
            </w:tcBorders>
            <w:vAlign w:val="center"/>
          </w:tcPr>
          <w:p w14:paraId="77535CBB">
            <w:pPr>
              <w:keepNext w:val="0"/>
              <w:keepLines w:val="0"/>
              <w:pageBreakBefore w:val="0"/>
              <w:widowControl w:val="0"/>
              <w:kinsoku/>
              <w:wordWrap/>
              <w:overflowPunct/>
              <w:topLinePunct w:val="0"/>
              <w:autoSpaceDE/>
              <w:autoSpaceDN/>
              <w:bidi w:val="0"/>
              <w:spacing w:line="360" w:lineRule="auto"/>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316" w:type="pct"/>
            <w:tcBorders>
              <w:bottom w:val="single" w:color="auto" w:sz="4" w:space="0"/>
            </w:tcBorders>
            <w:vAlign w:val="center"/>
          </w:tcPr>
          <w:p w14:paraId="2B4144DE">
            <w:pPr>
              <w:keepNext w:val="0"/>
              <w:keepLines w:val="0"/>
              <w:pageBreakBefore w:val="0"/>
              <w:widowControl w:val="0"/>
              <w:kinsoku/>
              <w:wordWrap/>
              <w:overflowPunct/>
              <w:topLinePunct w:val="0"/>
              <w:autoSpaceDE/>
              <w:autoSpaceDN/>
              <w:bidi w:val="0"/>
              <w:spacing w:line="360" w:lineRule="auto"/>
              <w:ind w:right="-1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供有效的营业执照；</w:t>
            </w:r>
          </w:p>
          <w:p w14:paraId="42E28D80">
            <w:pPr>
              <w:keepNext w:val="0"/>
              <w:keepLines w:val="0"/>
              <w:pageBreakBefore w:val="0"/>
              <w:widowControl w:val="0"/>
              <w:kinsoku/>
              <w:wordWrap/>
              <w:overflowPunct/>
              <w:topLinePunct w:val="0"/>
              <w:autoSpaceDE/>
              <w:autoSpaceDN/>
              <w:bidi w:val="0"/>
              <w:spacing w:line="360" w:lineRule="auto"/>
              <w:ind w:right="-1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供有效的事业单位法人证书；</w:t>
            </w:r>
          </w:p>
          <w:p w14:paraId="6474E787">
            <w:pPr>
              <w:keepNext w:val="0"/>
              <w:keepLines w:val="0"/>
              <w:pageBreakBefore w:val="0"/>
              <w:widowControl w:val="0"/>
              <w:kinsoku/>
              <w:wordWrap/>
              <w:overflowPunct/>
              <w:topLinePunct w:val="0"/>
              <w:autoSpaceDE/>
              <w:autoSpaceDN/>
              <w:bidi w:val="0"/>
              <w:spacing w:line="360" w:lineRule="auto"/>
              <w:ind w:right="-1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登记证书等证明文件；</w:t>
            </w:r>
          </w:p>
          <w:p w14:paraId="43E3C9BA">
            <w:pPr>
              <w:keepNext w:val="0"/>
              <w:keepLines w:val="0"/>
              <w:pageBreakBefore w:val="0"/>
              <w:widowControl w:val="0"/>
              <w:kinsoku/>
              <w:wordWrap/>
              <w:overflowPunct/>
              <w:topLinePunct w:val="0"/>
              <w:autoSpaceDE/>
              <w:autoSpaceDN/>
              <w:bidi w:val="0"/>
              <w:spacing w:line="360" w:lineRule="auto"/>
              <w:ind w:right="-1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供有效的个体工商户营业执照；</w:t>
            </w:r>
          </w:p>
          <w:p w14:paraId="5BDC6DC5">
            <w:pPr>
              <w:keepNext w:val="0"/>
              <w:keepLines w:val="0"/>
              <w:pageBreakBefore w:val="0"/>
              <w:widowControl w:val="0"/>
              <w:kinsoku/>
              <w:wordWrap/>
              <w:overflowPunct/>
              <w:topLinePunct w:val="0"/>
              <w:autoSpaceDE/>
              <w:autoSpaceDN/>
              <w:bidi w:val="0"/>
              <w:spacing w:line="360" w:lineRule="auto"/>
              <w:ind w:right="-10" w:rightChars="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供有效的自然人身份证明。</w:t>
            </w:r>
          </w:p>
        </w:tc>
        <w:tc>
          <w:tcPr>
            <w:tcW w:w="1408" w:type="pct"/>
            <w:tcBorders>
              <w:bottom w:val="single" w:color="auto" w:sz="4" w:space="0"/>
            </w:tcBorders>
            <w:vAlign w:val="center"/>
          </w:tcPr>
          <w:p w14:paraId="72169DB6">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7BFB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23713D55">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2</w:t>
            </w:r>
          </w:p>
        </w:tc>
        <w:tc>
          <w:tcPr>
            <w:tcW w:w="882" w:type="pct"/>
            <w:vAlign w:val="center"/>
          </w:tcPr>
          <w:p w14:paraId="0C6F2D69">
            <w:pPr>
              <w:keepNext w:val="0"/>
              <w:keepLines w:val="0"/>
              <w:pageBreakBefore w:val="0"/>
              <w:widowControl w:val="0"/>
              <w:kinsoku/>
              <w:wordWrap/>
              <w:overflowPunct/>
              <w:topLinePunct w:val="0"/>
              <w:autoSpaceDE/>
              <w:autoSpaceDN/>
              <w:bidi w:val="0"/>
              <w:spacing w:line="360" w:lineRule="auto"/>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供应商资格声明书</w:t>
            </w:r>
          </w:p>
        </w:tc>
        <w:tc>
          <w:tcPr>
            <w:tcW w:w="2316" w:type="pct"/>
            <w:vAlign w:val="center"/>
          </w:tcPr>
          <w:p w14:paraId="469DA493">
            <w:pPr>
              <w:keepNext w:val="0"/>
              <w:keepLines w:val="0"/>
              <w:pageBreakBefore w:val="0"/>
              <w:widowControl w:val="0"/>
              <w:kinsoku/>
              <w:wordWrap/>
              <w:overflowPunct/>
              <w:topLinePunct w:val="0"/>
              <w:autoSpaceDE/>
              <w:autoSpaceDN/>
              <w:bidi w:val="0"/>
              <w:spacing w:line="360" w:lineRule="auto"/>
              <w:ind w:right="-10" w:rightChars="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408" w:type="pct"/>
            <w:vAlign w:val="center"/>
          </w:tcPr>
          <w:p w14:paraId="4B2B2C47">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17C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6BAD0112">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3</w:t>
            </w:r>
          </w:p>
        </w:tc>
        <w:tc>
          <w:tcPr>
            <w:tcW w:w="882" w:type="pct"/>
            <w:vAlign w:val="center"/>
          </w:tcPr>
          <w:p w14:paraId="49F2A0A9">
            <w:pPr>
              <w:keepNext w:val="0"/>
              <w:keepLines w:val="0"/>
              <w:pageBreakBefore w:val="0"/>
              <w:widowControl w:val="0"/>
              <w:kinsoku/>
              <w:wordWrap/>
              <w:overflowPunct/>
              <w:topLinePunct w:val="0"/>
              <w:autoSpaceDE/>
              <w:autoSpaceDN/>
              <w:bidi w:val="0"/>
              <w:spacing w:line="360" w:lineRule="auto"/>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316" w:type="pct"/>
            <w:vAlign w:val="center"/>
          </w:tcPr>
          <w:p w14:paraId="004C8599">
            <w:pPr>
              <w:keepNext w:val="0"/>
              <w:keepLines w:val="0"/>
              <w:pageBreakBefore w:val="0"/>
              <w:widowControl w:val="0"/>
              <w:kinsoku/>
              <w:wordWrap/>
              <w:overflowPunct/>
              <w:topLinePunct w:val="0"/>
              <w:autoSpaceDE/>
              <w:autoSpaceDN/>
              <w:bidi w:val="0"/>
              <w:spacing w:line="360" w:lineRule="auto"/>
              <w:ind w:right="-10" w:rightChars="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3条中</w:t>
            </w:r>
            <w:r>
              <w:rPr>
                <w:rFonts w:hint="eastAsia" w:ascii="宋体" w:hAnsi="宋体" w:eastAsia="宋体" w:cs="宋体"/>
                <w:color w:val="auto"/>
                <w:sz w:val="24"/>
                <w:szCs w:val="24"/>
                <w:highlight w:val="none"/>
              </w:rPr>
              <w:t>的不良信用记录情形</w:t>
            </w:r>
          </w:p>
        </w:tc>
        <w:tc>
          <w:tcPr>
            <w:tcW w:w="1408" w:type="pct"/>
            <w:vAlign w:val="center"/>
          </w:tcPr>
          <w:p w14:paraId="20AC20DE">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6104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28A07B30">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4</w:t>
            </w:r>
          </w:p>
        </w:tc>
        <w:tc>
          <w:tcPr>
            <w:tcW w:w="882" w:type="pct"/>
            <w:vAlign w:val="center"/>
          </w:tcPr>
          <w:p w14:paraId="078F8623">
            <w:pPr>
              <w:keepNext w:val="0"/>
              <w:keepLines w:val="0"/>
              <w:pageBreakBefore w:val="0"/>
              <w:widowControl w:val="0"/>
              <w:kinsoku/>
              <w:wordWrap/>
              <w:overflowPunct/>
              <w:topLinePunct w:val="0"/>
              <w:autoSpaceDE/>
              <w:autoSpaceDN/>
              <w:bidi w:val="0"/>
              <w:spacing w:line="360" w:lineRule="auto"/>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316" w:type="pct"/>
            <w:vAlign w:val="top"/>
          </w:tcPr>
          <w:p w14:paraId="6EC19E94">
            <w:pPr>
              <w:keepNext w:val="0"/>
              <w:keepLines w:val="0"/>
              <w:pageBreakBefore w:val="0"/>
              <w:widowControl w:val="0"/>
              <w:kinsoku/>
              <w:wordWrap/>
              <w:overflowPunct/>
              <w:topLinePunct w:val="0"/>
              <w:autoSpaceDE/>
              <w:autoSpaceDN/>
              <w:bidi w:val="0"/>
              <w:spacing w:line="360" w:lineRule="auto"/>
              <w:ind w:right="-1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申请人的</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中落实政府采购政策需满足的资格要求</w:t>
            </w:r>
            <w:r>
              <w:rPr>
                <w:rFonts w:hint="eastAsia" w:ascii="宋体" w:hAnsi="宋体" w:eastAsia="宋体" w:cs="宋体"/>
                <w:color w:val="auto"/>
                <w:sz w:val="24"/>
                <w:szCs w:val="24"/>
                <w:highlight w:val="none"/>
                <w:lang w:eastAsia="zh-CN"/>
              </w:rPr>
              <w:t>：</w:t>
            </w:r>
          </w:p>
          <w:p w14:paraId="28A904C7">
            <w:pPr>
              <w:keepNext w:val="0"/>
              <w:keepLines w:val="0"/>
              <w:pageBreakBefore w:val="0"/>
              <w:widowControl w:val="0"/>
              <w:kinsoku/>
              <w:wordWrap/>
              <w:overflowPunct/>
              <w:topLinePunct w:val="0"/>
              <w:autoSpaceDE/>
              <w:autoSpaceDN/>
              <w:bidi w:val="0"/>
              <w:spacing w:line="360" w:lineRule="auto"/>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44C319A2">
            <w:pPr>
              <w:keepNext w:val="0"/>
              <w:keepLines w:val="0"/>
              <w:pageBreakBefore w:val="0"/>
              <w:widowControl w:val="0"/>
              <w:kinsoku/>
              <w:wordWrap/>
              <w:overflowPunct/>
              <w:topLinePunct w:val="0"/>
              <w:autoSpaceDE/>
              <w:autoSpaceDN/>
              <w:bidi w:val="0"/>
              <w:spacing w:line="360" w:lineRule="auto"/>
              <w:ind w:right="-10" w:rightChars="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文件关于预留份额的要求。</w:t>
            </w:r>
          </w:p>
        </w:tc>
        <w:tc>
          <w:tcPr>
            <w:tcW w:w="1408" w:type="pct"/>
            <w:vAlign w:val="center"/>
          </w:tcPr>
          <w:p w14:paraId="35FBCB66">
            <w:pPr>
              <w:keepNext w:val="0"/>
              <w:keepLines w:val="0"/>
              <w:pageBreakBefore w:val="0"/>
              <w:widowControl w:val="0"/>
              <w:kinsoku/>
              <w:wordWrap/>
              <w:overflowPunct/>
              <w:topLinePunct w:val="0"/>
              <w:autoSpaceDE/>
              <w:autoSpaceDN/>
              <w:bidi w:val="0"/>
              <w:spacing w:line="360" w:lineRule="auto"/>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2F30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7D31D2EB">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5</w:t>
            </w:r>
          </w:p>
        </w:tc>
        <w:tc>
          <w:tcPr>
            <w:tcW w:w="882" w:type="pct"/>
            <w:vAlign w:val="center"/>
          </w:tcPr>
          <w:p w14:paraId="09A4C4CF">
            <w:pPr>
              <w:keepNext w:val="0"/>
              <w:keepLines w:val="0"/>
              <w:pageBreakBefore w:val="0"/>
              <w:widowControl w:val="0"/>
              <w:kinsoku/>
              <w:wordWrap/>
              <w:overflowPunct/>
              <w:topLinePunct w:val="0"/>
              <w:autoSpaceDE/>
              <w:autoSpaceDN/>
              <w:bidi w:val="0"/>
              <w:spacing w:line="360" w:lineRule="auto"/>
              <w:ind w:right="-10" w:right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10"/>
                <w:sz w:val="24"/>
                <w:szCs w:val="24"/>
                <w:highlight w:val="none"/>
              </w:rPr>
              <w:t>其它落实政府采</w:t>
            </w:r>
            <w:r>
              <w:rPr>
                <w:rFonts w:hint="eastAsia" w:ascii="宋体" w:hAnsi="宋体" w:eastAsia="宋体" w:cs="宋体"/>
                <w:color w:val="auto"/>
                <w:spacing w:val="11"/>
                <w:sz w:val="24"/>
                <w:szCs w:val="24"/>
                <w:highlight w:val="none"/>
              </w:rPr>
              <w:t>购政策的资格要</w:t>
            </w:r>
            <w:r>
              <w:rPr>
                <w:rFonts w:hint="eastAsia" w:ascii="宋体" w:hAnsi="宋体" w:eastAsia="宋体" w:cs="宋体"/>
                <w:color w:val="auto"/>
                <w:sz w:val="24"/>
                <w:szCs w:val="24"/>
                <w:highlight w:val="none"/>
              </w:rPr>
              <w:t>求</w:t>
            </w:r>
          </w:p>
        </w:tc>
        <w:tc>
          <w:tcPr>
            <w:tcW w:w="2316" w:type="pct"/>
            <w:vAlign w:val="center"/>
          </w:tcPr>
          <w:p w14:paraId="21A99F83">
            <w:pPr>
              <w:keepNext w:val="0"/>
              <w:keepLines w:val="0"/>
              <w:pageBreakBefore w:val="0"/>
              <w:widowControl w:val="0"/>
              <w:kinsoku/>
              <w:wordWrap/>
              <w:overflowPunct/>
              <w:topLinePunct w:val="0"/>
              <w:autoSpaceDE/>
              <w:autoSpaceDN/>
              <w:bidi w:val="0"/>
              <w:spacing w:line="360" w:lineRule="auto"/>
              <w:ind w:right="-10" w:right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2"/>
                <w:sz w:val="24"/>
                <w:szCs w:val="24"/>
                <w:highlight w:val="none"/>
              </w:rPr>
              <w:t>如有，见第一章《投标邀请》</w:t>
            </w:r>
          </w:p>
        </w:tc>
        <w:tc>
          <w:tcPr>
            <w:tcW w:w="1408" w:type="pct"/>
            <w:vAlign w:val="center"/>
          </w:tcPr>
          <w:p w14:paraId="110F44DF">
            <w:pPr>
              <w:keepNext w:val="0"/>
              <w:keepLines w:val="0"/>
              <w:pageBreakBefore w:val="0"/>
              <w:widowControl w:val="0"/>
              <w:kinsoku/>
              <w:wordWrap/>
              <w:overflowPunct/>
              <w:topLinePunct w:val="0"/>
              <w:autoSpaceDE/>
              <w:autoSpaceDN/>
              <w:bidi w:val="0"/>
              <w:spacing w:line="360" w:lineRule="auto"/>
              <w:ind w:right="-10" w:right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22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92" w:type="pct"/>
            <w:vAlign w:val="center"/>
          </w:tcPr>
          <w:p w14:paraId="766ABE5E">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6</w:t>
            </w:r>
          </w:p>
        </w:tc>
        <w:tc>
          <w:tcPr>
            <w:tcW w:w="882" w:type="pct"/>
            <w:vAlign w:val="center"/>
          </w:tcPr>
          <w:p w14:paraId="508169DD">
            <w:pPr>
              <w:keepNext w:val="0"/>
              <w:keepLines w:val="0"/>
              <w:pageBreakBefore w:val="0"/>
              <w:widowControl w:val="0"/>
              <w:kinsoku/>
              <w:wordWrap/>
              <w:overflowPunct/>
              <w:topLinePunct w:val="0"/>
              <w:autoSpaceDE/>
              <w:autoSpaceDN/>
              <w:bidi w:val="0"/>
              <w:spacing w:line="360" w:lineRule="auto"/>
              <w:ind w:right="-10" w:right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10"/>
                <w:sz w:val="24"/>
                <w:szCs w:val="24"/>
                <w:highlight w:val="none"/>
                <w:lang w:eastAsia="zh-CN"/>
              </w:rPr>
              <w:t>本项目的</w:t>
            </w:r>
            <w:r>
              <w:rPr>
                <w:rFonts w:hint="eastAsia" w:ascii="宋体" w:hAnsi="宋体" w:eastAsia="宋体" w:cs="宋体"/>
                <w:color w:val="auto"/>
                <w:spacing w:val="10"/>
                <w:sz w:val="24"/>
                <w:szCs w:val="24"/>
                <w:highlight w:val="none"/>
              </w:rPr>
              <w:t>特定资格要求</w:t>
            </w:r>
          </w:p>
        </w:tc>
        <w:tc>
          <w:tcPr>
            <w:tcW w:w="2316" w:type="pct"/>
            <w:vAlign w:val="center"/>
          </w:tcPr>
          <w:p w14:paraId="0128CE7C">
            <w:pPr>
              <w:keepNext w:val="0"/>
              <w:keepLines w:val="0"/>
              <w:pageBreakBefore w:val="0"/>
              <w:widowControl w:val="0"/>
              <w:kinsoku/>
              <w:wordWrap/>
              <w:overflowPunct/>
              <w:topLinePunct w:val="0"/>
              <w:autoSpaceDE/>
              <w:autoSpaceDN/>
              <w:bidi w:val="0"/>
              <w:spacing w:line="360" w:lineRule="auto"/>
              <w:ind w:right="-10" w:right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val="en-US" w:eastAsia="zh-CN"/>
              </w:rPr>
              <w:t>磋商</w:t>
            </w:r>
            <w:r>
              <w:rPr>
                <w:rFonts w:hint="eastAsia" w:ascii="宋体" w:hAnsi="宋体" w:eastAsia="宋体" w:cs="宋体"/>
                <w:color w:val="auto"/>
                <w:spacing w:val="10"/>
                <w:sz w:val="24"/>
                <w:szCs w:val="24"/>
                <w:highlight w:val="none"/>
              </w:rPr>
              <w:t>邀请》</w:t>
            </w:r>
          </w:p>
        </w:tc>
        <w:tc>
          <w:tcPr>
            <w:tcW w:w="1408" w:type="pct"/>
            <w:vAlign w:val="center"/>
          </w:tcPr>
          <w:p w14:paraId="389442EA">
            <w:pPr>
              <w:keepNext w:val="0"/>
              <w:keepLines w:val="0"/>
              <w:pageBreakBefore w:val="0"/>
              <w:widowControl w:val="0"/>
              <w:kinsoku/>
              <w:wordWrap/>
              <w:overflowPunct/>
              <w:topLinePunct w:val="0"/>
              <w:autoSpaceDE/>
              <w:autoSpaceDN/>
              <w:bidi w:val="0"/>
              <w:spacing w:line="360" w:lineRule="auto"/>
              <w:ind w:right="-10" w:right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AB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77EADD14">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7</w:t>
            </w:r>
          </w:p>
        </w:tc>
        <w:tc>
          <w:tcPr>
            <w:tcW w:w="882" w:type="pct"/>
            <w:vAlign w:val="center"/>
          </w:tcPr>
          <w:p w14:paraId="0B0D1B2A">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授权书</w:t>
            </w:r>
          </w:p>
        </w:tc>
        <w:tc>
          <w:tcPr>
            <w:tcW w:w="2316" w:type="pct"/>
            <w:vAlign w:val="center"/>
          </w:tcPr>
          <w:p w14:paraId="08F70821">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符合</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文件要求。</w:t>
            </w:r>
          </w:p>
        </w:tc>
        <w:tc>
          <w:tcPr>
            <w:tcW w:w="1408" w:type="pct"/>
            <w:vAlign w:val="center"/>
          </w:tcPr>
          <w:p w14:paraId="323B8D59">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left"/>
              <w:textAlignment w:val="auto"/>
              <w:rPr>
                <w:rFonts w:hint="eastAsia" w:ascii="宋体" w:hAnsi="宋体" w:eastAsia="宋体" w:cs="宋体"/>
                <w:color w:val="auto"/>
                <w:kern w:val="2"/>
                <w:sz w:val="24"/>
                <w:szCs w:val="24"/>
                <w:highlight w:val="none"/>
              </w:rPr>
            </w:pPr>
          </w:p>
        </w:tc>
      </w:tr>
      <w:tr w14:paraId="6E02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E4FACAE">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8</w:t>
            </w:r>
          </w:p>
        </w:tc>
        <w:tc>
          <w:tcPr>
            <w:tcW w:w="882" w:type="pct"/>
            <w:vAlign w:val="center"/>
          </w:tcPr>
          <w:p w14:paraId="626403B2">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响应函</w:t>
            </w:r>
          </w:p>
        </w:tc>
        <w:tc>
          <w:tcPr>
            <w:tcW w:w="2316" w:type="pct"/>
            <w:vAlign w:val="center"/>
          </w:tcPr>
          <w:p w14:paraId="793FCFF1">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符合</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文件要求。</w:t>
            </w:r>
          </w:p>
        </w:tc>
        <w:tc>
          <w:tcPr>
            <w:tcW w:w="1408" w:type="pct"/>
            <w:vAlign w:val="center"/>
          </w:tcPr>
          <w:p w14:paraId="7F9D6E43">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left"/>
              <w:textAlignment w:val="auto"/>
              <w:rPr>
                <w:rFonts w:hint="eastAsia" w:ascii="宋体" w:hAnsi="宋体" w:eastAsia="宋体" w:cs="宋体"/>
                <w:color w:val="auto"/>
                <w:kern w:val="2"/>
                <w:sz w:val="24"/>
                <w:szCs w:val="24"/>
                <w:highlight w:val="none"/>
              </w:rPr>
            </w:pPr>
          </w:p>
        </w:tc>
      </w:tr>
      <w:tr w14:paraId="6FD3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7CC0501B">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882" w:type="pct"/>
            <w:vAlign w:val="center"/>
          </w:tcPr>
          <w:p w14:paraId="318E1CD7">
            <w:pPr>
              <w:keepNext w:val="0"/>
              <w:keepLines w:val="0"/>
              <w:pageBreakBefore w:val="0"/>
              <w:widowControl w:val="0"/>
              <w:kinsoku/>
              <w:wordWrap/>
              <w:overflowPunct/>
              <w:topLinePunct w:val="0"/>
              <w:autoSpaceDE/>
              <w:autoSpaceDN/>
              <w:bidi w:val="0"/>
              <w:spacing w:line="360" w:lineRule="auto"/>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p>
        </w:tc>
        <w:tc>
          <w:tcPr>
            <w:tcW w:w="2316" w:type="pct"/>
            <w:vAlign w:val="center"/>
          </w:tcPr>
          <w:p w14:paraId="5B337567">
            <w:pPr>
              <w:keepNext w:val="0"/>
              <w:keepLines w:val="0"/>
              <w:pageBreakBefore w:val="0"/>
              <w:widowControl w:val="0"/>
              <w:kinsoku/>
              <w:wordWrap/>
              <w:overflowPunct/>
              <w:topLinePunct w:val="0"/>
              <w:autoSpaceDE/>
              <w:autoSpaceDN/>
              <w:bidi w:val="0"/>
              <w:spacing w:line="360" w:lineRule="auto"/>
              <w:ind w:right="-10" w:right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要求。</w:t>
            </w:r>
          </w:p>
        </w:tc>
        <w:tc>
          <w:tcPr>
            <w:tcW w:w="1408" w:type="pct"/>
            <w:vAlign w:val="center"/>
          </w:tcPr>
          <w:p w14:paraId="11A49FBF">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center"/>
              <w:textAlignment w:val="auto"/>
              <w:rPr>
                <w:rFonts w:hint="eastAsia" w:ascii="宋体" w:hAnsi="宋体" w:eastAsia="宋体" w:cs="宋体"/>
                <w:color w:val="auto"/>
                <w:kern w:val="2"/>
                <w:sz w:val="24"/>
                <w:szCs w:val="24"/>
                <w:highlight w:val="none"/>
              </w:rPr>
            </w:pPr>
          </w:p>
        </w:tc>
      </w:tr>
      <w:tr w14:paraId="1A6B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52D249E3">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882" w:type="pct"/>
            <w:vAlign w:val="center"/>
          </w:tcPr>
          <w:p w14:paraId="5C960F58">
            <w:pPr>
              <w:keepNext w:val="0"/>
              <w:keepLines w:val="0"/>
              <w:pageBreakBefore w:val="0"/>
              <w:widowControl w:val="0"/>
              <w:kinsoku/>
              <w:wordWrap/>
              <w:overflowPunct/>
              <w:topLinePunct w:val="0"/>
              <w:autoSpaceDE/>
              <w:autoSpaceDN/>
              <w:bidi w:val="0"/>
              <w:spacing w:line="360" w:lineRule="auto"/>
              <w:ind w:right="-1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诚信</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承诺书</w:t>
            </w:r>
          </w:p>
        </w:tc>
        <w:tc>
          <w:tcPr>
            <w:tcW w:w="2316" w:type="pct"/>
            <w:vAlign w:val="center"/>
          </w:tcPr>
          <w:p w14:paraId="2EEC6194">
            <w:pPr>
              <w:keepNext w:val="0"/>
              <w:keepLines w:val="0"/>
              <w:pageBreakBefore w:val="0"/>
              <w:widowControl w:val="0"/>
              <w:kinsoku/>
              <w:wordWrap/>
              <w:overflowPunct/>
              <w:topLinePunct w:val="0"/>
              <w:autoSpaceDE/>
              <w:autoSpaceDN/>
              <w:bidi w:val="0"/>
              <w:spacing w:line="360" w:lineRule="auto"/>
              <w:ind w:right="-1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要求。</w:t>
            </w:r>
          </w:p>
        </w:tc>
        <w:tc>
          <w:tcPr>
            <w:tcW w:w="1408" w:type="pct"/>
            <w:vAlign w:val="center"/>
          </w:tcPr>
          <w:p w14:paraId="3DDEB042">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2BCB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591" w:type="pct"/>
            <w:gridSpan w:val="3"/>
            <w:tcBorders>
              <w:bottom w:val="single" w:color="auto" w:sz="4" w:space="0"/>
            </w:tcBorders>
            <w:vAlign w:val="center"/>
          </w:tcPr>
          <w:p w14:paraId="1EB36777">
            <w:pPr>
              <w:keepNext w:val="0"/>
              <w:keepLines w:val="0"/>
              <w:pageBreakBefore w:val="0"/>
              <w:widowControl w:val="0"/>
              <w:kinsoku/>
              <w:wordWrap/>
              <w:overflowPunct/>
              <w:topLinePunct w:val="0"/>
              <w:autoSpaceDE/>
              <w:autoSpaceDN/>
              <w:bidi w:val="0"/>
              <w:adjustRightInd w:val="0"/>
              <w:snapToGrid w:val="0"/>
              <w:spacing w:line="360" w:lineRule="auto"/>
              <w:ind w:right="-1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评审指标通过标准：供应商必须通过上述全部指标。</w:t>
            </w:r>
          </w:p>
        </w:tc>
        <w:tc>
          <w:tcPr>
            <w:tcW w:w="1408" w:type="pct"/>
            <w:tcBorders>
              <w:bottom w:val="single" w:color="auto" w:sz="4" w:space="0"/>
            </w:tcBorders>
            <w:vAlign w:val="center"/>
          </w:tcPr>
          <w:p w14:paraId="679ADF89">
            <w:pPr>
              <w:keepNext w:val="0"/>
              <w:keepLines w:val="0"/>
              <w:pageBreakBefore w:val="0"/>
              <w:widowControl w:val="0"/>
              <w:kinsoku/>
              <w:wordWrap/>
              <w:overflowPunct/>
              <w:topLinePunct w:val="0"/>
              <w:autoSpaceDE/>
              <w:autoSpaceDN/>
              <w:bidi w:val="0"/>
              <w:adjustRightInd w:val="0"/>
              <w:snapToGrid w:val="0"/>
              <w:spacing w:line="360" w:lineRule="auto"/>
              <w:ind w:right="-10"/>
              <w:jc w:val="left"/>
              <w:textAlignment w:val="auto"/>
              <w:rPr>
                <w:rFonts w:hint="eastAsia" w:ascii="宋体" w:hAnsi="宋体" w:eastAsia="宋体" w:cs="宋体"/>
                <w:color w:val="auto"/>
                <w:kern w:val="2"/>
                <w:sz w:val="24"/>
                <w:szCs w:val="24"/>
                <w:highlight w:val="none"/>
              </w:rPr>
            </w:pPr>
          </w:p>
        </w:tc>
      </w:tr>
    </w:tbl>
    <w:p w14:paraId="3631FE8C">
      <w:pPr>
        <w:keepNext w:val="0"/>
        <w:keepLines w:val="0"/>
        <w:pageBreakBefore w:val="0"/>
        <w:kinsoku/>
        <w:wordWrap/>
        <w:overflowPunct/>
        <w:topLinePunct w:val="0"/>
        <w:autoSpaceDE/>
        <w:autoSpaceDN/>
        <w:bidi w:val="0"/>
        <w:spacing w:line="520" w:lineRule="exact"/>
        <w:ind w:firstLine="581" w:firstLineChars="241"/>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color w:val="auto"/>
          <w:sz w:val="24"/>
          <w:szCs w:val="24"/>
          <w:highlight w:val="none"/>
        </w:rPr>
        <w:t>供应商拟委任</w:t>
      </w:r>
      <w:r>
        <w:rPr>
          <w:rFonts w:hint="eastAsia" w:ascii="宋体" w:hAnsi="宋体" w:eastAsia="宋体" w:cs="宋体"/>
          <w:b/>
          <w:color w:val="auto"/>
          <w:sz w:val="24"/>
          <w:szCs w:val="24"/>
          <w:highlight w:val="none"/>
          <w:lang w:val="en-US" w:eastAsia="zh-CN"/>
        </w:rPr>
        <w:t>项目经理</w:t>
      </w:r>
      <w:r>
        <w:rPr>
          <w:rFonts w:hint="eastAsia" w:ascii="宋体" w:hAnsi="宋体" w:eastAsia="宋体" w:cs="宋体"/>
          <w:b/>
          <w:color w:val="auto"/>
          <w:sz w:val="24"/>
          <w:szCs w:val="24"/>
          <w:highlight w:val="none"/>
        </w:rPr>
        <w:t>为注册建造师（含一级、二级）的，须提供有效的纸质版电子证书。一级建造师打印电子证书后，应在个人签名处手写本人签名，未手写签名或与签名图像笔迹不一致的，该电子证书无效。</w:t>
      </w:r>
    </w:p>
    <w:p w14:paraId="7F55CCE8">
      <w:pPr>
        <w:keepNext w:val="0"/>
        <w:keepLines w:val="0"/>
        <w:pageBreakBefore w:val="0"/>
        <w:kinsoku/>
        <w:wordWrap/>
        <w:overflowPunct/>
        <w:topLinePunct w:val="0"/>
        <w:autoSpaceDE/>
        <w:autoSpaceDN/>
        <w:bidi w:val="0"/>
        <w:spacing w:line="520" w:lineRule="exact"/>
        <w:ind w:firstLine="581" w:firstLineChars="241"/>
        <w:jc w:val="left"/>
        <w:rPr>
          <w:rFonts w:hint="eastAsia" w:ascii="宋体" w:hAnsi="宋体" w:eastAsia="宋体" w:cs="宋体"/>
          <w:b/>
          <w:bCs/>
          <w:color w:val="auto"/>
          <w:sz w:val="24"/>
          <w:highlight w:val="none"/>
        </w:rPr>
      </w:pPr>
      <w:r>
        <w:rPr>
          <w:rFonts w:hint="eastAsia" w:ascii="宋体" w:hAnsi="宋体" w:eastAsia="宋体" w:cs="宋体"/>
          <w:b/>
          <w:color w:val="auto"/>
          <w:sz w:val="24"/>
          <w:szCs w:val="24"/>
          <w:highlight w:val="none"/>
        </w:rPr>
        <w:t>供应商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232CFAE8">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初审指标通过标准：</w:t>
      </w:r>
      <w:r>
        <w:rPr>
          <w:rFonts w:hint="eastAsia" w:ascii="宋体" w:hAnsi="宋体" w:eastAsia="宋体" w:cs="宋体"/>
          <w:color w:val="auto"/>
          <w:sz w:val="24"/>
          <w:highlight w:val="none"/>
        </w:rPr>
        <w:t>供应商必须通过初审表中的全部评审指标。</w:t>
      </w:r>
    </w:p>
    <w:p w14:paraId="32A459D7">
      <w:pPr>
        <w:spacing w:line="360" w:lineRule="auto"/>
        <w:ind w:firstLine="435"/>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异常低价</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审查</w:t>
      </w:r>
    </w:p>
    <w:tbl>
      <w:tblPr>
        <w:tblStyle w:val="5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异常低价响应审查</w:t>
            </w:r>
          </w:p>
        </w:tc>
        <w:tc>
          <w:tcPr>
            <w:tcW w:w="4439" w:type="dxa"/>
            <w:tcBorders>
              <w:bottom w:val="single" w:color="auto" w:sz="4" w:space="0"/>
            </w:tcBorders>
            <w:vAlign w:val="center"/>
          </w:tcPr>
          <w:p w14:paraId="14855D1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（4）磋商小组基于专业判断，认为供应商报价过低，有可能影响产品质量或者不能诚信履约的其他情形。</w:t>
            </w:r>
          </w:p>
          <w:p w14:paraId="1F1C5BD8">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提醒：</w:t>
            </w:r>
          </w:p>
          <w:p w14:paraId="5CB21018">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（2）上述第（1）项至第（2）项中的供应商响应报价为最后承诺报价。</w:t>
            </w:r>
          </w:p>
        </w:tc>
        <w:tc>
          <w:tcPr>
            <w:tcW w:w="2260" w:type="dxa"/>
            <w:vAlign w:val="center"/>
          </w:tcPr>
          <w:p w14:paraId="4F4E35C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09D88CC1">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根据《关于推进解决政府采购异常低价问题的通知》（财库〔2026〕2号），</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153DDD6B">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项情形，供应商已随响应文件一并提交相关书面说明及必要的证明材料的，在评审现场可不再重复提交。</w:t>
      </w:r>
    </w:p>
    <w:p w14:paraId="326F5DD3">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62F5CAA0">
      <w:pPr>
        <w:spacing w:line="360" w:lineRule="auto"/>
        <w:ind w:firstLine="435"/>
        <w:outlineLvl w:val="2"/>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BFD606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452E0A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32962D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63</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37</w:t>
      </w:r>
      <w:r>
        <w:rPr>
          <w:rFonts w:asciiTheme="minorEastAsia" w:hAnsiTheme="minorEastAsia" w:eastAsiaTheme="minorEastAsia"/>
          <w:color w:val="auto"/>
          <w:sz w:val="24"/>
          <w:highlight w:val="none"/>
        </w:rPr>
        <w:t>%。具体评分细则如下：</w:t>
      </w:r>
    </w:p>
    <w:tbl>
      <w:tblPr>
        <w:tblStyle w:val="55"/>
        <w:tblW w:w="5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544"/>
        <w:gridCol w:w="6435"/>
        <w:gridCol w:w="1123"/>
      </w:tblGrid>
      <w:tr w14:paraId="2063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36" w:type="pct"/>
            <w:tcBorders>
              <w:top w:val="single" w:color="auto" w:sz="4" w:space="0"/>
              <w:left w:val="single" w:color="auto" w:sz="4" w:space="0"/>
              <w:bottom w:val="single" w:color="auto" w:sz="4" w:space="0"/>
              <w:right w:val="single" w:color="auto" w:sz="4" w:space="0"/>
            </w:tcBorders>
            <w:vAlign w:val="center"/>
          </w:tcPr>
          <w:p w14:paraId="435746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774" w:type="pct"/>
            <w:tcBorders>
              <w:top w:val="single" w:color="auto" w:sz="4" w:space="0"/>
              <w:left w:val="single" w:color="auto" w:sz="4" w:space="0"/>
              <w:bottom w:val="single" w:color="auto" w:sz="4" w:space="0"/>
              <w:right w:val="single" w:color="auto" w:sz="4" w:space="0"/>
            </w:tcBorders>
            <w:vAlign w:val="center"/>
          </w:tcPr>
          <w:p w14:paraId="7D0555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3226" w:type="pct"/>
            <w:tcBorders>
              <w:top w:val="single" w:color="auto" w:sz="4" w:space="0"/>
              <w:left w:val="single" w:color="auto" w:sz="4" w:space="0"/>
              <w:bottom w:val="single" w:color="auto" w:sz="4" w:space="0"/>
              <w:right w:val="single" w:color="auto" w:sz="4" w:space="0"/>
            </w:tcBorders>
            <w:vAlign w:val="center"/>
          </w:tcPr>
          <w:p w14:paraId="67F9C7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562" w:type="pct"/>
            <w:tcBorders>
              <w:top w:val="single" w:color="auto" w:sz="4" w:space="0"/>
              <w:left w:val="single" w:color="auto" w:sz="4" w:space="0"/>
              <w:bottom w:val="single" w:color="auto" w:sz="4" w:space="0"/>
              <w:right w:val="single" w:color="auto" w:sz="4" w:space="0"/>
            </w:tcBorders>
            <w:vAlign w:val="center"/>
          </w:tcPr>
          <w:p w14:paraId="297FDA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1538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restart"/>
            <w:tcBorders>
              <w:top w:val="single" w:color="auto" w:sz="4" w:space="0"/>
              <w:left w:val="single" w:color="auto" w:sz="4" w:space="0"/>
              <w:right w:val="single" w:color="auto" w:sz="4" w:space="0"/>
            </w:tcBorders>
            <w:vAlign w:val="center"/>
          </w:tcPr>
          <w:p w14:paraId="7E7B7E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14:paraId="6DCFB4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63</w:t>
            </w:r>
            <w:r>
              <w:rPr>
                <w:rFonts w:hint="eastAsia" w:ascii="宋体" w:hAnsi="宋体" w:eastAsia="宋体" w:cs="宋体"/>
                <w:color w:val="auto"/>
                <w:sz w:val="21"/>
                <w:szCs w:val="21"/>
                <w:highlight w:val="none"/>
              </w:rPr>
              <w:t>分）</w:t>
            </w:r>
          </w:p>
        </w:tc>
        <w:tc>
          <w:tcPr>
            <w:tcW w:w="774" w:type="pct"/>
            <w:tcBorders>
              <w:top w:val="single" w:color="auto" w:sz="4" w:space="0"/>
              <w:left w:val="single" w:color="auto" w:sz="4" w:space="0"/>
              <w:bottom w:val="single" w:color="auto" w:sz="4" w:space="0"/>
              <w:right w:val="single" w:color="auto" w:sz="4" w:space="0"/>
            </w:tcBorders>
            <w:vAlign w:val="center"/>
          </w:tcPr>
          <w:p w14:paraId="4060C6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供应商业绩</w:t>
            </w:r>
          </w:p>
        </w:tc>
        <w:tc>
          <w:tcPr>
            <w:tcW w:w="6435" w:type="dxa"/>
            <w:tcBorders>
              <w:top w:val="single" w:color="auto" w:sz="4" w:space="0"/>
              <w:left w:val="single" w:color="auto" w:sz="4" w:space="0"/>
              <w:bottom w:val="single" w:color="auto" w:sz="4" w:space="0"/>
              <w:right w:val="single" w:color="auto" w:sz="4" w:space="0"/>
            </w:tcBorders>
            <w:vAlign w:val="center"/>
          </w:tcPr>
          <w:p w14:paraId="0993C5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自20</w:t>
            </w:r>
            <w:r>
              <w:rPr>
                <w:rFonts w:hint="eastAsia" w:ascii="宋体" w:hAnsi="宋体" w:eastAsia="宋体" w:cs="宋体"/>
                <w:color w:val="auto"/>
                <w:sz w:val="21"/>
                <w:szCs w:val="21"/>
                <w:lang w:val="en-US" w:eastAsia="zh-CN"/>
              </w:rPr>
              <w:t>23</w:t>
            </w:r>
            <w:r>
              <w:rPr>
                <w:rFonts w:hint="eastAsia" w:ascii="宋体" w:hAnsi="宋体" w:eastAsia="宋体" w:cs="宋体"/>
                <w:color w:val="auto"/>
                <w:sz w:val="21"/>
                <w:szCs w:val="21"/>
              </w:rPr>
              <w:t>年1月1日以来（时间以合同签订日期为准），供应商具有一个室内外线路改造或室内外配电工程业绩的，得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分，满分</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2743B3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注：1.响应文件中提供业绩合同</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如前述证明材料无法体现时间、工程内容等评审因素的，须另提供加盖业主单位公章的证明材料予以明确说明。</w:t>
            </w:r>
          </w:p>
          <w:p w14:paraId="4DD44D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2.项目经理业绩与供应商业绩不得重复加分。</w:t>
            </w:r>
          </w:p>
        </w:tc>
        <w:tc>
          <w:tcPr>
            <w:tcW w:w="562" w:type="pct"/>
            <w:tcBorders>
              <w:top w:val="single" w:color="auto" w:sz="4" w:space="0"/>
              <w:left w:val="single" w:color="auto" w:sz="4" w:space="0"/>
              <w:bottom w:val="single" w:color="auto" w:sz="4" w:space="0"/>
              <w:right w:val="single" w:color="auto" w:sz="4" w:space="0"/>
            </w:tcBorders>
            <w:vAlign w:val="center"/>
          </w:tcPr>
          <w:p w14:paraId="790ED8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0-2分</w:t>
            </w:r>
          </w:p>
        </w:tc>
      </w:tr>
      <w:tr w14:paraId="4DD8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36" w:type="pct"/>
            <w:vMerge w:val="continue"/>
            <w:tcBorders>
              <w:left w:val="single" w:color="auto" w:sz="4" w:space="0"/>
              <w:right w:val="single" w:color="auto" w:sz="4" w:space="0"/>
            </w:tcBorders>
            <w:vAlign w:val="center"/>
          </w:tcPr>
          <w:p w14:paraId="36F05733">
            <w:pPr>
              <w:keepNext w:val="0"/>
              <w:keepLines w:val="0"/>
              <w:pageBreakBefore w:val="0"/>
              <w:widowControl w:val="0"/>
              <w:kinsoku/>
              <w:wordWrap/>
              <w:overflowPunct/>
              <w:topLinePunct w:val="0"/>
              <w:autoSpaceDE/>
              <w:autoSpaceDN/>
              <w:bidi w:val="0"/>
              <w:adjustRightInd/>
              <w:snapToGrid/>
              <w:spacing w:line="360" w:lineRule="auto"/>
              <w:ind w:firstLine="435"/>
              <w:jc w:val="center"/>
              <w:textAlignment w:val="auto"/>
              <w:rPr>
                <w:rFonts w:hint="eastAsia" w:ascii="宋体" w:hAnsi="宋体" w:eastAsia="宋体" w:cs="宋体"/>
                <w:b/>
                <w:bCs/>
                <w:color w:val="auto"/>
                <w:sz w:val="21"/>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14:paraId="5DE27A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项目经理业绩</w:t>
            </w:r>
          </w:p>
        </w:tc>
        <w:tc>
          <w:tcPr>
            <w:tcW w:w="6435" w:type="dxa"/>
            <w:tcBorders>
              <w:top w:val="single" w:color="auto" w:sz="4" w:space="0"/>
              <w:left w:val="single" w:color="auto" w:sz="4" w:space="0"/>
              <w:bottom w:val="single" w:color="auto" w:sz="4" w:space="0"/>
              <w:right w:val="single" w:color="auto" w:sz="4" w:space="0"/>
            </w:tcBorders>
            <w:vAlign w:val="center"/>
          </w:tcPr>
          <w:p w14:paraId="301D7B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年1月1日以来（时间以合同签订日期为准），拟派项目</w:t>
            </w:r>
            <w:r>
              <w:rPr>
                <w:rFonts w:hint="eastAsia" w:ascii="宋体" w:hAnsi="宋体" w:eastAsia="宋体" w:cs="宋体"/>
                <w:color w:val="auto"/>
                <w:sz w:val="21"/>
                <w:szCs w:val="21"/>
                <w:lang w:val="en-US" w:eastAsia="zh-CN"/>
              </w:rPr>
              <w:t>经理</w:t>
            </w:r>
            <w:r>
              <w:rPr>
                <w:rFonts w:hint="eastAsia" w:ascii="宋体" w:hAnsi="宋体" w:eastAsia="宋体" w:cs="宋体"/>
                <w:color w:val="auto"/>
                <w:sz w:val="21"/>
                <w:szCs w:val="21"/>
              </w:rPr>
              <w:t>具有一个室内外线路改造或室内外配电工程业绩的，得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分，满分</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6FE0E6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注：1.响应文件中提供业绩合同</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如前述证明材料无法体现时间、工程内容</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项目经理姓名</w:t>
            </w:r>
            <w:r>
              <w:rPr>
                <w:rFonts w:hint="eastAsia" w:ascii="宋体" w:hAnsi="宋体" w:eastAsia="宋体" w:cs="宋体"/>
                <w:b/>
                <w:bCs/>
                <w:color w:val="auto"/>
                <w:sz w:val="21"/>
                <w:szCs w:val="21"/>
              </w:rPr>
              <w:t>等评审因素的，须另提供加盖业主单位公章的证明材料予以明确说明。</w:t>
            </w:r>
          </w:p>
          <w:p w14:paraId="3D6358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2.项目经理业绩与供应商业绩不得重复加分。</w:t>
            </w:r>
          </w:p>
        </w:tc>
        <w:tc>
          <w:tcPr>
            <w:tcW w:w="562" w:type="pct"/>
            <w:tcBorders>
              <w:top w:val="single" w:color="auto" w:sz="4" w:space="0"/>
              <w:left w:val="single" w:color="auto" w:sz="4" w:space="0"/>
              <w:bottom w:val="single" w:color="auto" w:sz="4" w:space="0"/>
              <w:right w:val="single" w:color="auto" w:sz="4" w:space="0"/>
            </w:tcBorders>
            <w:vAlign w:val="center"/>
          </w:tcPr>
          <w:p w14:paraId="7508B9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0-2分</w:t>
            </w:r>
          </w:p>
        </w:tc>
      </w:tr>
      <w:tr w14:paraId="2E36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57F3D774">
            <w:pPr>
              <w:keepNext w:val="0"/>
              <w:keepLines w:val="0"/>
              <w:pageBreakBefore w:val="0"/>
              <w:widowControl w:val="0"/>
              <w:kinsoku/>
              <w:wordWrap/>
              <w:overflowPunct/>
              <w:topLinePunct w:val="0"/>
              <w:autoSpaceDE/>
              <w:autoSpaceDN/>
              <w:bidi w:val="0"/>
              <w:adjustRightInd/>
              <w:snapToGrid/>
              <w:spacing w:line="360" w:lineRule="auto"/>
              <w:ind w:firstLine="435"/>
              <w:jc w:val="center"/>
              <w:textAlignment w:val="auto"/>
              <w:rPr>
                <w:rFonts w:hint="eastAsia" w:ascii="宋体" w:hAnsi="宋体" w:eastAsia="宋体" w:cs="宋体"/>
                <w:b/>
                <w:bCs/>
                <w:color w:val="auto"/>
                <w:sz w:val="21"/>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14:paraId="6D8503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6435" w:type="dxa"/>
            <w:tcBorders>
              <w:top w:val="single" w:color="auto" w:sz="4" w:space="0"/>
              <w:left w:val="single" w:color="auto" w:sz="4" w:space="0"/>
              <w:bottom w:val="single" w:color="auto" w:sz="4" w:space="0"/>
              <w:right w:val="single" w:color="auto" w:sz="4" w:space="0"/>
            </w:tcBorders>
            <w:vAlign w:val="center"/>
          </w:tcPr>
          <w:p w14:paraId="2A6BF8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本项目免费质量保证期为验收合格之日起</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w:t>
            </w:r>
            <w:r>
              <w:rPr>
                <w:rFonts w:hint="eastAsia" w:ascii="宋体" w:hAnsi="宋体" w:eastAsia="宋体" w:cs="宋体"/>
                <w:color w:val="auto"/>
                <w:sz w:val="21"/>
                <w:szCs w:val="21"/>
                <w:lang w:eastAsia="zh-CN"/>
              </w:rPr>
              <w:t>，每延保一年得2分，满分</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分。</w:t>
            </w:r>
            <w:r>
              <w:rPr>
                <w:rFonts w:hint="eastAsia" w:ascii="宋体" w:hAnsi="宋体" w:eastAsia="宋体" w:cs="宋体"/>
                <w:color w:val="auto"/>
                <w:sz w:val="21"/>
                <w:szCs w:val="21"/>
                <w:lang w:val="en-US" w:eastAsia="zh-CN"/>
              </w:rPr>
              <w:t>延保期间按合同执行,</w:t>
            </w:r>
            <w:r>
              <w:rPr>
                <w:rFonts w:hint="eastAsia" w:ascii="宋体" w:hAnsi="宋体" w:eastAsia="宋体" w:cs="宋体"/>
                <w:color w:val="auto"/>
                <w:sz w:val="21"/>
                <w:szCs w:val="21"/>
                <w:lang w:eastAsia="zh-CN"/>
              </w:rPr>
              <w:t>延长不足一年的部分不得分。</w:t>
            </w:r>
          </w:p>
          <w:p w14:paraId="4FBA21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注：以供应商承诺的免费质保期为准。提供承诺函扫描件。格式自拟</w:t>
            </w:r>
            <w:r>
              <w:rPr>
                <w:rFonts w:hint="eastAsia" w:ascii="宋体" w:hAnsi="宋体" w:eastAsia="宋体" w:cs="宋体"/>
                <w:b/>
                <w:bCs/>
                <w:color w:val="auto"/>
                <w:sz w:val="21"/>
                <w:szCs w:val="21"/>
                <w:lang w:eastAsia="zh-CN"/>
              </w:rPr>
              <w:t>。</w:t>
            </w:r>
          </w:p>
        </w:tc>
        <w:tc>
          <w:tcPr>
            <w:tcW w:w="562" w:type="pct"/>
            <w:tcBorders>
              <w:top w:val="single" w:color="auto" w:sz="4" w:space="0"/>
              <w:left w:val="single" w:color="auto" w:sz="4" w:space="0"/>
              <w:bottom w:val="single" w:color="auto" w:sz="4" w:space="0"/>
              <w:right w:val="single" w:color="auto" w:sz="4" w:space="0"/>
            </w:tcBorders>
            <w:vAlign w:val="center"/>
          </w:tcPr>
          <w:p w14:paraId="38FE4F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0-4分</w:t>
            </w:r>
          </w:p>
        </w:tc>
      </w:tr>
      <w:tr w14:paraId="7AEE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5E78ED2A">
            <w:pPr>
              <w:pStyle w:val="5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p>
          <w:p w14:paraId="48284C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c>
          <w:tcPr>
            <w:tcW w:w="774" w:type="pct"/>
            <w:tcBorders>
              <w:top w:val="single" w:color="auto" w:sz="4" w:space="0"/>
              <w:left w:val="single" w:color="auto" w:sz="4" w:space="0"/>
              <w:bottom w:val="single" w:color="auto" w:sz="4" w:space="0"/>
              <w:right w:val="single" w:color="auto" w:sz="4" w:space="0"/>
            </w:tcBorders>
            <w:vAlign w:val="center"/>
          </w:tcPr>
          <w:p w14:paraId="69CE52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项目总体方案</w:t>
            </w:r>
          </w:p>
        </w:tc>
        <w:tc>
          <w:tcPr>
            <w:tcW w:w="3226" w:type="pct"/>
            <w:tcBorders>
              <w:top w:val="single" w:color="auto" w:sz="4" w:space="0"/>
              <w:left w:val="single" w:color="auto" w:sz="4" w:space="0"/>
              <w:bottom w:val="single" w:color="auto" w:sz="4" w:space="0"/>
              <w:right w:val="single" w:color="auto" w:sz="4" w:space="0"/>
            </w:tcBorders>
            <w:vAlign w:val="center"/>
          </w:tcPr>
          <w:p w14:paraId="64C705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根据供应商提供的该项目总体方案进行综合评分：</w:t>
            </w:r>
          </w:p>
          <w:p w14:paraId="4036BC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1.总体方案与布置完全符合本项目实际情况，能完全满足施工现场的施工需求、充分调动现场的各项资源，能高效组织施工顺序、场地管理、材料运输，得5分；</w:t>
            </w:r>
          </w:p>
          <w:p w14:paraId="260C9A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2.总体方案与布置符合本项目实际情况，能较好满足施工现场的施工需求、调动现场的各项资源，能较好组织施工顺序、场地管理、材料运输，得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3965A1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3.总体方案与布置基本符合项目实际情况，能基本满足施工现场的施工需求、调动现场的各项资源，能基本组织施工顺序、场地管理、材料运输，得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5A28BD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4.不符合项目实际或未提供的不得分。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448253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2AAE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268F4C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c>
          <w:tcPr>
            <w:tcW w:w="774" w:type="pct"/>
            <w:tcBorders>
              <w:top w:val="single" w:color="auto" w:sz="4" w:space="0"/>
              <w:left w:val="single" w:color="auto" w:sz="4" w:space="0"/>
              <w:bottom w:val="single" w:color="auto" w:sz="4" w:space="0"/>
              <w:right w:val="single" w:color="auto" w:sz="4" w:space="0"/>
            </w:tcBorders>
            <w:vAlign w:val="center"/>
          </w:tcPr>
          <w:p w14:paraId="0F433B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重难点分析及应对措施</w:t>
            </w:r>
          </w:p>
        </w:tc>
        <w:tc>
          <w:tcPr>
            <w:tcW w:w="3226" w:type="pct"/>
            <w:tcBorders>
              <w:top w:val="single" w:color="auto" w:sz="4" w:space="0"/>
              <w:left w:val="single" w:color="auto" w:sz="4" w:space="0"/>
              <w:bottom w:val="single" w:color="auto" w:sz="4" w:space="0"/>
              <w:right w:val="single" w:color="auto" w:sz="4" w:space="0"/>
            </w:tcBorders>
            <w:vAlign w:val="center"/>
          </w:tcPr>
          <w:p w14:paraId="3D2397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根据供应商提供的各分部分项工程的工程重难点及应对措施进行综合评分：</w:t>
            </w:r>
          </w:p>
          <w:p w14:paraId="3D359A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1.对施工中可能会产生的重点、难点进行分析梳理全面、详细，处理方法及步骤清晰，可行性、实用性、针对性强的，得5分；</w:t>
            </w:r>
          </w:p>
          <w:p w14:paraId="2FA947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2.对施工中可能会产生的重点、难点进行分析梳理较清楚，处理方法及步骤较清晰，具有可行性、实用性、针对性，得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1CC438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3.对施工中可能会产生的重点、难点进行分析梳理不完整，可行性、实用性、针对性有待改善，得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3B3BC82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4.无专门针对该项目治理过程中重点、难点分析内容和解决措施的或者未提供的不得分。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599B72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61CC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56027B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c>
          <w:tcPr>
            <w:tcW w:w="774" w:type="pct"/>
            <w:tcBorders>
              <w:top w:val="single" w:color="auto" w:sz="4" w:space="0"/>
              <w:left w:val="single" w:color="auto" w:sz="4" w:space="0"/>
              <w:bottom w:val="single" w:color="auto" w:sz="4" w:space="0"/>
              <w:right w:val="single" w:color="auto" w:sz="4" w:space="0"/>
            </w:tcBorders>
            <w:vAlign w:val="center"/>
          </w:tcPr>
          <w:p w14:paraId="001CA2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主要施工技术方案</w:t>
            </w:r>
          </w:p>
        </w:tc>
        <w:tc>
          <w:tcPr>
            <w:tcW w:w="3226" w:type="pct"/>
            <w:tcBorders>
              <w:top w:val="single" w:color="auto" w:sz="4" w:space="0"/>
              <w:left w:val="single" w:color="auto" w:sz="4" w:space="0"/>
              <w:bottom w:val="single" w:color="auto" w:sz="4" w:space="0"/>
              <w:right w:val="single" w:color="auto" w:sz="4" w:space="0"/>
            </w:tcBorders>
            <w:vAlign w:val="center"/>
          </w:tcPr>
          <w:p w14:paraId="0DF593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根据供应商提供的各分部分项工程的主要施工技术方案进行综合评分：</w:t>
            </w:r>
          </w:p>
          <w:p w14:paraId="5605F9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1.施工技术方案贴合项目实际，方案详尽，工艺先进、方法可行，能够高质高效的施工并确保安全的，得5分；</w:t>
            </w:r>
          </w:p>
          <w:p w14:paraId="625052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2.施工技术方案基本符合项目实际，工艺技术大部分符合施工需求，可以指导施工并确保安全的，得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00C9FB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3.施工技术方案需要再完善，不能完全指导具体施工的，得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2A3A95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4.方案不能满足项目实施要求或未提供的不得分。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2DF1EE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56DF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00D531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c>
          <w:tcPr>
            <w:tcW w:w="774" w:type="pct"/>
            <w:tcBorders>
              <w:top w:val="single" w:color="auto" w:sz="4" w:space="0"/>
              <w:left w:val="single" w:color="auto" w:sz="4" w:space="0"/>
              <w:bottom w:val="single" w:color="auto" w:sz="4" w:space="0"/>
              <w:right w:val="single" w:color="auto" w:sz="4" w:space="0"/>
            </w:tcBorders>
            <w:vAlign w:val="center"/>
          </w:tcPr>
          <w:p w14:paraId="19EF99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工程质量控制措施</w:t>
            </w:r>
          </w:p>
        </w:tc>
        <w:tc>
          <w:tcPr>
            <w:tcW w:w="3226" w:type="pct"/>
            <w:tcBorders>
              <w:top w:val="single" w:color="auto" w:sz="4" w:space="0"/>
              <w:left w:val="single" w:color="auto" w:sz="4" w:space="0"/>
              <w:bottom w:val="single" w:color="auto" w:sz="4" w:space="0"/>
              <w:right w:val="single" w:color="auto" w:sz="4" w:space="0"/>
            </w:tcBorders>
            <w:vAlign w:val="center"/>
          </w:tcPr>
          <w:p w14:paraId="06304C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根据供应商提供的各分部分项工程质量的控制措施进行综合评分：</w:t>
            </w:r>
          </w:p>
          <w:p w14:paraId="26594B54">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程质量的控制措施内容分析全面、详细，处理方法及步骤清晰，有专门的质量技术管理班子和制度，且人员配备齐全，制度健全，材料选用有利于提高工程质量的，能有效的保证技术质量，达到承诺的质量标准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得5分；</w:t>
            </w:r>
          </w:p>
          <w:p w14:paraId="78483D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工程质量的控制措施内容分析清楚，处理方法及步骤较清晰，符合实际，有专门的质量技术管理班子和制度，且人员配备较齐全，制度比较健全，材料选用有利于提高工程质量的，，基本达到承诺的质量标准的，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01D8C4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3.工程质量的控制措施内容分析不完整，方案需完善，处理方法步骤不全，存在不足的，得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0996A1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4.无专门针对该项目分析内容和解决措施的或者未提供的不得分。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578526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3BD9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407E40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c>
          <w:tcPr>
            <w:tcW w:w="774" w:type="pct"/>
            <w:tcBorders>
              <w:top w:val="single" w:color="auto" w:sz="4" w:space="0"/>
              <w:left w:val="single" w:color="auto" w:sz="4" w:space="0"/>
              <w:bottom w:val="single" w:color="auto" w:sz="4" w:space="0"/>
              <w:right w:val="single" w:color="auto" w:sz="4" w:space="0"/>
            </w:tcBorders>
            <w:vAlign w:val="center"/>
          </w:tcPr>
          <w:p w14:paraId="1AD5E0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安全生产管理措施</w:t>
            </w:r>
          </w:p>
        </w:tc>
        <w:tc>
          <w:tcPr>
            <w:tcW w:w="3226" w:type="pct"/>
            <w:tcBorders>
              <w:top w:val="single" w:color="auto" w:sz="4" w:space="0"/>
              <w:left w:val="single" w:color="auto" w:sz="4" w:space="0"/>
              <w:bottom w:val="single" w:color="auto" w:sz="4" w:space="0"/>
              <w:right w:val="single" w:color="auto" w:sz="4" w:space="0"/>
            </w:tcBorders>
            <w:vAlign w:val="center"/>
          </w:tcPr>
          <w:p w14:paraId="1182F4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根据供应商提供的各分部分项工程的安全生产的管理措施进行综合评分：</w:t>
            </w:r>
          </w:p>
          <w:p w14:paraId="47F723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安全生产的管理措施应有专门的安全管理人员和制度，且人员配备齐全，制度健全，各道工序安全技术措施针对性强，符合实际且满足有关安全技术标准要求。现场防火、社会治安安全措施得力，处理方法及步骤清晰，可行性强的，得5分；</w:t>
            </w:r>
          </w:p>
          <w:p w14:paraId="34799B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安全生产的管理措施有专门的安全管理人员和制度，且人员配备较齐全，制度比较健全，各道工序安全技术措施较完善，基本符合实际且满足有关安全技术标准要求。现场防火、社会治安安全措施比较得力，处理方法及步骤较清晰，符合实际的，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3A9D50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3.安全生产的管理措施内容、人员配备、制度、工序等环节不完善，得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61FA2E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4.无专门针对该项目分析内容和解决措施的或者未提供的不得分。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58567E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488B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129539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c>
          <w:tcPr>
            <w:tcW w:w="774" w:type="pct"/>
            <w:tcBorders>
              <w:top w:val="single" w:color="auto" w:sz="4" w:space="0"/>
              <w:left w:val="single" w:color="auto" w:sz="4" w:space="0"/>
              <w:bottom w:val="single" w:color="auto" w:sz="4" w:space="0"/>
              <w:right w:val="single" w:color="auto" w:sz="4" w:space="0"/>
            </w:tcBorders>
            <w:vAlign w:val="center"/>
          </w:tcPr>
          <w:p w14:paraId="5BE10F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工程进度控制措施</w:t>
            </w:r>
          </w:p>
        </w:tc>
        <w:tc>
          <w:tcPr>
            <w:tcW w:w="3226" w:type="pct"/>
            <w:tcBorders>
              <w:top w:val="single" w:color="auto" w:sz="4" w:space="0"/>
              <w:left w:val="single" w:color="auto" w:sz="4" w:space="0"/>
              <w:bottom w:val="single" w:color="auto" w:sz="4" w:space="0"/>
              <w:right w:val="single" w:color="auto" w:sz="4" w:space="0"/>
            </w:tcBorders>
            <w:vAlign w:val="center"/>
          </w:tcPr>
          <w:p w14:paraId="3A00FB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根据供应商提供的各分部分项工程的工程进度控制进行综合评分：</w:t>
            </w:r>
          </w:p>
          <w:p w14:paraId="3E4F66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1.工程进度在施工工艺、施工工序、流水节拍、施工方法、不可以预见性事件等方面有保证工期的具体措施且措施得当，控制工期的施工进度计划合理，得5分；</w:t>
            </w:r>
          </w:p>
          <w:p w14:paraId="18B8CF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2.工程进度在施工工艺、施工工序、流水节拍、施工方法、不可以预见性事件等方面有保证工期的措施且措施比较得当，有控制工期的施工进度计划，得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012C77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3.工程进度在施工工艺、施工工序、流水节拍、施工方法、不可以预见性事件等保证工期的具体措施不详细，还需要完善的，得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2DDBD1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4.无专门针对该项目分析内容和解决措施的或者未提供的不得分。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67A7B7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228C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161DF1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c>
          <w:tcPr>
            <w:tcW w:w="774" w:type="pct"/>
            <w:tcBorders>
              <w:top w:val="single" w:color="auto" w:sz="4" w:space="0"/>
              <w:left w:val="single" w:color="auto" w:sz="4" w:space="0"/>
              <w:bottom w:val="single" w:color="auto" w:sz="4" w:space="0"/>
              <w:right w:val="single" w:color="auto" w:sz="4" w:space="0"/>
            </w:tcBorders>
            <w:vAlign w:val="center"/>
          </w:tcPr>
          <w:p w14:paraId="22D94F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投入的劳动力计划</w:t>
            </w:r>
          </w:p>
        </w:tc>
        <w:tc>
          <w:tcPr>
            <w:tcW w:w="3226" w:type="pct"/>
            <w:tcBorders>
              <w:top w:val="single" w:color="auto" w:sz="4" w:space="0"/>
              <w:left w:val="single" w:color="auto" w:sz="4" w:space="0"/>
              <w:bottom w:val="single" w:color="auto" w:sz="4" w:space="0"/>
              <w:right w:val="single" w:color="auto" w:sz="4" w:space="0"/>
            </w:tcBorders>
            <w:vAlign w:val="center"/>
          </w:tcPr>
          <w:p w14:paraId="22F61D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根据供应商投入的各部分工程劳动力计划进行综合评分：</w:t>
            </w:r>
          </w:p>
          <w:p w14:paraId="506F98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1.施工工序应有详细周密的劳动力安排计划明细，有各工种劳动力安排计划，劳动力投入计划可行性、实用性、针对性强，得5分；</w:t>
            </w:r>
          </w:p>
          <w:p w14:paraId="1DE834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2.施工工序应有劳动力安排计划，有各工种劳动力安排计划，劳动力投入计划具有可行性、实用性、针对性，得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3.劳动力安排计划需调整，各工种劳动力安排计划可行性、实用性、针对性有待改善的，得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69BA85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4.计划不能满足项目实施要求或未提供的不得分。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0F17F6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7205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15C3CF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c>
          <w:tcPr>
            <w:tcW w:w="774" w:type="pct"/>
            <w:tcBorders>
              <w:top w:val="single" w:color="auto" w:sz="4" w:space="0"/>
              <w:left w:val="single" w:color="auto" w:sz="4" w:space="0"/>
              <w:bottom w:val="single" w:color="auto" w:sz="4" w:space="0"/>
              <w:right w:val="single" w:color="auto" w:sz="4" w:space="0"/>
            </w:tcBorders>
            <w:vAlign w:val="center"/>
          </w:tcPr>
          <w:p w14:paraId="749C14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文明施工管理措施</w:t>
            </w:r>
          </w:p>
        </w:tc>
        <w:tc>
          <w:tcPr>
            <w:tcW w:w="3226" w:type="pct"/>
            <w:tcBorders>
              <w:top w:val="single" w:color="auto" w:sz="4" w:space="0"/>
              <w:left w:val="single" w:color="auto" w:sz="4" w:space="0"/>
              <w:bottom w:val="single" w:color="auto" w:sz="4" w:space="0"/>
              <w:right w:val="single" w:color="auto" w:sz="4" w:space="0"/>
            </w:tcBorders>
            <w:vAlign w:val="center"/>
          </w:tcPr>
          <w:p w14:paraId="66C2D5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根据供应商提供的各分部分项工程文明施工的管理措施进行综合评分：</w:t>
            </w:r>
          </w:p>
          <w:p w14:paraId="2B9E1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1.针对本项目特点，有现场文明施工计划，环境保护措施，各项措施周全、具体、有效。有具体实现现场文明施工目标的承诺，得5分；</w:t>
            </w:r>
          </w:p>
          <w:p w14:paraId="5A3B10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2.针对本项目特点，有现场文明施工计划，环境保护措施，得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75A6AF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3.针对本项目特点，现场文明施工计划、环境保护措施不完整，还需要完善的，得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1DA39E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4.无专门针对该项目分析内容和解决措施的或者未提供的不得分。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56E6A2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3133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7ED0B1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c>
          <w:tcPr>
            <w:tcW w:w="774" w:type="pct"/>
            <w:tcBorders>
              <w:top w:val="single" w:color="auto" w:sz="4" w:space="0"/>
              <w:left w:val="single" w:color="auto" w:sz="4" w:space="0"/>
              <w:bottom w:val="single" w:color="auto" w:sz="4" w:space="0"/>
              <w:right w:val="single" w:color="auto" w:sz="4" w:space="0"/>
            </w:tcBorders>
            <w:vAlign w:val="center"/>
          </w:tcPr>
          <w:p w14:paraId="6B2FD4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施工机械设备计划</w:t>
            </w:r>
          </w:p>
        </w:tc>
        <w:tc>
          <w:tcPr>
            <w:tcW w:w="3226" w:type="pct"/>
            <w:tcBorders>
              <w:top w:val="single" w:color="auto" w:sz="4" w:space="0"/>
              <w:left w:val="single" w:color="auto" w:sz="4" w:space="0"/>
              <w:bottom w:val="single" w:color="auto" w:sz="4" w:space="0"/>
              <w:right w:val="single" w:color="auto" w:sz="4" w:space="0"/>
            </w:tcBorders>
            <w:vAlign w:val="center"/>
          </w:tcPr>
          <w:p w14:paraId="6D41FE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根据供应商投入的施工机械设备计划进行综合评分：</w:t>
            </w:r>
          </w:p>
          <w:p w14:paraId="78DA5B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1.施工机械设备计划内容完整、详细，时间安排可行性强，保证措施完整、清楚，投入的施工机械、设备、机具有详细计划且计划周密，设备数量、选型配置、进场数量，完全满足要求的，得5分；</w:t>
            </w:r>
          </w:p>
          <w:p w14:paraId="30B2D0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2.施工机械设备计划内容较完整，时间安排具有可行性，保证措施需完善，基本满足服务工期要求的，得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734D05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3.投入的施工机械、设备、机具设备数量基本满足要求、选型配置、进场数量、时间安排有待改善的，得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0EBF9AE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4.计划不能满足项目实施要求或未提供的不得分。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2AFE24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2437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30847F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c>
          <w:tcPr>
            <w:tcW w:w="774" w:type="pct"/>
            <w:tcBorders>
              <w:top w:val="single" w:color="auto" w:sz="4" w:space="0"/>
              <w:left w:val="single" w:color="auto" w:sz="4" w:space="0"/>
              <w:bottom w:val="single" w:color="auto" w:sz="4" w:space="0"/>
              <w:right w:val="single" w:color="auto" w:sz="4" w:space="0"/>
            </w:tcBorders>
            <w:vAlign w:val="center"/>
          </w:tcPr>
          <w:p w14:paraId="7D946A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质保</w:t>
            </w:r>
            <w:r>
              <w:rPr>
                <w:rFonts w:hint="eastAsia" w:ascii="宋体" w:hAnsi="宋体" w:eastAsia="宋体" w:cs="宋体"/>
                <w:color w:val="auto"/>
                <w:sz w:val="21"/>
                <w:szCs w:val="21"/>
              </w:rPr>
              <w:t>期内服务方案</w:t>
            </w:r>
          </w:p>
        </w:tc>
        <w:tc>
          <w:tcPr>
            <w:tcW w:w="3226" w:type="pct"/>
            <w:tcBorders>
              <w:top w:val="single" w:color="auto" w:sz="4" w:space="0"/>
              <w:left w:val="single" w:color="auto" w:sz="4" w:space="0"/>
              <w:bottom w:val="single" w:color="auto" w:sz="4" w:space="0"/>
              <w:right w:val="single" w:color="auto" w:sz="4" w:space="0"/>
            </w:tcBorders>
            <w:vAlign w:val="center"/>
          </w:tcPr>
          <w:p w14:paraId="7C05E2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根据采购文件要求和投标提供的</w:t>
            </w:r>
            <w:r>
              <w:rPr>
                <w:rFonts w:hint="eastAsia" w:ascii="宋体" w:hAnsi="宋体" w:eastAsia="宋体" w:cs="宋体"/>
                <w:color w:val="auto"/>
                <w:sz w:val="21"/>
                <w:szCs w:val="21"/>
                <w:lang w:val="en-US" w:eastAsia="zh-CN"/>
              </w:rPr>
              <w:t>质保</w:t>
            </w:r>
            <w:r>
              <w:rPr>
                <w:rFonts w:hint="eastAsia" w:ascii="宋体" w:hAnsi="宋体" w:eastAsia="宋体" w:cs="宋体"/>
                <w:color w:val="auto"/>
                <w:sz w:val="21"/>
                <w:szCs w:val="21"/>
              </w:rPr>
              <w:t>期内服务方案进行综合评分：</w:t>
            </w:r>
          </w:p>
          <w:p w14:paraId="58785B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1.方案符合实际，方案可行性、实用性、针对性强的，得5分；</w:t>
            </w:r>
          </w:p>
          <w:p w14:paraId="1BBA48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2.方案符合实际，方案具有可行性、实用性、针对性，得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5F28DE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3.方案不符合实际，方案可行性、实用性、针对性有待改善，得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10558B9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4.方案不符合项目实际或未提供的不得分。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093D3B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76E5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73519C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c>
          <w:tcPr>
            <w:tcW w:w="774" w:type="pct"/>
            <w:tcBorders>
              <w:top w:val="single" w:color="auto" w:sz="4" w:space="0"/>
              <w:left w:val="single" w:color="auto" w:sz="4" w:space="0"/>
              <w:bottom w:val="single" w:color="auto" w:sz="4" w:space="0"/>
              <w:right w:val="single" w:color="auto" w:sz="4" w:space="0"/>
            </w:tcBorders>
            <w:vAlign w:val="center"/>
          </w:tcPr>
          <w:p w14:paraId="378319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档案管理方案</w:t>
            </w:r>
          </w:p>
        </w:tc>
        <w:tc>
          <w:tcPr>
            <w:tcW w:w="3226" w:type="pct"/>
            <w:tcBorders>
              <w:top w:val="single" w:color="auto" w:sz="4" w:space="0"/>
              <w:left w:val="single" w:color="auto" w:sz="4" w:space="0"/>
              <w:bottom w:val="single" w:color="auto" w:sz="4" w:space="0"/>
              <w:right w:val="single" w:color="auto" w:sz="4" w:space="0"/>
            </w:tcBorders>
            <w:vAlign w:val="center"/>
          </w:tcPr>
          <w:p w14:paraId="60BEE0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根据工程建设档案管理的相关规定，结合采购人相关要求对工程档案资料的及时性、完整性方案进行综合评分：</w:t>
            </w:r>
          </w:p>
          <w:p w14:paraId="0C9DA7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1.有完整档案管理制度，能全面完整地完成档案资料的制件与整理，提交档案资料准确及时，与工程进度相匹配，符合项目实际情况的，得5分；</w:t>
            </w:r>
          </w:p>
          <w:p w14:paraId="773EF4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2.有相应的档案管理制度，能完成档案资料的制件与整理，基本符合项目实际情况的，得4分；</w:t>
            </w:r>
          </w:p>
          <w:p w14:paraId="55D3C7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3.无相应档案管理制度，但基本能完成档案资料的制件与整理的，得3分；</w:t>
            </w:r>
          </w:p>
          <w:p w14:paraId="3402BA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4.档案管理方案不符合项目实际或未提供的不得分。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6576C6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00BD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tcBorders>
              <w:left w:val="single" w:color="auto" w:sz="4" w:space="0"/>
              <w:right w:val="single" w:color="auto" w:sz="4" w:space="0"/>
            </w:tcBorders>
            <w:vAlign w:val="center"/>
          </w:tcPr>
          <w:p w14:paraId="5CDC8C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3DC3A0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37</w:t>
            </w:r>
            <w:r>
              <w:rPr>
                <w:rFonts w:hint="eastAsia" w:ascii="宋体" w:hAnsi="宋体" w:eastAsia="宋体" w:cs="宋体"/>
                <w:color w:val="auto"/>
                <w:sz w:val="21"/>
                <w:szCs w:val="21"/>
                <w:highlight w:val="none"/>
              </w:rPr>
              <w:t>分）</w:t>
            </w:r>
          </w:p>
        </w:tc>
        <w:tc>
          <w:tcPr>
            <w:tcW w:w="4563" w:type="pct"/>
            <w:gridSpan w:val="3"/>
            <w:tcBorders>
              <w:top w:val="single" w:color="auto" w:sz="4" w:space="0"/>
              <w:left w:val="single" w:color="auto" w:sz="4" w:space="0"/>
              <w:bottom w:val="single" w:color="auto" w:sz="4" w:space="0"/>
              <w:right w:val="single" w:color="auto" w:sz="4" w:space="0"/>
            </w:tcBorders>
            <w:vAlign w:val="center"/>
          </w:tcPr>
          <w:p w14:paraId="4C049A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价格分统一采用低价优先法，即满足磋商文件要求且最后报价最低的供应商的价格为磋商基准价，其价格分为满分</w:t>
            </w:r>
            <w:r>
              <w:rPr>
                <w:rFonts w:hint="eastAsia" w:ascii="宋体" w:hAnsi="宋体" w:eastAsia="宋体" w:cs="宋体"/>
                <w:color w:val="auto"/>
                <w:sz w:val="21"/>
                <w:szCs w:val="21"/>
                <w:highlight w:val="none"/>
                <w:u w:val="single"/>
                <w:lang w:val="en-US" w:eastAsia="zh-CN"/>
              </w:rPr>
              <w:t>37</w:t>
            </w:r>
            <w:r>
              <w:rPr>
                <w:rFonts w:hint="eastAsia" w:ascii="宋体" w:hAnsi="宋体" w:eastAsia="宋体" w:cs="宋体"/>
                <w:color w:val="auto"/>
                <w:sz w:val="21"/>
                <w:szCs w:val="21"/>
                <w:highlight w:val="none"/>
              </w:rPr>
              <w:t>分。其他供应商的价格分统一按照下列公式计算：</w:t>
            </w:r>
          </w:p>
          <w:p w14:paraId="3A14FE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磋商报价得分＝（磋商基准价/最后磋商报价）×</w:t>
            </w:r>
            <w:r>
              <w:rPr>
                <w:rFonts w:hint="eastAsia" w:ascii="宋体" w:hAnsi="宋体" w:eastAsia="宋体" w:cs="宋体"/>
                <w:color w:val="auto"/>
                <w:sz w:val="21"/>
                <w:szCs w:val="21"/>
                <w:highlight w:val="none"/>
                <w:u w:val="single"/>
                <w:lang w:val="en-US" w:eastAsia="zh-CN"/>
              </w:rPr>
              <w:t>37</w:t>
            </w:r>
            <w:r>
              <w:rPr>
                <w:rFonts w:hint="eastAsia" w:ascii="宋体" w:hAnsi="宋体" w:eastAsia="宋体" w:cs="宋体"/>
                <w:color w:val="auto"/>
                <w:sz w:val="21"/>
                <w:szCs w:val="21"/>
                <w:highlight w:val="none"/>
              </w:rPr>
              <w:t>％×100</w:t>
            </w:r>
          </w:p>
        </w:tc>
      </w:tr>
    </w:tbl>
    <w:p w14:paraId="37ADDF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2D6F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568FB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67755F01">
      <w:pPr>
        <w:spacing w:line="360" w:lineRule="auto"/>
        <w:ind w:firstLine="437"/>
        <w:outlineLvl w:val="1"/>
        <w:rPr>
          <w:rFonts w:hint="eastAsia" w:asciiTheme="minorEastAsia" w:hAnsiTheme="minorEastAsia" w:eastAsiaTheme="minorEastAsia"/>
          <w:b/>
          <w:color w:val="auto"/>
          <w:sz w:val="24"/>
          <w:lang w:val="en-US" w:eastAsia="zh-CN"/>
        </w:rPr>
      </w:pPr>
      <w:r>
        <w:rPr>
          <w:rFonts w:hint="eastAsia" w:asciiTheme="minorEastAsia" w:hAnsiTheme="minorEastAsia" w:eastAsiaTheme="minorEastAsia"/>
          <w:b/>
          <w:color w:val="auto"/>
          <w:sz w:val="24"/>
          <w:lang w:val="en-US" w:eastAsia="zh-CN"/>
        </w:rPr>
        <w:t>三、无效投标条款</w:t>
      </w:r>
    </w:p>
    <w:p w14:paraId="3F927531">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3.</w:t>
      </w:r>
      <w:r>
        <w:rPr>
          <w:rFonts w:hint="eastAsia" w:asciiTheme="minorEastAsia" w:hAnsiTheme="minorEastAsia" w:eastAsiaTheme="minorEastAsia"/>
          <w:color w:val="auto"/>
          <w:sz w:val="24"/>
          <w:lang w:val="en-US" w:eastAsia="zh-CN"/>
        </w:rPr>
        <w:t>1响应</w:t>
      </w:r>
      <w:r>
        <w:rPr>
          <w:rFonts w:hint="eastAsia" w:asciiTheme="minorEastAsia" w:hAnsiTheme="minorEastAsia" w:eastAsiaTheme="minorEastAsia"/>
          <w:color w:val="auto"/>
          <w:sz w:val="24"/>
          <w:lang w:eastAsia="zh-CN"/>
        </w:rPr>
        <w:t>文件有下列情形之一的,其</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文件拒收:</w:t>
      </w:r>
    </w:p>
    <w:p w14:paraId="2045E5E5">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(1) 未在开</w:t>
      </w:r>
      <w:r>
        <w:rPr>
          <w:rFonts w:hint="eastAsia" w:asciiTheme="minorEastAsia" w:hAnsiTheme="minorEastAsia" w:eastAsiaTheme="minorEastAsia"/>
          <w:color w:val="auto"/>
          <w:sz w:val="24"/>
          <w:lang w:val="en-US" w:eastAsia="zh-CN"/>
        </w:rPr>
        <w:t>启</w:t>
      </w:r>
      <w:r>
        <w:rPr>
          <w:rFonts w:hint="eastAsia" w:asciiTheme="minorEastAsia" w:hAnsiTheme="minorEastAsia" w:eastAsiaTheme="minorEastAsia"/>
          <w:color w:val="auto"/>
          <w:sz w:val="24"/>
          <w:lang w:eastAsia="zh-CN"/>
        </w:rPr>
        <w:t>截止时间前通过网上招标投标系统递交有效电子</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文件的，开标系统不予接收，</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将被拒绝。</w:t>
      </w:r>
    </w:p>
    <w:p w14:paraId="6453B190">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val="en-US" w:eastAsia="zh-CN"/>
        </w:rPr>
        <w:t>(</w:t>
      </w:r>
      <w:r>
        <w:rPr>
          <w:rFonts w:hint="eastAsia" w:asciiTheme="minorEastAsia" w:hAnsiTheme="minorEastAsia" w:eastAsiaTheme="minorEastAsia"/>
          <w:color w:val="auto"/>
          <w:sz w:val="24"/>
          <w:lang w:eastAsia="zh-CN"/>
        </w:rPr>
        <w:t>2</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eastAsia="zh-CN"/>
        </w:rPr>
        <w:t>接到远程解密指令后，须在规定时间内解密。因</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eastAsia="zh-CN"/>
        </w:rPr>
        <w:t>自身原因导致</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文件在规定时间内未能解密、解密失败或解密超时，</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文件无效；解密时间：从本项目解密程序开始时计时，至完成</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文件解密时间，不得超过60分钟，否则</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文件将被拒绝。</w:t>
      </w:r>
    </w:p>
    <w:p w14:paraId="4B3D2691">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3.2</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eastAsia="zh-CN"/>
        </w:rPr>
        <w:t>有下列情形之一的,资格审查后其投标作无效</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处理：</w:t>
      </w:r>
    </w:p>
    <w:p w14:paraId="0EDB4B5F">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(1)</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eastAsia="zh-CN"/>
        </w:rPr>
        <w:t>为本项目提供招标代理服务的；</w:t>
      </w:r>
    </w:p>
    <w:p w14:paraId="13A279DB">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(2)</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eastAsia="zh-CN"/>
        </w:rPr>
        <w:t>与在本项目代理机构存在相互任职或工作的；</w:t>
      </w:r>
    </w:p>
    <w:p w14:paraId="021F73BE">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3</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与采购人存在利害关系可能影响采购公正性的法人、其他组织或者个人；</w:t>
      </w:r>
    </w:p>
    <w:p w14:paraId="048B3C8A">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采购</w:t>
      </w:r>
      <w:r>
        <w:rPr>
          <w:rFonts w:hint="eastAsia" w:asciiTheme="minorEastAsia" w:hAnsiTheme="minorEastAsia" w:eastAsiaTheme="minorEastAsia"/>
          <w:color w:val="auto"/>
          <w:sz w:val="24"/>
          <w:lang w:eastAsia="zh-CN"/>
        </w:rPr>
        <w:t>公告写明专门面向中小企业采购，投标人提供的货物非中小企业制造的；</w:t>
      </w:r>
    </w:p>
    <w:p w14:paraId="7199FF90">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lang w:eastAsia="zh-CN"/>
        </w:rPr>
        <w:t>)要求供应商以联合体形式参加采购活动，</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eastAsia="zh-CN"/>
        </w:rPr>
        <w:t>非联合体或者联合协议中中小企业合同金额未达到应当达到的比例；</w:t>
      </w:r>
    </w:p>
    <w:p w14:paraId="757CD1A2">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6</w:t>
      </w:r>
      <w:r>
        <w:rPr>
          <w:rFonts w:hint="eastAsia" w:asciiTheme="minorEastAsia" w:hAnsiTheme="minorEastAsia" w:eastAsiaTheme="minorEastAsia"/>
          <w:color w:val="auto"/>
          <w:sz w:val="24"/>
          <w:lang w:eastAsia="zh-CN"/>
        </w:rPr>
        <w:t>)要求获得采购合同的供应商向中小企业分包，</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eastAsia="zh-CN"/>
        </w:rPr>
        <w:t>未提供分包意向协议或者分包意向协议中中小企业合同金额未达到应当达到的比例；</w:t>
      </w:r>
    </w:p>
    <w:p w14:paraId="3216F893">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7</w:t>
      </w:r>
      <w:r>
        <w:rPr>
          <w:rFonts w:hint="eastAsia" w:asciiTheme="minorEastAsia" w:hAnsiTheme="minorEastAsia" w:eastAsiaTheme="minorEastAsia"/>
          <w:color w:val="auto"/>
          <w:sz w:val="24"/>
          <w:lang w:eastAsia="zh-CN"/>
        </w:rPr>
        <w:t>)评</w:t>
      </w:r>
      <w:r>
        <w:rPr>
          <w:rFonts w:hint="eastAsia" w:asciiTheme="minorEastAsia" w:hAnsiTheme="minorEastAsia" w:eastAsiaTheme="minorEastAsia"/>
          <w:color w:val="auto"/>
          <w:sz w:val="24"/>
          <w:lang w:val="en-US" w:eastAsia="zh-CN"/>
        </w:rPr>
        <w:t>审</w:t>
      </w:r>
      <w:r>
        <w:rPr>
          <w:rFonts w:hint="eastAsia" w:asciiTheme="minorEastAsia" w:hAnsiTheme="minorEastAsia" w:eastAsiaTheme="minorEastAsia"/>
          <w:color w:val="auto"/>
          <w:sz w:val="24"/>
          <w:lang w:eastAsia="zh-CN"/>
        </w:rPr>
        <w:t>专家无法查看并检验电子</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文件中相关资料的；</w:t>
      </w:r>
    </w:p>
    <w:p w14:paraId="4C66F129">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8</w:t>
      </w:r>
      <w:r>
        <w:rPr>
          <w:rFonts w:hint="eastAsia" w:asciiTheme="minorEastAsia" w:hAnsiTheme="minorEastAsia" w:eastAsiaTheme="minorEastAsia"/>
          <w:color w:val="auto"/>
          <w:sz w:val="24"/>
          <w:lang w:eastAsia="zh-CN"/>
        </w:rPr>
        <w:t>)联合体</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未提交联合体协议的；</w:t>
      </w:r>
    </w:p>
    <w:p w14:paraId="0A9C22A4">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9</w:t>
      </w:r>
      <w:r>
        <w:rPr>
          <w:rFonts w:hint="eastAsia" w:asciiTheme="minorEastAsia" w:hAnsiTheme="minorEastAsia" w:eastAsiaTheme="minorEastAsia"/>
          <w:color w:val="auto"/>
          <w:sz w:val="24"/>
          <w:lang w:eastAsia="zh-CN"/>
        </w:rPr>
        <w:t>)责令停产停业的；</w:t>
      </w:r>
    </w:p>
    <w:p w14:paraId="4EADD866">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10</w:t>
      </w:r>
      <w:r>
        <w:rPr>
          <w:rFonts w:hint="eastAsia" w:asciiTheme="minorEastAsia" w:hAnsiTheme="minorEastAsia" w:eastAsiaTheme="minorEastAsia"/>
          <w:color w:val="auto"/>
          <w:sz w:val="24"/>
          <w:lang w:eastAsia="zh-CN"/>
        </w:rPr>
        <w:t>)暂停或者取消参与政府采购项目资格的；</w:t>
      </w:r>
    </w:p>
    <w:p w14:paraId="4C3B9286">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11</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eastAsia="zh-CN"/>
        </w:rPr>
        <w:t>单位负责人为同一人或者存在直接控股、管理关系的不同单位的；</w:t>
      </w:r>
    </w:p>
    <w:p w14:paraId="22176784">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(1</w:t>
      </w:r>
      <w:r>
        <w:rPr>
          <w:rFonts w:hint="eastAsia" w:asciiTheme="minorEastAsia" w:hAnsiTheme="minorEastAsia" w:eastAsiaTheme="minorEastAsia"/>
          <w:color w:val="auto"/>
          <w:sz w:val="24"/>
          <w:lang w:val="en-US" w:eastAsia="zh-CN"/>
        </w:rPr>
        <w:t>2</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eastAsia="zh-CN"/>
        </w:rPr>
        <w:t>基本资格条件和特定资格条件中有一项及以上不符合要求的；</w:t>
      </w:r>
    </w:p>
    <w:p w14:paraId="54045168">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13</w:t>
      </w:r>
      <w:r>
        <w:rPr>
          <w:rFonts w:hint="eastAsia" w:asciiTheme="minorEastAsia" w:hAnsiTheme="minorEastAsia" w:eastAsiaTheme="minorEastAsia"/>
          <w:color w:val="auto"/>
          <w:sz w:val="24"/>
          <w:lang w:eastAsia="zh-CN"/>
        </w:rPr>
        <w:t>)开</w:t>
      </w:r>
      <w:r>
        <w:rPr>
          <w:rFonts w:hint="eastAsia" w:asciiTheme="minorEastAsia" w:hAnsiTheme="minorEastAsia" w:eastAsiaTheme="minorEastAsia"/>
          <w:color w:val="auto"/>
          <w:sz w:val="24"/>
          <w:lang w:val="en-US" w:eastAsia="zh-CN"/>
        </w:rPr>
        <w:t>启</w:t>
      </w:r>
      <w:r>
        <w:rPr>
          <w:rFonts w:hint="eastAsia" w:asciiTheme="minorEastAsia" w:hAnsiTheme="minorEastAsia" w:eastAsiaTheme="minorEastAsia"/>
          <w:color w:val="auto"/>
          <w:sz w:val="24"/>
          <w:lang w:eastAsia="zh-CN"/>
        </w:rPr>
        <w:t>时查询投标文件制作机器码、文件创建标识码及造价软件加密锁号。若存在投标文件制作机器码或创建标识码或造价软件加密锁号信息与其他</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eastAsia="zh-CN"/>
        </w:rPr>
        <w:t>雷同的，</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无效、进行信用信息披露，行政监管部门将依据线索依法查处；</w:t>
      </w:r>
    </w:p>
    <w:p w14:paraId="0B33711F">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(1</w:t>
      </w: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lang w:eastAsia="zh-CN"/>
        </w:rPr>
        <w:t>)其它情形，经评</w:t>
      </w:r>
      <w:r>
        <w:rPr>
          <w:rFonts w:hint="eastAsia" w:asciiTheme="minorEastAsia" w:hAnsiTheme="minorEastAsia" w:eastAsiaTheme="minorEastAsia"/>
          <w:color w:val="auto"/>
          <w:sz w:val="24"/>
          <w:lang w:val="en-US" w:eastAsia="zh-CN"/>
        </w:rPr>
        <w:t>审</w:t>
      </w:r>
      <w:r>
        <w:rPr>
          <w:rFonts w:hint="eastAsia" w:asciiTheme="minorEastAsia" w:hAnsiTheme="minorEastAsia" w:eastAsiaTheme="minorEastAsia"/>
          <w:color w:val="auto"/>
          <w:sz w:val="24"/>
          <w:lang w:eastAsia="zh-CN"/>
        </w:rPr>
        <w:t>委员会委提出按无效</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处理，并经公共资源交易监督部门核准的；</w:t>
      </w:r>
    </w:p>
    <w:p w14:paraId="41C201BF">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(1</w:t>
      </w: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eastAsia="zh-CN"/>
        </w:rPr>
        <w:t>投标MAC地址</w:t>
      </w:r>
      <w:r>
        <w:rPr>
          <w:rFonts w:hint="eastAsia" w:asciiTheme="minorEastAsia" w:hAnsiTheme="minorEastAsia" w:eastAsiaTheme="minorEastAsia"/>
          <w:color w:val="auto"/>
          <w:sz w:val="24"/>
          <w:lang w:val="en-US" w:eastAsia="zh-CN"/>
        </w:rPr>
        <w:t>一致</w:t>
      </w:r>
      <w:r>
        <w:rPr>
          <w:rFonts w:hint="eastAsia" w:asciiTheme="minorEastAsia" w:hAnsiTheme="minorEastAsia" w:eastAsiaTheme="minorEastAsia"/>
          <w:color w:val="auto"/>
          <w:sz w:val="24"/>
          <w:lang w:eastAsia="zh-CN"/>
        </w:rPr>
        <w:t>，由评</w:t>
      </w:r>
      <w:r>
        <w:rPr>
          <w:rFonts w:hint="eastAsia" w:asciiTheme="minorEastAsia" w:hAnsiTheme="minorEastAsia" w:eastAsiaTheme="minorEastAsia"/>
          <w:color w:val="auto"/>
          <w:sz w:val="24"/>
          <w:lang w:val="en-US" w:eastAsia="zh-CN"/>
        </w:rPr>
        <w:t>审</w:t>
      </w:r>
      <w:r>
        <w:rPr>
          <w:rFonts w:hint="eastAsia" w:asciiTheme="minorEastAsia" w:hAnsiTheme="minorEastAsia" w:eastAsiaTheme="minorEastAsia"/>
          <w:color w:val="auto"/>
          <w:sz w:val="24"/>
          <w:lang w:eastAsia="zh-CN"/>
        </w:rPr>
        <w:t>委员会否决其</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w:t>
      </w:r>
    </w:p>
    <w:p w14:paraId="5C65B4C9">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(1</w:t>
      </w:r>
      <w:r>
        <w:rPr>
          <w:rFonts w:hint="eastAsia" w:asciiTheme="minorEastAsia" w:hAnsiTheme="minorEastAsia" w:eastAsiaTheme="minorEastAsia"/>
          <w:color w:val="auto"/>
          <w:sz w:val="24"/>
          <w:lang w:val="en-US" w:eastAsia="zh-CN"/>
        </w:rPr>
        <w:t>6</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eastAsia="zh-CN"/>
        </w:rPr>
        <w:t>单方面出现其他</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eastAsia="zh-CN"/>
        </w:rPr>
        <w:t>材料的；</w:t>
      </w:r>
    </w:p>
    <w:p w14:paraId="07094F39">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(1</w:t>
      </w:r>
      <w:r>
        <w:rPr>
          <w:rFonts w:hint="eastAsia" w:asciiTheme="minorEastAsia" w:hAnsiTheme="minorEastAsia" w:eastAsiaTheme="minorEastAsia"/>
          <w:color w:val="auto"/>
          <w:sz w:val="24"/>
          <w:lang w:val="en-US" w:eastAsia="zh-CN"/>
        </w:rPr>
        <w:t>7</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供应商联系人或联系电话相同的，</w:t>
      </w:r>
      <w:r>
        <w:rPr>
          <w:rFonts w:hint="eastAsia" w:asciiTheme="minorEastAsia" w:hAnsiTheme="minorEastAsia" w:eastAsiaTheme="minorEastAsia"/>
          <w:color w:val="auto"/>
          <w:sz w:val="24"/>
          <w:lang w:eastAsia="zh-CN"/>
        </w:rPr>
        <w:t>由评</w:t>
      </w:r>
      <w:r>
        <w:rPr>
          <w:rFonts w:hint="eastAsia" w:asciiTheme="minorEastAsia" w:hAnsiTheme="minorEastAsia" w:eastAsiaTheme="minorEastAsia"/>
          <w:color w:val="auto"/>
          <w:sz w:val="24"/>
          <w:lang w:val="en-US" w:eastAsia="zh-CN"/>
        </w:rPr>
        <w:t>审</w:t>
      </w:r>
      <w:r>
        <w:rPr>
          <w:rFonts w:hint="eastAsia" w:asciiTheme="minorEastAsia" w:hAnsiTheme="minorEastAsia" w:eastAsiaTheme="minorEastAsia"/>
          <w:color w:val="auto"/>
          <w:sz w:val="24"/>
          <w:lang w:eastAsia="zh-CN"/>
        </w:rPr>
        <w:t>委员会否决其</w:t>
      </w:r>
      <w:r>
        <w:rPr>
          <w:rFonts w:hint="eastAsia" w:asciiTheme="minorEastAsia" w:hAnsiTheme="minorEastAsia" w:eastAsiaTheme="minorEastAsia"/>
          <w:color w:val="auto"/>
          <w:sz w:val="24"/>
          <w:lang w:val="en-US" w:eastAsia="zh-CN"/>
        </w:rPr>
        <w:t>响应，并报告监管部门作不良行为处理和进一步调查；</w:t>
      </w:r>
    </w:p>
    <w:p w14:paraId="446CC0F8">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(1</w:t>
      </w:r>
      <w:r>
        <w:rPr>
          <w:rFonts w:hint="eastAsia" w:asciiTheme="minorEastAsia" w:hAnsiTheme="minorEastAsia" w:eastAsiaTheme="minorEastAsia"/>
          <w:color w:val="auto"/>
          <w:sz w:val="24"/>
          <w:lang w:val="en-US" w:eastAsia="zh-CN"/>
        </w:rPr>
        <w:t>8</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采购</w:t>
      </w:r>
      <w:r>
        <w:rPr>
          <w:rFonts w:hint="eastAsia" w:asciiTheme="minorEastAsia" w:hAnsiTheme="minorEastAsia" w:eastAsiaTheme="minorEastAsia"/>
          <w:color w:val="auto"/>
          <w:sz w:val="24"/>
          <w:lang w:eastAsia="zh-CN"/>
        </w:rPr>
        <w:t>公告未写明允许采购进口产品，</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eastAsia="zh-CN"/>
        </w:rPr>
        <w:t>所投产品为进口产品的；</w:t>
      </w:r>
    </w:p>
    <w:p w14:paraId="7EFDEAD9">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(1</w:t>
      </w:r>
      <w:r>
        <w:rPr>
          <w:rFonts w:hint="eastAsia" w:asciiTheme="minorEastAsia" w:hAnsiTheme="minorEastAsia" w:eastAsiaTheme="minorEastAsia"/>
          <w:color w:val="auto"/>
          <w:sz w:val="24"/>
          <w:lang w:val="en-US" w:eastAsia="zh-CN"/>
        </w:rPr>
        <w:t>9</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采购</w:t>
      </w:r>
      <w:r>
        <w:rPr>
          <w:rFonts w:hint="eastAsia" w:asciiTheme="minorEastAsia" w:hAnsiTheme="minorEastAsia" w:eastAsiaTheme="minorEastAsia"/>
          <w:color w:val="auto"/>
          <w:sz w:val="24"/>
          <w:lang w:eastAsia="zh-CN"/>
        </w:rPr>
        <w:t>文件规定的其它无效</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情形。</w:t>
      </w:r>
    </w:p>
    <w:p w14:paraId="0CD8B37D">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 xml:space="preserve">3.3 </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eastAsia="zh-CN"/>
        </w:rPr>
        <w:t>有下列情形之一的,符合性审查后其</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按无效</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处理：</w:t>
      </w:r>
    </w:p>
    <w:p w14:paraId="4AC4DB31">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(1)</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文件签字、盖章不全，经评</w:t>
      </w:r>
      <w:r>
        <w:rPr>
          <w:rFonts w:hint="eastAsia" w:asciiTheme="minorEastAsia" w:hAnsiTheme="minorEastAsia" w:eastAsiaTheme="minorEastAsia"/>
          <w:color w:val="auto"/>
          <w:sz w:val="24"/>
          <w:lang w:val="en-US" w:eastAsia="zh-CN"/>
        </w:rPr>
        <w:t>审</w:t>
      </w:r>
      <w:r>
        <w:rPr>
          <w:rFonts w:hint="eastAsia" w:asciiTheme="minorEastAsia" w:hAnsiTheme="minorEastAsia" w:eastAsiaTheme="minorEastAsia"/>
          <w:color w:val="auto"/>
          <w:sz w:val="24"/>
          <w:lang w:eastAsia="zh-CN"/>
        </w:rPr>
        <w:t>委员会一致认定对开评</w:t>
      </w:r>
      <w:r>
        <w:rPr>
          <w:rFonts w:hint="eastAsia" w:asciiTheme="minorEastAsia" w:hAnsiTheme="minorEastAsia" w:eastAsiaTheme="minorEastAsia"/>
          <w:color w:val="auto"/>
          <w:sz w:val="24"/>
          <w:lang w:val="en-US" w:eastAsia="zh-CN"/>
        </w:rPr>
        <w:t>审</w:t>
      </w:r>
      <w:r>
        <w:rPr>
          <w:rFonts w:hint="eastAsia" w:asciiTheme="minorEastAsia" w:hAnsiTheme="minorEastAsia" w:eastAsiaTheme="minorEastAsia"/>
          <w:color w:val="auto"/>
          <w:sz w:val="24"/>
          <w:lang w:eastAsia="zh-CN"/>
        </w:rPr>
        <w:t>内容有实质性影响并经公共资源交易监督部门核准的；</w:t>
      </w:r>
    </w:p>
    <w:p w14:paraId="103229B7">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(2)未按规定的格式填写导致实质性内容不全以及实质上不响应，或者关键字迹模糊、无法辨认； 经公共资源交易监督部门核准的；</w:t>
      </w:r>
    </w:p>
    <w:p w14:paraId="324545C6">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(3)同一</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eastAsia="zh-CN"/>
        </w:rPr>
        <w:t>提交两个以上不同的</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文件或者</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报价，但</w:t>
      </w:r>
      <w:r>
        <w:rPr>
          <w:rFonts w:hint="eastAsia" w:asciiTheme="minorEastAsia" w:hAnsiTheme="minorEastAsia" w:eastAsiaTheme="minorEastAsia"/>
          <w:color w:val="auto"/>
          <w:sz w:val="24"/>
          <w:lang w:val="en-US" w:eastAsia="zh-CN"/>
        </w:rPr>
        <w:t>采购</w:t>
      </w:r>
      <w:r>
        <w:rPr>
          <w:rFonts w:hint="eastAsia" w:asciiTheme="minorEastAsia" w:hAnsiTheme="minorEastAsia" w:eastAsiaTheme="minorEastAsia"/>
          <w:color w:val="auto"/>
          <w:sz w:val="24"/>
          <w:lang w:eastAsia="zh-CN"/>
        </w:rPr>
        <w:t>文件规定提交备选方案的除外；</w:t>
      </w:r>
    </w:p>
    <w:p w14:paraId="56117AA6">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(4)</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文件没有对</w:t>
      </w:r>
      <w:r>
        <w:rPr>
          <w:rFonts w:hint="eastAsia" w:asciiTheme="minorEastAsia" w:hAnsiTheme="minorEastAsia" w:eastAsiaTheme="minorEastAsia"/>
          <w:color w:val="auto"/>
          <w:sz w:val="24"/>
          <w:lang w:val="en-US" w:eastAsia="zh-CN"/>
        </w:rPr>
        <w:t>采购</w:t>
      </w:r>
      <w:r>
        <w:rPr>
          <w:rFonts w:hint="eastAsia" w:asciiTheme="minorEastAsia" w:hAnsiTheme="minorEastAsia" w:eastAsiaTheme="minorEastAsia"/>
          <w:color w:val="auto"/>
          <w:sz w:val="24"/>
          <w:lang w:eastAsia="zh-CN"/>
        </w:rPr>
        <w:t>文件的实质性要求和条件作出响应;</w:t>
      </w:r>
    </w:p>
    <w:p w14:paraId="19E824DD">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(5)</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报价超出规定的限价或公布的采购预算的或</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eastAsia="zh-CN"/>
        </w:rPr>
        <w:t>的</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报价各项单价高于</w:t>
      </w:r>
      <w:r>
        <w:rPr>
          <w:rFonts w:hint="eastAsia" w:asciiTheme="minorEastAsia" w:hAnsiTheme="minorEastAsia" w:eastAsiaTheme="minorEastAsia"/>
          <w:color w:val="auto"/>
          <w:sz w:val="24"/>
          <w:lang w:val="en-US" w:eastAsia="zh-CN"/>
        </w:rPr>
        <w:t>采购</w:t>
      </w:r>
      <w:r>
        <w:rPr>
          <w:rFonts w:hint="eastAsia" w:asciiTheme="minorEastAsia" w:hAnsiTheme="minorEastAsia" w:eastAsiaTheme="minorEastAsia"/>
          <w:color w:val="auto"/>
          <w:sz w:val="24"/>
          <w:lang w:eastAsia="zh-CN"/>
        </w:rPr>
        <w:t>文件给定的单价最高限价；</w:t>
      </w:r>
    </w:p>
    <w:p w14:paraId="44BCB3FC">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(6)不按评</w:t>
      </w:r>
      <w:r>
        <w:rPr>
          <w:rFonts w:hint="eastAsia" w:asciiTheme="minorEastAsia" w:hAnsiTheme="minorEastAsia" w:eastAsiaTheme="minorEastAsia"/>
          <w:color w:val="auto"/>
          <w:sz w:val="24"/>
          <w:lang w:val="en-US" w:eastAsia="zh-CN"/>
        </w:rPr>
        <w:t>审</w:t>
      </w:r>
      <w:r>
        <w:rPr>
          <w:rFonts w:hint="eastAsia" w:asciiTheme="minorEastAsia" w:hAnsiTheme="minorEastAsia" w:eastAsiaTheme="minorEastAsia"/>
          <w:color w:val="auto"/>
          <w:sz w:val="24"/>
          <w:lang w:eastAsia="zh-CN"/>
        </w:rPr>
        <w:t>委员会要求澄清、说明或补正的，或者评</w:t>
      </w:r>
      <w:r>
        <w:rPr>
          <w:rFonts w:hint="eastAsia" w:asciiTheme="minorEastAsia" w:hAnsiTheme="minorEastAsia" w:eastAsiaTheme="minorEastAsia"/>
          <w:color w:val="auto"/>
          <w:sz w:val="24"/>
          <w:lang w:val="en-US" w:eastAsia="zh-CN"/>
        </w:rPr>
        <w:t>审</w:t>
      </w:r>
      <w:r>
        <w:rPr>
          <w:rFonts w:hint="eastAsia" w:asciiTheme="minorEastAsia" w:hAnsiTheme="minorEastAsia" w:eastAsiaTheme="minorEastAsia"/>
          <w:color w:val="auto"/>
          <w:sz w:val="24"/>
          <w:lang w:eastAsia="zh-CN"/>
        </w:rPr>
        <w:t>委员会根据</w:t>
      </w:r>
      <w:r>
        <w:rPr>
          <w:rFonts w:hint="eastAsia" w:asciiTheme="minorEastAsia" w:hAnsiTheme="minorEastAsia" w:eastAsiaTheme="minorEastAsia"/>
          <w:color w:val="auto"/>
          <w:sz w:val="24"/>
          <w:lang w:val="en-US" w:eastAsia="zh-CN"/>
        </w:rPr>
        <w:t>采购</w:t>
      </w:r>
      <w:r>
        <w:rPr>
          <w:rFonts w:hint="eastAsia" w:asciiTheme="minorEastAsia" w:hAnsiTheme="minorEastAsia" w:eastAsiaTheme="minorEastAsia"/>
          <w:color w:val="auto"/>
          <w:sz w:val="24"/>
          <w:lang w:eastAsia="zh-CN"/>
        </w:rPr>
        <w:t>文件的规定对</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文件的计算错误进行修正后，</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eastAsia="zh-CN"/>
        </w:rPr>
        <w:t>不接受修正的</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报价的。</w:t>
      </w:r>
    </w:p>
    <w:p w14:paraId="5D428E01">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(7)其它情形，经评</w:t>
      </w:r>
      <w:r>
        <w:rPr>
          <w:rFonts w:hint="eastAsia" w:asciiTheme="minorEastAsia" w:hAnsiTheme="minorEastAsia" w:eastAsiaTheme="minorEastAsia"/>
          <w:color w:val="auto"/>
          <w:sz w:val="24"/>
          <w:lang w:val="en-US" w:eastAsia="zh-CN"/>
        </w:rPr>
        <w:t>审</w:t>
      </w:r>
      <w:r>
        <w:rPr>
          <w:rFonts w:hint="eastAsia" w:asciiTheme="minorEastAsia" w:hAnsiTheme="minorEastAsia" w:eastAsiaTheme="minorEastAsia"/>
          <w:color w:val="auto"/>
          <w:sz w:val="24"/>
          <w:lang w:eastAsia="zh-CN"/>
        </w:rPr>
        <w:t>委员会委提出按无效</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处理，并经公共资源交易监督部门核准的；</w:t>
      </w:r>
    </w:p>
    <w:p w14:paraId="678A346F">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(8)</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文件含有采购人不能接受的附加条件的；</w:t>
      </w:r>
    </w:p>
    <w:p w14:paraId="777E132F">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(9)</w:t>
      </w:r>
      <w:r>
        <w:rPr>
          <w:rFonts w:hint="eastAsia" w:asciiTheme="minorEastAsia" w:hAnsiTheme="minorEastAsia" w:eastAsiaTheme="minorEastAsia"/>
          <w:color w:val="auto"/>
          <w:sz w:val="24"/>
          <w:lang w:val="en-US" w:eastAsia="zh-CN"/>
        </w:rPr>
        <w:t>采购</w:t>
      </w:r>
      <w:r>
        <w:rPr>
          <w:rFonts w:hint="eastAsia" w:asciiTheme="minorEastAsia" w:hAnsiTheme="minorEastAsia" w:eastAsiaTheme="minorEastAsia"/>
          <w:color w:val="auto"/>
          <w:sz w:val="24"/>
          <w:lang w:eastAsia="zh-CN"/>
        </w:rPr>
        <w:t>文件规定的其它无效</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情形。</w:t>
      </w:r>
    </w:p>
    <w:p w14:paraId="5D33EE10">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 xml:space="preserve">3.4 </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eastAsia="zh-CN"/>
        </w:rPr>
        <w:t>有下列情形之一的, 详细评审后其</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按无效处理：</w:t>
      </w:r>
    </w:p>
    <w:p w14:paraId="1845F68E">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(1)</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产品不符合必须强制执行的国家标准的；</w:t>
      </w:r>
    </w:p>
    <w:p w14:paraId="70B24522">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(2)</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eastAsia="zh-CN"/>
        </w:rPr>
        <w:t>有串通投标、弄虚作假、行贿等违法行为；</w:t>
      </w:r>
    </w:p>
    <w:p w14:paraId="19EBF405">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(3)</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文件含有违反国家法律、法规的内容，或附有采购人不能接受的条件的；</w:t>
      </w:r>
    </w:p>
    <w:p w14:paraId="3BCDA4D0">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lang w:eastAsia="zh-CN"/>
        </w:rPr>
        <w:t>)拒不确认评</w:t>
      </w:r>
      <w:r>
        <w:rPr>
          <w:rFonts w:hint="eastAsia" w:asciiTheme="minorEastAsia" w:hAnsiTheme="minorEastAsia" w:eastAsiaTheme="minorEastAsia"/>
          <w:color w:val="auto"/>
          <w:sz w:val="24"/>
          <w:lang w:val="en-US" w:eastAsia="zh-CN"/>
        </w:rPr>
        <w:t>审</w:t>
      </w:r>
      <w:r>
        <w:rPr>
          <w:rFonts w:hint="eastAsia" w:asciiTheme="minorEastAsia" w:hAnsiTheme="minorEastAsia" w:eastAsiaTheme="minorEastAsia"/>
          <w:color w:val="auto"/>
          <w:sz w:val="24"/>
          <w:lang w:eastAsia="zh-CN"/>
        </w:rPr>
        <w:t>委员会评审修正的</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无效；</w:t>
      </w:r>
    </w:p>
    <w:p w14:paraId="221E3E27">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lang w:eastAsia="zh-CN"/>
        </w:rPr>
        <w:t>)其它情形，经评</w:t>
      </w:r>
      <w:r>
        <w:rPr>
          <w:rFonts w:hint="eastAsia" w:asciiTheme="minorEastAsia" w:hAnsiTheme="minorEastAsia" w:eastAsiaTheme="minorEastAsia"/>
          <w:color w:val="auto"/>
          <w:sz w:val="24"/>
          <w:lang w:val="en-US" w:eastAsia="zh-CN"/>
        </w:rPr>
        <w:t>审</w:t>
      </w:r>
      <w:r>
        <w:rPr>
          <w:rFonts w:hint="eastAsia" w:asciiTheme="minorEastAsia" w:hAnsiTheme="minorEastAsia" w:eastAsiaTheme="minorEastAsia"/>
          <w:color w:val="auto"/>
          <w:sz w:val="24"/>
          <w:lang w:eastAsia="zh-CN"/>
        </w:rPr>
        <w:t>委员会委提出按无效</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处理，并经公共资源交易监督部门核准的；</w:t>
      </w:r>
    </w:p>
    <w:p w14:paraId="0D4230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6</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采购</w:t>
      </w:r>
      <w:r>
        <w:rPr>
          <w:rFonts w:hint="eastAsia" w:asciiTheme="minorEastAsia" w:hAnsiTheme="minorEastAsia" w:eastAsiaTheme="minorEastAsia"/>
          <w:color w:val="auto"/>
          <w:sz w:val="24"/>
          <w:lang w:eastAsia="zh-CN"/>
        </w:rPr>
        <w:t>文件规定的其它无效</w:t>
      </w:r>
      <w:r>
        <w:rPr>
          <w:rFonts w:hint="eastAsia" w:asciiTheme="minorEastAsia" w:hAnsiTheme="minorEastAsia" w:eastAsiaTheme="minorEastAsia"/>
          <w:color w:val="auto"/>
          <w:sz w:val="24"/>
          <w:lang w:val="en-US" w:eastAsia="zh-CN"/>
        </w:rPr>
        <w:t>响应</w:t>
      </w:r>
      <w:r>
        <w:rPr>
          <w:rFonts w:hint="eastAsia" w:asciiTheme="minorEastAsia" w:hAnsiTheme="minorEastAsia" w:eastAsiaTheme="minorEastAsia"/>
          <w:color w:val="auto"/>
          <w:sz w:val="24"/>
          <w:lang w:eastAsia="zh-CN"/>
        </w:rPr>
        <w:t>情形。</w:t>
      </w:r>
      <w:r>
        <w:rPr>
          <w:rFonts w:asciiTheme="minorEastAsia" w:hAnsiTheme="minorEastAsia" w:eastAsiaTheme="minorEastAsia"/>
          <w:color w:val="auto"/>
          <w:sz w:val="24"/>
          <w:highlight w:val="none"/>
        </w:rPr>
        <w:br w:type="page"/>
      </w:r>
    </w:p>
    <w:p w14:paraId="02272D68">
      <w:pPr>
        <w:spacing w:line="360" w:lineRule="auto"/>
        <w:jc w:val="center"/>
        <w:outlineLvl w:val="0"/>
        <w:rPr>
          <w:rFonts w:asciiTheme="minorEastAsia" w:hAnsiTheme="minorEastAsia" w:eastAsiaTheme="minorEastAsia"/>
          <w:b/>
          <w:color w:val="auto"/>
          <w:sz w:val="28"/>
          <w:highlight w:val="none"/>
        </w:rPr>
      </w:pPr>
      <w:bookmarkStart w:id="42"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2"/>
    </w:p>
    <w:p w14:paraId="67E05285">
      <w:pPr>
        <w:keepNext/>
        <w:keepLines/>
        <w:pageBreakBefore w:val="0"/>
        <w:kinsoku/>
        <w:wordWrap/>
        <w:topLinePunct w:val="0"/>
        <w:bidi w:val="0"/>
        <w:snapToGrid w:val="0"/>
        <w:spacing w:beforeAutospacing="0" w:line="400" w:lineRule="exact"/>
        <w:jc w:val="center"/>
        <w:outlineLvl w:val="1"/>
        <w:rPr>
          <w:rFonts w:cs="宋体"/>
          <w:b/>
          <w:bCs/>
          <w:color w:val="auto"/>
          <w:sz w:val="21"/>
          <w:szCs w:val="21"/>
        </w:rPr>
      </w:pPr>
      <w:bookmarkStart w:id="43" w:name="_Toc28799376"/>
      <w:bookmarkStart w:id="44" w:name="_Toc9907"/>
      <w:bookmarkStart w:id="45" w:name="_Toc130919120"/>
      <w:r>
        <w:rPr>
          <w:rFonts w:hint="eastAsia" w:cs="宋体"/>
          <w:b/>
          <w:bCs/>
          <w:color w:val="auto"/>
          <w:sz w:val="21"/>
          <w:szCs w:val="21"/>
        </w:rPr>
        <w:t>第一节  合同协议书</w:t>
      </w:r>
      <w:bookmarkEnd w:id="43"/>
      <w:bookmarkEnd w:id="44"/>
      <w:bookmarkEnd w:id="45"/>
    </w:p>
    <w:p w14:paraId="3CCAC270">
      <w:pPr>
        <w:keepNext w:val="0"/>
        <w:keepLines w:val="0"/>
        <w:pageBreakBefore w:val="0"/>
        <w:widowControl w:val="0"/>
        <w:kinsoku/>
        <w:wordWrap/>
        <w:overflowPunct/>
        <w:topLinePunct w:val="0"/>
        <w:bidi w:val="0"/>
        <w:spacing w:beforeAutospacing="0" w:line="360" w:lineRule="auto"/>
        <w:textAlignment w:val="auto"/>
        <w:rPr>
          <w:rFonts w:cs="宋体"/>
          <w:b/>
          <w:color w:val="auto"/>
          <w:sz w:val="24"/>
          <w:szCs w:val="24"/>
          <w:u w:val="single"/>
        </w:rPr>
      </w:pPr>
      <w:r>
        <w:rPr>
          <w:rFonts w:hint="eastAsia" w:cs="宋体"/>
          <w:b/>
          <w:color w:val="auto"/>
          <w:sz w:val="24"/>
          <w:szCs w:val="24"/>
        </w:rPr>
        <w:t>发包人（全称）：</w:t>
      </w:r>
      <w:r>
        <w:rPr>
          <w:rFonts w:hint="eastAsia" w:cs="宋体"/>
          <w:b/>
          <w:color w:val="auto"/>
          <w:sz w:val="24"/>
          <w:szCs w:val="24"/>
          <w:u w:val="single"/>
          <w:lang w:val="en-US" w:eastAsia="zh-CN"/>
        </w:rPr>
        <w:t>滁州学院</w:t>
      </w:r>
      <w:r>
        <w:rPr>
          <w:rFonts w:hint="eastAsia" w:cs="宋体"/>
          <w:b/>
          <w:color w:val="auto"/>
          <w:sz w:val="24"/>
          <w:szCs w:val="24"/>
          <w:u w:val="single"/>
        </w:rPr>
        <w:t xml:space="preserve">  </w:t>
      </w:r>
      <w:r>
        <w:rPr>
          <w:rFonts w:hint="eastAsia" w:cs="宋体"/>
          <w:b/>
          <w:color w:val="auto"/>
          <w:sz w:val="24"/>
          <w:szCs w:val="24"/>
          <w:u w:val="single"/>
          <w:lang w:val="en-US" w:eastAsia="zh-CN"/>
        </w:rPr>
        <w:t xml:space="preserve">      </w:t>
      </w:r>
      <w:r>
        <w:rPr>
          <w:rFonts w:hint="eastAsia" w:cs="宋体"/>
          <w:b/>
          <w:color w:val="auto"/>
          <w:sz w:val="24"/>
          <w:szCs w:val="24"/>
          <w:u w:val="single"/>
        </w:rPr>
        <w:t xml:space="preserve"> </w:t>
      </w:r>
    </w:p>
    <w:p w14:paraId="031BF091">
      <w:pPr>
        <w:keepNext w:val="0"/>
        <w:keepLines w:val="0"/>
        <w:pageBreakBefore w:val="0"/>
        <w:widowControl w:val="0"/>
        <w:kinsoku/>
        <w:wordWrap/>
        <w:overflowPunct/>
        <w:topLinePunct w:val="0"/>
        <w:bidi w:val="0"/>
        <w:spacing w:beforeAutospacing="0" w:line="360" w:lineRule="auto"/>
        <w:textAlignment w:val="auto"/>
        <w:rPr>
          <w:rFonts w:ascii="Times New Roman" w:hAnsi="Times New Roman" w:eastAsia="仿宋_GB2312" w:cs="Times New Roman"/>
          <w:b/>
          <w:color w:val="auto"/>
          <w:kern w:val="2"/>
          <w:sz w:val="30"/>
          <w:szCs w:val="30"/>
          <w:u w:val="single"/>
        </w:rPr>
      </w:pPr>
      <w:r>
        <w:rPr>
          <w:rFonts w:hint="eastAsia" w:cs="宋体"/>
          <w:b/>
          <w:color w:val="auto"/>
          <w:sz w:val="24"/>
          <w:szCs w:val="24"/>
        </w:rPr>
        <w:t>承包人（全称）：</w:t>
      </w:r>
      <w:r>
        <w:rPr>
          <w:rFonts w:hint="eastAsia" w:cs="宋体"/>
          <w:b/>
          <w:color w:val="auto"/>
          <w:sz w:val="24"/>
          <w:szCs w:val="24"/>
          <w:u w:val="single"/>
        </w:rPr>
        <w:t xml:space="preserve">       </w:t>
      </w:r>
      <w:r>
        <w:rPr>
          <w:rFonts w:hint="eastAsia" w:cs="宋体"/>
          <w:b/>
          <w:color w:val="auto"/>
          <w:sz w:val="24"/>
          <w:szCs w:val="24"/>
          <w:u w:val="single"/>
          <w:lang w:val="en-US" w:eastAsia="zh-CN"/>
        </w:rPr>
        <w:t xml:space="preserve"> </w:t>
      </w:r>
      <w:r>
        <w:rPr>
          <w:rFonts w:hint="eastAsia" w:cs="宋体"/>
          <w:b/>
          <w:color w:val="auto"/>
          <w:sz w:val="24"/>
          <w:szCs w:val="24"/>
          <w:u w:val="single"/>
        </w:rPr>
        <w:t xml:space="preserve"> </w:t>
      </w:r>
    </w:p>
    <w:p w14:paraId="794A774F">
      <w:pPr>
        <w:keepNext w:val="0"/>
        <w:keepLines w:val="0"/>
        <w:pageBreakBefore w:val="0"/>
        <w:widowControl w:val="0"/>
        <w:kinsoku/>
        <w:wordWrap/>
        <w:overflowPunct/>
        <w:topLinePunct w:val="0"/>
        <w:bidi w:val="0"/>
        <w:snapToGrid w:val="0"/>
        <w:spacing w:beforeAutospacing="0" w:line="360" w:lineRule="auto"/>
        <w:ind w:firstLine="420" w:firstLineChars="200"/>
        <w:textAlignment w:val="auto"/>
        <w:rPr>
          <w:rFonts w:cs="宋体"/>
          <w:color w:val="auto"/>
          <w:sz w:val="21"/>
          <w:szCs w:val="21"/>
        </w:rPr>
      </w:pPr>
      <w:r>
        <w:rPr>
          <w:rFonts w:hint="eastAsia" w:cs="宋体"/>
          <w:color w:val="auto"/>
          <w:sz w:val="21"/>
          <w:szCs w:val="21"/>
        </w:rPr>
        <w:t>根据《中华人民共和国民法典》《中华人民共和国建筑法》及有关法律规定，遵循平等、自愿、公平和诚实信用的原则，双方就</w:t>
      </w:r>
      <w:r>
        <w:rPr>
          <w:rFonts w:hint="eastAsia" w:cs="宋体"/>
          <w:color w:val="auto"/>
          <w:sz w:val="21"/>
          <w:szCs w:val="21"/>
          <w:u w:val="single"/>
          <w:lang w:eastAsia="zh-CN"/>
        </w:rPr>
        <w:t>滁州学院202</w:t>
      </w:r>
      <w:r>
        <w:rPr>
          <w:rFonts w:hint="eastAsia" w:cs="宋体"/>
          <w:color w:val="auto"/>
          <w:sz w:val="21"/>
          <w:szCs w:val="21"/>
          <w:u w:val="single"/>
          <w:lang w:val="en-US" w:eastAsia="zh-CN"/>
        </w:rPr>
        <w:t>6</w:t>
      </w:r>
      <w:r>
        <w:rPr>
          <w:rFonts w:hint="eastAsia" w:cs="宋体"/>
          <w:color w:val="auto"/>
          <w:sz w:val="21"/>
          <w:szCs w:val="21"/>
          <w:u w:val="single"/>
          <w:lang w:eastAsia="zh-CN"/>
        </w:rPr>
        <w:t>年</w:t>
      </w:r>
      <w:r>
        <w:rPr>
          <w:rFonts w:hint="eastAsia" w:cs="宋体"/>
          <w:color w:val="auto"/>
          <w:sz w:val="21"/>
          <w:szCs w:val="21"/>
          <w:u w:val="single"/>
          <w:lang w:val="en-US" w:eastAsia="zh-CN"/>
        </w:rPr>
        <w:t>教室空调线路安装工程</w:t>
      </w:r>
      <w:r>
        <w:rPr>
          <w:rFonts w:hint="eastAsia" w:cs="宋体"/>
          <w:color w:val="auto"/>
          <w:sz w:val="21"/>
          <w:szCs w:val="21"/>
        </w:rPr>
        <w:t>工程施工及有关事项协商一致，共同达成如下协议：</w:t>
      </w:r>
    </w:p>
    <w:p w14:paraId="7B2260B0">
      <w:pPr>
        <w:keepNext w:val="0"/>
        <w:keepLines w:val="0"/>
        <w:pageBreakBefore w:val="0"/>
        <w:widowControl w:val="0"/>
        <w:kinsoku/>
        <w:wordWrap/>
        <w:overflowPunct/>
        <w:topLinePunct w:val="0"/>
        <w:bidi w:val="0"/>
        <w:snapToGrid w:val="0"/>
        <w:spacing w:beforeAutospacing="0" w:line="360" w:lineRule="auto"/>
        <w:ind w:firstLine="422" w:firstLineChars="200"/>
        <w:textAlignment w:val="auto"/>
        <w:rPr>
          <w:rFonts w:cs="宋体"/>
          <w:color w:val="auto"/>
          <w:sz w:val="21"/>
          <w:szCs w:val="21"/>
        </w:rPr>
      </w:pPr>
      <w:r>
        <w:rPr>
          <w:rFonts w:hint="eastAsia" w:cs="宋体"/>
          <w:b/>
          <w:color w:val="auto"/>
          <w:sz w:val="21"/>
          <w:szCs w:val="21"/>
        </w:rPr>
        <w:t>一、工程概况</w:t>
      </w:r>
    </w:p>
    <w:p w14:paraId="1333C3B4">
      <w:pPr>
        <w:keepNext w:val="0"/>
        <w:keepLines w:val="0"/>
        <w:pageBreakBefore w:val="0"/>
        <w:widowControl w:val="0"/>
        <w:kinsoku/>
        <w:wordWrap/>
        <w:overflowPunct/>
        <w:topLinePunct w:val="0"/>
        <w:bidi w:val="0"/>
        <w:snapToGrid w:val="0"/>
        <w:spacing w:beforeAutospacing="0" w:line="360" w:lineRule="auto"/>
        <w:ind w:firstLine="411" w:firstLineChars="196"/>
        <w:textAlignment w:val="auto"/>
        <w:rPr>
          <w:rFonts w:cs="宋体"/>
          <w:color w:val="auto"/>
          <w:sz w:val="21"/>
          <w:szCs w:val="21"/>
          <w:u w:val="single"/>
        </w:rPr>
      </w:pPr>
      <w:r>
        <w:rPr>
          <w:rFonts w:hint="eastAsia" w:cs="宋体"/>
          <w:bCs/>
          <w:color w:val="auto"/>
          <w:sz w:val="21"/>
          <w:szCs w:val="21"/>
        </w:rPr>
        <w:t>1. 工程名称</w:t>
      </w:r>
      <w:r>
        <w:rPr>
          <w:rFonts w:hint="eastAsia" w:cs="宋体"/>
          <w:color w:val="auto"/>
          <w:sz w:val="21"/>
          <w:szCs w:val="21"/>
        </w:rPr>
        <w:t>：</w:t>
      </w:r>
      <w:r>
        <w:rPr>
          <w:rFonts w:hint="eastAsia" w:cs="宋体"/>
          <w:color w:val="auto"/>
          <w:sz w:val="21"/>
          <w:szCs w:val="21"/>
          <w:u w:val="single"/>
          <w:lang w:eastAsia="zh-CN"/>
        </w:rPr>
        <w:t>滁州学院202</w:t>
      </w:r>
      <w:r>
        <w:rPr>
          <w:rFonts w:hint="eastAsia" w:cs="宋体"/>
          <w:color w:val="auto"/>
          <w:sz w:val="21"/>
          <w:szCs w:val="21"/>
          <w:u w:val="single"/>
          <w:lang w:val="en-US" w:eastAsia="zh-CN"/>
        </w:rPr>
        <w:t>6</w:t>
      </w:r>
      <w:r>
        <w:rPr>
          <w:rFonts w:hint="eastAsia" w:cs="宋体"/>
          <w:color w:val="auto"/>
          <w:sz w:val="21"/>
          <w:szCs w:val="21"/>
          <w:u w:val="single"/>
          <w:lang w:eastAsia="zh-CN"/>
        </w:rPr>
        <w:t>年</w:t>
      </w:r>
      <w:r>
        <w:rPr>
          <w:rFonts w:hint="eastAsia" w:cs="宋体"/>
          <w:color w:val="auto"/>
          <w:sz w:val="21"/>
          <w:szCs w:val="21"/>
          <w:u w:val="single"/>
          <w:lang w:val="en-US" w:eastAsia="zh-CN"/>
        </w:rPr>
        <w:t>教室空调线路安装工程</w:t>
      </w:r>
      <w:r>
        <w:rPr>
          <w:rFonts w:hint="eastAsia" w:cs="宋体"/>
          <w:color w:val="auto"/>
          <w:sz w:val="21"/>
          <w:szCs w:val="21"/>
          <w:u w:val="single"/>
        </w:rPr>
        <w:t xml:space="preserve"> </w:t>
      </w:r>
      <w:r>
        <w:rPr>
          <w:rFonts w:hint="eastAsia" w:cs="宋体"/>
          <w:color w:val="auto"/>
          <w:sz w:val="21"/>
          <w:szCs w:val="21"/>
          <w:u w:val="single"/>
          <w:lang w:val="en-US" w:eastAsia="zh-CN"/>
        </w:rPr>
        <w:t xml:space="preserve"> </w:t>
      </w:r>
      <w:r>
        <w:rPr>
          <w:rFonts w:hint="eastAsia" w:cs="宋体"/>
          <w:color w:val="auto"/>
          <w:sz w:val="21"/>
          <w:szCs w:val="21"/>
        </w:rPr>
        <w:t>。</w:t>
      </w:r>
    </w:p>
    <w:p w14:paraId="4E127999">
      <w:pPr>
        <w:keepNext w:val="0"/>
        <w:keepLines w:val="0"/>
        <w:pageBreakBefore w:val="0"/>
        <w:widowControl w:val="0"/>
        <w:kinsoku/>
        <w:wordWrap/>
        <w:overflowPunct/>
        <w:topLinePunct w:val="0"/>
        <w:bidi w:val="0"/>
        <w:snapToGrid w:val="0"/>
        <w:spacing w:beforeAutospacing="0" w:line="360" w:lineRule="auto"/>
        <w:ind w:firstLine="411" w:firstLineChars="196"/>
        <w:textAlignment w:val="auto"/>
        <w:rPr>
          <w:rFonts w:cs="宋体"/>
          <w:bCs/>
          <w:color w:val="auto"/>
          <w:sz w:val="21"/>
          <w:szCs w:val="21"/>
        </w:rPr>
      </w:pPr>
      <w:r>
        <w:rPr>
          <w:rFonts w:hint="eastAsia" w:cs="宋体"/>
          <w:bCs/>
          <w:color w:val="auto"/>
          <w:sz w:val="21"/>
          <w:szCs w:val="21"/>
        </w:rPr>
        <w:t>2. 工程地点：</w:t>
      </w:r>
      <w:r>
        <w:rPr>
          <w:rFonts w:hint="eastAsia" w:cs="宋体"/>
          <w:bCs/>
          <w:color w:val="auto"/>
          <w:sz w:val="21"/>
          <w:szCs w:val="21"/>
          <w:u w:val="single"/>
        </w:rPr>
        <w:t>滁州学院琅琊、会峰校区，具体安装位置由采购人指定。</w:t>
      </w:r>
    </w:p>
    <w:p w14:paraId="4C2E6471">
      <w:pPr>
        <w:keepNext w:val="0"/>
        <w:keepLines w:val="0"/>
        <w:pageBreakBefore w:val="0"/>
        <w:widowControl w:val="0"/>
        <w:kinsoku/>
        <w:wordWrap/>
        <w:overflowPunct/>
        <w:topLinePunct w:val="0"/>
        <w:bidi w:val="0"/>
        <w:snapToGrid w:val="0"/>
        <w:spacing w:beforeAutospacing="0" w:line="360" w:lineRule="auto"/>
        <w:ind w:firstLine="411" w:firstLineChars="196"/>
        <w:textAlignment w:val="auto"/>
        <w:rPr>
          <w:rFonts w:cs="宋体"/>
          <w:bCs/>
          <w:color w:val="auto"/>
          <w:sz w:val="21"/>
          <w:szCs w:val="21"/>
        </w:rPr>
      </w:pPr>
      <w:r>
        <w:rPr>
          <w:rFonts w:hint="eastAsia" w:cs="宋体"/>
          <w:bCs/>
          <w:color w:val="auto"/>
          <w:sz w:val="21"/>
          <w:szCs w:val="21"/>
        </w:rPr>
        <w:t>3. 工程立项批准文号：</w:t>
      </w:r>
      <w:r>
        <w:rPr>
          <w:rFonts w:hint="eastAsia" w:cs="宋体"/>
          <w:color w:val="auto"/>
          <w:sz w:val="21"/>
          <w:szCs w:val="21"/>
          <w:u w:val="single"/>
        </w:rPr>
        <w:t></w:t>
      </w:r>
      <w:r>
        <w:rPr>
          <w:rFonts w:hint="eastAsia" w:cs="宋体"/>
          <w:color w:val="auto"/>
          <w:sz w:val="21"/>
          <w:szCs w:val="21"/>
          <w:u w:val="single"/>
          <w:lang w:val="en-US" w:eastAsia="zh-CN"/>
        </w:rPr>
        <w:t>/</w:t>
      </w:r>
      <w:r>
        <w:rPr>
          <w:rFonts w:hint="eastAsia" w:cs="宋体"/>
          <w:color w:val="auto"/>
          <w:sz w:val="21"/>
          <w:szCs w:val="21"/>
          <w:u w:val="single"/>
        </w:rPr>
        <w:t xml:space="preserve">       </w:t>
      </w:r>
      <w:r>
        <w:rPr>
          <w:rFonts w:hint="eastAsia" w:cs="宋体"/>
          <w:bCs/>
          <w:color w:val="auto"/>
          <w:sz w:val="21"/>
          <w:szCs w:val="21"/>
        </w:rPr>
        <w:t>。</w:t>
      </w:r>
    </w:p>
    <w:p w14:paraId="58D97D97">
      <w:pPr>
        <w:keepNext w:val="0"/>
        <w:keepLines w:val="0"/>
        <w:pageBreakBefore w:val="0"/>
        <w:widowControl w:val="0"/>
        <w:kinsoku/>
        <w:wordWrap/>
        <w:overflowPunct/>
        <w:topLinePunct w:val="0"/>
        <w:bidi w:val="0"/>
        <w:snapToGrid w:val="0"/>
        <w:spacing w:beforeAutospacing="0" w:line="360" w:lineRule="auto"/>
        <w:ind w:firstLine="411" w:firstLineChars="196"/>
        <w:textAlignment w:val="auto"/>
        <w:rPr>
          <w:rFonts w:cs="宋体"/>
          <w:bCs/>
          <w:color w:val="auto"/>
          <w:sz w:val="21"/>
          <w:szCs w:val="21"/>
        </w:rPr>
      </w:pPr>
      <w:r>
        <w:rPr>
          <w:rFonts w:hint="eastAsia" w:cs="宋体"/>
          <w:bCs/>
          <w:color w:val="auto"/>
          <w:sz w:val="21"/>
          <w:szCs w:val="21"/>
        </w:rPr>
        <w:t>4. 资金来源：</w:t>
      </w:r>
      <w:r>
        <w:rPr>
          <w:rFonts w:hint="eastAsia" w:cs="宋体"/>
          <w:color w:val="auto"/>
          <w:sz w:val="21"/>
          <w:szCs w:val="21"/>
          <w:u w:val="single"/>
        </w:rPr>
        <w:t></w:t>
      </w:r>
      <w:r>
        <w:rPr>
          <w:rFonts w:hint="eastAsia" w:cs="宋体"/>
          <w:color w:val="auto"/>
          <w:sz w:val="21"/>
          <w:szCs w:val="21"/>
          <w:u w:val="single"/>
          <w:lang w:val="en-US" w:eastAsia="zh-CN"/>
        </w:rPr>
        <w:t>财政资金</w:t>
      </w:r>
      <w:r>
        <w:rPr>
          <w:rFonts w:hint="eastAsia" w:cs="宋体"/>
          <w:color w:val="auto"/>
          <w:sz w:val="21"/>
          <w:szCs w:val="21"/>
          <w:u w:val="single"/>
        </w:rPr>
        <w:t xml:space="preserve"> </w:t>
      </w:r>
      <w:r>
        <w:rPr>
          <w:rFonts w:hint="eastAsia" w:cs="宋体"/>
          <w:bCs/>
          <w:color w:val="auto"/>
          <w:sz w:val="21"/>
          <w:szCs w:val="21"/>
        </w:rPr>
        <w:t>。</w:t>
      </w:r>
    </w:p>
    <w:p w14:paraId="17A42E53">
      <w:pPr>
        <w:keepNext w:val="0"/>
        <w:keepLines w:val="0"/>
        <w:pageBreakBefore w:val="0"/>
        <w:widowControl w:val="0"/>
        <w:kinsoku/>
        <w:wordWrap/>
        <w:overflowPunct/>
        <w:topLinePunct w:val="0"/>
        <w:bidi w:val="0"/>
        <w:snapToGrid w:val="0"/>
        <w:spacing w:beforeAutospacing="0" w:line="360" w:lineRule="auto"/>
        <w:ind w:firstLine="411" w:firstLineChars="196"/>
        <w:textAlignment w:val="auto"/>
        <w:rPr>
          <w:rFonts w:cs="宋体"/>
          <w:bCs/>
          <w:color w:val="auto"/>
          <w:sz w:val="21"/>
          <w:szCs w:val="21"/>
        </w:rPr>
      </w:pPr>
      <w:r>
        <w:rPr>
          <w:rFonts w:hint="eastAsia" w:cs="宋体"/>
          <w:bCs/>
          <w:color w:val="auto"/>
          <w:sz w:val="21"/>
          <w:szCs w:val="21"/>
        </w:rPr>
        <w:t>5. 工程内容：</w:t>
      </w:r>
      <w:r>
        <w:rPr>
          <w:rFonts w:hint="eastAsia" w:cs="宋体"/>
          <w:bCs/>
          <w:color w:val="auto"/>
          <w:sz w:val="21"/>
          <w:szCs w:val="21"/>
          <w:u w:val="single"/>
          <w:lang w:val="en-US" w:eastAsia="zh-CN"/>
        </w:rPr>
        <w:t>配电容量调剂、主配电线路安装、教室空调用电线路安装、配电桥架、配电柜、配电箱、计量设施设备安装和土建施工改造</w:t>
      </w:r>
      <w:r>
        <w:rPr>
          <w:rFonts w:hint="eastAsia" w:cs="宋体"/>
          <w:bCs/>
          <w:color w:val="auto"/>
          <w:sz w:val="21"/>
          <w:szCs w:val="21"/>
          <w:u w:val="single"/>
        </w:rPr>
        <w:t>。</w:t>
      </w:r>
    </w:p>
    <w:p w14:paraId="7BA5B057">
      <w:pPr>
        <w:keepNext w:val="0"/>
        <w:keepLines w:val="0"/>
        <w:pageBreakBefore w:val="0"/>
        <w:widowControl w:val="0"/>
        <w:kinsoku/>
        <w:wordWrap/>
        <w:overflowPunct/>
        <w:topLinePunct w:val="0"/>
        <w:bidi w:val="0"/>
        <w:snapToGrid w:val="0"/>
        <w:spacing w:beforeAutospacing="0" w:line="360" w:lineRule="auto"/>
        <w:ind w:firstLine="411" w:firstLineChars="196"/>
        <w:textAlignment w:val="auto"/>
        <w:rPr>
          <w:rFonts w:cs="宋体"/>
          <w:bCs/>
          <w:color w:val="auto"/>
          <w:sz w:val="21"/>
          <w:szCs w:val="21"/>
        </w:rPr>
      </w:pPr>
      <w:r>
        <w:rPr>
          <w:rFonts w:hint="eastAsia" w:cs="宋体"/>
          <w:color w:val="auto"/>
          <w:sz w:val="21"/>
          <w:szCs w:val="21"/>
        </w:rPr>
        <w:t>群体工程应附《承包人承揽工程项目一览表》（附件1）。</w:t>
      </w:r>
    </w:p>
    <w:p w14:paraId="37EB25D8">
      <w:pPr>
        <w:keepNext w:val="0"/>
        <w:keepLines w:val="0"/>
        <w:pageBreakBefore w:val="0"/>
        <w:widowControl w:val="0"/>
        <w:numPr>
          <w:ilvl w:val="0"/>
          <w:numId w:val="4"/>
        </w:numPr>
        <w:kinsoku/>
        <w:wordWrap/>
        <w:overflowPunct/>
        <w:topLinePunct w:val="0"/>
        <w:bidi w:val="0"/>
        <w:snapToGrid w:val="0"/>
        <w:spacing w:beforeAutospacing="0" w:line="360" w:lineRule="auto"/>
        <w:ind w:firstLine="411" w:firstLineChars="196"/>
        <w:textAlignment w:val="auto"/>
        <w:rPr>
          <w:rFonts w:cs="宋体"/>
          <w:color w:val="auto"/>
          <w:sz w:val="21"/>
          <w:szCs w:val="21"/>
        </w:rPr>
      </w:pPr>
      <w:r>
        <w:rPr>
          <w:rFonts w:hint="eastAsia" w:cs="宋体"/>
          <w:bCs/>
          <w:color w:val="auto"/>
          <w:sz w:val="21"/>
          <w:szCs w:val="21"/>
        </w:rPr>
        <w:t>工程承包范围：</w:t>
      </w:r>
      <w:r>
        <w:rPr>
          <w:rFonts w:hint="eastAsia" w:cs="宋体"/>
          <w:color w:val="auto"/>
          <w:sz w:val="21"/>
          <w:szCs w:val="21"/>
          <w:u w:val="single"/>
          <w:lang w:val="en-US" w:eastAsia="zh-CN"/>
        </w:rPr>
        <w:t>工程量清单范围内的所有内容</w:t>
      </w:r>
      <w:r>
        <w:rPr>
          <w:rFonts w:hint="eastAsia" w:cs="宋体"/>
          <w:color w:val="auto"/>
          <w:sz w:val="21"/>
          <w:szCs w:val="21"/>
          <w:u w:val="single"/>
          <w:lang w:eastAsia="zh-CN"/>
        </w:rPr>
        <w:t>；</w:t>
      </w:r>
      <w:r>
        <w:rPr>
          <w:rFonts w:hint="eastAsia" w:cs="宋体"/>
          <w:color w:val="auto"/>
          <w:sz w:val="21"/>
          <w:szCs w:val="21"/>
          <w:u w:val="single"/>
          <w:lang w:val="en-US" w:eastAsia="zh-CN"/>
        </w:rPr>
        <w:t>不在范围内的以签证为准。</w:t>
      </w:r>
    </w:p>
    <w:p w14:paraId="632D1DEE">
      <w:pPr>
        <w:keepNext w:val="0"/>
        <w:keepLines w:val="0"/>
        <w:pageBreakBefore w:val="0"/>
        <w:widowControl w:val="0"/>
        <w:kinsoku/>
        <w:wordWrap/>
        <w:overflowPunct/>
        <w:topLinePunct w:val="0"/>
        <w:bidi w:val="0"/>
        <w:snapToGrid w:val="0"/>
        <w:spacing w:beforeAutospacing="0" w:line="360" w:lineRule="auto"/>
        <w:ind w:firstLine="422" w:firstLineChars="200"/>
        <w:textAlignment w:val="auto"/>
        <w:rPr>
          <w:rFonts w:cs="宋体"/>
          <w:b/>
          <w:color w:val="auto"/>
          <w:sz w:val="21"/>
          <w:szCs w:val="21"/>
        </w:rPr>
      </w:pPr>
      <w:bookmarkStart w:id="46" w:name="_Toc351203482"/>
      <w:r>
        <w:rPr>
          <w:rFonts w:hint="eastAsia" w:cs="宋体"/>
          <w:b/>
          <w:color w:val="auto"/>
          <w:sz w:val="21"/>
          <w:szCs w:val="21"/>
        </w:rPr>
        <w:t>二、合同工期</w:t>
      </w:r>
      <w:bookmarkEnd w:id="46"/>
    </w:p>
    <w:p w14:paraId="54E7CFB5">
      <w:pPr>
        <w:keepNext w:val="0"/>
        <w:keepLines w:val="0"/>
        <w:pageBreakBefore w:val="0"/>
        <w:widowControl w:val="0"/>
        <w:kinsoku/>
        <w:wordWrap/>
        <w:overflowPunct/>
        <w:topLinePunct w:val="0"/>
        <w:bidi w:val="0"/>
        <w:snapToGrid w:val="0"/>
        <w:spacing w:beforeAutospacing="0" w:line="360" w:lineRule="auto"/>
        <w:ind w:firstLine="459"/>
        <w:textAlignment w:val="auto"/>
        <w:rPr>
          <w:rFonts w:cs="宋体"/>
          <w:color w:val="auto"/>
          <w:sz w:val="21"/>
          <w:szCs w:val="21"/>
        </w:rPr>
      </w:pPr>
      <w:r>
        <w:rPr>
          <w:rFonts w:hint="eastAsia" w:cs="宋体"/>
          <w:color w:val="auto"/>
          <w:sz w:val="21"/>
          <w:szCs w:val="21"/>
        </w:rPr>
        <w:t>计划开工日期：</w:t>
      </w:r>
      <w:r>
        <w:rPr>
          <w:rFonts w:hint="eastAsia" w:cs="宋体"/>
          <w:color w:val="auto"/>
          <w:sz w:val="21"/>
          <w:szCs w:val="21"/>
          <w:u w:val="single"/>
        </w:rPr>
        <w:t></w:t>
      </w:r>
      <w:r>
        <w:rPr>
          <w:rFonts w:hint="eastAsia" w:cs="宋体"/>
          <w:color w:val="auto"/>
          <w:sz w:val="21"/>
          <w:szCs w:val="21"/>
        </w:rPr>
        <w:t>年</w:t>
      </w:r>
      <w:r>
        <w:rPr>
          <w:rFonts w:hint="eastAsia" w:cs="宋体"/>
          <w:color w:val="auto"/>
          <w:sz w:val="21"/>
          <w:szCs w:val="21"/>
          <w:u w:val="single"/>
        </w:rPr>
        <w:t></w:t>
      </w:r>
      <w:r>
        <w:rPr>
          <w:rFonts w:hint="eastAsia" w:cs="宋体"/>
          <w:color w:val="auto"/>
          <w:sz w:val="21"/>
          <w:szCs w:val="21"/>
        </w:rPr>
        <w:t>月</w:t>
      </w:r>
      <w:r>
        <w:rPr>
          <w:rFonts w:hint="eastAsia" w:cs="宋体"/>
          <w:color w:val="auto"/>
          <w:sz w:val="21"/>
          <w:szCs w:val="21"/>
          <w:u w:val="single"/>
        </w:rPr>
        <w:t></w:t>
      </w:r>
      <w:r>
        <w:rPr>
          <w:rFonts w:hint="eastAsia" w:cs="宋体"/>
          <w:color w:val="auto"/>
          <w:sz w:val="21"/>
          <w:szCs w:val="21"/>
        </w:rPr>
        <w:t>日。</w:t>
      </w:r>
    </w:p>
    <w:p w14:paraId="1797325F">
      <w:pPr>
        <w:keepNext w:val="0"/>
        <w:keepLines w:val="0"/>
        <w:pageBreakBefore w:val="0"/>
        <w:widowControl w:val="0"/>
        <w:kinsoku/>
        <w:wordWrap/>
        <w:overflowPunct/>
        <w:topLinePunct w:val="0"/>
        <w:bidi w:val="0"/>
        <w:snapToGrid w:val="0"/>
        <w:spacing w:beforeAutospacing="0" w:line="360" w:lineRule="auto"/>
        <w:ind w:firstLine="459"/>
        <w:textAlignment w:val="auto"/>
        <w:rPr>
          <w:rFonts w:cs="宋体"/>
          <w:color w:val="auto"/>
          <w:sz w:val="21"/>
          <w:szCs w:val="21"/>
        </w:rPr>
      </w:pPr>
      <w:r>
        <w:rPr>
          <w:rFonts w:hint="eastAsia" w:cs="宋体"/>
          <w:color w:val="auto"/>
          <w:sz w:val="21"/>
          <w:szCs w:val="21"/>
        </w:rPr>
        <w:t>计划竣工日期：</w:t>
      </w:r>
      <w:r>
        <w:rPr>
          <w:rFonts w:hint="eastAsia" w:cs="宋体"/>
          <w:color w:val="auto"/>
          <w:sz w:val="21"/>
          <w:szCs w:val="21"/>
          <w:u w:val="single"/>
        </w:rPr>
        <w:t></w:t>
      </w:r>
      <w:r>
        <w:rPr>
          <w:rFonts w:hint="eastAsia" w:cs="宋体"/>
          <w:color w:val="auto"/>
          <w:sz w:val="21"/>
          <w:szCs w:val="21"/>
        </w:rPr>
        <w:t>年</w:t>
      </w:r>
      <w:r>
        <w:rPr>
          <w:rFonts w:hint="eastAsia" w:cs="宋体"/>
          <w:color w:val="auto"/>
          <w:sz w:val="21"/>
          <w:szCs w:val="21"/>
          <w:u w:val="single"/>
        </w:rPr>
        <w:t></w:t>
      </w:r>
      <w:r>
        <w:rPr>
          <w:rFonts w:hint="eastAsia" w:cs="宋体"/>
          <w:color w:val="auto"/>
          <w:sz w:val="21"/>
          <w:szCs w:val="21"/>
        </w:rPr>
        <w:t>月</w:t>
      </w:r>
      <w:r>
        <w:rPr>
          <w:rFonts w:hint="eastAsia" w:cs="宋体"/>
          <w:color w:val="auto"/>
          <w:sz w:val="21"/>
          <w:szCs w:val="21"/>
          <w:u w:val="single"/>
        </w:rPr>
        <w:t></w:t>
      </w:r>
      <w:r>
        <w:rPr>
          <w:rFonts w:hint="eastAsia" w:cs="宋体"/>
          <w:color w:val="auto"/>
          <w:sz w:val="21"/>
          <w:szCs w:val="21"/>
        </w:rPr>
        <w:t>日。</w:t>
      </w:r>
    </w:p>
    <w:p w14:paraId="1B7814E5">
      <w:pPr>
        <w:keepNext w:val="0"/>
        <w:keepLines w:val="0"/>
        <w:pageBreakBefore w:val="0"/>
        <w:widowControl w:val="0"/>
        <w:kinsoku/>
        <w:wordWrap/>
        <w:overflowPunct/>
        <w:topLinePunct w:val="0"/>
        <w:bidi w:val="0"/>
        <w:snapToGrid w:val="0"/>
        <w:spacing w:beforeAutospacing="0" w:line="360" w:lineRule="auto"/>
        <w:ind w:firstLine="459"/>
        <w:textAlignment w:val="auto"/>
        <w:rPr>
          <w:rFonts w:cs="宋体"/>
          <w:color w:val="auto"/>
          <w:sz w:val="21"/>
          <w:szCs w:val="21"/>
          <w:u w:val="single"/>
        </w:rPr>
      </w:pPr>
      <w:r>
        <w:rPr>
          <w:rFonts w:hint="eastAsia" w:cs="宋体"/>
          <w:color w:val="auto"/>
          <w:sz w:val="21"/>
          <w:szCs w:val="21"/>
        </w:rPr>
        <w:t>工期总日历天数：</w:t>
      </w:r>
      <w:r>
        <w:rPr>
          <w:rFonts w:hint="eastAsia" w:cs="宋体"/>
          <w:color w:val="auto"/>
          <w:sz w:val="21"/>
          <w:szCs w:val="21"/>
          <w:u w:val="single"/>
        </w:rPr>
        <w:t>工期</w:t>
      </w:r>
      <w:r>
        <w:rPr>
          <w:rFonts w:hint="eastAsia" w:cs="宋体"/>
          <w:color w:val="auto"/>
          <w:sz w:val="21"/>
          <w:szCs w:val="21"/>
          <w:u w:val="single"/>
          <w:lang w:val="en-US" w:eastAsia="zh-CN"/>
        </w:rPr>
        <w:t>不高于</w:t>
      </w:r>
      <w:r>
        <w:rPr>
          <w:rFonts w:hint="eastAsia" w:cs="宋体"/>
          <w:color w:val="auto"/>
          <w:sz w:val="21"/>
          <w:szCs w:val="21"/>
          <w:u w:val="single"/>
        </w:rPr>
        <w:t>50个日历天。</w:t>
      </w:r>
      <w:r>
        <w:rPr>
          <w:rFonts w:hint="eastAsia" w:ascii="宋体" w:hAnsi="宋体" w:eastAsia="宋体" w:cs="宋体"/>
          <w:color w:val="auto"/>
          <w:sz w:val="21"/>
          <w:szCs w:val="21"/>
          <w:u w:val="single"/>
          <w:lang w:val="en-US" w:eastAsia="zh-CN"/>
        </w:rPr>
        <w:t>具体开工时间以发包人通知时间为准</w:t>
      </w:r>
      <w:r>
        <w:rPr>
          <w:rFonts w:hint="eastAsia" w:ascii="宋体" w:hAnsi="宋体" w:eastAsia="宋体" w:cs="宋体"/>
          <w:color w:val="auto"/>
          <w:sz w:val="21"/>
          <w:szCs w:val="21"/>
          <w:u w:val="single"/>
        </w:rPr>
        <w:t>。成交</w:t>
      </w:r>
      <w:r>
        <w:rPr>
          <w:rFonts w:hint="eastAsia" w:cs="宋体"/>
          <w:color w:val="auto"/>
          <w:sz w:val="21"/>
          <w:szCs w:val="21"/>
          <w:u w:val="single"/>
        </w:rPr>
        <w:t>人按合同工期要求，每延迟一天，按5000元/天处以违约金，从工程结算款中扣除。如延误工期超出合同工期50%的，不予支付工程款。如因采购人要求增加工程量、教育教学、重大活动、极端天气等不可抗拒因素造成，工期予以顺延，经采购人和成交人书面确认后，具体以实际发生时间为依据。</w:t>
      </w:r>
    </w:p>
    <w:p w14:paraId="11E46A49">
      <w:pPr>
        <w:keepNext w:val="0"/>
        <w:keepLines w:val="0"/>
        <w:pageBreakBefore w:val="0"/>
        <w:widowControl w:val="0"/>
        <w:kinsoku/>
        <w:wordWrap/>
        <w:overflowPunct/>
        <w:topLinePunct w:val="0"/>
        <w:bidi w:val="0"/>
        <w:snapToGrid w:val="0"/>
        <w:spacing w:beforeAutospacing="0" w:line="360" w:lineRule="auto"/>
        <w:ind w:firstLine="422" w:firstLineChars="200"/>
        <w:textAlignment w:val="auto"/>
        <w:rPr>
          <w:rFonts w:cs="宋体"/>
          <w:b/>
          <w:color w:val="auto"/>
          <w:sz w:val="21"/>
          <w:szCs w:val="21"/>
        </w:rPr>
      </w:pPr>
      <w:bookmarkStart w:id="47" w:name="_Toc351203483"/>
      <w:r>
        <w:rPr>
          <w:rFonts w:hint="eastAsia" w:cs="宋体"/>
          <w:b/>
          <w:color w:val="auto"/>
          <w:sz w:val="21"/>
          <w:szCs w:val="21"/>
        </w:rPr>
        <w:t>三、质量标准</w:t>
      </w:r>
      <w:bookmarkEnd w:id="47"/>
    </w:p>
    <w:p w14:paraId="40F37E35">
      <w:pPr>
        <w:keepNext w:val="0"/>
        <w:keepLines w:val="0"/>
        <w:pageBreakBefore w:val="0"/>
        <w:widowControl w:val="0"/>
        <w:kinsoku/>
        <w:wordWrap/>
        <w:overflowPunct/>
        <w:topLinePunct w:val="0"/>
        <w:bidi w:val="0"/>
        <w:snapToGrid w:val="0"/>
        <w:spacing w:beforeAutospacing="0" w:line="360" w:lineRule="auto"/>
        <w:ind w:firstLine="459"/>
        <w:textAlignment w:val="auto"/>
        <w:rPr>
          <w:rFonts w:cs="宋体"/>
          <w:color w:val="auto"/>
          <w:sz w:val="21"/>
          <w:szCs w:val="21"/>
        </w:rPr>
      </w:pPr>
      <w:r>
        <w:rPr>
          <w:rFonts w:hint="eastAsia" w:cs="宋体"/>
          <w:color w:val="auto"/>
          <w:sz w:val="21"/>
          <w:szCs w:val="21"/>
        </w:rPr>
        <w:t>工程质量符合</w:t>
      </w:r>
      <w:r>
        <w:rPr>
          <w:rFonts w:hint="eastAsia" w:cs="宋体"/>
          <w:color w:val="auto"/>
          <w:sz w:val="21"/>
          <w:szCs w:val="21"/>
          <w:u w:val="single"/>
        </w:rPr>
        <w:t xml:space="preserve"> 合格 </w:t>
      </w:r>
      <w:r>
        <w:rPr>
          <w:rFonts w:hint="eastAsia" w:cs="宋体"/>
          <w:color w:val="auto"/>
          <w:sz w:val="21"/>
          <w:szCs w:val="21"/>
        </w:rPr>
        <w:t>标准。</w:t>
      </w:r>
    </w:p>
    <w:p w14:paraId="2C516668">
      <w:pPr>
        <w:keepNext w:val="0"/>
        <w:keepLines w:val="0"/>
        <w:pageBreakBefore w:val="0"/>
        <w:widowControl w:val="0"/>
        <w:kinsoku/>
        <w:wordWrap/>
        <w:overflowPunct/>
        <w:topLinePunct w:val="0"/>
        <w:bidi w:val="0"/>
        <w:snapToGrid w:val="0"/>
        <w:spacing w:beforeAutospacing="0" w:line="360" w:lineRule="auto"/>
        <w:ind w:firstLine="422" w:firstLineChars="200"/>
        <w:textAlignment w:val="auto"/>
        <w:rPr>
          <w:rFonts w:cs="宋体"/>
          <w:b/>
          <w:color w:val="auto"/>
          <w:sz w:val="21"/>
          <w:szCs w:val="21"/>
        </w:rPr>
      </w:pPr>
      <w:bookmarkStart w:id="48" w:name="_Toc351203484"/>
      <w:r>
        <w:rPr>
          <w:rFonts w:hint="eastAsia" w:cs="宋体"/>
          <w:b/>
          <w:color w:val="auto"/>
          <w:sz w:val="21"/>
          <w:szCs w:val="21"/>
        </w:rPr>
        <w:t>四、签约合同价与合同价格形式</w:t>
      </w:r>
      <w:bookmarkEnd w:id="48"/>
    </w:p>
    <w:p w14:paraId="1C958371">
      <w:pPr>
        <w:keepNext w:val="0"/>
        <w:keepLines w:val="0"/>
        <w:pageBreakBefore w:val="0"/>
        <w:widowControl w:val="0"/>
        <w:kinsoku/>
        <w:wordWrap/>
        <w:overflowPunct/>
        <w:topLinePunct w:val="0"/>
        <w:bidi w:val="0"/>
        <w:snapToGrid w:val="0"/>
        <w:spacing w:beforeAutospacing="0" w:line="360" w:lineRule="auto"/>
        <w:ind w:firstLine="420" w:firstLineChars="200"/>
        <w:textAlignment w:val="auto"/>
        <w:rPr>
          <w:rFonts w:cs="宋体"/>
          <w:color w:val="auto"/>
          <w:sz w:val="21"/>
          <w:szCs w:val="21"/>
        </w:rPr>
      </w:pPr>
      <w:r>
        <w:rPr>
          <w:rFonts w:hint="eastAsia" w:cs="宋体"/>
          <w:color w:val="auto"/>
          <w:sz w:val="21"/>
          <w:szCs w:val="21"/>
        </w:rPr>
        <w:t>1. 签约合同价为：</w:t>
      </w:r>
    </w:p>
    <w:p w14:paraId="724C3829">
      <w:pPr>
        <w:keepNext w:val="0"/>
        <w:keepLines w:val="0"/>
        <w:pageBreakBefore w:val="0"/>
        <w:widowControl w:val="0"/>
        <w:kinsoku/>
        <w:wordWrap/>
        <w:overflowPunct/>
        <w:topLinePunct w:val="0"/>
        <w:bidi w:val="0"/>
        <w:snapToGrid w:val="0"/>
        <w:spacing w:beforeAutospacing="0" w:line="360" w:lineRule="auto"/>
        <w:ind w:firstLine="525" w:firstLineChars="250"/>
        <w:textAlignment w:val="auto"/>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w:t>
      </w:r>
      <w:r>
        <w:rPr>
          <w:rFonts w:hint="eastAsia" w:cs="宋体"/>
          <w:color w:val="auto"/>
          <w:sz w:val="21"/>
          <w:szCs w:val="21"/>
          <w:u w:val="single"/>
        </w:rPr>
        <w:t xml:space="preserve">            </w:t>
      </w:r>
      <w:r>
        <w:rPr>
          <w:rFonts w:hint="eastAsia" w:cs="宋体"/>
          <w:color w:val="auto"/>
          <w:sz w:val="21"/>
          <w:szCs w:val="21"/>
        </w:rPr>
        <w:t>元）；</w:t>
      </w:r>
    </w:p>
    <w:p w14:paraId="3364522C">
      <w:pPr>
        <w:keepNext w:val="0"/>
        <w:keepLines w:val="0"/>
        <w:pageBreakBefore w:val="0"/>
        <w:widowControl w:val="0"/>
        <w:kinsoku/>
        <w:wordWrap/>
        <w:overflowPunct/>
        <w:topLinePunct w:val="0"/>
        <w:bidi w:val="0"/>
        <w:snapToGrid w:val="0"/>
        <w:spacing w:beforeAutospacing="0" w:line="360" w:lineRule="auto"/>
        <w:ind w:firstLine="420" w:firstLineChars="200"/>
        <w:textAlignment w:val="auto"/>
        <w:rPr>
          <w:rFonts w:cs="宋体"/>
          <w:color w:val="auto"/>
          <w:sz w:val="21"/>
          <w:szCs w:val="21"/>
        </w:rPr>
      </w:pPr>
      <w:r>
        <w:rPr>
          <w:rFonts w:hint="eastAsia" w:cs="宋体"/>
          <w:color w:val="auto"/>
          <w:sz w:val="21"/>
          <w:szCs w:val="21"/>
        </w:rPr>
        <w:t>其中：</w:t>
      </w:r>
    </w:p>
    <w:p w14:paraId="7FD8346E">
      <w:pPr>
        <w:keepNext w:val="0"/>
        <w:keepLines w:val="0"/>
        <w:pageBreakBefore w:val="0"/>
        <w:widowControl w:val="0"/>
        <w:kinsoku/>
        <w:wordWrap/>
        <w:overflowPunct/>
        <w:topLinePunct w:val="0"/>
        <w:bidi w:val="0"/>
        <w:snapToGrid w:val="0"/>
        <w:spacing w:beforeAutospacing="0" w:line="360" w:lineRule="auto"/>
        <w:ind w:firstLine="420" w:firstLineChars="200"/>
        <w:textAlignment w:val="auto"/>
        <w:rPr>
          <w:rFonts w:cs="宋体"/>
          <w:color w:val="auto"/>
          <w:sz w:val="21"/>
          <w:szCs w:val="21"/>
        </w:rPr>
      </w:pPr>
      <w:r>
        <w:rPr>
          <w:rFonts w:hint="eastAsia" w:cs="宋体"/>
          <w:color w:val="auto"/>
          <w:sz w:val="21"/>
          <w:szCs w:val="21"/>
        </w:rPr>
        <w:t>（1）安全文明施工费：</w:t>
      </w:r>
    </w:p>
    <w:p w14:paraId="6CBFD756">
      <w:pPr>
        <w:keepNext w:val="0"/>
        <w:keepLines w:val="0"/>
        <w:pageBreakBefore w:val="0"/>
        <w:widowControl w:val="0"/>
        <w:kinsoku/>
        <w:wordWrap/>
        <w:overflowPunct/>
        <w:topLinePunct w:val="0"/>
        <w:bidi w:val="0"/>
        <w:snapToGrid w:val="0"/>
        <w:spacing w:beforeAutospacing="0" w:line="360" w:lineRule="auto"/>
        <w:ind w:firstLine="945" w:firstLineChars="450"/>
        <w:textAlignment w:val="auto"/>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 xml:space="preserve"> （¥</w:t>
      </w:r>
      <w:r>
        <w:rPr>
          <w:rFonts w:hint="eastAsia" w:cs="宋体"/>
          <w:color w:val="auto"/>
          <w:sz w:val="21"/>
          <w:szCs w:val="21"/>
          <w:u w:val="single"/>
        </w:rPr>
        <w:t xml:space="preserve">          </w:t>
      </w:r>
      <w:r>
        <w:rPr>
          <w:rFonts w:hint="eastAsia" w:cs="宋体"/>
          <w:color w:val="auto"/>
          <w:sz w:val="21"/>
          <w:szCs w:val="21"/>
        </w:rPr>
        <w:t>元）；</w:t>
      </w:r>
    </w:p>
    <w:p w14:paraId="1327DD6F">
      <w:pPr>
        <w:keepNext w:val="0"/>
        <w:keepLines w:val="0"/>
        <w:pageBreakBefore w:val="0"/>
        <w:widowControl w:val="0"/>
        <w:kinsoku/>
        <w:wordWrap/>
        <w:overflowPunct/>
        <w:topLinePunct w:val="0"/>
        <w:bidi w:val="0"/>
        <w:snapToGrid w:val="0"/>
        <w:spacing w:beforeAutospacing="0" w:line="360" w:lineRule="auto"/>
        <w:ind w:firstLine="420" w:firstLineChars="200"/>
        <w:textAlignment w:val="auto"/>
        <w:rPr>
          <w:rFonts w:cs="宋体"/>
          <w:color w:val="auto"/>
          <w:sz w:val="21"/>
          <w:szCs w:val="21"/>
        </w:rPr>
      </w:pPr>
      <w:r>
        <w:rPr>
          <w:rFonts w:hint="eastAsia" w:cs="宋体"/>
          <w:color w:val="auto"/>
          <w:sz w:val="21"/>
          <w:szCs w:val="21"/>
        </w:rPr>
        <w:t>（2）材料和工程设备暂估价金额：</w:t>
      </w:r>
    </w:p>
    <w:p w14:paraId="26FABDE9">
      <w:pPr>
        <w:keepNext w:val="0"/>
        <w:keepLines w:val="0"/>
        <w:pageBreakBefore w:val="0"/>
        <w:widowControl w:val="0"/>
        <w:kinsoku/>
        <w:wordWrap/>
        <w:overflowPunct/>
        <w:topLinePunct w:val="0"/>
        <w:bidi w:val="0"/>
        <w:snapToGrid w:val="0"/>
        <w:spacing w:beforeAutospacing="0" w:line="360" w:lineRule="auto"/>
        <w:ind w:firstLine="945" w:firstLineChars="450"/>
        <w:textAlignment w:val="auto"/>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 xml:space="preserve"> （¥</w:t>
      </w:r>
      <w:r>
        <w:rPr>
          <w:rFonts w:hint="eastAsia" w:cs="宋体"/>
          <w:color w:val="auto"/>
          <w:sz w:val="21"/>
          <w:szCs w:val="21"/>
          <w:u w:val="single"/>
        </w:rPr>
        <w:t xml:space="preserve">          </w:t>
      </w:r>
      <w:r>
        <w:rPr>
          <w:rFonts w:hint="eastAsia" w:cs="宋体"/>
          <w:color w:val="auto"/>
          <w:sz w:val="21"/>
          <w:szCs w:val="21"/>
        </w:rPr>
        <w:t>元）；</w:t>
      </w:r>
    </w:p>
    <w:p w14:paraId="656F4981">
      <w:pPr>
        <w:keepNext w:val="0"/>
        <w:keepLines w:val="0"/>
        <w:pageBreakBefore w:val="0"/>
        <w:widowControl w:val="0"/>
        <w:kinsoku/>
        <w:wordWrap/>
        <w:overflowPunct/>
        <w:topLinePunct w:val="0"/>
        <w:bidi w:val="0"/>
        <w:snapToGrid w:val="0"/>
        <w:spacing w:beforeAutospacing="0" w:line="360" w:lineRule="auto"/>
        <w:ind w:firstLine="420" w:firstLineChars="200"/>
        <w:textAlignment w:val="auto"/>
        <w:rPr>
          <w:rFonts w:cs="宋体"/>
          <w:color w:val="auto"/>
          <w:sz w:val="21"/>
          <w:szCs w:val="21"/>
        </w:rPr>
      </w:pPr>
      <w:r>
        <w:rPr>
          <w:rFonts w:hint="eastAsia" w:cs="宋体"/>
          <w:color w:val="auto"/>
          <w:sz w:val="21"/>
          <w:szCs w:val="21"/>
        </w:rPr>
        <w:t>（3）专业工程暂估价金额：</w:t>
      </w:r>
    </w:p>
    <w:p w14:paraId="77CF2514">
      <w:pPr>
        <w:keepNext w:val="0"/>
        <w:keepLines w:val="0"/>
        <w:pageBreakBefore w:val="0"/>
        <w:widowControl w:val="0"/>
        <w:kinsoku/>
        <w:wordWrap/>
        <w:overflowPunct/>
        <w:topLinePunct w:val="0"/>
        <w:bidi w:val="0"/>
        <w:snapToGrid w:val="0"/>
        <w:spacing w:beforeAutospacing="0" w:line="360" w:lineRule="auto"/>
        <w:ind w:firstLine="945" w:firstLineChars="450"/>
        <w:textAlignment w:val="auto"/>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 xml:space="preserve"> （¥</w:t>
      </w:r>
      <w:r>
        <w:rPr>
          <w:rFonts w:hint="eastAsia" w:cs="宋体"/>
          <w:color w:val="auto"/>
          <w:sz w:val="21"/>
          <w:szCs w:val="21"/>
          <w:u w:val="single"/>
        </w:rPr>
        <w:t xml:space="preserve">          </w:t>
      </w:r>
      <w:r>
        <w:rPr>
          <w:rFonts w:hint="eastAsia" w:cs="宋体"/>
          <w:color w:val="auto"/>
          <w:sz w:val="21"/>
          <w:szCs w:val="21"/>
        </w:rPr>
        <w:t>元）；</w:t>
      </w:r>
    </w:p>
    <w:p w14:paraId="7E80CC15">
      <w:pPr>
        <w:keepNext w:val="0"/>
        <w:keepLines w:val="0"/>
        <w:pageBreakBefore w:val="0"/>
        <w:widowControl w:val="0"/>
        <w:kinsoku/>
        <w:wordWrap/>
        <w:overflowPunct/>
        <w:topLinePunct w:val="0"/>
        <w:bidi w:val="0"/>
        <w:snapToGrid w:val="0"/>
        <w:spacing w:beforeAutospacing="0" w:line="360" w:lineRule="auto"/>
        <w:ind w:firstLine="420" w:firstLineChars="200"/>
        <w:textAlignment w:val="auto"/>
        <w:rPr>
          <w:rFonts w:cs="宋体"/>
          <w:color w:val="auto"/>
          <w:sz w:val="21"/>
          <w:szCs w:val="21"/>
        </w:rPr>
      </w:pPr>
      <w:r>
        <w:rPr>
          <w:rFonts w:hint="eastAsia" w:cs="宋体"/>
          <w:color w:val="auto"/>
          <w:sz w:val="21"/>
          <w:szCs w:val="21"/>
        </w:rPr>
        <w:t>（4）暂列金额：</w:t>
      </w:r>
    </w:p>
    <w:p w14:paraId="59CE2689">
      <w:pPr>
        <w:keepNext w:val="0"/>
        <w:keepLines w:val="0"/>
        <w:pageBreakBefore w:val="0"/>
        <w:widowControl w:val="0"/>
        <w:kinsoku/>
        <w:wordWrap/>
        <w:overflowPunct/>
        <w:topLinePunct w:val="0"/>
        <w:bidi w:val="0"/>
        <w:snapToGrid w:val="0"/>
        <w:spacing w:beforeAutospacing="0" w:line="360" w:lineRule="auto"/>
        <w:ind w:firstLine="945" w:firstLineChars="450"/>
        <w:textAlignment w:val="auto"/>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 xml:space="preserve"> （¥</w:t>
      </w:r>
      <w:r>
        <w:rPr>
          <w:rFonts w:hint="eastAsia" w:cs="宋体"/>
          <w:color w:val="auto"/>
          <w:sz w:val="21"/>
          <w:szCs w:val="21"/>
          <w:u w:val="single"/>
        </w:rPr>
        <w:t xml:space="preserve">          </w:t>
      </w:r>
      <w:r>
        <w:rPr>
          <w:rFonts w:hint="eastAsia" w:cs="宋体"/>
          <w:color w:val="auto"/>
          <w:sz w:val="21"/>
          <w:szCs w:val="21"/>
        </w:rPr>
        <w:t>元）。</w:t>
      </w:r>
    </w:p>
    <w:p w14:paraId="41BDBD59">
      <w:pPr>
        <w:keepNext w:val="0"/>
        <w:keepLines w:val="0"/>
        <w:pageBreakBefore w:val="0"/>
        <w:widowControl w:val="0"/>
        <w:kinsoku/>
        <w:wordWrap/>
        <w:overflowPunct/>
        <w:topLinePunct w:val="0"/>
        <w:bidi w:val="0"/>
        <w:snapToGrid w:val="0"/>
        <w:spacing w:beforeAutospacing="0" w:line="360" w:lineRule="auto"/>
        <w:ind w:firstLine="420" w:firstLineChars="200"/>
        <w:textAlignment w:val="auto"/>
        <w:rPr>
          <w:rFonts w:cs="宋体"/>
          <w:color w:val="auto"/>
          <w:sz w:val="21"/>
          <w:szCs w:val="21"/>
        </w:rPr>
      </w:pPr>
      <w:r>
        <w:rPr>
          <w:rFonts w:hint="eastAsia" w:cs="宋体"/>
          <w:color w:val="auto"/>
          <w:sz w:val="21"/>
          <w:szCs w:val="21"/>
        </w:rPr>
        <w:t>2. 合同价格形式：</w:t>
      </w:r>
      <w:r>
        <w:rPr>
          <w:rFonts w:hint="eastAsia" w:cs="宋体"/>
          <w:color w:val="auto"/>
          <w:sz w:val="21"/>
          <w:szCs w:val="21"/>
          <w:u w:val="single"/>
        </w:rPr>
        <w:t></w:t>
      </w:r>
      <w:r>
        <w:rPr>
          <w:rFonts w:hint="eastAsia" w:cs="宋体"/>
          <w:color w:val="auto"/>
          <w:sz w:val="21"/>
          <w:szCs w:val="21"/>
          <w:u w:val="single"/>
          <w:lang w:val="en-US" w:eastAsia="zh-CN"/>
        </w:rPr>
        <w:t xml:space="preserve">固定单价合同   </w:t>
      </w:r>
      <w:r>
        <w:rPr>
          <w:rFonts w:hint="eastAsia" w:cs="宋体"/>
          <w:color w:val="auto"/>
          <w:sz w:val="21"/>
          <w:szCs w:val="21"/>
          <w:u w:val="single"/>
        </w:rPr>
        <w:t xml:space="preserve"> </w:t>
      </w:r>
      <w:r>
        <w:rPr>
          <w:rFonts w:hint="eastAsia" w:cs="宋体"/>
          <w:color w:val="auto"/>
          <w:sz w:val="21"/>
          <w:szCs w:val="21"/>
        </w:rPr>
        <w:t>。</w:t>
      </w:r>
    </w:p>
    <w:p w14:paraId="1859ED95">
      <w:pPr>
        <w:keepNext w:val="0"/>
        <w:keepLines w:val="0"/>
        <w:pageBreakBefore w:val="0"/>
        <w:widowControl w:val="0"/>
        <w:kinsoku/>
        <w:wordWrap/>
        <w:overflowPunct/>
        <w:topLinePunct w:val="0"/>
        <w:bidi w:val="0"/>
        <w:snapToGrid w:val="0"/>
        <w:spacing w:beforeAutospacing="0" w:line="360" w:lineRule="auto"/>
        <w:ind w:firstLine="422" w:firstLineChars="200"/>
        <w:textAlignment w:val="auto"/>
        <w:rPr>
          <w:rFonts w:hint="default" w:eastAsia="宋体" w:cs="宋体"/>
          <w:b/>
          <w:color w:val="auto"/>
          <w:sz w:val="21"/>
          <w:szCs w:val="21"/>
          <w:lang w:val="en-US" w:eastAsia="zh-CN"/>
        </w:rPr>
      </w:pPr>
      <w:bookmarkStart w:id="49" w:name="_Toc351203485"/>
      <w:r>
        <w:rPr>
          <w:rFonts w:hint="eastAsia" w:cs="宋体"/>
          <w:b/>
          <w:color w:val="auto"/>
          <w:sz w:val="21"/>
          <w:szCs w:val="21"/>
        </w:rPr>
        <w:t>五、</w:t>
      </w:r>
      <w:bookmarkEnd w:id="49"/>
      <w:r>
        <w:rPr>
          <w:rFonts w:hint="eastAsia" w:cs="宋体"/>
          <w:b/>
          <w:color w:val="auto"/>
          <w:sz w:val="21"/>
          <w:szCs w:val="21"/>
        </w:rPr>
        <w:t>项目经理</w:t>
      </w:r>
      <w:r>
        <w:rPr>
          <w:rFonts w:hint="eastAsia" w:cs="宋体"/>
          <w:b/>
          <w:color w:val="auto"/>
          <w:sz w:val="21"/>
          <w:szCs w:val="21"/>
          <w:lang w:val="en-US" w:eastAsia="zh-CN"/>
        </w:rPr>
        <w:t>及技术负责人</w:t>
      </w:r>
    </w:p>
    <w:p w14:paraId="084B12D9">
      <w:pPr>
        <w:keepNext w:val="0"/>
        <w:keepLines w:val="0"/>
        <w:pageBreakBefore w:val="0"/>
        <w:widowControl w:val="0"/>
        <w:kinsoku/>
        <w:wordWrap/>
        <w:overflowPunct/>
        <w:topLinePunct w:val="0"/>
        <w:bidi w:val="0"/>
        <w:snapToGrid/>
        <w:spacing w:line="360" w:lineRule="auto"/>
        <w:ind w:left="0" w:leftChars="0" w:firstLine="420" w:firstLineChars="200"/>
        <w:textAlignment w:val="auto"/>
        <w:rPr>
          <w:rFonts w:hint="eastAsia" w:ascii="宋体" w:hAnsi="宋体" w:eastAsia="宋体" w:cs="宋体"/>
          <w:color w:val="auto"/>
          <w:sz w:val="21"/>
          <w:szCs w:val="21"/>
          <w:highlight w:val="none"/>
        </w:rPr>
      </w:pPr>
      <w:bookmarkStart w:id="50" w:name="_Toc351203486"/>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建造师注册执业号</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联系号码：</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p>
    <w:p w14:paraId="4B7E5144">
      <w:pPr>
        <w:pStyle w:val="54"/>
        <w:keepNext w:val="0"/>
        <w:keepLines w:val="0"/>
        <w:pageBreakBefore w:val="0"/>
        <w:widowControl w:val="0"/>
        <w:kinsoku/>
        <w:wordWrap/>
        <w:overflowPunct/>
        <w:topLinePunct w:val="0"/>
        <w:bidi w:val="0"/>
        <w:snapToGrid/>
        <w:spacing w:after="0" w:line="360" w:lineRule="auto"/>
        <w:ind w:left="0" w:leftChars="0"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lang w:val="en-US" w:eastAsia="zh-CN"/>
        </w:rPr>
        <w:t>技术负责人：</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联系号码：</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w:t>
      </w:r>
    </w:p>
    <w:p w14:paraId="214BBFCE">
      <w:pPr>
        <w:keepNext w:val="0"/>
        <w:keepLines w:val="0"/>
        <w:pageBreakBefore w:val="0"/>
        <w:widowControl w:val="0"/>
        <w:kinsoku/>
        <w:wordWrap/>
        <w:overflowPunct/>
        <w:topLinePunct w:val="0"/>
        <w:bidi w:val="0"/>
        <w:snapToGrid w:val="0"/>
        <w:spacing w:beforeAutospacing="0" w:line="360" w:lineRule="auto"/>
        <w:ind w:firstLine="422" w:firstLineChars="200"/>
        <w:textAlignment w:val="auto"/>
        <w:rPr>
          <w:rFonts w:cs="宋体"/>
          <w:b/>
          <w:color w:val="auto"/>
          <w:sz w:val="21"/>
          <w:szCs w:val="21"/>
        </w:rPr>
      </w:pPr>
      <w:r>
        <w:rPr>
          <w:rFonts w:hint="eastAsia" w:cs="宋体"/>
          <w:b/>
          <w:color w:val="auto"/>
          <w:sz w:val="21"/>
          <w:szCs w:val="21"/>
        </w:rPr>
        <w:t>六、合同文件构成</w:t>
      </w:r>
      <w:bookmarkEnd w:id="50"/>
    </w:p>
    <w:p w14:paraId="4D1CB48D">
      <w:pPr>
        <w:keepNext w:val="0"/>
        <w:keepLines w:val="0"/>
        <w:pageBreakBefore w:val="0"/>
        <w:widowControl w:val="0"/>
        <w:kinsoku/>
        <w:wordWrap/>
        <w:overflowPunct/>
        <w:topLinePunct w:val="0"/>
        <w:bidi w:val="0"/>
        <w:snapToGrid w:val="0"/>
        <w:spacing w:beforeAutospacing="0" w:line="360" w:lineRule="auto"/>
        <w:ind w:firstLine="420" w:firstLineChars="200"/>
        <w:textAlignment w:val="auto"/>
        <w:rPr>
          <w:rFonts w:cs="宋体"/>
          <w:bCs/>
          <w:color w:val="auto"/>
          <w:sz w:val="21"/>
          <w:szCs w:val="21"/>
        </w:rPr>
      </w:pPr>
      <w:r>
        <w:rPr>
          <w:rFonts w:hint="eastAsia" w:cs="宋体"/>
          <w:bCs/>
          <w:color w:val="auto"/>
          <w:sz w:val="21"/>
          <w:szCs w:val="21"/>
        </w:rPr>
        <w:t>本协议书与下列文件一起构成合同文件：</w:t>
      </w:r>
    </w:p>
    <w:p w14:paraId="5DB6DF82">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420" w:firstLineChars="200"/>
        <w:jc w:val="left"/>
        <w:textAlignment w:val="auto"/>
        <w:rPr>
          <w:rFonts w:cs="宋体"/>
          <w:color w:val="auto"/>
          <w:sz w:val="21"/>
          <w:szCs w:val="21"/>
        </w:rPr>
      </w:pPr>
      <w:r>
        <w:rPr>
          <w:rFonts w:hint="eastAsia" w:cs="宋体"/>
          <w:color w:val="auto"/>
          <w:sz w:val="21"/>
          <w:szCs w:val="21"/>
        </w:rPr>
        <w:t>（1）中标通知书（如果有）；（2）投标函及其附录（如果有）；（3）专用合同条款及其附件；（4）通用合同条款；（5）技术标准和要求；（6）图纸；（7）已标价工程量清单或预算书；（8）其他合同文件。</w:t>
      </w:r>
    </w:p>
    <w:p w14:paraId="1F532D9E">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420" w:firstLineChars="200"/>
        <w:jc w:val="left"/>
        <w:textAlignment w:val="auto"/>
        <w:rPr>
          <w:rFonts w:cs="宋体"/>
          <w:color w:val="auto"/>
          <w:sz w:val="21"/>
          <w:szCs w:val="21"/>
        </w:rPr>
      </w:pPr>
      <w:r>
        <w:rPr>
          <w:rFonts w:hint="eastAsia" w:cs="宋体"/>
          <w:color w:val="auto"/>
          <w:sz w:val="21"/>
          <w:szCs w:val="21"/>
        </w:rPr>
        <w:t>在合同订立及履行过程中形成的与合同有关的文件均构成合同文件组成部分。</w:t>
      </w:r>
    </w:p>
    <w:p w14:paraId="56BC5130">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420" w:firstLineChars="200"/>
        <w:jc w:val="left"/>
        <w:textAlignment w:val="auto"/>
        <w:rPr>
          <w:rFonts w:cs="宋体"/>
          <w:color w:val="auto"/>
          <w:sz w:val="21"/>
          <w:szCs w:val="21"/>
        </w:rPr>
      </w:pPr>
      <w:r>
        <w:rPr>
          <w:rFonts w:hint="eastAsia" w:cs="宋体"/>
          <w:color w:val="auto"/>
          <w:sz w:val="21"/>
          <w:szCs w:val="21"/>
        </w:rPr>
        <w:t>上述各项合同文件包括合同当事人就该项合同文件所作出的补充和修改，属于同一类内容的文件，应以最新签署的为准。专用合同条款及其附件须经合同当事人签字或盖章。</w:t>
      </w:r>
    </w:p>
    <w:p w14:paraId="343D2875">
      <w:pPr>
        <w:keepNext w:val="0"/>
        <w:keepLines w:val="0"/>
        <w:pageBreakBefore w:val="0"/>
        <w:widowControl w:val="0"/>
        <w:kinsoku/>
        <w:wordWrap/>
        <w:overflowPunct/>
        <w:topLinePunct w:val="0"/>
        <w:bidi w:val="0"/>
        <w:snapToGrid w:val="0"/>
        <w:spacing w:beforeAutospacing="0" w:line="360" w:lineRule="auto"/>
        <w:ind w:firstLine="422" w:firstLineChars="200"/>
        <w:textAlignment w:val="auto"/>
        <w:rPr>
          <w:rFonts w:cs="宋体"/>
          <w:b/>
          <w:color w:val="auto"/>
          <w:sz w:val="21"/>
          <w:szCs w:val="21"/>
        </w:rPr>
      </w:pPr>
      <w:bookmarkStart w:id="51" w:name="_Toc351203487"/>
      <w:r>
        <w:rPr>
          <w:rFonts w:hint="eastAsia" w:cs="宋体"/>
          <w:b/>
          <w:color w:val="auto"/>
          <w:sz w:val="21"/>
          <w:szCs w:val="21"/>
        </w:rPr>
        <w:t>七、承诺</w:t>
      </w:r>
      <w:bookmarkEnd w:id="51"/>
    </w:p>
    <w:p w14:paraId="06FE0E09">
      <w:pPr>
        <w:keepNext w:val="0"/>
        <w:keepLines w:val="0"/>
        <w:pageBreakBefore w:val="0"/>
        <w:widowControl w:val="0"/>
        <w:kinsoku/>
        <w:wordWrap/>
        <w:overflowPunct/>
        <w:topLinePunct w:val="0"/>
        <w:bidi w:val="0"/>
        <w:snapToGrid w:val="0"/>
        <w:spacing w:beforeAutospacing="0" w:line="360" w:lineRule="auto"/>
        <w:ind w:firstLine="420" w:firstLineChars="200"/>
        <w:textAlignment w:val="auto"/>
        <w:rPr>
          <w:rFonts w:cs="宋体"/>
          <w:bCs/>
          <w:color w:val="auto"/>
          <w:sz w:val="21"/>
          <w:szCs w:val="21"/>
        </w:rPr>
      </w:pPr>
      <w:r>
        <w:rPr>
          <w:rFonts w:hint="eastAsia" w:cs="宋体"/>
          <w:bCs/>
          <w:color w:val="auto"/>
          <w:sz w:val="21"/>
          <w:szCs w:val="21"/>
        </w:rPr>
        <w:t>1. 发包人承诺按照法律规定履行项目审批手续、筹集工程建设资金并按照合同约定的期限和方式支付合同价款。</w:t>
      </w:r>
    </w:p>
    <w:p w14:paraId="7B234256">
      <w:pPr>
        <w:keepNext w:val="0"/>
        <w:keepLines w:val="0"/>
        <w:pageBreakBefore w:val="0"/>
        <w:widowControl w:val="0"/>
        <w:kinsoku/>
        <w:wordWrap/>
        <w:overflowPunct/>
        <w:topLinePunct w:val="0"/>
        <w:bidi w:val="0"/>
        <w:snapToGrid w:val="0"/>
        <w:spacing w:beforeAutospacing="0" w:line="360" w:lineRule="auto"/>
        <w:ind w:firstLine="420" w:firstLineChars="200"/>
        <w:textAlignment w:val="auto"/>
        <w:rPr>
          <w:rFonts w:cs="宋体"/>
          <w:bCs/>
          <w:color w:val="auto"/>
          <w:sz w:val="21"/>
          <w:szCs w:val="21"/>
        </w:rPr>
      </w:pPr>
      <w:r>
        <w:rPr>
          <w:rFonts w:hint="eastAsia" w:cs="宋体"/>
          <w:bCs/>
          <w:color w:val="auto"/>
          <w:sz w:val="21"/>
          <w:szCs w:val="21"/>
        </w:rPr>
        <w:t>2. 承包人承诺按照法律规定及合同约定组织完成工程施工，确保工程质量和安全，不进行转包及违法分包，并在缺陷责任期及保修期内承担相应的工程维修责任。</w:t>
      </w:r>
    </w:p>
    <w:p w14:paraId="2980191E">
      <w:pPr>
        <w:keepNext w:val="0"/>
        <w:keepLines w:val="0"/>
        <w:pageBreakBefore w:val="0"/>
        <w:widowControl w:val="0"/>
        <w:kinsoku/>
        <w:wordWrap/>
        <w:overflowPunct/>
        <w:topLinePunct w:val="0"/>
        <w:bidi w:val="0"/>
        <w:snapToGrid w:val="0"/>
        <w:spacing w:beforeAutospacing="0" w:line="360" w:lineRule="auto"/>
        <w:ind w:firstLine="420" w:firstLineChars="200"/>
        <w:textAlignment w:val="auto"/>
        <w:rPr>
          <w:rFonts w:cs="宋体"/>
          <w:bCs/>
          <w:color w:val="auto"/>
          <w:sz w:val="21"/>
          <w:szCs w:val="21"/>
        </w:rPr>
      </w:pPr>
      <w:r>
        <w:rPr>
          <w:rFonts w:hint="eastAsia" w:cs="宋体"/>
          <w:bCs/>
          <w:color w:val="auto"/>
          <w:sz w:val="21"/>
          <w:szCs w:val="21"/>
        </w:rPr>
        <w:t>3. 发包人和承包人通过招投标形式签订合同的，双方理解并承诺不再就同一工程另行签订与合同实质性内容相背离的协议。</w:t>
      </w:r>
    </w:p>
    <w:p w14:paraId="56D7565B">
      <w:pPr>
        <w:keepNext w:val="0"/>
        <w:keepLines w:val="0"/>
        <w:pageBreakBefore w:val="0"/>
        <w:widowControl w:val="0"/>
        <w:kinsoku/>
        <w:wordWrap/>
        <w:overflowPunct/>
        <w:topLinePunct w:val="0"/>
        <w:bidi w:val="0"/>
        <w:snapToGrid w:val="0"/>
        <w:spacing w:beforeAutospacing="0" w:line="360" w:lineRule="auto"/>
        <w:ind w:firstLine="422" w:firstLineChars="200"/>
        <w:textAlignment w:val="auto"/>
        <w:rPr>
          <w:rFonts w:cs="宋体"/>
          <w:b/>
          <w:color w:val="auto"/>
          <w:sz w:val="21"/>
          <w:szCs w:val="21"/>
        </w:rPr>
      </w:pPr>
      <w:bookmarkStart w:id="52" w:name="_Toc351203488"/>
      <w:r>
        <w:rPr>
          <w:rFonts w:hint="eastAsia" w:cs="宋体"/>
          <w:b/>
          <w:color w:val="auto"/>
          <w:sz w:val="21"/>
          <w:szCs w:val="21"/>
        </w:rPr>
        <w:t>八、词语含义</w:t>
      </w:r>
      <w:bookmarkEnd w:id="52"/>
    </w:p>
    <w:p w14:paraId="6EFD7161">
      <w:pPr>
        <w:keepNext w:val="0"/>
        <w:keepLines w:val="0"/>
        <w:pageBreakBefore w:val="0"/>
        <w:widowControl w:val="0"/>
        <w:kinsoku/>
        <w:wordWrap/>
        <w:overflowPunct/>
        <w:topLinePunct w:val="0"/>
        <w:bidi w:val="0"/>
        <w:snapToGrid w:val="0"/>
        <w:spacing w:beforeAutospacing="0" w:line="360" w:lineRule="auto"/>
        <w:ind w:firstLine="420" w:firstLineChars="200"/>
        <w:textAlignment w:val="auto"/>
        <w:rPr>
          <w:rFonts w:cs="宋体"/>
          <w:bCs/>
          <w:color w:val="auto"/>
          <w:sz w:val="21"/>
          <w:szCs w:val="21"/>
        </w:rPr>
      </w:pPr>
      <w:r>
        <w:rPr>
          <w:rFonts w:hint="eastAsia" w:cs="宋体"/>
          <w:bCs/>
          <w:color w:val="auto"/>
          <w:sz w:val="21"/>
          <w:szCs w:val="21"/>
        </w:rPr>
        <w:t>本协议书中词语含义与第二部分通用合同条款中赋予的含义相同。</w:t>
      </w:r>
    </w:p>
    <w:p w14:paraId="51F17E01">
      <w:pPr>
        <w:keepNext w:val="0"/>
        <w:keepLines w:val="0"/>
        <w:pageBreakBefore w:val="0"/>
        <w:widowControl w:val="0"/>
        <w:kinsoku/>
        <w:wordWrap/>
        <w:overflowPunct/>
        <w:topLinePunct w:val="0"/>
        <w:bidi w:val="0"/>
        <w:snapToGrid w:val="0"/>
        <w:spacing w:beforeAutospacing="0" w:line="360" w:lineRule="auto"/>
        <w:ind w:firstLine="422" w:firstLineChars="200"/>
        <w:textAlignment w:val="auto"/>
        <w:rPr>
          <w:rFonts w:cs="宋体"/>
          <w:b/>
          <w:color w:val="auto"/>
          <w:sz w:val="21"/>
          <w:szCs w:val="21"/>
        </w:rPr>
      </w:pPr>
      <w:bookmarkStart w:id="53" w:name="_Toc351203489"/>
      <w:r>
        <w:rPr>
          <w:rFonts w:hint="eastAsia" w:cs="宋体"/>
          <w:b/>
          <w:color w:val="auto"/>
          <w:sz w:val="21"/>
          <w:szCs w:val="21"/>
        </w:rPr>
        <w:t>九、签订时间</w:t>
      </w:r>
      <w:bookmarkEnd w:id="53"/>
    </w:p>
    <w:p w14:paraId="11B151CB">
      <w:pPr>
        <w:keepNext w:val="0"/>
        <w:keepLines w:val="0"/>
        <w:pageBreakBefore w:val="0"/>
        <w:widowControl w:val="0"/>
        <w:kinsoku/>
        <w:wordWrap/>
        <w:overflowPunct/>
        <w:topLinePunct w:val="0"/>
        <w:bidi w:val="0"/>
        <w:snapToGrid w:val="0"/>
        <w:spacing w:beforeAutospacing="0" w:line="360" w:lineRule="auto"/>
        <w:ind w:firstLine="420" w:firstLineChars="200"/>
        <w:textAlignment w:val="auto"/>
        <w:rPr>
          <w:rFonts w:cs="宋体"/>
          <w:bCs/>
          <w:color w:val="auto"/>
          <w:sz w:val="21"/>
          <w:szCs w:val="21"/>
        </w:rPr>
      </w:pPr>
      <w:r>
        <w:rPr>
          <w:rFonts w:hint="eastAsia" w:cs="宋体"/>
          <w:bCs/>
          <w:color w:val="auto"/>
          <w:sz w:val="21"/>
          <w:szCs w:val="21"/>
        </w:rPr>
        <w:t>本合同于</w:t>
      </w:r>
      <w:r>
        <w:rPr>
          <w:rFonts w:hint="eastAsia" w:cs="宋体"/>
          <w:bCs/>
          <w:color w:val="auto"/>
          <w:sz w:val="21"/>
          <w:szCs w:val="21"/>
          <w:u w:val="single"/>
        </w:rPr>
        <w:t xml:space="preserve">         </w:t>
      </w:r>
      <w:r>
        <w:rPr>
          <w:rFonts w:hint="eastAsia" w:cs="宋体"/>
          <w:bCs/>
          <w:color w:val="auto"/>
          <w:sz w:val="21"/>
          <w:szCs w:val="21"/>
        </w:rPr>
        <w:t>年</w:t>
      </w:r>
      <w:r>
        <w:rPr>
          <w:rFonts w:hint="eastAsia" w:cs="宋体"/>
          <w:bCs/>
          <w:color w:val="auto"/>
          <w:sz w:val="21"/>
          <w:szCs w:val="21"/>
          <w:u w:val="single"/>
        </w:rPr>
        <w:t xml:space="preserve">    </w:t>
      </w:r>
      <w:r>
        <w:rPr>
          <w:rFonts w:hint="eastAsia" w:cs="宋体"/>
          <w:bCs/>
          <w:color w:val="auto"/>
          <w:sz w:val="21"/>
          <w:szCs w:val="21"/>
        </w:rPr>
        <w:t>月</w:t>
      </w:r>
      <w:r>
        <w:rPr>
          <w:rFonts w:hint="eastAsia" w:cs="宋体"/>
          <w:bCs/>
          <w:color w:val="auto"/>
          <w:sz w:val="21"/>
          <w:szCs w:val="21"/>
          <w:u w:val="single"/>
        </w:rPr>
        <w:t xml:space="preserve">    </w:t>
      </w:r>
      <w:r>
        <w:rPr>
          <w:rFonts w:hint="eastAsia" w:cs="宋体"/>
          <w:bCs/>
          <w:color w:val="auto"/>
          <w:sz w:val="21"/>
          <w:szCs w:val="21"/>
        </w:rPr>
        <w:t>日签订。</w:t>
      </w:r>
    </w:p>
    <w:p w14:paraId="0448225D">
      <w:pPr>
        <w:keepNext w:val="0"/>
        <w:keepLines w:val="0"/>
        <w:pageBreakBefore w:val="0"/>
        <w:widowControl w:val="0"/>
        <w:kinsoku/>
        <w:wordWrap/>
        <w:overflowPunct/>
        <w:topLinePunct w:val="0"/>
        <w:bidi w:val="0"/>
        <w:snapToGrid w:val="0"/>
        <w:spacing w:beforeAutospacing="0" w:line="360" w:lineRule="auto"/>
        <w:ind w:firstLine="422" w:firstLineChars="200"/>
        <w:textAlignment w:val="auto"/>
        <w:rPr>
          <w:rFonts w:cs="宋体"/>
          <w:b/>
          <w:color w:val="auto"/>
          <w:sz w:val="21"/>
          <w:szCs w:val="21"/>
        </w:rPr>
      </w:pPr>
      <w:bookmarkStart w:id="54" w:name="_Toc351203490"/>
      <w:r>
        <w:rPr>
          <w:rFonts w:hint="eastAsia" w:cs="宋体"/>
          <w:b/>
          <w:color w:val="auto"/>
          <w:sz w:val="21"/>
          <w:szCs w:val="21"/>
        </w:rPr>
        <w:t>十、签订地点</w:t>
      </w:r>
      <w:bookmarkEnd w:id="54"/>
    </w:p>
    <w:p w14:paraId="5E72D3C0">
      <w:pPr>
        <w:keepNext w:val="0"/>
        <w:keepLines w:val="0"/>
        <w:pageBreakBefore w:val="0"/>
        <w:widowControl w:val="0"/>
        <w:kinsoku/>
        <w:wordWrap/>
        <w:overflowPunct/>
        <w:topLinePunct w:val="0"/>
        <w:bidi w:val="0"/>
        <w:snapToGrid w:val="0"/>
        <w:spacing w:beforeAutospacing="0" w:line="360" w:lineRule="auto"/>
        <w:ind w:firstLine="420" w:firstLineChars="200"/>
        <w:textAlignment w:val="auto"/>
        <w:rPr>
          <w:rFonts w:cs="宋体"/>
          <w:bCs/>
          <w:color w:val="auto"/>
          <w:sz w:val="21"/>
          <w:szCs w:val="21"/>
        </w:rPr>
      </w:pPr>
      <w:r>
        <w:rPr>
          <w:rFonts w:hint="eastAsia" w:cs="宋体"/>
          <w:bCs/>
          <w:color w:val="auto"/>
          <w:sz w:val="21"/>
          <w:szCs w:val="21"/>
        </w:rPr>
        <w:t>本合同在</w:t>
      </w:r>
      <w:r>
        <w:rPr>
          <w:rFonts w:hint="eastAsia" w:cs="宋体"/>
          <w:bCs/>
          <w:color w:val="auto"/>
          <w:sz w:val="21"/>
          <w:szCs w:val="21"/>
          <w:u w:val="single"/>
        </w:rPr>
        <w:t xml:space="preserve">          </w:t>
      </w:r>
      <w:r>
        <w:rPr>
          <w:rFonts w:hint="eastAsia" w:cs="宋体"/>
          <w:bCs/>
          <w:color w:val="auto"/>
          <w:sz w:val="21"/>
          <w:szCs w:val="21"/>
          <w:u w:val="single"/>
          <w:lang w:val="en-US" w:eastAsia="zh-CN"/>
        </w:rPr>
        <w:t>滁州学院会峰校区</w:t>
      </w:r>
      <w:r>
        <w:rPr>
          <w:rFonts w:hint="eastAsia" w:cs="宋体"/>
          <w:bCs/>
          <w:color w:val="auto"/>
          <w:sz w:val="21"/>
          <w:szCs w:val="21"/>
          <w:u w:val="single"/>
        </w:rPr>
        <w:t xml:space="preserve">             </w:t>
      </w:r>
      <w:r>
        <w:rPr>
          <w:rFonts w:hint="eastAsia" w:cs="宋体"/>
          <w:bCs/>
          <w:color w:val="auto"/>
          <w:sz w:val="21"/>
          <w:szCs w:val="21"/>
        </w:rPr>
        <w:t>签订。</w:t>
      </w:r>
    </w:p>
    <w:p w14:paraId="2F5CAED1">
      <w:pPr>
        <w:keepNext w:val="0"/>
        <w:keepLines w:val="0"/>
        <w:pageBreakBefore w:val="0"/>
        <w:widowControl w:val="0"/>
        <w:kinsoku/>
        <w:wordWrap/>
        <w:overflowPunct/>
        <w:topLinePunct w:val="0"/>
        <w:bidi w:val="0"/>
        <w:snapToGrid w:val="0"/>
        <w:spacing w:beforeAutospacing="0" w:line="360" w:lineRule="auto"/>
        <w:ind w:firstLine="422" w:firstLineChars="200"/>
        <w:textAlignment w:val="auto"/>
        <w:rPr>
          <w:rFonts w:cs="宋体"/>
          <w:b/>
          <w:color w:val="auto"/>
          <w:sz w:val="21"/>
          <w:szCs w:val="21"/>
        </w:rPr>
      </w:pPr>
      <w:bookmarkStart w:id="55" w:name="_Toc351203491"/>
      <w:r>
        <w:rPr>
          <w:rFonts w:hint="eastAsia" w:cs="宋体"/>
          <w:b/>
          <w:color w:val="auto"/>
          <w:sz w:val="21"/>
          <w:szCs w:val="21"/>
        </w:rPr>
        <w:t>十一、补充协议</w:t>
      </w:r>
      <w:bookmarkEnd w:id="55"/>
    </w:p>
    <w:p w14:paraId="05AD0309">
      <w:pPr>
        <w:keepNext w:val="0"/>
        <w:keepLines w:val="0"/>
        <w:pageBreakBefore w:val="0"/>
        <w:widowControl w:val="0"/>
        <w:kinsoku/>
        <w:wordWrap/>
        <w:overflowPunct/>
        <w:topLinePunct w:val="0"/>
        <w:bidi w:val="0"/>
        <w:snapToGrid w:val="0"/>
        <w:spacing w:beforeAutospacing="0" w:line="360" w:lineRule="auto"/>
        <w:ind w:firstLine="420" w:firstLineChars="200"/>
        <w:textAlignment w:val="auto"/>
        <w:rPr>
          <w:rFonts w:cs="宋体"/>
          <w:b/>
          <w:bCs/>
          <w:color w:val="auto"/>
          <w:sz w:val="21"/>
          <w:szCs w:val="21"/>
        </w:rPr>
      </w:pPr>
      <w:r>
        <w:rPr>
          <w:rFonts w:hint="eastAsia" w:cs="宋体"/>
          <w:bCs/>
          <w:color w:val="auto"/>
          <w:sz w:val="21"/>
          <w:szCs w:val="21"/>
        </w:rPr>
        <w:t>合同未尽事宜，合同当事人另行签订补充协议，补充协议是合同的组成部分。</w:t>
      </w:r>
    </w:p>
    <w:p w14:paraId="1E369093">
      <w:pPr>
        <w:keepNext w:val="0"/>
        <w:keepLines w:val="0"/>
        <w:pageBreakBefore w:val="0"/>
        <w:widowControl w:val="0"/>
        <w:kinsoku/>
        <w:wordWrap/>
        <w:overflowPunct/>
        <w:topLinePunct w:val="0"/>
        <w:bidi w:val="0"/>
        <w:snapToGrid w:val="0"/>
        <w:spacing w:beforeAutospacing="0" w:line="360" w:lineRule="auto"/>
        <w:ind w:firstLine="422" w:firstLineChars="200"/>
        <w:textAlignment w:val="auto"/>
        <w:rPr>
          <w:rFonts w:cs="宋体"/>
          <w:b/>
          <w:color w:val="auto"/>
          <w:sz w:val="21"/>
          <w:szCs w:val="21"/>
        </w:rPr>
      </w:pPr>
      <w:bookmarkStart w:id="56" w:name="_Toc351203492"/>
      <w:r>
        <w:rPr>
          <w:rFonts w:hint="eastAsia" w:cs="宋体"/>
          <w:b/>
          <w:color w:val="auto"/>
          <w:sz w:val="21"/>
          <w:szCs w:val="21"/>
        </w:rPr>
        <w:t>十二、合同生效</w:t>
      </w:r>
      <w:bookmarkEnd w:id="56"/>
    </w:p>
    <w:p w14:paraId="4F31E631">
      <w:pPr>
        <w:keepNext w:val="0"/>
        <w:keepLines w:val="0"/>
        <w:pageBreakBefore w:val="0"/>
        <w:widowControl w:val="0"/>
        <w:kinsoku/>
        <w:wordWrap/>
        <w:overflowPunct/>
        <w:topLinePunct w:val="0"/>
        <w:bidi w:val="0"/>
        <w:snapToGrid w:val="0"/>
        <w:spacing w:beforeAutospacing="0" w:line="360" w:lineRule="auto"/>
        <w:ind w:firstLine="420" w:firstLineChars="200"/>
        <w:textAlignment w:val="auto"/>
        <w:rPr>
          <w:rFonts w:cs="宋体"/>
          <w:bCs/>
          <w:color w:val="auto"/>
          <w:sz w:val="21"/>
          <w:szCs w:val="21"/>
        </w:rPr>
      </w:pPr>
      <w:r>
        <w:rPr>
          <w:rFonts w:hint="eastAsia" w:cs="宋体"/>
          <w:bCs/>
          <w:color w:val="auto"/>
          <w:sz w:val="21"/>
          <w:szCs w:val="21"/>
        </w:rPr>
        <w:t>本合同自</w:t>
      </w:r>
      <w:r>
        <w:rPr>
          <w:rFonts w:hint="eastAsia" w:cs="宋体"/>
          <w:bCs/>
          <w:color w:val="auto"/>
          <w:sz w:val="21"/>
          <w:szCs w:val="21"/>
          <w:u w:val="single"/>
        </w:rPr>
        <w:t xml:space="preserve">   </w:t>
      </w:r>
      <w:r>
        <w:rPr>
          <w:rFonts w:hint="eastAsia" w:cs="宋体"/>
          <w:bCs/>
          <w:color w:val="auto"/>
          <w:sz w:val="21"/>
          <w:szCs w:val="21"/>
          <w:u w:val="single"/>
          <w:lang w:val="en-US" w:eastAsia="zh-CN"/>
        </w:rPr>
        <w:t xml:space="preserve">双方签字盖章 </w:t>
      </w:r>
      <w:r>
        <w:rPr>
          <w:rFonts w:hint="eastAsia" w:cs="宋体"/>
          <w:bCs/>
          <w:color w:val="auto"/>
          <w:sz w:val="21"/>
          <w:szCs w:val="21"/>
        </w:rPr>
        <w:t>生效。</w:t>
      </w:r>
    </w:p>
    <w:p w14:paraId="6FBBE96C">
      <w:pPr>
        <w:keepNext w:val="0"/>
        <w:keepLines w:val="0"/>
        <w:pageBreakBefore w:val="0"/>
        <w:widowControl w:val="0"/>
        <w:kinsoku/>
        <w:wordWrap/>
        <w:overflowPunct/>
        <w:topLinePunct w:val="0"/>
        <w:bidi w:val="0"/>
        <w:snapToGrid w:val="0"/>
        <w:spacing w:beforeAutospacing="0" w:line="360" w:lineRule="auto"/>
        <w:ind w:firstLine="422" w:firstLineChars="200"/>
        <w:textAlignment w:val="auto"/>
        <w:rPr>
          <w:rFonts w:cs="宋体"/>
          <w:b/>
          <w:color w:val="auto"/>
          <w:sz w:val="21"/>
          <w:szCs w:val="21"/>
        </w:rPr>
      </w:pPr>
      <w:bookmarkStart w:id="57" w:name="_Toc351203493"/>
      <w:r>
        <w:rPr>
          <w:rFonts w:hint="eastAsia" w:cs="宋体"/>
          <w:b/>
          <w:color w:val="auto"/>
          <w:sz w:val="21"/>
          <w:szCs w:val="21"/>
        </w:rPr>
        <w:t>十三、合同份数</w:t>
      </w:r>
      <w:bookmarkEnd w:id="57"/>
    </w:p>
    <w:p w14:paraId="4F07361F">
      <w:pPr>
        <w:keepNext w:val="0"/>
        <w:keepLines w:val="0"/>
        <w:pageBreakBefore w:val="0"/>
        <w:widowControl w:val="0"/>
        <w:kinsoku/>
        <w:wordWrap/>
        <w:overflowPunct/>
        <w:topLinePunct w:val="0"/>
        <w:bidi w:val="0"/>
        <w:snapToGrid w:val="0"/>
        <w:spacing w:beforeAutospacing="0" w:line="360" w:lineRule="auto"/>
        <w:ind w:firstLine="420" w:firstLineChars="200"/>
        <w:textAlignment w:val="auto"/>
        <w:rPr>
          <w:rFonts w:cs="宋体"/>
          <w:bCs/>
          <w:color w:val="auto"/>
          <w:sz w:val="21"/>
          <w:szCs w:val="21"/>
        </w:rPr>
      </w:pPr>
      <w:r>
        <w:rPr>
          <w:rFonts w:hint="eastAsia" w:cs="宋体"/>
          <w:bCs/>
          <w:color w:val="auto"/>
          <w:sz w:val="21"/>
          <w:szCs w:val="21"/>
        </w:rPr>
        <w:t>本合同一式</w:t>
      </w:r>
      <w:r>
        <w:rPr>
          <w:rFonts w:hint="eastAsia" w:cs="宋体"/>
          <w:bCs/>
          <w:color w:val="auto"/>
          <w:sz w:val="21"/>
          <w:szCs w:val="21"/>
          <w:u w:val="single"/>
        </w:rPr>
        <w:t xml:space="preserve"> </w:t>
      </w:r>
      <w:r>
        <w:rPr>
          <w:rFonts w:hint="eastAsia" w:cs="宋体"/>
          <w:bCs/>
          <w:color w:val="auto"/>
          <w:sz w:val="21"/>
          <w:szCs w:val="21"/>
          <w:u w:val="single"/>
          <w:lang w:val="en-US" w:eastAsia="zh-CN"/>
        </w:rPr>
        <w:t>捌</w:t>
      </w:r>
      <w:r>
        <w:rPr>
          <w:rFonts w:hint="eastAsia" w:cs="宋体"/>
          <w:bCs/>
          <w:color w:val="auto"/>
          <w:sz w:val="21"/>
          <w:szCs w:val="21"/>
          <w:u w:val="single"/>
        </w:rPr>
        <w:t xml:space="preserve"> </w:t>
      </w:r>
      <w:r>
        <w:rPr>
          <w:rFonts w:hint="eastAsia" w:cs="宋体"/>
          <w:bCs/>
          <w:color w:val="auto"/>
          <w:sz w:val="21"/>
          <w:szCs w:val="21"/>
        </w:rPr>
        <w:t>份，均具有同等法律效力，发包人执</w:t>
      </w:r>
      <w:r>
        <w:rPr>
          <w:rFonts w:hint="eastAsia" w:cs="宋体"/>
          <w:bCs/>
          <w:color w:val="auto"/>
          <w:sz w:val="21"/>
          <w:szCs w:val="21"/>
          <w:u w:val="single"/>
        </w:rPr>
        <w:t xml:space="preserve"> </w:t>
      </w:r>
      <w:r>
        <w:rPr>
          <w:rFonts w:hint="eastAsia" w:cs="宋体"/>
          <w:bCs/>
          <w:color w:val="auto"/>
          <w:sz w:val="21"/>
          <w:szCs w:val="21"/>
          <w:u w:val="single"/>
          <w:lang w:val="en-US" w:eastAsia="zh-CN"/>
        </w:rPr>
        <w:t>陆</w:t>
      </w:r>
      <w:r>
        <w:rPr>
          <w:rFonts w:hint="eastAsia" w:cs="宋体"/>
          <w:bCs/>
          <w:color w:val="auto"/>
          <w:sz w:val="21"/>
          <w:szCs w:val="21"/>
          <w:u w:val="single"/>
        </w:rPr>
        <w:t xml:space="preserve"> </w:t>
      </w:r>
      <w:r>
        <w:rPr>
          <w:rFonts w:hint="eastAsia" w:cs="宋体"/>
          <w:bCs/>
          <w:color w:val="auto"/>
          <w:sz w:val="21"/>
          <w:szCs w:val="21"/>
        </w:rPr>
        <w:t>份，承包人执</w:t>
      </w:r>
      <w:r>
        <w:rPr>
          <w:rFonts w:hint="eastAsia" w:cs="宋体"/>
          <w:bCs/>
          <w:color w:val="auto"/>
          <w:sz w:val="21"/>
          <w:szCs w:val="21"/>
          <w:u w:val="single"/>
        </w:rPr>
        <w:t xml:space="preserve"> </w:t>
      </w:r>
      <w:r>
        <w:rPr>
          <w:rFonts w:hint="eastAsia" w:cs="宋体"/>
          <w:bCs/>
          <w:color w:val="auto"/>
          <w:sz w:val="21"/>
          <w:szCs w:val="21"/>
          <w:u w:val="single"/>
          <w:lang w:val="en-US" w:eastAsia="zh-CN"/>
        </w:rPr>
        <w:t>贰</w:t>
      </w:r>
      <w:r>
        <w:rPr>
          <w:rFonts w:hint="eastAsia" w:cs="宋体"/>
          <w:bCs/>
          <w:color w:val="auto"/>
          <w:sz w:val="21"/>
          <w:szCs w:val="21"/>
          <w:u w:val="single"/>
        </w:rPr>
        <w:t xml:space="preserve"> </w:t>
      </w:r>
      <w:r>
        <w:rPr>
          <w:rFonts w:hint="eastAsia" w:cs="宋体"/>
          <w:bCs/>
          <w:color w:val="auto"/>
          <w:sz w:val="21"/>
          <w:szCs w:val="21"/>
        </w:rPr>
        <w:t>份。</w:t>
      </w:r>
    </w:p>
    <w:p w14:paraId="036919B7">
      <w:pPr>
        <w:keepNext w:val="0"/>
        <w:keepLines w:val="0"/>
        <w:pageBreakBefore w:val="0"/>
        <w:widowControl w:val="0"/>
        <w:kinsoku/>
        <w:wordWrap/>
        <w:overflowPunct/>
        <w:topLinePunct w:val="0"/>
        <w:bidi w:val="0"/>
        <w:snapToGrid w:val="0"/>
        <w:spacing w:beforeAutospacing="0" w:line="360" w:lineRule="auto"/>
        <w:textAlignment w:val="auto"/>
        <w:rPr>
          <w:rFonts w:cs="宋体"/>
          <w:bCs/>
          <w:color w:val="auto"/>
          <w:sz w:val="21"/>
          <w:szCs w:val="21"/>
        </w:rPr>
      </w:pPr>
    </w:p>
    <w:p w14:paraId="635EECB5">
      <w:pPr>
        <w:keepNext w:val="0"/>
        <w:keepLines w:val="0"/>
        <w:pageBreakBefore w:val="0"/>
        <w:widowControl w:val="0"/>
        <w:kinsoku/>
        <w:wordWrap/>
        <w:overflowPunct/>
        <w:topLinePunct w:val="0"/>
        <w:bidi w:val="0"/>
        <w:snapToGrid w:val="0"/>
        <w:spacing w:beforeAutospacing="0" w:line="360" w:lineRule="auto"/>
        <w:textAlignment w:val="auto"/>
        <w:rPr>
          <w:rFonts w:cs="宋体"/>
          <w:color w:val="auto"/>
          <w:sz w:val="21"/>
          <w:szCs w:val="21"/>
        </w:rPr>
      </w:pPr>
      <w:r>
        <w:rPr>
          <w:rFonts w:hint="eastAsia" w:cs="宋体"/>
          <w:color w:val="auto"/>
          <w:sz w:val="21"/>
          <w:szCs w:val="21"/>
        </w:rPr>
        <w:t>发包人：</w:t>
      </w:r>
      <w:r>
        <w:rPr>
          <w:rFonts w:hint="eastAsia" w:cs="宋体"/>
          <w:color w:val="auto"/>
          <w:sz w:val="21"/>
          <w:szCs w:val="21"/>
          <w:u w:val="single"/>
        </w:rPr>
        <w:t xml:space="preserve">      </w:t>
      </w:r>
      <w:r>
        <w:rPr>
          <w:rFonts w:hint="eastAsia" w:cs="宋体"/>
          <w:color w:val="auto"/>
          <w:sz w:val="21"/>
          <w:szCs w:val="21"/>
          <w:u w:val="single"/>
          <w:lang w:val="en-US" w:eastAsia="zh-CN"/>
        </w:rPr>
        <w:t xml:space="preserve">  </w:t>
      </w:r>
      <w:r>
        <w:rPr>
          <w:rFonts w:hint="eastAsia" w:cs="宋体"/>
          <w:color w:val="auto"/>
          <w:sz w:val="21"/>
          <w:szCs w:val="21"/>
          <w:u w:val="single"/>
        </w:rPr>
        <w:t>（</w:t>
      </w:r>
      <w:r>
        <w:rPr>
          <w:rFonts w:hint="eastAsia" w:cs="宋体"/>
          <w:color w:val="auto"/>
          <w:sz w:val="21"/>
          <w:szCs w:val="21"/>
        </w:rPr>
        <w:t>公章）               承包人：</w:t>
      </w:r>
      <w:r>
        <w:rPr>
          <w:rFonts w:hint="eastAsia" w:cs="宋体"/>
          <w:color w:val="auto"/>
          <w:sz w:val="21"/>
          <w:szCs w:val="21"/>
          <w:u w:val="single"/>
        </w:rPr>
        <w:t>        （</w:t>
      </w:r>
      <w:r>
        <w:rPr>
          <w:rFonts w:hint="eastAsia" w:cs="宋体"/>
          <w:color w:val="auto"/>
          <w:sz w:val="21"/>
          <w:szCs w:val="21"/>
        </w:rPr>
        <w:t>公章）</w:t>
      </w:r>
    </w:p>
    <w:p w14:paraId="02A2684C">
      <w:pPr>
        <w:keepNext w:val="0"/>
        <w:keepLines w:val="0"/>
        <w:pageBreakBefore w:val="0"/>
        <w:widowControl w:val="0"/>
        <w:kinsoku/>
        <w:wordWrap/>
        <w:overflowPunct/>
        <w:topLinePunct w:val="0"/>
        <w:bidi w:val="0"/>
        <w:snapToGrid w:val="0"/>
        <w:spacing w:beforeAutospacing="0" w:line="360" w:lineRule="auto"/>
        <w:textAlignment w:val="auto"/>
        <w:rPr>
          <w:rFonts w:cs="宋体"/>
          <w:color w:val="auto"/>
          <w:sz w:val="21"/>
          <w:szCs w:val="21"/>
        </w:rPr>
      </w:pPr>
      <w:r>
        <w:rPr>
          <w:rFonts w:hint="eastAsia" w:cs="宋体"/>
          <w:color w:val="auto"/>
          <w:sz w:val="21"/>
          <w:szCs w:val="21"/>
        </w:rPr>
        <w:t>法定代表人或其委托代理人：                 法定代表人或其委托代理人：</w:t>
      </w:r>
    </w:p>
    <w:p w14:paraId="5E05F6C9">
      <w:pPr>
        <w:keepNext w:val="0"/>
        <w:keepLines w:val="0"/>
        <w:pageBreakBefore w:val="0"/>
        <w:widowControl w:val="0"/>
        <w:kinsoku/>
        <w:wordWrap/>
        <w:overflowPunct/>
        <w:topLinePunct w:val="0"/>
        <w:bidi w:val="0"/>
        <w:snapToGrid w:val="0"/>
        <w:spacing w:beforeAutospacing="0" w:line="360" w:lineRule="auto"/>
        <w:textAlignment w:val="auto"/>
        <w:rPr>
          <w:rFonts w:cs="宋体"/>
          <w:color w:val="auto"/>
          <w:sz w:val="21"/>
          <w:szCs w:val="21"/>
        </w:rPr>
      </w:pPr>
      <w:r>
        <w:rPr>
          <w:rFonts w:hint="eastAsia" w:cs="宋体"/>
          <w:color w:val="auto"/>
          <w:sz w:val="21"/>
          <w:szCs w:val="21"/>
        </w:rPr>
        <w:t>（</w:t>
      </w:r>
      <w:r>
        <w:rPr>
          <w:rFonts w:hint="eastAsia" w:cs="宋体"/>
          <w:color w:val="auto"/>
          <w:sz w:val="21"/>
          <w:szCs w:val="21"/>
          <w:lang w:val="en-US" w:eastAsia="zh-CN"/>
        </w:rPr>
        <w:t>签章</w:t>
      </w:r>
      <w:r>
        <w:rPr>
          <w:rFonts w:hint="eastAsia" w:cs="宋体"/>
          <w:color w:val="auto"/>
          <w:sz w:val="21"/>
          <w:szCs w:val="21"/>
        </w:rPr>
        <w:t>）</w:t>
      </w:r>
      <w:r>
        <w:rPr>
          <w:rFonts w:hint="eastAsia" w:cs="宋体"/>
          <w:color w:val="auto"/>
          <w:sz w:val="21"/>
          <w:szCs w:val="21"/>
          <w:u w:val="single"/>
        </w:rPr>
        <w:t xml:space="preserve">                    </w:t>
      </w:r>
      <w:r>
        <w:rPr>
          <w:rFonts w:hint="eastAsia" w:cs="宋体"/>
          <w:color w:val="auto"/>
          <w:sz w:val="21"/>
          <w:szCs w:val="21"/>
        </w:rPr>
        <w:t xml:space="preserve">              （</w:t>
      </w:r>
      <w:r>
        <w:rPr>
          <w:rFonts w:hint="eastAsia" w:cs="宋体"/>
          <w:color w:val="auto"/>
          <w:sz w:val="21"/>
          <w:szCs w:val="21"/>
          <w:lang w:val="en-US" w:eastAsia="zh-CN"/>
        </w:rPr>
        <w:t>签章</w:t>
      </w:r>
      <w:r>
        <w:rPr>
          <w:rFonts w:hint="eastAsia" w:cs="宋体"/>
          <w:color w:val="auto"/>
          <w:sz w:val="21"/>
          <w:szCs w:val="21"/>
        </w:rPr>
        <w:t>）</w:t>
      </w:r>
      <w:r>
        <w:rPr>
          <w:rFonts w:hint="eastAsia" w:cs="宋体"/>
          <w:color w:val="auto"/>
          <w:sz w:val="21"/>
          <w:szCs w:val="21"/>
          <w:u w:val="single"/>
        </w:rPr>
        <w:t xml:space="preserve">                   </w:t>
      </w:r>
    </w:p>
    <w:p w14:paraId="01613587">
      <w:pPr>
        <w:keepNext w:val="0"/>
        <w:keepLines w:val="0"/>
        <w:pageBreakBefore w:val="0"/>
        <w:widowControl w:val="0"/>
        <w:tabs>
          <w:tab w:val="left" w:pos="4410"/>
        </w:tabs>
        <w:kinsoku/>
        <w:wordWrap/>
        <w:overflowPunct/>
        <w:topLinePunct w:val="0"/>
        <w:bidi w:val="0"/>
        <w:snapToGrid w:val="0"/>
        <w:spacing w:beforeAutospacing="0" w:line="360" w:lineRule="auto"/>
        <w:textAlignment w:val="auto"/>
        <w:rPr>
          <w:rFonts w:cs="宋体"/>
          <w:color w:val="auto"/>
          <w:sz w:val="21"/>
          <w:szCs w:val="21"/>
        </w:rPr>
      </w:pPr>
      <w:r>
        <w:rPr>
          <w:rFonts w:hint="eastAsia" w:cs="宋体"/>
          <w:color w:val="auto"/>
          <w:sz w:val="21"/>
          <w:szCs w:val="21"/>
        </w:rPr>
        <w:t>组织机构代码：</w:t>
      </w:r>
      <w:r>
        <w:rPr>
          <w:rFonts w:hint="eastAsia" w:cs="宋体"/>
          <w:color w:val="auto"/>
          <w:sz w:val="21"/>
          <w:szCs w:val="21"/>
          <w:u w:val="single"/>
        </w:rPr>
        <w:t>123400004860905355</w:t>
      </w:r>
      <w:r>
        <w:rPr>
          <w:rFonts w:hint="eastAsia" w:cs="宋体"/>
          <w:color w:val="auto"/>
          <w:sz w:val="21"/>
          <w:szCs w:val="21"/>
        </w:rPr>
        <w:t xml:space="preserve">           组织机构代码：</w:t>
      </w:r>
      <w:r>
        <w:rPr>
          <w:rFonts w:hint="eastAsia" w:cs="宋体"/>
          <w:color w:val="auto"/>
          <w:sz w:val="21"/>
          <w:szCs w:val="21"/>
          <w:u w:val="single"/>
        </w:rPr>
        <w:t xml:space="preserve">        </w:t>
      </w:r>
    </w:p>
    <w:p w14:paraId="03D7304C">
      <w:pPr>
        <w:keepNext w:val="0"/>
        <w:keepLines w:val="0"/>
        <w:pageBreakBefore w:val="0"/>
        <w:widowControl w:val="0"/>
        <w:kinsoku/>
        <w:wordWrap/>
        <w:overflowPunct/>
        <w:topLinePunct w:val="0"/>
        <w:bidi w:val="0"/>
        <w:snapToGrid w:val="0"/>
        <w:spacing w:beforeAutospacing="0" w:line="360" w:lineRule="auto"/>
        <w:textAlignment w:val="auto"/>
        <w:rPr>
          <w:rFonts w:cs="宋体"/>
          <w:color w:val="auto"/>
          <w:sz w:val="21"/>
          <w:szCs w:val="21"/>
        </w:rPr>
      </w:pPr>
      <w:r>
        <w:rPr>
          <w:rFonts w:hint="eastAsia" w:cs="宋体"/>
          <w:color w:val="auto"/>
          <w:sz w:val="21"/>
          <w:szCs w:val="21"/>
        </w:rPr>
        <w:t>地  址：</w:t>
      </w:r>
      <w:r>
        <w:rPr>
          <w:rFonts w:hint="eastAsia" w:cs="宋体"/>
          <w:color w:val="auto"/>
          <w:sz w:val="21"/>
          <w:szCs w:val="21"/>
          <w:u w:val="single"/>
        </w:rPr>
        <w:t xml:space="preserve">     </w:t>
      </w:r>
      <w:r>
        <w:rPr>
          <w:rFonts w:hint="eastAsia" w:cs="宋体"/>
          <w:color w:val="auto"/>
          <w:sz w:val="21"/>
          <w:szCs w:val="21"/>
        </w:rPr>
        <w:t xml:space="preserve">                地  址：</w:t>
      </w:r>
      <w:r>
        <w:rPr>
          <w:rFonts w:hint="eastAsia" w:cs="宋体"/>
          <w:color w:val="auto"/>
          <w:sz w:val="21"/>
          <w:szCs w:val="21"/>
          <w:u w:val="single"/>
        </w:rPr>
        <w:t xml:space="preserve">     </w:t>
      </w:r>
    </w:p>
    <w:p w14:paraId="039FD18E">
      <w:pPr>
        <w:keepNext w:val="0"/>
        <w:keepLines w:val="0"/>
        <w:pageBreakBefore w:val="0"/>
        <w:widowControl w:val="0"/>
        <w:kinsoku/>
        <w:wordWrap/>
        <w:overflowPunct/>
        <w:topLinePunct w:val="0"/>
        <w:bidi w:val="0"/>
        <w:snapToGrid w:val="0"/>
        <w:spacing w:beforeAutospacing="0" w:line="360" w:lineRule="auto"/>
        <w:textAlignment w:val="auto"/>
        <w:rPr>
          <w:rFonts w:cs="宋体"/>
          <w:color w:val="auto"/>
          <w:sz w:val="21"/>
          <w:szCs w:val="21"/>
        </w:rPr>
      </w:pPr>
      <w:r>
        <w:rPr>
          <w:rFonts w:hint="eastAsia" w:cs="宋体"/>
          <w:color w:val="auto"/>
          <w:sz w:val="21"/>
          <w:szCs w:val="21"/>
        </w:rPr>
        <w:t>邮政编码：</w:t>
      </w:r>
      <w:r>
        <w:rPr>
          <w:rFonts w:hint="eastAsia" w:cs="宋体"/>
          <w:color w:val="auto"/>
          <w:sz w:val="21"/>
          <w:szCs w:val="21"/>
          <w:u w:val="single"/>
        </w:rPr>
        <w:t xml:space="preserve">      </w:t>
      </w:r>
      <w:r>
        <w:rPr>
          <w:rFonts w:hint="eastAsia" w:cs="宋体"/>
          <w:color w:val="auto"/>
          <w:sz w:val="21"/>
          <w:szCs w:val="21"/>
        </w:rPr>
        <w:t xml:space="preserve">               邮政编码：</w:t>
      </w:r>
      <w:r>
        <w:rPr>
          <w:rFonts w:hint="eastAsia" w:cs="宋体"/>
          <w:color w:val="auto"/>
          <w:sz w:val="21"/>
          <w:szCs w:val="21"/>
          <w:u w:val="single"/>
        </w:rPr>
        <w:t xml:space="preserve"> </w:t>
      </w:r>
    </w:p>
    <w:p w14:paraId="71BB6C37">
      <w:pPr>
        <w:keepNext w:val="0"/>
        <w:keepLines w:val="0"/>
        <w:pageBreakBefore w:val="0"/>
        <w:widowControl w:val="0"/>
        <w:kinsoku/>
        <w:wordWrap/>
        <w:overflowPunct/>
        <w:topLinePunct w:val="0"/>
        <w:bidi w:val="0"/>
        <w:snapToGrid w:val="0"/>
        <w:spacing w:beforeAutospacing="0" w:line="360" w:lineRule="auto"/>
        <w:textAlignment w:val="auto"/>
        <w:rPr>
          <w:rFonts w:cs="宋体"/>
          <w:color w:val="auto"/>
          <w:sz w:val="21"/>
          <w:szCs w:val="21"/>
        </w:rPr>
      </w:pPr>
      <w:r>
        <w:rPr>
          <w:rFonts w:hint="eastAsia" w:cs="宋体"/>
          <w:color w:val="auto"/>
          <w:sz w:val="21"/>
          <w:szCs w:val="21"/>
        </w:rPr>
        <w:t>法定代表人：</w:t>
      </w:r>
      <w:r>
        <w:rPr>
          <w:rFonts w:hint="eastAsia" w:cs="宋体"/>
          <w:color w:val="auto"/>
          <w:sz w:val="21"/>
          <w:szCs w:val="21"/>
          <w:u w:val="single"/>
        </w:rPr>
        <w:t xml:space="preserve">           </w:t>
      </w:r>
      <w:r>
        <w:rPr>
          <w:rFonts w:hint="eastAsia" w:cs="宋体"/>
          <w:color w:val="auto"/>
          <w:sz w:val="21"/>
          <w:szCs w:val="21"/>
        </w:rPr>
        <w:t xml:space="preserve">                法定代表人：</w:t>
      </w:r>
      <w:r>
        <w:rPr>
          <w:rFonts w:hint="eastAsia" w:cs="宋体"/>
          <w:color w:val="auto"/>
          <w:sz w:val="21"/>
          <w:szCs w:val="21"/>
          <w:u w:val="single"/>
        </w:rPr>
        <w:t xml:space="preserve">          </w:t>
      </w:r>
    </w:p>
    <w:p w14:paraId="22D50372">
      <w:pPr>
        <w:keepNext w:val="0"/>
        <w:keepLines w:val="0"/>
        <w:pageBreakBefore w:val="0"/>
        <w:widowControl w:val="0"/>
        <w:kinsoku/>
        <w:wordWrap/>
        <w:overflowPunct/>
        <w:topLinePunct w:val="0"/>
        <w:bidi w:val="0"/>
        <w:snapToGrid w:val="0"/>
        <w:spacing w:beforeAutospacing="0" w:line="360" w:lineRule="auto"/>
        <w:textAlignment w:val="auto"/>
        <w:rPr>
          <w:rFonts w:cs="宋体"/>
          <w:color w:val="auto"/>
          <w:sz w:val="21"/>
          <w:szCs w:val="21"/>
        </w:rPr>
      </w:pPr>
      <w:r>
        <w:rPr>
          <w:rFonts w:hint="eastAsia" w:cs="宋体"/>
          <w:color w:val="auto"/>
          <w:sz w:val="21"/>
          <w:szCs w:val="21"/>
        </w:rPr>
        <w:t>委托代理人：</w:t>
      </w:r>
      <w:r>
        <w:rPr>
          <w:rFonts w:hint="eastAsia" w:cs="宋体"/>
          <w:color w:val="auto"/>
          <w:sz w:val="21"/>
          <w:szCs w:val="21"/>
          <w:u w:val="single"/>
        </w:rPr>
        <w:t xml:space="preserve">           </w:t>
      </w:r>
      <w:r>
        <w:rPr>
          <w:rFonts w:hint="eastAsia" w:cs="宋体"/>
          <w:color w:val="auto"/>
          <w:sz w:val="21"/>
          <w:szCs w:val="21"/>
        </w:rPr>
        <w:t xml:space="preserve">                委托代理人：</w:t>
      </w:r>
      <w:r>
        <w:rPr>
          <w:rFonts w:hint="eastAsia" w:cs="宋体"/>
          <w:color w:val="auto"/>
          <w:sz w:val="21"/>
          <w:szCs w:val="21"/>
          <w:u w:val="single"/>
        </w:rPr>
        <w:t xml:space="preserve">          </w:t>
      </w:r>
    </w:p>
    <w:p w14:paraId="6C862E19">
      <w:pPr>
        <w:keepNext w:val="0"/>
        <w:keepLines w:val="0"/>
        <w:pageBreakBefore w:val="0"/>
        <w:widowControl w:val="0"/>
        <w:kinsoku/>
        <w:wordWrap/>
        <w:overflowPunct/>
        <w:topLinePunct w:val="0"/>
        <w:bidi w:val="0"/>
        <w:snapToGrid w:val="0"/>
        <w:spacing w:beforeAutospacing="0" w:line="360" w:lineRule="auto"/>
        <w:textAlignment w:val="auto"/>
        <w:rPr>
          <w:rFonts w:cs="宋体"/>
          <w:color w:val="auto"/>
          <w:sz w:val="21"/>
          <w:szCs w:val="21"/>
        </w:rPr>
      </w:pPr>
      <w:r>
        <w:rPr>
          <w:rFonts w:hint="eastAsia" w:cs="宋体"/>
          <w:color w:val="auto"/>
          <w:sz w:val="21"/>
          <w:szCs w:val="21"/>
        </w:rPr>
        <w:t>电  话：</w:t>
      </w:r>
      <w:r>
        <w:rPr>
          <w:rFonts w:hint="eastAsia" w:cs="宋体"/>
          <w:color w:val="auto"/>
          <w:sz w:val="21"/>
          <w:szCs w:val="21"/>
          <w:u w:val="single"/>
        </w:rPr>
        <w:t xml:space="preserve">   </w:t>
      </w:r>
      <w:r>
        <w:rPr>
          <w:rFonts w:hint="eastAsia" w:cs="宋体"/>
          <w:color w:val="auto"/>
          <w:sz w:val="21"/>
          <w:szCs w:val="21"/>
        </w:rPr>
        <w:t xml:space="preserve">                电  话：</w:t>
      </w:r>
      <w:r>
        <w:rPr>
          <w:rFonts w:hint="eastAsia" w:cs="宋体"/>
          <w:color w:val="auto"/>
          <w:sz w:val="21"/>
          <w:szCs w:val="21"/>
          <w:u w:val="single"/>
        </w:rPr>
        <w:t xml:space="preserve">  </w:t>
      </w:r>
    </w:p>
    <w:p w14:paraId="1F1F08F0">
      <w:pPr>
        <w:keepNext w:val="0"/>
        <w:keepLines w:val="0"/>
        <w:pageBreakBefore w:val="0"/>
        <w:widowControl w:val="0"/>
        <w:kinsoku/>
        <w:wordWrap/>
        <w:overflowPunct/>
        <w:topLinePunct w:val="0"/>
        <w:bidi w:val="0"/>
        <w:snapToGrid w:val="0"/>
        <w:spacing w:beforeAutospacing="0" w:line="360" w:lineRule="auto"/>
        <w:textAlignment w:val="auto"/>
        <w:rPr>
          <w:rFonts w:cs="宋体"/>
          <w:color w:val="auto"/>
          <w:sz w:val="21"/>
          <w:szCs w:val="21"/>
        </w:rPr>
      </w:pPr>
      <w:r>
        <w:rPr>
          <w:rFonts w:hint="eastAsia" w:cs="宋体"/>
          <w:color w:val="auto"/>
          <w:sz w:val="21"/>
          <w:szCs w:val="21"/>
        </w:rPr>
        <w:t>传  真：</w:t>
      </w:r>
      <w:r>
        <w:rPr>
          <w:rFonts w:hint="eastAsia" w:cs="宋体"/>
          <w:color w:val="auto"/>
          <w:sz w:val="21"/>
          <w:szCs w:val="21"/>
          <w:u w:val="single"/>
        </w:rPr>
        <w:t xml:space="preserve">   </w:t>
      </w:r>
      <w:r>
        <w:rPr>
          <w:rFonts w:hint="eastAsia" w:cs="宋体"/>
          <w:color w:val="auto"/>
          <w:sz w:val="21"/>
          <w:szCs w:val="21"/>
        </w:rPr>
        <w:t xml:space="preserve">                传  真：</w:t>
      </w:r>
      <w:r>
        <w:rPr>
          <w:rFonts w:hint="eastAsia" w:cs="宋体"/>
          <w:color w:val="auto"/>
          <w:sz w:val="21"/>
          <w:szCs w:val="21"/>
          <w:u w:val="single"/>
        </w:rPr>
        <w:t>  </w:t>
      </w:r>
    </w:p>
    <w:p w14:paraId="10B70883">
      <w:pPr>
        <w:keepNext w:val="0"/>
        <w:keepLines w:val="0"/>
        <w:pageBreakBefore w:val="0"/>
        <w:widowControl w:val="0"/>
        <w:kinsoku/>
        <w:wordWrap/>
        <w:overflowPunct/>
        <w:topLinePunct w:val="0"/>
        <w:bidi w:val="0"/>
        <w:snapToGrid w:val="0"/>
        <w:spacing w:beforeAutospacing="0" w:line="360" w:lineRule="auto"/>
        <w:textAlignment w:val="auto"/>
        <w:rPr>
          <w:rFonts w:cs="宋体"/>
          <w:color w:val="auto"/>
          <w:sz w:val="21"/>
          <w:szCs w:val="21"/>
        </w:rPr>
      </w:pPr>
      <w:r>
        <w:rPr>
          <w:rFonts w:hint="eastAsia" w:cs="宋体"/>
          <w:color w:val="auto"/>
          <w:sz w:val="21"/>
          <w:szCs w:val="21"/>
        </w:rPr>
        <w:t>电子信箱：</w:t>
      </w:r>
      <w:r>
        <w:rPr>
          <w:rFonts w:hint="eastAsia" w:cs="宋体"/>
          <w:color w:val="auto"/>
          <w:sz w:val="21"/>
          <w:szCs w:val="21"/>
          <w:u w:val="single"/>
        </w:rPr>
        <w:t xml:space="preserve">                 </w:t>
      </w:r>
      <w:r>
        <w:rPr>
          <w:rFonts w:hint="eastAsia" w:cs="宋体"/>
          <w:color w:val="auto"/>
          <w:sz w:val="21"/>
          <w:szCs w:val="21"/>
        </w:rPr>
        <w:t xml:space="preserve">                电子信箱：</w:t>
      </w:r>
      <w:r>
        <w:rPr>
          <w:rFonts w:hint="eastAsia" w:cs="宋体"/>
          <w:color w:val="auto"/>
          <w:sz w:val="21"/>
          <w:szCs w:val="21"/>
          <w:u w:val="single"/>
        </w:rPr>
        <w:t></w:t>
      </w:r>
    </w:p>
    <w:p w14:paraId="4796DCE0">
      <w:pPr>
        <w:keepNext w:val="0"/>
        <w:keepLines w:val="0"/>
        <w:pageBreakBefore w:val="0"/>
        <w:widowControl w:val="0"/>
        <w:kinsoku/>
        <w:wordWrap/>
        <w:overflowPunct/>
        <w:topLinePunct w:val="0"/>
        <w:bidi w:val="0"/>
        <w:snapToGrid w:val="0"/>
        <w:spacing w:beforeAutospacing="0" w:line="360" w:lineRule="auto"/>
        <w:textAlignment w:val="auto"/>
        <w:rPr>
          <w:rFonts w:cs="宋体"/>
          <w:color w:val="auto"/>
          <w:sz w:val="21"/>
          <w:szCs w:val="21"/>
        </w:rPr>
      </w:pPr>
      <w:r>
        <w:rPr>
          <w:rFonts w:hint="eastAsia" w:cs="宋体"/>
          <w:color w:val="auto"/>
          <w:sz w:val="21"/>
          <w:szCs w:val="21"/>
        </w:rPr>
        <w:t>开户银行：</w:t>
      </w:r>
      <w:r>
        <w:rPr>
          <w:rFonts w:hint="eastAsia" w:cs="宋体"/>
          <w:color w:val="auto"/>
          <w:sz w:val="21"/>
          <w:szCs w:val="21"/>
          <w:u w:val="single"/>
        </w:rPr>
        <w:t>中国工商银行滁州市醉翁亭支行</w:t>
      </w:r>
      <w:r>
        <w:rPr>
          <w:rFonts w:hint="eastAsia" w:cs="宋体"/>
          <w:color w:val="auto"/>
          <w:sz w:val="21"/>
          <w:szCs w:val="21"/>
        </w:rPr>
        <w:t xml:space="preserve">     开户银行：</w:t>
      </w:r>
      <w:r>
        <w:rPr>
          <w:rFonts w:hint="eastAsia" w:cs="宋体"/>
          <w:color w:val="auto"/>
          <w:sz w:val="21"/>
          <w:szCs w:val="21"/>
          <w:u w:val="single"/>
        </w:rPr>
        <w:t></w:t>
      </w:r>
    </w:p>
    <w:p w14:paraId="09F46F91">
      <w:pPr>
        <w:keepNext w:val="0"/>
        <w:keepLines w:val="0"/>
        <w:pageBreakBefore w:val="0"/>
        <w:widowControl w:val="0"/>
        <w:kinsoku/>
        <w:wordWrap/>
        <w:overflowPunct/>
        <w:topLinePunct w:val="0"/>
        <w:bidi w:val="0"/>
        <w:snapToGrid w:val="0"/>
        <w:spacing w:beforeAutospacing="0" w:line="360" w:lineRule="auto"/>
        <w:textAlignment w:val="auto"/>
        <w:rPr>
          <w:rFonts w:cs="宋体"/>
          <w:color w:val="auto"/>
          <w:sz w:val="21"/>
          <w:szCs w:val="21"/>
        </w:rPr>
      </w:pPr>
      <w:r>
        <w:rPr>
          <w:rFonts w:hint="eastAsia" w:cs="宋体"/>
          <w:color w:val="auto"/>
          <w:sz w:val="21"/>
          <w:szCs w:val="21"/>
        </w:rPr>
        <w:t>账  号：</w:t>
      </w:r>
      <w:r>
        <w:rPr>
          <w:rFonts w:hint="eastAsia" w:cs="宋体"/>
          <w:color w:val="auto"/>
          <w:sz w:val="21"/>
          <w:szCs w:val="21"/>
          <w:u w:val="single"/>
        </w:rPr>
        <w:t>1313062809024904784</w:t>
      </w:r>
      <w:r>
        <w:rPr>
          <w:rFonts w:hint="eastAsia" w:cs="宋体"/>
          <w:color w:val="auto"/>
          <w:sz w:val="21"/>
          <w:szCs w:val="21"/>
        </w:rPr>
        <w:t xml:space="preserve">               </w:t>
      </w:r>
      <w:r>
        <w:rPr>
          <w:rFonts w:hint="eastAsia" w:cs="宋体"/>
          <w:color w:val="auto"/>
          <w:sz w:val="21"/>
          <w:szCs w:val="21"/>
          <w:lang w:val="en-US" w:eastAsia="zh-CN"/>
        </w:rPr>
        <w:t xml:space="preserve"> </w:t>
      </w:r>
      <w:r>
        <w:rPr>
          <w:rFonts w:hint="eastAsia" w:cs="宋体"/>
          <w:color w:val="auto"/>
          <w:sz w:val="21"/>
          <w:szCs w:val="21"/>
        </w:rPr>
        <w:t>账  号：</w:t>
      </w:r>
      <w:r>
        <w:rPr>
          <w:rFonts w:hint="eastAsia" w:cs="宋体"/>
          <w:color w:val="auto"/>
          <w:sz w:val="21"/>
          <w:szCs w:val="21"/>
          <w:u w:val="single"/>
        </w:rPr>
        <w:t xml:space="preserve">   </w:t>
      </w:r>
    </w:p>
    <w:p w14:paraId="575A3A37">
      <w:pPr>
        <w:keepNext/>
        <w:keepLines/>
        <w:pageBreakBefore w:val="0"/>
        <w:kinsoku/>
        <w:wordWrap/>
        <w:topLinePunct w:val="0"/>
        <w:bidi w:val="0"/>
        <w:snapToGrid w:val="0"/>
        <w:spacing w:beforeAutospacing="0" w:line="400" w:lineRule="exact"/>
        <w:jc w:val="center"/>
        <w:outlineLvl w:val="1"/>
        <w:rPr>
          <w:rFonts w:cs="宋体"/>
          <w:bCs/>
          <w:color w:val="auto"/>
          <w:sz w:val="21"/>
          <w:szCs w:val="21"/>
        </w:rPr>
      </w:pPr>
      <w:r>
        <w:rPr>
          <w:rFonts w:hint="eastAsia" w:cs="宋体"/>
          <w:b/>
          <w:bCs/>
          <w:color w:val="auto"/>
          <w:sz w:val="21"/>
          <w:szCs w:val="21"/>
        </w:rPr>
        <w:br w:type="page"/>
      </w:r>
      <w:bookmarkStart w:id="58" w:name="_Toc28799377"/>
      <w:bookmarkStart w:id="59" w:name="_Toc130919121"/>
      <w:bookmarkStart w:id="60" w:name="_Toc30550"/>
      <w:r>
        <w:rPr>
          <w:rFonts w:hint="eastAsia" w:ascii="等线" w:hAnsi="等线" w:eastAsia="等线" w:cs="@仿宋_GB2312"/>
          <w:b/>
          <w:color w:val="auto"/>
          <w:kern w:val="2"/>
          <w:sz w:val="24"/>
        </w:rPr>
        <w:t>第二节  通用合同条款</w:t>
      </w:r>
      <w:bookmarkEnd w:id="58"/>
      <w:bookmarkEnd w:id="59"/>
      <w:bookmarkEnd w:id="60"/>
    </w:p>
    <w:p w14:paraId="2746A1AC">
      <w:pPr>
        <w:pageBreakBefore w:val="0"/>
        <w:kinsoku/>
        <w:wordWrap/>
        <w:topLinePunct w:val="0"/>
        <w:bidi w:val="0"/>
        <w:spacing w:beforeAutospacing="0" w:line="400" w:lineRule="exact"/>
        <w:ind w:firstLine="560" w:firstLineChars="200"/>
        <w:rPr>
          <w:rFonts w:cs="Times New Roman"/>
          <w:snapToGrid w:val="0"/>
          <w:color w:val="auto"/>
          <w:sz w:val="28"/>
          <w:szCs w:val="24"/>
        </w:rPr>
      </w:pPr>
      <w:r>
        <w:rPr>
          <w:rFonts w:hint="eastAsia" w:cs="Times New Roman"/>
          <w:snapToGrid w:val="0"/>
          <w:color w:val="auto"/>
          <w:sz w:val="28"/>
          <w:szCs w:val="24"/>
        </w:rPr>
        <w:t>采用《建设工程施工合同（示范文本）》（GF-2017-0201）中通用合同条款。上述资料由承包人自行准备。</w:t>
      </w:r>
    </w:p>
    <w:p w14:paraId="39AD48AF">
      <w:pPr>
        <w:keepNext/>
        <w:keepLines/>
        <w:pageBreakBefore w:val="0"/>
        <w:kinsoku/>
        <w:wordWrap/>
        <w:topLinePunct w:val="0"/>
        <w:bidi w:val="0"/>
        <w:snapToGrid w:val="0"/>
        <w:spacing w:beforeAutospacing="0" w:line="400" w:lineRule="exact"/>
        <w:jc w:val="center"/>
        <w:outlineLvl w:val="1"/>
        <w:rPr>
          <w:rFonts w:cs="宋体"/>
          <w:bCs/>
          <w:color w:val="auto"/>
          <w:sz w:val="21"/>
          <w:szCs w:val="21"/>
        </w:rPr>
      </w:pPr>
      <w:r>
        <w:rPr>
          <w:rFonts w:hint="eastAsia" w:cs="宋体"/>
          <w:b/>
          <w:bCs/>
          <w:color w:val="auto"/>
          <w:sz w:val="21"/>
          <w:szCs w:val="21"/>
        </w:rPr>
        <w:br w:type="page"/>
      </w:r>
      <w:bookmarkStart w:id="61" w:name="_Toc31931"/>
      <w:bookmarkStart w:id="62" w:name="_Toc28799378"/>
      <w:bookmarkStart w:id="63" w:name="_Toc130919122"/>
      <w:r>
        <w:rPr>
          <w:rFonts w:hint="eastAsia" w:ascii="等线" w:hAnsi="等线" w:eastAsia="等线" w:cs="@仿宋_GB2312"/>
          <w:b/>
          <w:color w:val="auto"/>
          <w:kern w:val="2"/>
          <w:sz w:val="24"/>
        </w:rPr>
        <w:t>第三节  专用合同条款</w:t>
      </w:r>
      <w:bookmarkEnd w:id="61"/>
      <w:bookmarkEnd w:id="62"/>
      <w:bookmarkEnd w:id="63"/>
    </w:p>
    <w:p w14:paraId="234CE906">
      <w:pPr>
        <w:pageBreakBefore w:val="0"/>
        <w:kinsoku/>
        <w:wordWrap/>
        <w:topLinePunct w:val="0"/>
        <w:bidi w:val="0"/>
        <w:snapToGrid w:val="0"/>
        <w:spacing w:beforeAutospacing="0" w:line="400" w:lineRule="exact"/>
        <w:jc w:val="center"/>
        <w:outlineLvl w:val="2"/>
        <w:rPr>
          <w:rFonts w:cs="宋体"/>
          <w:color w:val="auto"/>
          <w:sz w:val="21"/>
          <w:szCs w:val="21"/>
        </w:rPr>
      </w:pPr>
      <w:bookmarkStart w:id="64" w:name="_Toc351203633"/>
      <w:r>
        <w:rPr>
          <w:rFonts w:hint="eastAsia" w:cs="宋体"/>
          <w:color w:val="auto"/>
          <w:sz w:val="21"/>
          <w:szCs w:val="21"/>
        </w:rPr>
        <w:t>专用合同条款数据表</w:t>
      </w:r>
    </w:p>
    <w:p w14:paraId="4C61C5AD">
      <w:pPr>
        <w:pStyle w:val="21"/>
        <w:pageBreakBefore w:val="0"/>
        <w:kinsoku/>
        <w:wordWrap/>
        <w:topLinePunct w:val="0"/>
        <w:bidi w:val="0"/>
        <w:snapToGrid w:val="0"/>
        <w:spacing w:beforeAutospacing="0" w:after="0" w:line="400" w:lineRule="exact"/>
        <w:ind w:left="400" w:firstLine="480"/>
        <w:rPr>
          <w:rFonts w:ascii="宋体" w:hAnsi="宋体" w:cs="宋体"/>
          <w:color w:val="auto"/>
          <w:szCs w:val="21"/>
        </w:rPr>
      </w:pPr>
      <w:r>
        <w:rPr>
          <w:rFonts w:hint="eastAsia" w:ascii="宋体" w:hAnsi="宋体" w:cs="宋体"/>
          <w:color w:val="auto"/>
          <w:szCs w:val="21"/>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22D7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509E76AF">
            <w:pPr>
              <w:pageBreakBefore w:val="0"/>
              <w:kinsoku/>
              <w:wordWrap/>
              <w:topLinePunct w:val="0"/>
              <w:bidi w:val="0"/>
              <w:snapToGrid w:val="0"/>
              <w:spacing w:beforeAutospacing="0" w:line="400" w:lineRule="exact"/>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539EA65A">
            <w:pPr>
              <w:pageBreakBefore w:val="0"/>
              <w:kinsoku/>
              <w:wordWrap/>
              <w:topLinePunct w:val="0"/>
              <w:bidi w:val="0"/>
              <w:snapToGrid w:val="0"/>
              <w:spacing w:beforeAutospacing="0" w:line="400" w:lineRule="exact"/>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5477DA1C">
            <w:pPr>
              <w:pageBreakBefore w:val="0"/>
              <w:kinsoku/>
              <w:wordWrap/>
              <w:topLinePunct w:val="0"/>
              <w:bidi w:val="0"/>
              <w:snapToGrid w:val="0"/>
              <w:spacing w:beforeAutospacing="0" w:line="400" w:lineRule="exact"/>
              <w:jc w:val="center"/>
              <w:rPr>
                <w:rFonts w:cs="宋体"/>
                <w:b/>
                <w:color w:val="auto"/>
                <w:sz w:val="21"/>
                <w:szCs w:val="21"/>
                <w:highlight w:val="none"/>
              </w:rPr>
            </w:pPr>
            <w:r>
              <w:rPr>
                <w:rFonts w:hint="eastAsia" w:cs="宋体"/>
                <w:b/>
                <w:color w:val="auto"/>
                <w:sz w:val="21"/>
                <w:szCs w:val="21"/>
                <w:highlight w:val="none"/>
              </w:rPr>
              <w:t>信息或数据</w:t>
            </w:r>
          </w:p>
        </w:tc>
      </w:tr>
      <w:tr w14:paraId="22CC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C6C0B59">
            <w:pPr>
              <w:pageBreakBefore w:val="0"/>
              <w:numPr>
                <w:ilvl w:val="0"/>
                <w:numId w:val="5"/>
              </w:numPr>
              <w:kinsoku/>
              <w:wordWrap/>
              <w:topLinePunct w:val="0"/>
              <w:bidi w:val="0"/>
              <w:snapToGrid w:val="0"/>
              <w:spacing w:beforeAutospacing="0" w:line="400" w:lineRule="exact"/>
              <w:jc w:val="center"/>
              <w:rPr>
                <w:rFonts w:cs="宋体"/>
                <w:bCs/>
                <w:color w:val="auto"/>
                <w:kern w:val="2"/>
                <w:sz w:val="21"/>
                <w:szCs w:val="21"/>
                <w:highlight w:val="none"/>
              </w:rPr>
            </w:pPr>
          </w:p>
        </w:tc>
        <w:tc>
          <w:tcPr>
            <w:tcW w:w="1111" w:type="dxa"/>
            <w:vAlign w:val="center"/>
          </w:tcPr>
          <w:p w14:paraId="70CE4881">
            <w:pPr>
              <w:pageBreakBefore w:val="0"/>
              <w:kinsoku/>
              <w:wordWrap/>
              <w:topLinePunct w:val="0"/>
              <w:bidi w:val="0"/>
              <w:snapToGrid w:val="0"/>
              <w:spacing w:beforeAutospacing="0" w:line="400" w:lineRule="exact"/>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2EAA0C78">
            <w:pPr>
              <w:pageBreakBefore w:val="0"/>
              <w:kinsoku/>
              <w:wordWrap/>
              <w:topLinePunct w:val="0"/>
              <w:bidi w:val="0"/>
              <w:snapToGrid w:val="0"/>
              <w:spacing w:beforeAutospacing="0" w:line="400" w:lineRule="exact"/>
              <w:rPr>
                <w:rFonts w:cs="宋体"/>
                <w:bCs/>
                <w:color w:val="auto"/>
                <w:sz w:val="21"/>
                <w:szCs w:val="21"/>
                <w:highlight w:val="none"/>
                <w:u w:val="single"/>
              </w:rPr>
            </w:pPr>
            <w:r>
              <w:rPr>
                <w:rFonts w:hint="eastAsia" w:cs="宋体"/>
                <w:bCs/>
                <w:color w:val="auto"/>
                <w:sz w:val="21"/>
                <w:szCs w:val="21"/>
                <w:highlight w:val="none"/>
              </w:rPr>
              <w:t xml:space="preserve">发包人提供资金来源证明的期限要求： </w:t>
            </w:r>
            <w:r>
              <w:rPr>
                <w:rFonts w:hint="eastAsia" w:cs="宋体"/>
                <w:bCs/>
                <w:color w:val="auto"/>
                <w:sz w:val="21"/>
                <w:szCs w:val="21"/>
                <w:highlight w:val="none"/>
                <w:u w:val="single"/>
              </w:rPr>
              <w:t xml:space="preserve"> </w:t>
            </w:r>
            <w:r>
              <w:rPr>
                <w:color w:val="auto"/>
                <w:spacing w:val="9"/>
                <w:sz w:val="21"/>
                <w:szCs w:val="21"/>
                <w:highlight w:val="none"/>
                <w:u w:val="single" w:color="auto"/>
              </w:rPr>
              <w:t>财政资金，不需提供</w:t>
            </w:r>
            <w:r>
              <w:rPr>
                <w:rFonts w:hint="eastAsia" w:cs="宋体"/>
                <w:bCs/>
                <w:color w:val="auto"/>
                <w:sz w:val="21"/>
                <w:szCs w:val="21"/>
                <w:highlight w:val="none"/>
                <w:u w:val="single"/>
              </w:rPr>
              <w:t xml:space="preserve"> </w:t>
            </w:r>
          </w:p>
          <w:p w14:paraId="04AA54C8">
            <w:pPr>
              <w:pageBreakBefore w:val="0"/>
              <w:kinsoku/>
              <w:wordWrap/>
              <w:topLinePunct w:val="0"/>
              <w:bidi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 xml:space="preserve">发包人是否提供支付担保： </w:t>
            </w:r>
            <w:r>
              <w:rPr>
                <w:color w:val="auto"/>
                <w:spacing w:val="9"/>
                <w:sz w:val="21"/>
                <w:szCs w:val="21"/>
                <w:highlight w:val="none"/>
                <w:u w:val="single" w:color="auto"/>
              </w:rPr>
              <w:t>财政资金，不需提供</w:t>
            </w:r>
            <w:r>
              <w:rPr>
                <w:rFonts w:hint="eastAsia" w:cs="宋体"/>
                <w:bCs/>
                <w:color w:val="auto"/>
                <w:sz w:val="21"/>
                <w:szCs w:val="21"/>
                <w:highlight w:val="none"/>
                <w:u w:val="single"/>
              </w:rPr>
              <w:t xml:space="preserve"> </w:t>
            </w:r>
          </w:p>
          <w:p w14:paraId="0BD6EAD3">
            <w:pPr>
              <w:pageBreakBefore w:val="0"/>
              <w:kinsoku/>
              <w:wordWrap/>
              <w:topLinePunct w:val="0"/>
              <w:bidi w:val="0"/>
              <w:snapToGrid w:val="0"/>
              <w:spacing w:beforeAutospacing="0" w:line="400" w:lineRule="exact"/>
              <w:rPr>
                <w:rFonts w:cs="宋体"/>
                <w:bCs/>
                <w:color w:val="auto"/>
                <w:sz w:val="21"/>
                <w:szCs w:val="21"/>
                <w:highlight w:val="none"/>
                <w:u w:val="single"/>
              </w:rPr>
            </w:pPr>
            <w:r>
              <w:rPr>
                <w:rFonts w:hint="eastAsia" w:cs="宋体"/>
                <w:bCs/>
                <w:color w:val="auto"/>
                <w:sz w:val="21"/>
                <w:szCs w:val="21"/>
                <w:highlight w:val="none"/>
              </w:rPr>
              <w:t>发包人提供支付担保的形式：</w:t>
            </w:r>
            <w:r>
              <w:rPr>
                <w:rFonts w:hint="eastAsia" w:cs="宋体"/>
                <w:bCs/>
                <w:color w:val="auto"/>
                <w:sz w:val="21"/>
                <w:szCs w:val="21"/>
                <w:highlight w:val="none"/>
                <w:u w:val="single"/>
              </w:rPr>
              <w:t xml:space="preserve"> </w:t>
            </w:r>
            <w:r>
              <w:rPr>
                <w:color w:val="auto"/>
                <w:spacing w:val="9"/>
                <w:sz w:val="21"/>
                <w:szCs w:val="21"/>
                <w:highlight w:val="none"/>
                <w:u w:val="single" w:color="auto"/>
              </w:rPr>
              <w:t>财政资金，不需提供</w:t>
            </w:r>
            <w:r>
              <w:rPr>
                <w:rFonts w:hint="eastAsia" w:cs="宋体"/>
                <w:bCs/>
                <w:color w:val="auto"/>
                <w:sz w:val="21"/>
                <w:szCs w:val="21"/>
                <w:highlight w:val="none"/>
                <w:u w:val="single"/>
              </w:rPr>
              <w:t xml:space="preserve"> </w:t>
            </w:r>
          </w:p>
        </w:tc>
      </w:tr>
      <w:tr w14:paraId="0204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12D1DDE">
            <w:pPr>
              <w:pageBreakBefore w:val="0"/>
              <w:numPr>
                <w:ilvl w:val="0"/>
                <w:numId w:val="5"/>
              </w:numPr>
              <w:kinsoku/>
              <w:wordWrap/>
              <w:topLinePunct w:val="0"/>
              <w:bidi w:val="0"/>
              <w:snapToGrid w:val="0"/>
              <w:spacing w:beforeAutospacing="0" w:line="400" w:lineRule="exact"/>
              <w:jc w:val="center"/>
              <w:rPr>
                <w:rFonts w:cs="宋体"/>
                <w:bCs/>
                <w:color w:val="auto"/>
                <w:kern w:val="2"/>
                <w:sz w:val="21"/>
                <w:szCs w:val="21"/>
                <w:highlight w:val="none"/>
              </w:rPr>
            </w:pPr>
          </w:p>
        </w:tc>
        <w:tc>
          <w:tcPr>
            <w:tcW w:w="1111" w:type="dxa"/>
            <w:vAlign w:val="center"/>
          </w:tcPr>
          <w:p w14:paraId="6F8E4EB9">
            <w:pPr>
              <w:pageBreakBefore w:val="0"/>
              <w:kinsoku/>
              <w:wordWrap/>
              <w:topLinePunct w:val="0"/>
              <w:bidi w:val="0"/>
              <w:snapToGrid w:val="0"/>
              <w:spacing w:beforeAutospacing="0" w:line="400" w:lineRule="exact"/>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5DC084E6">
            <w:pPr>
              <w:pageBreakBefore w:val="0"/>
              <w:kinsoku/>
              <w:wordWrap/>
              <w:topLinePunct w:val="0"/>
              <w:bidi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项目经理</w:t>
            </w:r>
          </w:p>
          <w:p w14:paraId="4EAA96E9">
            <w:pPr>
              <w:pageBreakBefore w:val="0"/>
              <w:kinsoku/>
              <w:wordWrap/>
              <w:topLinePunct w:val="0"/>
              <w:bidi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4AFE4D88">
            <w:pPr>
              <w:pageBreakBefore w:val="0"/>
              <w:kinsoku/>
              <w:wordWrap/>
              <w:topLinePunct w:val="0"/>
              <w:bidi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484C382F">
            <w:pPr>
              <w:pageBreakBefore w:val="0"/>
              <w:kinsoku/>
              <w:wordWrap/>
              <w:topLinePunct w:val="0"/>
              <w:bidi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095B99CA">
            <w:pPr>
              <w:pageBreakBefore w:val="0"/>
              <w:kinsoku/>
              <w:wordWrap/>
              <w:topLinePunct w:val="0"/>
              <w:bidi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7349F50A">
            <w:pPr>
              <w:pageBreakBefore w:val="0"/>
              <w:kinsoku/>
              <w:wordWrap/>
              <w:topLinePunct w:val="0"/>
              <w:bidi w:val="0"/>
              <w:snapToGrid w:val="0"/>
              <w:spacing w:beforeAutospacing="0" w:line="400" w:lineRule="exact"/>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项目整体</w:t>
            </w:r>
            <w:r>
              <w:rPr>
                <w:rFonts w:hint="eastAsia" w:cs="宋体"/>
                <w:bCs/>
                <w:color w:val="auto"/>
                <w:sz w:val="21"/>
                <w:szCs w:val="21"/>
                <w:highlight w:val="none"/>
                <w:u w:val="single"/>
              </w:rPr>
              <w:t xml:space="preserve">  </w:t>
            </w:r>
          </w:p>
          <w:p w14:paraId="7459A8B9">
            <w:pPr>
              <w:pageBreakBefore w:val="0"/>
              <w:kinsoku/>
              <w:wordWrap/>
              <w:topLinePunct w:val="0"/>
              <w:bidi w:val="0"/>
              <w:snapToGrid w:val="0"/>
              <w:spacing w:beforeAutospacing="0" w:line="400" w:lineRule="exact"/>
              <w:rPr>
                <w:rFonts w:cs="宋体"/>
                <w:bCs/>
                <w:color w:val="auto"/>
                <w:kern w:val="2"/>
                <w:sz w:val="21"/>
                <w:szCs w:val="21"/>
                <w:highlight w:val="none"/>
              </w:rPr>
            </w:pPr>
            <w:r>
              <w:rPr>
                <w:rFonts w:hint="eastAsia" w:cs="宋体"/>
                <w:bCs/>
                <w:color w:val="auto"/>
                <w:sz w:val="21"/>
                <w:szCs w:val="21"/>
                <w:highlight w:val="none"/>
              </w:rPr>
              <w:t>承包人项目经理每月在施工现场的时间：</w:t>
            </w:r>
            <w:r>
              <w:rPr>
                <w:rFonts w:hint="eastAsia" w:cs="宋体"/>
                <w:bCs/>
                <w:color w:val="auto"/>
                <w:sz w:val="21"/>
                <w:szCs w:val="21"/>
                <w:highlight w:val="none"/>
                <w:lang w:val="en-US" w:eastAsia="zh-CN"/>
              </w:rPr>
              <w:t>项目经理</w:t>
            </w:r>
            <w:r>
              <w:rPr>
                <w:rFonts w:hint="eastAsia" w:cs="宋体"/>
                <w:bCs/>
                <w:color w:val="auto"/>
                <w:sz w:val="21"/>
                <w:szCs w:val="21"/>
                <w:highlight w:val="none"/>
              </w:rPr>
              <w:t>驻场时间</w:t>
            </w:r>
            <w:r>
              <w:rPr>
                <w:rFonts w:hint="eastAsia" w:cs="宋体"/>
                <w:color w:val="auto"/>
                <w:sz w:val="21"/>
                <w:szCs w:val="21"/>
                <w:highlight w:val="none"/>
                <w:u w:val="single"/>
                <w:lang w:val="en-US" w:eastAsia="zh-CN"/>
              </w:rPr>
              <w:t>不得低于实际工期的80%</w:t>
            </w:r>
            <w:r>
              <w:rPr>
                <w:rFonts w:hint="eastAsia" w:cs="宋体"/>
                <w:bCs/>
                <w:color w:val="auto"/>
                <w:sz w:val="21"/>
                <w:szCs w:val="21"/>
                <w:highlight w:val="none"/>
              </w:rPr>
              <w:t>，每天在岗工作时间不得少于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8</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tc>
      </w:tr>
      <w:tr w14:paraId="13B5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5AC72C0">
            <w:pPr>
              <w:pageBreakBefore w:val="0"/>
              <w:numPr>
                <w:ilvl w:val="0"/>
                <w:numId w:val="5"/>
              </w:numPr>
              <w:kinsoku/>
              <w:wordWrap/>
              <w:topLinePunct w:val="0"/>
              <w:bidi w:val="0"/>
              <w:snapToGrid w:val="0"/>
              <w:spacing w:beforeAutospacing="0" w:line="400" w:lineRule="exact"/>
              <w:jc w:val="center"/>
              <w:rPr>
                <w:rFonts w:cs="宋体"/>
                <w:bCs/>
                <w:color w:val="auto"/>
                <w:kern w:val="2"/>
                <w:sz w:val="21"/>
                <w:szCs w:val="21"/>
                <w:highlight w:val="none"/>
              </w:rPr>
            </w:pPr>
          </w:p>
        </w:tc>
        <w:tc>
          <w:tcPr>
            <w:tcW w:w="1111" w:type="dxa"/>
            <w:vAlign w:val="center"/>
          </w:tcPr>
          <w:p w14:paraId="037BE445">
            <w:pPr>
              <w:pageBreakBefore w:val="0"/>
              <w:kinsoku/>
              <w:wordWrap/>
              <w:topLinePunct w:val="0"/>
              <w:bidi w:val="0"/>
              <w:snapToGrid w:val="0"/>
              <w:spacing w:beforeAutospacing="0" w:line="400" w:lineRule="exact"/>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508CA813">
            <w:pPr>
              <w:pageBreakBefore w:val="0"/>
              <w:kinsoku/>
              <w:wordWrap/>
              <w:topLinePunct w:val="0"/>
              <w:bidi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承包人是否提供履约保证金：</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是</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9049383">
            <w:pPr>
              <w:spacing w:line="360" w:lineRule="auto"/>
              <w:rPr>
                <w:rFonts w:cs="宋体"/>
                <w:bCs/>
                <w:color w:val="auto"/>
                <w:sz w:val="21"/>
                <w:szCs w:val="21"/>
                <w:highlight w:val="none"/>
              </w:rPr>
            </w:pPr>
            <w:r>
              <w:rPr>
                <w:rFonts w:hint="eastAsia" w:cs="宋体"/>
                <w:bCs/>
                <w:color w:val="auto"/>
                <w:sz w:val="21"/>
                <w:szCs w:val="21"/>
                <w:highlight w:val="none"/>
              </w:rPr>
              <w:t>承包人提供履约保证金的形式：</w:t>
            </w:r>
            <w:r>
              <w:rPr>
                <w:rFonts w:hint="eastAsia" w:ascii="宋体" w:hAnsi="宋体" w:eastAsia="宋体" w:cs="宋体"/>
                <w:bCs/>
                <w:color w:val="auto"/>
                <w:sz w:val="21"/>
                <w:szCs w:val="21"/>
                <w:highlight w:val="none"/>
                <w:u w:val="single"/>
                <w:lang w:val="en-US" w:eastAsia="zh-CN"/>
              </w:rPr>
              <w:t>支持</w:t>
            </w:r>
            <w:r>
              <w:rPr>
                <w:rFonts w:hint="eastAsia" w:ascii="宋体" w:hAnsi="宋体" w:eastAsia="宋体" w:cs="宋体"/>
                <w:bCs/>
                <w:color w:val="auto"/>
                <w:sz w:val="21"/>
                <w:szCs w:val="21"/>
                <w:highlight w:val="none"/>
                <w:u w:val="single"/>
              </w:rPr>
              <w:t>转账/电汇</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支票</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汇票</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本票</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保险</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保函</w:t>
            </w:r>
            <w:r>
              <w:rPr>
                <w:rFonts w:hint="eastAsia" w:ascii="宋体" w:hAnsi="宋体" w:eastAsia="宋体" w:cs="宋体"/>
                <w:bCs/>
                <w:color w:val="auto"/>
                <w:sz w:val="21"/>
                <w:szCs w:val="21"/>
                <w:highlight w:val="none"/>
                <w:u w:val="single"/>
                <w:lang w:eastAsia="zh-CN"/>
              </w:rPr>
              <w:t>。</w:t>
            </w:r>
          </w:p>
          <w:p w14:paraId="703A1BD1">
            <w:pPr>
              <w:pageBreakBefore w:val="0"/>
              <w:kinsoku/>
              <w:wordWrap/>
              <w:topLinePunct w:val="0"/>
              <w:bidi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履约保证金的金额：中标合同金额的</w:t>
            </w:r>
            <w:r>
              <w:rPr>
                <w:rFonts w:hint="eastAsia" w:cs="宋体"/>
                <w:bCs/>
                <w:color w:val="auto"/>
                <w:sz w:val="21"/>
                <w:szCs w:val="21"/>
                <w:highlight w:val="none"/>
                <w:u w:val="single"/>
                <w:lang w:val="en-US" w:eastAsia="zh-CN"/>
              </w:rPr>
              <w:t>2.5</w:t>
            </w:r>
            <w:r>
              <w:rPr>
                <w:rFonts w:hint="eastAsia" w:cs="宋体"/>
                <w:bCs/>
                <w:color w:val="auto"/>
                <w:sz w:val="21"/>
                <w:szCs w:val="21"/>
                <w:highlight w:val="none"/>
              </w:rPr>
              <w:t>%。</w:t>
            </w:r>
          </w:p>
          <w:p w14:paraId="742C5290">
            <w:pPr>
              <w:pageBreakBefore w:val="0"/>
              <w:kinsoku/>
              <w:wordWrap/>
              <w:topLinePunct w:val="0"/>
              <w:bidi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履约保证金提交期限的要求：</w:t>
            </w:r>
            <w:r>
              <w:rPr>
                <w:rFonts w:hint="eastAsia" w:ascii="宋体" w:hAnsi="宋体" w:eastAsia="宋体" w:cs="宋体"/>
                <w:bCs/>
                <w:color w:val="auto"/>
                <w:sz w:val="21"/>
                <w:szCs w:val="21"/>
                <w:highlight w:val="none"/>
                <w:u w:val="single"/>
              </w:rPr>
              <w:t>成交人取得中标通知书后7个工作日内缴纳履约保证金</w:t>
            </w:r>
            <w:r>
              <w:rPr>
                <w:rFonts w:hint="eastAsia" w:cs="宋体"/>
                <w:bCs/>
                <w:color w:val="auto"/>
                <w:sz w:val="21"/>
                <w:szCs w:val="21"/>
                <w:highlight w:val="none"/>
              </w:rPr>
              <w:t>。</w:t>
            </w:r>
          </w:p>
          <w:p w14:paraId="5F23A1BC">
            <w:pPr>
              <w:pageBreakBefore w:val="0"/>
              <w:kinsoku/>
              <w:wordWrap/>
              <w:topLinePunct w:val="0"/>
              <w:bidi w:val="0"/>
              <w:snapToGrid w:val="0"/>
              <w:spacing w:beforeAutospacing="0" w:line="400" w:lineRule="exact"/>
              <w:rPr>
                <w:rFonts w:cs="宋体"/>
                <w:bCs/>
                <w:color w:val="auto"/>
                <w:kern w:val="2"/>
                <w:sz w:val="21"/>
                <w:szCs w:val="21"/>
                <w:highlight w:val="none"/>
              </w:rPr>
            </w:pPr>
            <w:r>
              <w:rPr>
                <w:rFonts w:hint="eastAsia" w:cs="宋体"/>
                <w:bCs/>
                <w:color w:val="auto"/>
                <w:sz w:val="21"/>
                <w:szCs w:val="21"/>
                <w:highlight w:val="none"/>
              </w:rPr>
              <w:t>履约保证金退还时限：</w:t>
            </w:r>
            <w:r>
              <w:rPr>
                <w:rFonts w:hint="eastAsia" w:ascii="宋体" w:hAnsi="宋体" w:eastAsia="宋体" w:cs="宋体"/>
                <w:bCs/>
                <w:color w:val="auto"/>
                <w:sz w:val="21"/>
                <w:szCs w:val="21"/>
                <w:highlight w:val="none"/>
                <w:u w:val="single"/>
              </w:rPr>
              <w:t>项目验收合格后，一次性退还履约保证金。</w:t>
            </w:r>
          </w:p>
        </w:tc>
      </w:tr>
      <w:tr w14:paraId="6B46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52773FA">
            <w:pPr>
              <w:pageBreakBefore w:val="0"/>
              <w:numPr>
                <w:ilvl w:val="0"/>
                <w:numId w:val="5"/>
              </w:numPr>
              <w:kinsoku/>
              <w:wordWrap/>
              <w:topLinePunct w:val="0"/>
              <w:bidi w:val="0"/>
              <w:snapToGrid w:val="0"/>
              <w:spacing w:beforeAutospacing="0" w:line="400" w:lineRule="exact"/>
              <w:jc w:val="center"/>
              <w:rPr>
                <w:rFonts w:cs="宋体"/>
                <w:bCs/>
                <w:color w:val="auto"/>
                <w:sz w:val="21"/>
                <w:szCs w:val="21"/>
                <w:highlight w:val="none"/>
              </w:rPr>
            </w:pPr>
          </w:p>
        </w:tc>
        <w:tc>
          <w:tcPr>
            <w:tcW w:w="1111" w:type="dxa"/>
            <w:vAlign w:val="center"/>
          </w:tcPr>
          <w:p w14:paraId="7A82E77D">
            <w:pPr>
              <w:pageBreakBefore w:val="0"/>
              <w:kinsoku/>
              <w:wordWrap/>
              <w:topLinePunct w:val="0"/>
              <w:bidi w:val="0"/>
              <w:snapToGrid w:val="0"/>
              <w:spacing w:beforeAutospacing="0" w:line="400" w:lineRule="exact"/>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0036082C">
            <w:pPr>
              <w:pageBreakBefore w:val="0"/>
              <w:kinsoku/>
              <w:wordWrap/>
              <w:topLinePunct w:val="0"/>
              <w:bidi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5.1.1 特殊质量标准和要求：</w:t>
            </w:r>
            <w:r>
              <w:rPr>
                <w:rFonts w:hint="eastAsia" w:ascii="宋体" w:hAnsi="宋体" w:eastAsia="宋体" w:cs="宋体"/>
                <w:bCs/>
                <w:color w:val="auto"/>
                <w:sz w:val="21"/>
                <w:szCs w:val="21"/>
                <w:highlight w:val="none"/>
                <w:u w:val="single"/>
              </w:rPr>
              <w:t>工程质量必须达到国家工程施工质量验收合格标准</w:t>
            </w:r>
            <w:r>
              <w:rPr>
                <w:rFonts w:hint="eastAsia" w:ascii="宋体" w:hAnsi="宋体" w:eastAsia="宋体" w:cs="宋体"/>
                <w:bCs/>
                <w:color w:val="auto"/>
                <w:sz w:val="21"/>
                <w:szCs w:val="21"/>
                <w:highlight w:val="none"/>
                <w:u w:val="none"/>
              </w:rPr>
              <w:t>。</w:t>
            </w:r>
          </w:p>
          <w:p w14:paraId="6CC69B0D">
            <w:pPr>
              <w:pageBreakBefore w:val="0"/>
              <w:kinsoku/>
              <w:wordWrap/>
              <w:topLinePunct w:val="0"/>
              <w:bidi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关于工程奖项的约定：</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5B255693">
            <w:pPr>
              <w:pageBreakBefore w:val="0"/>
              <w:kinsoku/>
              <w:wordWrap/>
              <w:topLinePunct w:val="0"/>
              <w:bidi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关于建造要求：</w:t>
            </w:r>
          </w:p>
          <w:p w14:paraId="3255CE33">
            <w:pPr>
              <w:pageBreakBefore w:val="0"/>
              <w:kinsoku/>
              <w:wordWrap/>
              <w:topLinePunct w:val="0"/>
              <w:bidi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（1）绿色建筑等级要求：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2BFA709E">
            <w:pPr>
              <w:pageBreakBefore w:val="0"/>
              <w:kinsoku/>
              <w:wordWrap/>
              <w:topLinePunct w:val="0"/>
              <w:bidi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（2）智慧工地管理要求：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11C14B1">
            <w:pPr>
              <w:pageBreakBefore w:val="0"/>
              <w:kinsoku/>
              <w:wordWrap/>
              <w:topLinePunct w:val="0"/>
              <w:bidi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（3）建筑垃圾减量化目标：</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28904F9E">
            <w:pPr>
              <w:pageBreakBefore w:val="0"/>
              <w:kinsoku/>
              <w:wordWrap/>
              <w:topLinePunct w:val="0"/>
              <w:bidi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（4）装配式建筑装配率要求：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731EECB">
            <w:pPr>
              <w:pageBreakBefore w:val="0"/>
              <w:kinsoku/>
              <w:wordWrap/>
              <w:topLinePunct w:val="0"/>
              <w:bidi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（5）</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5320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224DF69">
            <w:pPr>
              <w:pageBreakBefore w:val="0"/>
              <w:numPr>
                <w:ilvl w:val="0"/>
                <w:numId w:val="5"/>
              </w:numPr>
              <w:kinsoku/>
              <w:wordWrap/>
              <w:topLinePunct w:val="0"/>
              <w:bidi w:val="0"/>
              <w:snapToGrid w:val="0"/>
              <w:spacing w:beforeAutospacing="0" w:line="400" w:lineRule="exact"/>
              <w:jc w:val="center"/>
              <w:rPr>
                <w:rFonts w:cs="宋体"/>
                <w:bCs/>
                <w:color w:val="auto"/>
                <w:kern w:val="2"/>
                <w:sz w:val="21"/>
                <w:szCs w:val="21"/>
                <w:highlight w:val="none"/>
              </w:rPr>
            </w:pPr>
          </w:p>
        </w:tc>
        <w:tc>
          <w:tcPr>
            <w:tcW w:w="1111" w:type="dxa"/>
            <w:vAlign w:val="center"/>
          </w:tcPr>
          <w:p w14:paraId="33CA0114">
            <w:pPr>
              <w:pageBreakBefore w:val="0"/>
              <w:kinsoku/>
              <w:wordWrap/>
              <w:topLinePunct w:val="0"/>
              <w:bidi w:val="0"/>
              <w:snapToGrid w:val="0"/>
              <w:spacing w:beforeAutospacing="0" w:line="400" w:lineRule="exact"/>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55CD2222">
            <w:pPr>
              <w:pageBreakBefore w:val="0"/>
              <w:kinsoku/>
              <w:wordWrap/>
              <w:topLinePunct w:val="0"/>
              <w:bidi w:val="0"/>
              <w:snapToGrid w:val="0"/>
              <w:spacing w:beforeAutospacing="0" w:line="400" w:lineRule="exact"/>
              <w:rPr>
                <w:rFonts w:hint="eastAsia" w:ascii="宋体" w:hAnsi="宋体" w:eastAsia="宋体" w:cs="宋体"/>
                <w:bCs/>
                <w:color w:val="auto"/>
                <w:kern w:val="2"/>
                <w:sz w:val="21"/>
                <w:szCs w:val="21"/>
                <w:highlight w:val="none"/>
                <w:u w:val="single"/>
              </w:rPr>
            </w:pPr>
            <w:r>
              <w:rPr>
                <w:rFonts w:hint="eastAsia" w:cs="宋体"/>
                <w:bCs/>
                <w:color w:val="auto"/>
                <w:kern w:val="2"/>
                <w:sz w:val="21"/>
                <w:szCs w:val="21"/>
                <w:highlight w:val="none"/>
              </w:rPr>
              <w:t>因承包人原因造成工期延误，逾期竣工违约金的计算方法为：</w:t>
            </w:r>
            <w:r>
              <w:rPr>
                <w:rFonts w:hint="eastAsia" w:cs="宋体"/>
                <w:bCs/>
                <w:color w:val="auto"/>
                <w:kern w:val="2"/>
                <w:sz w:val="21"/>
                <w:szCs w:val="21"/>
                <w:highlight w:val="none"/>
                <w:u w:val="single"/>
              </w:rPr>
              <w:t>具体开工时间以</w:t>
            </w:r>
            <w:r>
              <w:rPr>
                <w:rFonts w:hint="eastAsia" w:cs="宋体"/>
                <w:bCs/>
                <w:color w:val="auto"/>
                <w:kern w:val="2"/>
                <w:sz w:val="21"/>
                <w:szCs w:val="21"/>
                <w:highlight w:val="none"/>
                <w:u w:val="single"/>
                <w:lang w:val="en-US" w:eastAsia="zh-CN"/>
              </w:rPr>
              <w:t>发包人</w:t>
            </w:r>
            <w:r>
              <w:rPr>
                <w:rFonts w:hint="eastAsia" w:cs="宋体"/>
                <w:bCs/>
                <w:color w:val="auto"/>
                <w:kern w:val="2"/>
                <w:sz w:val="21"/>
                <w:szCs w:val="21"/>
                <w:highlight w:val="none"/>
                <w:u w:val="single"/>
              </w:rPr>
              <w:t>通知时间为准</w:t>
            </w:r>
            <w:r>
              <w:rPr>
                <w:rFonts w:hint="eastAsia" w:ascii="宋体" w:hAnsi="宋体" w:eastAsia="宋体" w:cs="宋体"/>
                <w:bCs/>
                <w:color w:val="auto"/>
                <w:kern w:val="2"/>
                <w:sz w:val="21"/>
                <w:szCs w:val="21"/>
                <w:highlight w:val="none"/>
                <w:u w:val="single"/>
              </w:rPr>
              <w:t>。成交单位按合同工期要求，每延迟一天，按5000元/天处以违约金，从工程结算款中扣除。如延误工期超出合同工期50%的，不予支付工程款。如因学校要求增加工程量、教育教学、重大活动、极端天气等不可抗拒因素造成，经学校和成交单位书面确认后，工期予以顺延，具体以实际发生时间为依据。</w:t>
            </w:r>
          </w:p>
          <w:p w14:paraId="0F17EC85">
            <w:pPr>
              <w:pageBreakBefore w:val="0"/>
              <w:kinsoku/>
              <w:wordWrap/>
              <w:topLinePunct w:val="0"/>
              <w:bidi w:val="0"/>
              <w:snapToGrid w:val="0"/>
              <w:spacing w:beforeAutospacing="0" w:line="400" w:lineRule="exact"/>
              <w:rPr>
                <w:rFonts w:cs="宋体"/>
                <w:bCs/>
                <w:color w:val="auto"/>
                <w:kern w:val="2"/>
                <w:sz w:val="21"/>
                <w:szCs w:val="21"/>
                <w:highlight w:val="none"/>
              </w:rPr>
            </w:pPr>
            <w:r>
              <w:rPr>
                <w:rFonts w:hint="eastAsia" w:cs="宋体"/>
                <w:bCs/>
                <w:color w:val="auto"/>
                <w:kern w:val="2"/>
                <w:sz w:val="21"/>
                <w:szCs w:val="21"/>
                <w:highlight w:val="none"/>
              </w:rPr>
              <w:t>因承包人原因造成工期延误，逾期竣工违约金的上限：</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u w:val="single"/>
                <w:lang w:val="en-US" w:eastAsia="zh-CN"/>
              </w:rPr>
              <w:t>/</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tc>
      </w:tr>
      <w:tr w14:paraId="167F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0F13C34">
            <w:pPr>
              <w:pageBreakBefore w:val="0"/>
              <w:numPr>
                <w:ilvl w:val="0"/>
                <w:numId w:val="5"/>
              </w:numPr>
              <w:kinsoku/>
              <w:wordWrap/>
              <w:topLinePunct w:val="0"/>
              <w:bidi w:val="0"/>
              <w:snapToGrid w:val="0"/>
              <w:spacing w:beforeAutospacing="0" w:line="400" w:lineRule="exact"/>
              <w:jc w:val="center"/>
              <w:rPr>
                <w:rFonts w:cs="宋体"/>
                <w:bCs/>
                <w:color w:val="auto"/>
                <w:kern w:val="2"/>
                <w:sz w:val="21"/>
                <w:szCs w:val="21"/>
                <w:highlight w:val="none"/>
              </w:rPr>
            </w:pPr>
          </w:p>
        </w:tc>
        <w:tc>
          <w:tcPr>
            <w:tcW w:w="1111" w:type="dxa"/>
            <w:vAlign w:val="center"/>
          </w:tcPr>
          <w:p w14:paraId="10705466">
            <w:pPr>
              <w:pageBreakBefore w:val="0"/>
              <w:kinsoku/>
              <w:wordWrap/>
              <w:topLinePunct w:val="0"/>
              <w:bidi w:val="0"/>
              <w:snapToGrid w:val="0"/>
              <w:spacing w:beforeAutospacing="0" w:line="400" w:lineRule="exact"/>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66D55C07">
            <w:pPr>
              <w:pageBreakBefore w:val="0"/>
              <w:kinsoku/>
              <w:wordWrap/>
              <w:topLinePunct w:val="0"/>
              <w:bidi w:val="0"/>
              <w:snapToGrid w:val="0"/>
              <w:spacing w:beforeAutospacing="0" w:line="400" w:lineRule="exact"/>
              <w:rPr>
                <w:rFonts w:cs="宋体"/>
                <w:bCs/>
                <w:color w:val="auto"/>
                <w:kern w:val="2"/>
                <w:sz w:val="21"/>
                <w:szCs w:val="21"/>
                <w:highlight w:val="none"/>
              </w:rPr>
            </w:pPr>
            <w:r>
              <w:rPr>
                <w:rFonts w:hint="eastAsia" w:cs="宋体"/>
                <w:color w:val="auto"/>
                <w:sz w:val="21"/>
                <w:szCs w:val="21"/>
                <w:highlight w:val="none"/>
              </w:rPr>
              <w:t>提前竣工的奖励：</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09F1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B6D7715">
            <w:pPr>
              <w:pageBreakBefore w:val="0"/>
              <w:numPr>
                <w:ilvl w:val="0"/>
                <w:numId w:val="5"/>
              </w:numPr>
              <w:kinsoku/>
              <w:wordWrap/>
              <w:topLinePunct w:val="0"/>
              <w:bidi w:val="0"/>
              <w:snapToGrid w:val="0"/>
              <w:spacing w:beforeAutospacing="0" w:line="400" w:lineRule="exact"/>
              <w:jc w:val="center"/>
              <w:rPr>
                <w:rFonts w:cs="宋体"/>
                <w:bCs/>
                <w:color w:val="auto"/>
                <w:kern w:val="2"/>
                <w:sz w:val="21"/>
                <w:szCs w:val="21"/>
                <w:highlight w:val="none"/>
              </w:rPr>
            </w:pPr>
          </w:p>
        </w:tc>
        <w:tc>
          <w:tcPr>
            <w:tcW w:w="1111" w:type="dxa"/>
            <w:vAlign w:val="center"/>
          </w:tcPr>
          <w:p w14:paraId="5851C08C">
            <w:pPr>
              <w:pageBreakBefore w:val="0"/>
              <w:kinsoku/>
              <w:wordWrap/>
              <w:topLinePunct w:val="0"/>
              <w:bidi w:val="0"/>
              <w:snapToGrid w:val="0"/>
              <w:spacing w:beforeAutospacing="0" w:line="400" w:lineRule="exact"/>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70442462">
            <w:pPr>
              <w:pStyle w:val="33"/>
              <w:pageBreakBefore w:val="0"/>
              <w:tabs>
                <w:tab w:val="clear" w:pos="4153"/>
                <w:tab w:val="clear" w:pos="8306"/>
              </w:tabs>
              <w:kinsoku/>
              <w:wordWrap/>
              <w:topLinePunct w:val="0"/>
              <w:bidi w:val="0"/>
              <w:spacing w:beforeAutospacing="0" w:line="400" w:lineRule="exact"/>
              <w:rPr>
                <w:rFonts w:cs="宋体"/>
                <w:bCs/>
                <w:color w:val="auto"/>
                <w:kern w:val="2"/>
                <w:sz w:val="21"/>
                <w:szCs w:val="21"/>
                <w:highlight w:val="none"/>
              </w:rPr>
            </w:pPr>
            <w:r>
              <w:rPr>
                <w:rFonts w:hint="eastAsia" w:cs="宋体"/>
                <w:bCs/>
                <w:color w:val="auto"/>
                <w:kern w:val="2"/>
                <w:sz w:val="21"/>
                <w:szCs w:val="21"/>
                <w:highlight w:val="none"/>
              </w:rPr>
              <w:t>市场价格波动是否调整合同价格的约定：</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u w:val="single"/>
                <w:lang w:val="en-US" w:eastAsia="zh-CN"/>
              </w:rPr>
              <w:t>不调价</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tc>
      </w:tr>
      <w:tr w14:paraId="457C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9310301">
            <w:pPr>
              <w:pageBreakBefore w:val="0"/>
              <w:numPr>
                <w:ilvl w:val="0"/>
                <w:numId w:val="5"/>
              </w:numPr>
              <w:kinsoku/>
              <w:wordWrap/>
              <w:topLinePunct w:val="0"/>
              <w:bidi w:val="0"/>
              <w:snapToGrid w:val="0"/>
              <w:spacing w:beforeAutospacing="0" w:line="400" w:lineRule="exact"/>
              <w:jc w:val="center"/>
              <w:rPr>
                <w:rFonts w:cs="宋体"/>
                <w:bCs/>
                <w:color w:val="auto"/>
                <w:sz w:val="21"/>
                <w:szCs w:val="21"/>
                <w:highlight w:val="none"/>
              </w:rPr>
            </w:pPr>
          </w:p>
        </w:tc>
        <w:tc>
          <w:tcPr>
            <w:tcW w:w="1111" w:type="dxa"/>
            <w:vAlign w:val="center"/>
          </w:tcPr>
          <w:p w14:paraId="639B8427">
            <w:pPr>
              <w:pageBreakBefore w:val="0"/>
              <w:kinsoku/>
              <w:wordWrap/>
              <w:topLinePunct w:val="0"/>
              <w:bidi w:val="0"/>
              <w:snapToGrid w:val="0"/>
              <w:spacing w:beforeAutospacing="0" w:line="400" w:lineRule="exact"/>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6F389F74">
            <w:pPr>
              <w:pStyle w:val="33"/>
              <w:pageBreakBefore w:val="0"/>
              <w:tabs>
                <w:tab w:val="clear" w:pos="4153"/>
                <w:tab w:val="clear" w:pos="8306"/>
              </w:tabs>
              <w:kinsoku/>
              <w:wordWrap/>
              <w:topLinePunct w:val="0"/>
              <w:bidi w:val="0"/>
              <w:spacing w:beforeAutospacing="0" w:line="400" w:lineRule="exact"/>
              <w:rPr>
                <w:rFonts w:cs="宋体"/>
                <w:bCs/>
                <w:color w:val="auto"/>
                <w:sz w:val="21"/>
                <w:szCs w:val="21"/>
                <w:highlight w:val="none"/>
              </w:rPr>
            </w:pPr>
            <w:r>
              <w:rPr>
                <w:rFonts w:hint="eastAsia" w:cs="宋体"/>
                <w:bCs/>
                <w:color w:val="auto"/>
                <w:sz w:val="21"/>
                <w:szCs w:val="21"/>
                <w:highlight w:val="none"/>
              </w:rPr>
              <w:t>合同价格形式</w:t>
            </w:r>
          </w:p>
          <w:p w14:paraId="1F335A9C">
            <w:pPr>
              <w:pStyle w:val="33"/>
              <w:pageBreakBefore w:val="0"/>
              <w:tabs>
                <w:tab w:val="clear" w:pos="4153"/>
                <w:tab w:val="clear" w:pos="8306"/>
              </w:tabs>
              <w:kinsoku/>
              <w:wordWrap/>
              <w:topLinePunct w:val="0"/>
              <w:bidi w:val="0"/>
              <w:spacing w:beforeAutospacing="0" w:line="400" w:lineRule="exact"/>
              <w:rPr>
                <w:rFonts w:cs="宋体"/>
                <w:bCs/>
                <w:color w:val="auto"/>
                <w:sz w:val="21"/>
                <w:szCs w:val="21"/>
                <w:highlight w:val="none"/>
              </w:rPr>
            </w:pPr>
            <w:r>
              <w:rPr>
                <w:rFonts w:hint="eastAsia" w:cs="宋体"/>
                <w:bCs/>
                <w:color w:val="auto"/>
                <w:sz w:val="21"/>
                <w:szCs w:val="21"/>
                <w:highlight w:val="none"/>
              </w:rPr>
              <w:t>(1)单价合同。</w:t>
            </w:r>
          </w:p>
          <w:p w14:paraId="5C21D88E">
            <w:pPr>
              <w:pStyle w:val="33"/>
              <w:pageBreakBefore w:val="0"/>
              <w:tabs>
                <w:tab w:val="clear" w:pos="4153"/>
                <w:tab w:val="clear" w:pos="8306"/>
              </w:tabs>
              <w:kinsoku/>
              <w:wordWrap/>
              <w:topLinePunct w:val="0"/>
              <w:bidi w:val="0"/>
              <w:spacing w:beforeAutospacing="0" w:line="400" w:lineRule="exact"/>
              <w:rPr>
                <w:rFonts w:cs="宋体"/>
                <w:bCs/>
                <w:color w:val="auto"/>
                <w:sz w:val="21"/>
                <w:szCs w:val="21"/>
                <w:highlight w:val="none"/>
              </w:rPr>
            </w:pPr>
            <w:r>
              <w:rPr>
                <w:rFonts w:hint="eastAsia" w:cs="宋体"/>
                <w:bCs/>
                <w:color w:val="auto"/>
                <w:sz w:val="21"/>
                <w:szCs w:val="21"/>
                <w:highlight w:val="none"/>
              </w:rPr>
              <w:t>综合单价包含的风险范围：</w:t>
            </w:r>
            <w:r>
              <w:rPr>
                <w:rFonts w:hint="eastAsia" w:ascii="宋体" w:hAnsi="宋体" w:eastAsia="宋体" w:cs="宋体"/>
                <w:color w:val="auto"/>
                <w:sz w:val="21"/>
                <w:szCs w:val="21"/>
                <w:highlight w:val="none"/>
                <w:u w:val="single"/>
              </w:rPr>
              <w:t>隐含于已标价工程量清单综合单价中，用于化解发承包双方在工程合同中约定内容和范围内的市场价格波动风险的费用。综合单价包括为完成本项目所需要的一切费用,包括但不限于人工费、材料费、施工机械费、管理费、利润、风险费用、总包管理费、赶工措施费、相关交易费及完成本工程</w:t>
            </w:r>
            <w:r>
              <w:rPr>
                <w:rFonts w:hint="eastAsia" w:cs="宋体"/>
                <w:color w:val="auto"/>
                <w:sz w:val="21"/>
                <w:szCs w:val="21"/>
                <w:highlight w:val="none"/>
                <w:u w:val="single"/>
                <w:lang w:val="en-US" w:eastAsia="zh-CN"/>
              </w:rPr>
              <w:t>招标</w:t>
            </w:r>
            <w:r>
              <w:rPr>
                <w:rFonts w:hint="eastAsia" w:ascii="宋体" w:hAnsi="宋体" w:eastAsia="宋体" w:cs="宋体"/>
                <w:color w:val="auto"/>
                <w:sz w:val="21"/>
                <w:szCs w:val="21"/>
                <w:highlight w:val="none"/>
                <w:u w:val="single"/>
              </w:rPr>
              <w:t>文件及合同条款内容等所有费用。</w:t>
            </w:r>
          </w:p>
          <w:p w14:paraId="0C5577BA">
            <w:pPr>
              <w:pStyle w:val="33"/>
              <w:pageBreakBefore w:val="0"/>
              <w:tabs>
                <w:tab w:val="clear" w:pos="4153"/>
                <w:tab w:val="clear" w:pos="8306"/>
              </w:tabs>
              <w:kinsoku/>
              <w:wordWrap/>
              <w:topLinePunct w:val="0"/>
              <w:bidi w:val="0"/>
              <w:spacing w:beforeAutospacing="0" w:line="400" w:lineRule="exact"/>
              <w:rPr>
                <w:rFonts w:cs="宋体"/>
                <w:bCs/>
                <w:color w:val="auto"/>
                <w:sz w:val="21"/>
                <w:szCs w:val="21"/>
                <w:highlight w:val="none"/>
              </w:rPr>
            </w:pPr>
            <w:r>
              <w:rPr>
                <w:rFonts w:hint="eastAsia" w:cs="宋体"/>
                <w:bCs/>
                <w:color w:val="auto"/>
                <w:sz w:val="21"/>
                <w:szCs w:val="21"/>
                <w:highlight w:val="none"/>
              </w:rPr>
              <w:t>风险费用的计算方法：</w:t>
            </w:r>
            <w:r>
              <w:rPr>
                <w:rFonts w:hint="eastAsia" w:ascii="宋体" w:hAnsi="宋体" w:eastAsia="宋体" w:cs="宋体"/>
                <w:bCs/>
                <w:color w:val="auto"/>
                <w:sz w:val="21"/>
                <w:szCs w:val="21"/>
                <w:highlight w:val="none"/>
                <w:u w:val="single"/>
              </w:rPr>
              <w:t>承包人自行考虑，包含在报价中</w:t>
            </w:r>
            <w:r>
              <w:rPr>
                <w:rFonts w:hint="eastAsia" w:cs="宋体"/>
                <w:bCs/>
                <w:color w:val="auto"/>
                <w:sz w:val="21"/>
                <w:szCs w:val="21"/>
                <w:highlight w:val="none"/>
              </w:rPr>
              <w:t>。</w:t>
            </w:r>
          </w:p>
          <w:p w14:paraId="4812C1CE">
            <w:pPr>
              <w:pStyle w:val="33"/>
              <w:pageBreakBefore w:val="0"/>
              <w:tabs>
                <w:tab w:val="clear" w:pos="4153"/>
                <w:tab w:val="clear" w:pos="8306"/>
              </w:tabs>
              <w:kinsoku/>
              <w:wordWrap/>
              <w:topLinePunct w:val="0"/>
              <w:bidi w:val="0"/>
              <w:spacing w:beforeAutospacing="0" w:line="400" w:lineRule="exact"/>
              <w:rPr>
                <w:rFonts w:hint="eastAsia" w:ascii="宋体" w:hAnsi="宋体" w:eastAsia="宋体" w:cs="宋体"/>
                <w:bCs/>
                <w:color w:val="auto"/>
                <w:sz w:val="21"/>
                <w:szCs w:val="21"/>
                <w:highlight w:val="none"/>
                <w:u w:val="single"/>
              </w:rPr>
            </w:pPr>
            <w:r>
              <w:rPr>
                <w:rFonts w:hint="eastAsia" w:cs="宋体"/>
                <w:bCs/>
                <w:color w:val="auto"/>
                <w:sz w:val="21"/>
                <w:szCs w:val="21"/>
                <w:highlight w:val="none"/>
              </w:rPr>
              <w:t>风险范围以外合同价格的调整方法：</w:t>
            </w:r>
            <w:r>
              <w:rPr>
                <w:rFonts w:hint="eastAsia" w:ascii="宋体" w:hAnsi="宋体" w:eastAsia="宋体" w:cs="宋体"/>
                <w:bCs/>
                <w:color w:val="auto"/>
                <w:sz w:val="21"/>
                <w:szCs w:val="21"/>
                <w:highlight w:val="none"/>
                <w:u w:val="single"/>
              </w:rPr>
              <w:t>按照国家级省市政策要求。</w:t>
            </w:r>
          </w:p>
          <w:p w14:paraId="673352A4">
            <w:pPr>
              <w:pStyle w:val="33"/>
              <w:pageBreakBefore w:val="0"/>
              <w:tabs>
                <w:tab w:val="clear" w:pos="4153"/>
                <w:tab w:val="clear" w:pos="8306"/>
              </w:tabs>
              <w:kinsoku/>
              <w:wordWrap/>
              <w:topLinePunct w:val="0"/>
              <w:bidi w:val="0"/>
              <w:spacing w:beforeAutospacing="0" w:line="400" w:lineRule="exact"/>
              <w:rPr>
                <w:rFonts w:cs="宋体"/>
                <w:bCs/>
                <w:color w:val="auto"/>
                <w:sz w:val="21"/>
                <w:szCs w:val="21"/>
                <w:highlight w:val="none"/>
              </w:rPr>
            </w:pPr>
            <w:r>
              <w:rPr>
                <w:rFonts w:hint="eastAsia" w:cs="宋体"/>
                <w:bCs/>
                <w:color w:val="auto"/>
                <w:sz w:val="21"/>
                <w:szCs w:val="21"/>
                <w:highlight w:val="none"/>
              </w:rPr>
              <w:t>(2)总价合同。</w:t>
            </w:r>
          </w:p>
          <w:p w14:paraId="41FC0350">
            <w:pPr>
              <w:pStyle w:val="33"/>
              <w:pageBreakBefore w:val="0"/>
              <w:tabs>
                <w:tab w:val="clear" w:pos="4153"/>
                <w:tab w:val="clear" w:pos="8306"/>
              </w:tabs>
              <w:kinsoku/>
              <w:wordWrap/>
              <w:topLinePunct w:val="0"/>
              <w:bidi w:val="0"/>
              <w:spacing w:beforeAutospacing="0" w:line="400" w:lineRule="exact"/>
              <w:rPr>
                <w:rFonts w:cs="宋体"/>
                <w:bCs/>
                <w:color w:val="auto"/>
                <w:sz w:val="21"/>
                <w:szCs w:val="21"/>
                <w:highlight w:val="none"/>
              </w:rPr>
            </w:pPr>
            <w:r>
              <w:rPr>
                <w:rFonts w:hint="eastAsia" w:cs="宋体"/>
                <w:bCs/>
                <w:color w:val="auto"/>
                <w:sz w:val="21"/>
                <w:szCs w:val="21"/>
                <w:highlight w:val="none"/>
              </w:rPr>
              <w:t>总价包含的风险范围：</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p>
          <w:p w14:paraId="7AB5AC78">
            <w:pPr>
              <w:pStyle w:val="33"/>
              <w:pageBreakBefore w:val="0"/>
              <w:tabs>
                <w:tab w:val="clear" w:pos="4153"/>
                <w:tab w:val="clear" w:pos="8306"/>
              </w:tabs>
              <w:kinsoku/>
              <w:wordWrap/>
              <w:topLinePunct w:val="0"/>
              <w:bidi w:val="0"/>
              <w:spacing w:beforeAutospacing="0" w:line="400" w:lineRule="exact"/>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58479B7B">
            <w:pPr>
              <w:pStyle w:val="33"/>
              <w:pageBreakBefore w:val="0"/>
              <w:tabs>
                <w:tab w:val="clear" w:pos="4153"/>
                <w:tab w:val="clear" w:pos="8306"/>
              </w:tabs>
              <w:kinsoku/>
              <w:wordWrap/>
              <w:topLinePunct w:val="0"/>
              <w:bidi w:val="0"/>
              <w:spacing w:beforeAutospacing="0" w:line="400" w:lineRule="exact"/>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634CF1D2">
            <w:pPr>
              <w:pStyle w:val="33"/>
              <w:pageBreakBefore w:val="0"/>
              <w:tabs>
                <w:tab w:val="clear" w:pos="4153"/>
                <w:tab w:val="clear" w:pos="8306"/>
              </w:tabs>
              <w:kinsoku/>
              <w:wordWrap/>
              <w:topLinePunct w:val="0"/>
              <w:bidi w:val="0"/>
              <w:spacing w:beforeAutospacing="0" w:line="400" w:lineRule="exact"/>
              <w:rPr>
                <w:rFonts w:cs="宋体"/>
                <w:bCs/>
                <w:color w:val="auto"/>
                <w:sz w:val="21"/>
                <w:szCs w:val="21"/>
                <w:highlight w:val="none"/>
              </w:rPr>
            </w:pPr>
            <w:r>
              <w:rPr>
                <w:rFonts w:hint="eastAsia" w:cs="宋体"/>
                <w:bCs/>
                <w:color w:val="auto"/>
                <w:sz w:val="21"/>
                <w:szCs w:val="21"/>
                <w:highlight w:val="none"/>
              </w:rPr>
              <w:t>（3）其他价格方式：</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437E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3106F2A">
            <w:pPr>
              <w:pageBreakBefore w:val="0"/>
              <w:numPr>
                <w:ilvl w:val="0"/>
                <w:numId w:val="5"/>
              </w:numPr>
              <w:kinsoku/>
              <w:wordWrap/>
              <w:topLinePunct w:val="0"/>
              <w:bidi w:val="0"/>
              <w:snapToGrid w:val="0"/>
              <w:spacing w:beforeAutospacing="0" w:line="400" w:lineRule="exact"/>
              <w:jc w:val="center"/>
              <w:rPr>
                <w:rFonts w:cs="宋体"/>
                <w:bCs/>
                <w:color w:val="auto"/>
                <w:kern w:val="2"/>
                <w:sz w:val="21"/>
                <w:szCs w:val="21"/>
                <w:highlight w:val="none"/>
              </w:rPr>
            </w:pPr>
          </w:p>
        </w:tc>
        <w:tc>
          <w:tcPr>
            <w:tcW w:w="1111" w:type="dxa"/>
            <w:vAlign w:val="center"/>
          </w:tcPr>
          <w:p w14:paraId="016CB7CF">
            <w:pPr>
              <w:pageBreakBefore w:val="0"/>
              <w:kinsoku/>
              <w:wordWrap/>
              <w:topLinePunct w:val="0"/>
              <w:bidi w:val="0"/>
              <w:snapToGrid w:val="0"/>
              <w:spacing w:beforeAutospacing="0" w:line="400" w:lineRule="exact"/>
              <w:jc w:val="center"/>
              <w:rPr>
                <w:rFonts w:cs="宋体"/>
                <w:bCs/>
                <w:color w:val="auto"/>
                <w:kern w:val="2"/>
                <w:sz w:val="21"/>
                <w:szCs w:val="21"/>
                <w:highlight w:val="none"/>
              </w:rPr>
            </w:pPr>
            <w:r>
              <w:rPr>
                <w:rFonts w:hint="eastAsia" w:cs="宋体"/>
                <w:bCs/>
                <w:color w:val="auto"/>
                <w:sz w:val="21"/>
                <w:szCs w:val="21"/>
                <w:highlight w:val="none"/>
              </w:rPr>
              <w:t xml:space="preserve">12.2.1 </w:t>
            </w:r>
          </w:p>
        </w:tc>
        <w:tc>
          <w:tcPr>
            <w:tcW w:w="7304" w:type="dxa"/>
            <w:tcBorders>
              <w:bottom w:val="single" w:color="auto" w:sz="4" w:space="0"/>
            </w:tcBorders>
            <w:vAlign w:val="center"/>
          </w:tcPr>
          <w:p w14:paraId="4B1E5F38">
            <w:pPr>
              <w:pageBreakBefore w:val="0"/>
              <w:kinsoku/>
              <w:wordWrap/>
              <w:topLinePunct w:val="0"/>
              <w:bidi w:val="0"/>
              <w:adjustRightInd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预付款的支付</w:t>
            </w:r>
          </w:p>
          <w:p w14:paraId="4A8B454B">
            <w:pPr>
              <w:pageBreakBefore w:val="0"/>
              <w:kinsoku/>
              <w:wordWrap/>
              <w:topLinePunct w:val="0"/>
              <w:bidi w:val="0"/>
              <w:adjustRightInd w:val="0"/>
              <w:snapToGrid w:val="0"/>
              <w:spacing w:beforeAutospacing="0" w:line="400" w:lineRule="exact"/>
              <w:rPr>
                <w:rFonts w:hint="eastAsia"/>
                <w:color w:val="auto"/>
                <w:sz w:val="21"/>
                <w:szCs w:val="21"/>
                <w:highlight w:val="none"/>
                <w:u w:val="single"/>
              </w:rPr>
            </w:pPr>
            <w:r>
              <w:rPr>
                <w:rFonts w:hint="eastAsia" w:cs="宋体"/>
                <w:bCs/>
                <w:color w:val="auto"/>
                <w:sz w:val="21"/>
                <w:szCs w:val="21"/>
                <w:highlight w:val="none"/>
              </w:rPr>
              <w:t>预付款支付比例或金额：</w:t>
            </w:r>
            <w:r>
              <w:rPr>
                <w:rFonts w:hint="eastAsia"/>
                <w:color w:val="auto"/>
                <w:sz w:val="21"/>
                <w:szCs w:val="21"/>
                <w:highlight w:val="none"/>
                <w:u w:val="single"/>
              </w:rPr>
              <w:t>合同价款的40%预付款（预付款支付前，成交人须提供同等金额的见索即付保函)。</w:t>
            </w:r>
          </w:p>
          <w:p w14:paraId="612EBC2A">
            <w:pPr>
              <w:pageBreakBefore w:val="0"/>
              <w:kinsoku/>
              <w:wordWrap/>
              <w:topLinePunct w:val="0"/>
              <w:bidi w:val="0"/>
              <w:adjustRightInd w:val="0"/>
              <w:snapToGrid w:val="0"/>
              <w:spacing w:beforeAutospacing="0" w:line="400" w:lineRule="exact"/>
              <w:rPr>
                <w:rFonts w:hint="eastAsia" w:eastAsia="宋体" w:cs="宋体"/>
                <w:bCs/>
                <w:color w:val="auto"/>
                <w:sz w:val="21"/>
                <w:szCs w:val="21"/>
                <w:highlight w:val="none"/>
                <w:u w:val="single"/>
                <w:lang w:eastAsia="zh-CN"/>
              </w:rPr>
            </w:pPr>
            <w:r>
              <w:rPr>
                <w:rFonts w:hint="eastAsia" w:cs="宋体"/>
                <w:bCs/>
                <w:color w:val="auto"/>
                <w:sz w:val="21"/>
                <w:szCs w:val="21"/>
                <w:highlight w:val="none"/>
              </w:rPr>
              <w:t>预付款支付期限：</w:t>
            </w:r>
            <w:r>
              <w:rPr>
                <w:rFonts w:hint="eastAsia"/>
                <w:color w:val="auto"/>
                <w:sz w:val="21"/>
                <w:szCs w:val="21"/>
                <w:highlight w:val="none"/>
                <w:u w:val="single"/>
              </w:rPr>
              <w:t>合同签订后具备实施条件后5个工作日内</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成交人提供资料应满足发包人支付要求</w:t>
            </w:r>
            <w:r>
              <w:rPr>
                <w:rFonts w:hint="eastAsia"/>
                <w:color w:val="auto"/>
                <w:sz w:val="21"/>
                <w:szCs w:val="21"/>
                <w:highlight w:val="none"/>
                <w:u w:val="single"/>
                <w:lang w:eastAsia="zh-CN"/>
              </w:rPr>
              <w:t>）</w:t>
            </w:r>
          </w:p>
          <w:p w14:paraId="58DABDDC">
            <w:pPr>
              <w:pageBreakBefore w:val="0"/>
              <w:kinsoku/>
              <w:wordWrap/>
              <w:topLinePunct w:val="0"/>
              <w:bidi w:val="0"/>
              <w:adjustRightInd w:val="0"/>
              <w:snapToGrid w:val="0"/>
              <w:spacing w:beforeAutospacing="0" w:line="400" w:lineRule="exact"/>
              <w:rPr>
                <w:rFonts w:hint="eastAsia" w:eastAsia="宋体" w:cs="宋体"/>
                <w:bCs/>
                <w:color w:val="auto"/>
                <w:kern w:val="2"/>
                <w:sz w:val="21"/>
                <w:szCs w:val="21"/>
                <w:highlight w:val="none"/>
                <w:lang w:eastAsia="zh-CN"/>
              </w:rPr>
            </w:pPr>
            <w:r>
              <w:rPr>
                <w:rFonts w:hint="eastAsia" w:cs="宋体"/>
                <w:bCs/>
                <w:color w:val="auto"/>
                <w:sz w:val="21"/>
                <w:szCs w:val="21"/>
                <w:highlight w:val="none"/>
              </w:rPr>
              <w:t>预付款扣回的方式：</w:t>
            </w:r>
            <w:r>
              <w:rPr>
                <w:rFonts w:hint="eastAsia" w:cs="宋体"/>
                <w:bCs/>
                <w:color w:val="auto"/>
                <w:sz w:val="21"/>
                <w:szCs w:val="21"/>
                <w:highlight w:val="none"/>
                <w:u w:val="single"/>
              </w:rPr>
              <w:t xml:space="preserve">  </w:t>
            </w:r>
            <w:r>
              <w:rPr>
                <w:color w:val="auto"/>
                <w:spacing w:val="8"/>
                <w:sz w:val="21"/>
                <w:szCs w:val="21"/>
                <w:highlight w:val="none"/>
                <w:u w:val="single" w:color="auto"/>
              </w:rPr>
              <w:t>总结算时扣除</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eastAsia="zh-CN"/>
              </w:rPr>
              <w:t>。</w:t>
            </w:r>
          </w:p>
        </w:tc>
      </w:tr>
      <w:tr w14:paraId="61C4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234E48BD">
            <w:pPr>
              <w:pageBreakBefore w:val="0"/>
              <w:numPr>
                <w:ilvl w:val="0"/>
                <w:numId w:val="5"/>
              </w:numPr>
              <w:kinsoku/>
              <w:wordWrap/>
              <w:topLinePunct w:val="0"/>
              <w:bidi w:val="0"/>
              <w:snapToGrid w:val="0"/>
              <w:spacing w:beforeAutospacing="0" w:line="400" w:lineRule="exact"/>
              <w:jc w:val="center"/>
              <w:rPr>
                <w:rFonts w:cs="宋体"/>
                <w:bCs/>
                <w:color w:val="auto"/>
                <w:kern w:val="2"/>
                <w:sz w:val="21"/>
                <w:szCs w:val="21"/>
                <w:highlight w:val="none"/>
              </w:rPr>
            </w:pPr>
          </w:p>
        </w:tc>
        <w:tc>
          <w:tcPr>
            <w:tcW w:w="1111" w:type="dxa"/>
            <w:vAlign w:val="center"/>
          </w:tcPr>
          <w:p w14:paraId="03C800EC">
            <w:pPr>
              <w:pageBreakBefore w:val="0"/>
              <w:kinsoku/>
              <w:wordWrap/>
              <w:topLinePunct w:val="0"/>
              <w:bidi w:val="0"/>
              <w:snapToGrid w:val="0"/>
              <w:spacing w:beforeAutospacing="0" w:line="400" w:lineRule="exact"/>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28351242">
            <w:pPr>
              <w:pageBreakBefore w:val="0"/>
              <w:kinsoku/>
              <w:wordWrap/>
              <w:topLinePunct w:val="0"/>
              <w:bidi w:val="0"/>
              <w:adjustRightInd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预付款担保</w:t>
            </w:r>
          </w:p>
          <w:p w14:paraId="58DE6994">
            <w:pPr>
              <w:pageBreakBefore w:val="0"/>
              <w:kinsoku/>
              <w:wordWrap/>
              <w:topLinePunct w:val="0"/>
              <w:bidi w:val="0"/>
              <w:adjustRightInd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承包人提交预付款担保的期限：</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预付款支付前 </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 xml:space="preserve"> </w:t>
            </w:r>
          </w:p>
          <w:p w14:paraId="287CE6C9">
            <w:pPr>
              <w:pageBreakBefore w:val="0"/>
              <w:kinsoku/>
              <w:wordWrap/>
              <w:topLinePunct w:val="0"/>
              <w:bidi w:val="0"/>
              <w:adjustRightInd w:val="0"/>
              <w:snapToGrid w:val="0"/>
              <w:spacing w:beforeAutospacing="0" w:line="400" w:lineRule="exact"/>
              <w:rPr>
                <w:rFonts w:hint="eastAsia" w:eastAsia="宋体" w:cs="宋体"/>
                <w:bCs/>
                <w:color w:val="auto"/>
                <w:kern w:val="2"/>
                <w:sz w:val="21"/>
                <w:szCs w:val="21"/>
                <w:highlight w:val="none"/>
                <w:lang w:eastAsia="zh-CN"/>
              </w:rPr>
            </w:pPr>
            <w:r>
              <w:rPr>
                <w:rFonts w:hint="eastAsia" w:cs="宋体"/>
                <w:bCs/>
                <w:color w:val="auto"/>
                <w:sz w:val="21"/>
                <w:szCs w:val="21"/>
                <w:highlight w:val="none"/>
              </w:rPr>
              <w:t>预付款担保的形式为：</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保函</w:t>
            </w:r>
            <w:r>
              <w:rPr>
                <w:rFonts w:hint="eastAsia" w:cs="宋体"/>
                <w:bCs/>
                <w:color w:val="auto"/>
                <w:sz w:val="21"/>
                <w:szCs w:val="21"/>
                <w:highlight w:val="none"/>
                <w:u w:val="single"/>
              </w:rPr>
              <w:t xml:space="preserve"> </w:t>
            </w:r>
            <w:r>
              <w:rPr>
                <w:color w:val="auto"/>
                <w:spacing w:val="8"/>
                <w:sz w:val="21"/>
                <w:szCs w:val="21"/>
                <w:highlight w:val="none"/>
                <w:u w:val="single" w:color="auto"/>
              </w:rPr>
              <w:t>（见索即付）</w:t>
            </w:r>
            <w:r>
              <w:rPr>
                <w:rFonts w:hint="eastAsia"/>
                <w:color w:val="auto"/>
                <w:spacing w:val="8"/>
                <w:sz w:val="21"/>
                <w:szCs w:val="21"/>
                <w:highlight w:val="none"/>
                <w:u w:val="single" w:color="auto"/>
                <w:lang w:eastAsia="zh-CN"/>
              </w:rPr>
              <w:t>。</w:t>
            </w:r>
          </w:p>
        </w:tc>
      </w:tr>
      <w:tr w14:paraId="2BAC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CE6991D">
            <w:pPr>
              <w:pageBreakBefore w:val="0"/>
              <w:numPr>
                <w:ilvl w:val="0"/>
                <w:numId w:val="5"/>
              </w:numPr>
              <w:kinsoku/>
              <w:wordWrap/>
              <w:topLinePunct w:val="0"/>
              <w:bidi w:val="0"/>
              <w:snapToGrid w:val="0"/>
              <w:spacing w:beforeAutospacing="0" w:line="400" w:lineRule="exact"/>
              <w:jc w:val="center"/>
              <w:rPr>
                <w:rFonts w:cs="宋体"/>
                <w:bCs/>
                <w:color w:val="auto"/>
                <w:kern w:val="2"/>
                <w:sz w:val="21"/>
                <w:szCs w:val="21"/>
                <w:highlight w:val="none"/>
              </w:rPr>
            </w:pPr>
          </w:p>
        </w:tc>
        <w:tc>
          <w:tcPr>
            <w:tcW w:w="1111" w:type="dxa"/>
            <w:vAlign w:val="center"/>
          </w:tcPr>
          <w:p w14:paraId="5C3D7332">
            <w:pPr>
              <w:pageBreakBefore w:val="0"/>
              <w:kinsoku/>
              <w:wordWrap/>
              <w:topLinePunct w:val="0"/>
              <w:bidi w:val="0"/>
              <w:snapToGrid w:val="0"/>
              <w:spacing w:beforeAutospacing="0" w:line="400" w:lineRule="exact"/>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19A02B68">
            <w:pPr>
              <w:pageBreakBefore w:val="0"/>
              <w:kinsoku/>
              <w:wordWrap/>
              <w:topLinePunct w:val="0"/>
              <w:bidi w:val="0"/>
              <w:adjustRightInd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付款周期</w:t>
            </w:r>
          </w:p>
          <w:p w14:paraId="1EDD1CF8">
            <w:pPr>
              <w:pageBreakBefore w:val="0"/>
              <w:kinsoku/>
              <w:wordWrap/>
              <w:topLinePunct w:val="0"/>
              <w:bidi w:val="0"/>
              <w:adjustRightInd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关于付款周期的约定：</w:t>
            </w:r>
            <w:r>
              <w:rPr>
                <w:rFonts w:hint="eastAsia" w:ascii="宋体" w:hAnsi="宋体" w:eastAsia="宋体" w:cs="宋体"/>
                <w:bCs/>
                <w:color w:val="auto"/>
                <w:sz w:val="21"/>
                <w:szCs w:val="21"/>
                <w:highlight w:val="none"/>
                <w:u w:val="single"/>
              </w:rPr>
              <w:t>合同签订后具备实施条件后，支付合同价款的40%预付款（预付款支付前，成交人须提供同等金额的见索即付保函)。工程竣工验收合格，出具正式审计报告后付至审计结算价的100%，在审计结算报告定案后7个工作日内，须提交审计结算价的2%（取整到个位）至采购人指定账户，作为质量保证金。质量保证金支持保函（银行保函、担保机构担保、保证保险）使用。保函有效期须与工程缺陷责任期截止时间保持一致。缺陷责任期(2年)满后，办理缺陷责任期验收手续和质保金退还手续，符合要求后，一个月内退还</w:t>
            </w:r>
            <w:r>
              <w:rPr>
                <w:rFonts w:hint="eastAsia" w:cs="宋体"/>
                <w:bCs/>
                <w:color w:val="auto"/>
                <w:sz w:val="21"/>
                <w:szCs w:val="21"/>
                <w:highlight w:val="none"/>
                <w:u w:val="single"/>
                <w:lang w:val="en-US" w:eastAsia="zh-CN"/>
              </w:rPr>
              <w:t>。</w:t>
            </w:r>
          </w:p>
        </w:tc>
      </w:tr>
      <w:tr w14:paraId="4DC8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7689061">
            <w:pPr>
              <w:pageBreakBefore w:val="0"/>
              <w:numPr>
                <w:ilvl w:val="0"/>
                <w:numId w:val="5"/>
              </w:numPr>
              <w:kinsoku/>
              <w:wordWrap/>
              <w:topLinePunct w:val="0"/>
              <w:bidi w:val="0"/>
              <w:snapToGrid w:val="0"/>
              <w:spacing w:beforeAutospacing="0" w:line="400" w:lineRule="exact"/>
              <w:jc w:val="center"/>
              <w:rPr>
                <w:rFonts w:cs="宋体"/>
                <w:bCs/>
                <w:color w:val="auto"/>
                <w:kern w:val="2"/>
                <w:sz w:val="21"/>
                <w:szCs w:val="21"/>
                <w:highlight w:val="none"/>
              </w:rPr>
            </w:pPr>
          </w:p>
        </w:tc>
        <w:tc>
          <w:tcPr>
            <w:tcW w:w="1111" w:type="dxa"/>
            <w:vAlign w:val="center"/>
          </w:tcPr>
          <w:p w14:paraId="27B576FF">
            <w:pPr>
              <w:pageBreakBefore w:val="0"/>
              <w:kinsoku/>
              <w:wordWrap/>
              <w:topLinePunct w:val="0"/>
              <w:bidi w:val="0"/>
              <w:snapToGrid w:val="0"/>
              <w:spacing w:beforeAutospacing="0" w:line="400" w:lineRule="exact"/>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7F7E2A56">
            <w:pPr>
              <w:pageBreakBefore w:val="0"/>
              <w:kinsoku/>
              <w:wordWrap/>
              <w:topLinePunct w:val="0"/>
              <w:bidi w:val="0"/>
              <w:snapToGrid w:val="0"/>
              <w:spacing w:beforeAutospacing="0" w:line="400" w:lineRule="exact"/>
              <w:rPr>
                <w:rFonts w:cs="宋体"/>
                <w:bCs/>
                <w:color w:val="auto"/>
                <w:kern w:val="2"/>
                <w:sz w:val="21"/>
                <w:szCs w:val="21"/>
                <w:highlight w:val="none"/>
              </w:rPr>
            </w:pPr>
            <w:r>
              <w:rPr>
                <w:rFonts w:hint="eastAsia" w:cs="宋体"/>
                <w:color w:val="auto"/>
                <w:sz w:val="21"/>
                <w:szCs w:val="21"/>
                <w:highlight w:val="none"/>
              </w:rPr>
              <w:t>缺陷责任期的具体期限：</w:t>
            </w:r>
            <w:r>
              <w:rPr>
                <w:rFonts w:hint="eastAsia" w:ascii="宋体" w:hAnsi="宋体" w:eastAsia="宋体" w:cs="宋体"/>
                <w:color w:val="auto"/>
                <w:sz w:val="21"/>
                <w:szCs w:val="21"/>
                <w:highlight w:val="none"/>
                <w:u w:val="single"/>
              </w:rPr>
              <w:t>验收合格之日</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最低年限2</w:t>
            </w:r>
            <w:r>
              <w:rPr>
                <w:rFonts w:hint="eastAsia" w:ascii="宋体" w:hAnsi="宋体" w:eastAsia="宋体" w:cs="宋体"/>
                <w:color w:val="auto"/>
                <w:sz w:val="21"/>
                <w:szCs w:val="21"/>
                <w:highlight w:val="none"/>
                <w:u w:val="single"/>
              </w:rPr>
              <w:t>年，具体期限以成交人评审时承诺的期限为准。质保期内发生</w:t>
            </w:r>
            <w:r>
              <w:rPr>
                <w:rFonts w:hint="eastAsia" w:ascii="宋体" w:hAnsi="宋体" w:eastAsia="宋体" w:cs="宋体"/>
                <w:color w:val="auto"/>
                <w:sz w:val="21"/>
                <w:szCs w:val="21"/>
                <w:highlight w:val="none"/>
                <w:u w:val="single"/>
                <w:lang w:val="en-US" w:eastAsia="zh-CN"/>
              </w:rPr>
              <w:t>设备运行故障</w:t>
            </w:r>
            <w:r>
              <w:rPr>
                <w:rFonts w:hint="eastAsia" w:ascii="宋体" w:hAnsi="宋体" w:eastAsia="宋体" w:cs="宋体"/>
                <w:color w:val="auto"/>
                <w:sz w:val="21"/>
                <w:szCs w:val="21"/>
                <w:highlight w:val="none"/>
                <w:u w:val="single"/>
              </w:rPr>
              <w:t>等问题，成交人收到采购人通知时，</w:t>
            </w:r>
            <w:r>
              <w:rPr>
                <w:rFonts w:hint="eastAsia" w:ascii="宋体" w:hAnsi="宋体" w:eastAsia="宋体" w:cs="宋体"/>
                <w:color w:val="auto"/>
                <w:sz w:val="21"/>
                <w:szCs w:val="21"/>
                <w:highlight w:val="none"/>
                <w:u w:val="single"/>
                <w:lang w:val="en-US" w:eastAsia="zh-CN"/>
              </w:rPr>
              <w:t>应及时响应及时现场排查故障</w:t>
            </w:r>
            <w:r>
              <w:rPr>
                <w:rFonts w:hint="eastAsia" w:ascii="宋体" w:hAnsi="宋体" w:eastAsia="宋体" w:cs="宋体"/>
                <w:color w:val="auto"/>
                <w:sz w:val="21"/>
                <w:szCs w:val="21"/>
                <w:highlight w:val="none"/>
                <w:u w:val="single"/>
              </w:rPr>
              <w:t>，符合维修条件时，3天内完成</w:t>
            </w:r>
            <w:r>
              <w:rPr>
                <w:rFonts w:hint="eastAsia" w:ascii="宋体" w:hAnsi="宋体" w:eastAsia="宋体" w:cs="宋体"/>
                <w:color w:val="auto"/>
                <w:sz w:val="21"/>
                <w:szCs w:val="21"/>
                <w:highlight w:val="none"/>
                <w:u w:val="single"/>
                <w:lang w:val="en-US" w:eastAsia="zh-CN"/>
              </w:rPr>
              <w:t>修复</w:t>
            </w:r>
            <w:r>
              <w:rPr>
                <w:rFonts w:hint="eastAsia" w:ascii="宋体" w:hAnsi="宋体" w:eastAsia="宋体" w:cs="宋体"/>
                <w:color w:val="auto"/>
                <w:sz w:val="21"/>
                <w:szCs w:val="21"/>
                <w:highlight w:val="none"/>
                <w:u w:val="single"/>
              </w:rPr>
              <w:t>，如遇紧急情况，按采购人要求执行。不能按采购人要求及时到达及时维修的，由采购人组织维修，费用从质保金中支付，其发生的费用无需征得成交人同意。质保金费用不足以支付的，应由成交人另行支付。质保期内</w:t>
            </w:r>
            <w:r>
              <w:rPr>
                <w:rFonts w:hint="eastAsia" w:ascii="宋体" w:hAnsi="宋体" w:eastAsia="宋体" w:cs="宋体"/>
                <w:color w:val="auto"/>
                <w:sz w:val="21"/>
                <w:szCs w:val="21"/>
                <w:highlight w:val="none"/>
                <w:u w:val="single"/>
                <w:lang w:val="en-US" w:eastAsia="zh-CN"/>
              </w:rPr>
              <w:t>同一地点同一故障累计</w:t>
            </w:r>
            <w:r>
              <w:rPr>
                <w:rFonts w:hint="eastAsia" w:ascii="宋体" w:hAnsi="宋体" w:eastAsia="宋体" w:cs="宋体"/>
                <w:color w:val="auto"/>
                <w:sz w:val="21"/>
                <w:szCs w:val="21"/>
                <w:highlight w:val="none"/>
                <w:u w:val="single"/>
              </w:rPr>
              <w:t>发生</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次以上的，全额扣除质量保证金。成交人不服从采购人要求，给采购人造成损失或社会不良影响的，视为违约行为，采购人依法依规追究其法律责任。</w:t>
            </w:r>
          </w:p>
        </w:tc>
      </w:tr>
      <w:tr w14:paraId="4668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D59451D">
            <w:pPr>
              <w:pageBreakBefore w:val="0"/>
              <w:numPr>
                <w:ilvl w:val="0"/>
                <w:numId w:val="5"/>
              </w:numPr>
              <w:kinsoku/>
              <w:wordWrap/>
              <w:topLinePunct w:val="0"/>
              <w:bidi w:val="0"/>
              <w:snapToGrid w:val="0"/>
              <w:spacing w:beforeAutospacing="0" w:line="400" w:lineRule="exact"/>
              <w:jc w:val="center"/>
              <w:rPr>
                <w:rFonts w:cs="宋体"/>
                <w:bCs/>
                <w:color w:val="auto"/>
                <w:kern w:val="2"/>
                <w:sz w:val="21"/>
                <w:szCs w:val="21"/>
                <w:highlight w:val="none"/>
              </w:rPr>
            </w:pPr>
          </w:p>
        </w:tc>
        <w:tc>
          <w:tcPr>
            <w:tcW w:w="1111" w:type="dxa"/>
            <w:vAlign w:val="center"/>
          </w:tcPr>
          <w:p w14:paraId="0E3BDCF6">
            <w:pPr>
              <w:pageBreakBefore w:val="0"/>
              <w:kinsoku/>
              <w:wordWrap/>
              <w:topLinePunct w:val="0"/>
              <w:bidi w:val="0"/>
              <w:snapToGrid w:val="0"/>
              <w:spacing w:beforeAutospacing="0" w:line="400" w:lineRule="exact"/>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6736BB47">
            <w:pPr>
              <w:pageBreakBefore w:val="0"/>
              <w:kinsoku/>
              <w:wordWrap/>
              <w:topLinePunct w:val="0"/>
              <w:bidi w:val="0"/>
              <w:adjustRightInd w:val="0"/>
              <w:snapToGrid w:val="0"/>
              <w:spacing w:beforeAutospacing="0" w:line="400" w:lineRule="exact"/>
              <w:rPr>
                <w:rFonts w:cs="宋体"/>
                <w:color w:val="auto"/>
                <w:sz w:val="21"/>
                <w:szCs w:val="21"/>
                <w:highlight w:val="none"/>
              </w:rPr>
            </w:pPr>
            <w:r>
              <w:rPr>
                <w:rFonts w:hint="eastAsia" w:cs="宋体"/>
                <w:color w:val="auto"/>
                <w:sz w:val="21"/>
                <w:szCs w:val="21"/>
                <w:highlight w:val="none"/>
              </w:rPr>
              <w:t>质量保证金可采用以下任意一种方式：</w:t>
            </w:r>
          </w:p>
          <w:p w14:paraId="67859F36">
            <w:pPr>
              <w:pageBreakBefore w:val="0"/>
              <w:kinsoku/>
              <w:wordWrap/>
              <w:topLinePunct w:val="0"/>
              <w:bidi w:val="0"/>
              <w:adjustRightInd w:val="0"/>
              <w:snapToGrid w:val="0"/>
              <w:spacing w:beforeAutospacing="0" w:line="400" w:lineRule="exact"/>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sz w:val="21"/>
                <w:szCs w:val="21"/>
                <w:highlight w:val="none"/>
                <w:u w:val="single"/>
              </w:rPr>
              <w:t xml:space="preserve"> 结算审计价的2% ；</w:t>
            </w:r>
          </w:p>
          <w:p w14:paraId="4047DFC4">
            <w:pPr>
              <w:pageBreakBefore w:val="0"/>
              <w:kinsoku/>
              <w:wordWrap/>
              <w:topLinePunct w:val="0"/>
              <w:bidi w:val="0"/>
              <w:adjustRightInd w:val="0"/>
              <w:snapToGrid w:val="0"/>
              <w:spacing w:beforeAutospacing="0" w:line="400" w:lineRule="exact"/>
              <w:rPr>
                <w:rFonts w:cs="宋体"/>
                <w:color w:val="auto"/>
                <w:sz w:val="21"/>
                <w:szCs w:val="21"/>
                <w:highlight w:val="none"/>
              </w:rPr>
            </w:pPr>
            <w:r>
              <w:rPr>
                <w:rFonts w:hint="eastAsia" w:cs="宋体"/>
                <w:color w:val="auto"/>
                <w:sz w:val="21"/>
                <w:szCs w:val="21"/>
                <w:highlight w:val="none"/>
              </w:rPr>
              <w:t xml:space="preserve">（2） </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对公转账</w:t>
            </w:r>
            <w:r>
              <w:rPr>
                <w:rFonts w:hint="eastAsia" w:cs="宋体"/>
                <w:color w:val="auto"/>
                <w:sz w:val="21"/>
                <w:szCs w:val="21"/>
                <w:highlight w:val="none"/>
                <w:u w:val="single"/>
              </w:rPr>
              <w:t xml:space="preserve">       ；</w:t>
            </w:r>
          </w:p>
          <w:p w14:paraId="7773360E">
            <w:pPr>
              <w:pageBreakBefore w:val="0"/>
              <w:kinsoku/>
              <w:wordWrap/>
              <w:topLinePunct w:val="0"/>
              <w:bidi w:val="0"/>
              <w:adjustRightInd w:val="0"/>
              <w:snapToGrid w:val="0"/>
              <w:spacing w:beforeAutospacing="0" w:line="400" w:lineRule="exact"/>
              <w:rPr>
                <w:rFonts w:hint="eastAsia" w:cs="宋体"/>
                <w:color w:val="auto"/>
                <w:sz w:val="21"/>
                <w:szCs w:val="21"/>
                <w:highlight w:val="none"/>
                <w:u w:val="single"/>
              </w:rPr>
            </w:pPr>
            <w:r>
              <w:rPr>
                <w:rFonts w:hint="eastAsia" w:cs="宋体"/>
                <w:color w:val="auto"/>
                <w:sz w:val="21"/>
                <w:szCs w:val="21"/>
                <w:highlight w:val="none"/>
              </w:rPr>
              <w:t>（3）其他方式：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p>
          <w:p w14:paraId="709FE07D">
            <w:pPr>
              <w:pageBreakBefore w:val="0"/>
              <w:kinsoku/>
              <w:wordWrap/>
              <w:topLinePunct w:val="0"/>
              <w:bidi w:val="0"/>
              <w:adjustRightInd w:val="0"/>
              <w:snapToGrid w:val="0"/>
              <w:spacing w:beforeAutospacing="0" w:line="400" w:lineRule="exact"/>
              <w:rPr>
                <w:rFonts w:cs="宋体"/>
                <w:bCs w:val="0"/>
                <w:color w:val="auto"/>
                <w:kern w:val="2"/>
                <w:sz w:val="21"/>
                <w:szCs w:val="21"/>
                <w:highlight w:val="none"/>
              </w:rPr>
            </w:pPr>
            <w:r>
              <w:rPr>
                <w:rFonts w:hint="eastAsia" w:cs="宋体"/>
                <w:b/>
                <w:bCs/>
                <w:color w:val="auto"/>
                <w:sz w:val="21"/>
                <w:szCs w:val="21"/>
                <w:highlight w:val="none"/>
              </w:rPr>
              <w:t>注：以现金形式提交质量保证金的（含从工程款中以扣留方式提交的），同时退还银行同期活期存款利息。</w:t>
            </w:r>
          </w:p>
        </w:tc>
      </w:tr>
    </w:tbl>
    <w:p w14:paraId="4DEA5853">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br w:type="page"/>
      </w:r>
      <w:r>
        <w:rPr>
          <w:rFonts w:hint="eastAsia" w:cs="宋体"/>
          <w:color w:val="auto"/>
          <w:sz w:val="21"/>
          <w:szCs w:val="21"/>
          <w:lang w:val="en-US" w:eastAsia="zh-CN"/>
        </w:rPr>
        <w:t xml:space="preserve"> </w:t>
      </w:r>
    </w:p>
    <w:p w14:paraId="29825BB3">
      <w:pPr>
        <w:pageBreakBefore w:val="0"/>
        <w:kinsoku/>
        <w:wordWrap/>
        <w:topLinePunct w:val="0"/>
        <w:bidi w:val="0"/>
        <w:snapToGrid w:val="0"/>
        <w:spacing w:beforeAutospacing="0" w:line="360" w:lineRule="auto"/>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1</w:t>
      </w:r>
      <w:bookmarkStart w:id="65" w:name="_Toc297048342"/>
      <w:bookmarkStart w:id="66" w:name="_Toc292559866"/>
      <w:bookmarkStart w:id="67" w:name="_Toc296890984"/>
      <w:bookmarkStart w:id="68" w:name="_Toc296891196"/>
      <w:bookmarkStart w:id="69" w:name="_Toc296347155"/>
      <w:bookmarkStart w:id="70" w:name="_Toc296346657"/>
      <w:bookmarkStart w:id="71" w:name="_Toc292559361"/>
      <w:bookmarkStart w:id="72" w:name="_Toc296944495"/>
      <w:bookmarkStart w:id="73" w:name="_Toc297120456"/>
      <w:bookmarkStart w:id="74" w:name="_Toc296503156"/>
      <w:r>
        <w:rPr>
          <w:rFonts w:hint="eastAsia" w:ascii="宋体" w:hAnsi="宋体" w:eastAsia="宋体" w:cs="宋体"/>
          <w:color w:val="auto"/>
          <w:sz w:val="21"/>
          <w:szCs w:val="21"/>
        </w:rPr>
        <w:t>. 一般约定</w:t>
      </w:r>
    </w:p>
    <w:bookmarkEnd w:id="65"/>
    <w:bookmarkEnd w:id="66"/>
    <w:bookmarkEnd w:id="67"/>
    <w:bookmarkEnd w:id="68"/>
    <w:bookmarkEnd w:id="69"/>
    <w:bookmarkEnd w:id="70"/>
    <w:bookmarkEnd w:id="71"/>
    <w:bookmarkEnd w:id="72"/>
    <w:bookmarkEnd w:id="73"/>
    <w:bookmarkEnd w:id="74"/>
    <w:p w14:paraId="656605B1">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1.1 词语定义与解释</w:t>
      </w:r>
    </w:p>
    <w:p w14:paraId="44EF36D6">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 合同</w:t>
      </w:r>
    </w:p>
    <w:p w14:paraId="1051E796">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1.1.1.10 其他合同文件包括：</w:t>
      </w:r>
      <w:r>
        <w:rPr>
          <w:rFonts w:hint="eastAsia" w:ascii="宋体" w:hAnsi="宋体" w:eastAsia="宋体" w:cs="宋体"/>
          <w:color w:val="auto"/>
          <w:sz w:val="21"/>
          <w:szCs w:val="21"/>
          <w:u w:val="single"/>
        </w:rPr>
        <w:t xml:space="preserve">本项目招标文件、在合同订立及履行过程中形成的与合同有关的文件均构成合同文件组成部分。 </w:t>
      </w:r>
    </w:p>
    <w:p w14:paraId="006E5B06">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 合同当事人及其他相关方</w:t>
      </w:r>
    </w:p>
    <w:p w14:paraId="4AC1FD7F">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名    称：</w:t>
      </w:r>
      <w:r>
        <w:rPr>
          <w:rFonts w:hint="eastAsia" w:ascii="宋体" w:hAnsi="宋体" w:eastAsia="宋体" w:cs="宋体"/>
          <w:color w:val="auto"/>
          <w:sz w:val="21"/>
          <w:szCs w:val="21"/>
          <w:u w:val="single"/>
        </w:rPr>
        <w:t xml:space="preserve">     </w:t>
      </w:r>
      <w:r>
        <w:rPr>
          <w:rFonts w:hint="eastAsia" w:ascii="宋体" w:hAnsi="宋体" w:eastAsia="宋体" w:cs="宋体"/>
          <w:color w:val="auto"/>
          <w:spacing w:val="6"/>
          <w:sz w:val="21"/>
          <w:szCs w:val="21"/>
          <w:u w:val="single" w:color="auto"/>
        </w:rPr>
        <w:t xml:space="preserve"> 详见监理合同</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075C8DC4">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资质类别和等级：</w:t>
      </w:r>
      <w:r>
        <w:rPr>
          <w:rFonts w:hint="eastAsia" w:ascii="宋体" w:hAnsi="宋体" w:eastAsia="宋体" w:cs="宋体"/>
          <w:color w:val="auto"/>
          <w:sz w:val="21"/>
          <w:szCs w:val="21"/>
          <w:u w:val="single"/>
        </w:rPr>
        <w:t xml:space="preserve">   </w:t>
      </w:r>
      <w:r>
        <w:rPr>
          <w:rFonts w:hint="eastAsia" w:ascii="宋体" w:hAnsi="宋体" w:eastAsia="宋体" w:cs="宋体"/>
          <w:color w:val="auto"/>
          <w:spacing w:val="6"/>
          <w:sz w:val="21"/>
          <w:szCs w:val="21"/>
          <w:u w:val="single" w:color="auto"/>
        </w:rPr>
        <w:t xml:space="preserve"> 详见监理合同</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6F011243">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pacing w:val="6"/>
          <w:sz w:val="21"/>
          <w:szCs w:val="21"/>
          <w:u w:val="single" w:color="auto"/>
        </w:rPr>
        <w:t xml:space="preserve"> 详见监理合同</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295F02D">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pacing w:val="6"/>
          <w:sz w:val="21"/>
          <w:szCs w:val="21"/>
          <w:u w:val="single" w:color="auto"/>
        </w:rPr>
        <w:t xml:space="preserve"> 详见监理合同</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709F3EB">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xml:space="preserve">    </w:t>
      </w:r>
      <w:r>
        <w:rPr>
          <w:rFonts w:hint="eastAsia" w:ascii="宋体" w:hAnsi="宋体" w:eastAsia="宋体" w:cs="宋体"/>
          <w:color w:val="auto"/>
          <w:spacing w:val="6"/>
          <w:sz w:val="21"/>
          <w:szCs w:val="21"/>
          <w:u w:val="single" w:color="auto"/>
        </w:rPr>
        <w:t xml:space="preserve"> 详见监理合同</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D385D96">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1.1.2.5 设计人：</w:t>
      </w:r>
    </w:p>
    <w:p w14:paraId="4767D46A">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名    称：</w:t>
      </w:r>
      <w:r>
        <w:rPr>
          <w:rFonts w:hint="eastAsia" w:ascii="宋体" w:hAnsi="宋体" w:eastAsia="宋体" w:cs="宋体"/>
          <w:color w:val="auto"/>
          <w:sz w:val="21"/>
          <w:szCs w:val="21"/>
          <w:u w:val="single"/>
        </w:rPr>
        <w:t xml:space="preserve">         详见设计合同                  </w:t>
      </w:r>
      <w:r>
        <w:rPr>
          <w:rFonts w:hint="eastAsia" w:ascii="宋体" w:hAnsi="宋体" w:eastAsia="宋体" w:cs="宋体"/>
          <w:color w:val="auto"/>
          <w:sz w:val="21"/>
          <w:szCs w:val="21"/>
        </w:rPr>
        <w:t>；</w:t>
      </w:r>
    </w:p>
    <w:p w14:paraId="439E60DD">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资质类别和等级：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详见设计合同</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585C91AA">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详见设计合同</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7302910F">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详见设计合同</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558C37A5">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详见设计合同</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3CCB7AD8">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 工程和设备</w:t>
      </w:r>
    </w:p>
    <w:p w14:paraId="7952A9B3">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1.1.3.7 作为施工现场组成部分的其他场所包括：</w:t>
      </w:r>
      <w:r>
        <w:rPr>
          <w:rFonts w:hint="eastAsia" w:ascii="宋体" w:hAnsi="宋体" w:eastAsia="宋体" w:cs="宋体"/>
          <w:color w:val="auto"/>
          <w:sz w:val="21"/>
          <w:szCs w:val="21"/>
          <w:u w:val="single"/>
        </w:rPr>
        <w:t xml:space="preserve"> 见</w:t>
      </w:r>
      <w:r>
        <w:rPr>
          <w:rFonts w:hint="eastAsia" w:ascii="宋体" w:hAnsi="宋体" w:eastAsia="宋体" w:cs="宋体"/>
          <w:color w:val="auto"/>
          <w:sz w:val="21"/>
          <w:szCs w:val="21"/>
          <w:u w:val="single"/>
          <w:lang w:val="en-US" w:eastAsia="zh-CN"/>
        </w:rPr>
        <w:t>图和</w:t>
      </w:r>
      <w:r>
        <w:rPr>
          <w:rFonts w:hint="eastAsia" w:ascii="宋体" w:hAnsi="宋体" w:eastAsia="宋体" w:cs="宋体"/>
          <w:color w:val="auto"/>
          <w:sz w:val="21"/>
          <w:szCs w:val="21"/>
          <w:u w:val="single"/>
        </w:rPr>
        <w:t>现场确定</w:t>
      </w:r>
      <w:r>
        <w:rPr>
          <w:rFonts w:hint="eastAsia" w:ascii="宋体" w:hAnsi="宋体" w:eastAsia="宋体" w:cs="宋体"/>
          <w:color w:val="auto"/>
          <w:sz w:val="21"/>
          <w:szCs w:val="21"/>
        </w:rPr>
        <w:t>。</w:t>
      </w:r>
    </w:p>
    <w:p w14:paraId="50D295F6">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1.1.3.9 永久占地包括：</w:t>
      </w:r>
      <w:r>
        <w:rPr>
          <w:rFonts w:hint="eastAsia" w:ascii="宋体" w:hAnsi="宋体" w:eastAsia="宋体" w:cs="宋体"/>
          <w:color w:val="auto"/>
          <w:sz w:val="21"/>
          <w:szCs w:val="21"/>
          <w:u w:val="single"/>
        </w:rPr>
        <w:t xml:space="preserve">  见</w:t>
      </w:r>
      <w:r>
        <w:rPr>
          <w:rFonts w:hint="eastAsia" w:ascii="宋体" w:hAnsi="宋体" w:eastAsia="宋体" w:cs="宋体"/>
          <w:color w:val="auto"/>
          <w:sz w:val="21"/>
          <w:szCs w:val="21"/>
          <w:u w:val="single"/>
          <w:lang w:val="en-US" w:eastAsia="zh-CN"/>
        </w:rPr>
        <w:t>图和</w:t>
      </w:r>
      <w:r>
        <w:rPr>
          <w:rFonts w:hint="eastAsia" w:ascii="宋体" w:hAnsi="宋体" w:eastAsia="宋体" w:cs="宋体"/>
          <w:color w:val="auto"/>
          <w:sz w:val="21"/>
          <w:szCs w:val="21"/>
          <w:u w:val="single"/>
        </w:rPr>
        <w:t>现场确定</w:t>
      </w:r>
      <w:r>
        <w:rPr>
          <w:rFonts w:hint="eastAsia" w:ascii="宋体" w:hAnsi="宋体" w:eastAsia="宋体" w:cs="宋体"/>
          <w:color w:val="auto"/>
          <w:kern w:val="0"/>
          <w:sz w:val="21"/>
          <w:szCs w:val="21"/>
        </w:rPr>
        <w:t>。</w:t>
      </w:r>
    </w:p>
    <w:p w14:paraId="61FC1FCE">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1.1.3.10 临时占地包括：</w:t>
      </w:r>
      <w:r>
        <w:rPr>
          <w:rFonts w:hint="eastAsia" w:ascii="宋体" w:hAnsi="宋体" w:eastAsia="宋体" w:cs="宋体"/>
          <w:color w:val="auto"/>
          <w:sz w:val="21"/>
          <w:szCs w:val="21"/>
          <w:u w:val="single"/>
        </w:rPr>
        <w:t xml:space="preserve">   现场确定</w:t>
      </w:r>
      <w:r>
        <w:rPr>
          <w:rFonts w:hint="eastAsia" w:ascii="宋体" w:hAnsi="宋体" w:eastAsia="宋体" w:cs="宋体"/>
          <w:color w:val="auto"/>
          <w:kern w:val="0"/>
          <w:sz w:val="21"/>
          <w:szCs w:val="21"/>
        </w:rPr>
        <w:t>。</w:t>
      </w:r>
    </w:p>
    <w:p w14:paraId="241DB9C7">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1.3 法律 </w:t>
      </w:r>
    </w:p>
    <w:p w14:paraId="4F3EF39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适用于合同的其他规范性文件：</w:t>
      </w:r>
      <w:r>
        <w:rPr>
          <w:rFonts w:hint="eastAsia" w:ascii="宋体" w:hAnsi="宋体" w:eastAsia="宋体" w:cs="宋体"/>
          <w:color w:val="auto"/>
          <w:sz w:val="21"/>
          <w:szCs w:val="21"/>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ascii="宋体" w:hAnsi="宋体" w:eastAsia="宋体" w:cs="宋体"/>
          <w:color w:val="auto"/>
          <w:sz w:val="21"/>
          <w:szCs w:val="21"/>
        </w:rPr>
        <w:t>。</w:t>
      </w:r>
    </w:p>
    <w:p w14:paraId="42C77525">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1.4 标准和规范</w:t>
      </w:r>
    </w:p>
    <w:p w14:paraId="266EEE8A">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1.4.1 适用于工程的标准规范包括：</w:t>
      </w:r>
      <w:r>
        <w:rPr>
          <w:rFonts w:hint="eastAsia" w:ascii="宋体" w:hAnsi="宋体" w:eastAsia="宋体" w:cs="宋体"/>
          <w:color w:val="auto"/>
          <w:sz w:val="21"/>
          <w:szCs w:val="21"/>
          <w:u w:val="single"/>
        </w:rPr>
        <w:t>中华人民共和国住房和城乡建设部等部门及省、市发布的有关文件</w:t>
      </w:r>
      <w:r>
        <w:rPr>
          <w:rFonts w:hint="eastAsia" w:ascii="宋体" w:hAnsi="宋体" w:eastAsia="宋体" w:cs="宋体"/>
          <w:color w:val="auto"/>
          <w:sz w:val="21"/>
          <w:szCs w:val="21"/>
        </w:rPr>
        <w:t>。</w:t>
      </w:r>
    </w:p>
    <w:p w14:paraId="43F72CCB">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1.4.2 发包人提供国外标准、规范的名称：</w:t>
      </w:r>
      <w:r>
        <w:rPr>
          <w:rFonts w:hint="eastAsia" w:ascii="宋体" w:hAnsi="宋体" w:eastAsia="宋体" w:cs="宋体"/>
          <w:color w:val="auto"/>
          <w:sz w:val="21"/>
          <w:szCs w:val="21"/>
          <w:u w:val="single"/>
        </w:rPr>
        <w:t xml:space="preserve"> 承包人自备国内现行适用的标准、规范</w:t>
      </w:r>
      <w:r>
        <w:rPr>
          <w:rFonts w:hint="eastAsia" w:ascii="宋体" w:hAnsi="宋体" w:eastAsia="宋体" w:cs="宋体"/>
          <w:color w:val="auto"/>
          <w:sz w:val="21"/>
          <w:szCs w:val="21"/>
        </w:rPr>
        <w:t>；</w:t>
      </w:r>
    </w:p>
    <w:p w14:paraId="2E371249">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发包人提供国外标准、规范的份数：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F0C1D71">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发包人提供国外标准、规范的时间：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2EAD4F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1.4.3 发包人对工程的技术标准和功能要求的特殊要求：</w:t>
      </w:r>
      <w:r>
        <w:rPr>
          <w:rFonts w:hint="eastAsia" w:ascii="宋体" w:hAnsi="宋体" w:eastAsia="宋体" w:cs="宋体"/>
          <w:color w:val="auto"/>
          <w:sz w:val="21"/>
          <w:szCs w:val="21"/>
          <w:u w:val="single"/>
        </w:rPr>
        <w:t xml:space="preserve"> 按现行规范执行 </w:t>
      </w:r>
      <w:r>
        <w:rPr>
          <w:rFonts w:hint="eastAsia" w:ascii="宋体" w:hAnsi="宋体" w:eastAsia="宋体" w:cs="宋体"/>
          <w:color w:val="auto"/>
          <w:sz w:val="21"/>
          <w:szCs w:val="21"/>
        </w:rPr>
        <w:t>。</w:t>
      </w:r>
    </w:p>
    <w:p w14:paraId="6A5A9B7A">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1.5 合同文件的优先顺序</w:t>
      </w:r>
    </w:p>
    <w:p w14:paraId="410BB7BC">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
          <w:color w:val="auto"/>
          <w:sz w:val="21"/>
          <w:szCs w:val="21"/>
          <w:u w:val="single"/>
        </w:rPr>
      </w:pPr>
      <w:r>
        <w:rPr>
          <w:rFonts w:hint="eastAsia" w:ascii="宋体" w:hAnsi="宋体" w:eastAsia="宋体" w:cs="宋体"/>
          <w:color w:val="auto"/>
          <w:sz w:val="21"/>
          <w:szCs w:val="21"/>
        </w:rPr>
        <w:t>合同文件组成及优先顺序为：</w:t>
      </w:r>
      <w:r>
        <w:rPr>
          <w:rFonts w:hint="eastAsia" w:ascii="宋体" w:hAnsi="宋体" w:eastAsia="宋体" w:cs="宋体"/>
          <w:color w:val="auto"/>
          <w:sz w:val="21"/>
          <w:szCs w:val="21"/>
          <w:u w:val="single"/>
        </w:rPr>
        <w:t>（1）合同协议书；（2）中标通知书；（3）投标函及其附录；（4）招标文件；（5）专用合同条款及其附件；（6）通用合同条款；（7）技术标准和要求；（8）图纸；（9）已标价工程量清单或预算书；（10）其他合同文件。</w:t>
      </w:r>
    </w:p>
    <w:p w14:paraId="6113A0F1">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1.6 图纸和承包人文件</w:t>
      </w:r>
      <w:r>
        <w:rPr>
          <w:rFonts w:hint="eastAsia" w:ascii="宋体" w:hAnsi="宋体" w:eastAsia="宋体" w:cs="宋体"/>
          <w:bCs/>
          <w:color w:val="auto"/>
          <w:sz w:val="21"/>
          <w:szCs w:val="21"/>
        </w:rPr>
        <w:tab/>
      </w:r>
    </w:p>
    <w:p w14:paraId="19769B28">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 图纸的提供和交底</w:t>
      </w:r>
    </w:p>
    <w:p w14:paraId="5AC298FA">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发包人向承包人提供图纸的期限：</w:t>
      </w:r>
      <w:r>
        <w:rPr>
          <w:rFonts w:hint="eastAsia" w:ascii="宋体" w:hAnsi="宋体" w:eastAsia="宋体" w:cs="宋体"/>
          <w:color w:val="auto"/>
          <w:sz w:val="21"/>
          <w:szCs w:val="21"/>
          <w:u w:val="single"/>
        </w:rPr>
        <w:t>开工前10个日历日向承包人提供图纸</w:t>
      </w:r>
      <w:r>
        <w:rPr>
          <w:rFonts w:hint="eastAsia" w:ascii="宋体" w:hAnsi="宋体" w:eastAsia="宋体" w:cs="宋体"/>
          <w:color w:val="auto"/>
          <w:sz w:val="21"/>
          <w:szCs w:val="21"/>
        </w:rPr>
        <w:t>；</w:t>
      </w:r>
    </w:p>
    <w:p w14:paraId="6811200B">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发包人向承包人提供图纸的数量：</w:t>
      </w:r>
      <w:r>
        <w:rPr>
          <w:rFonts w:hint="eastAsia" w:ascii="宋体" w:hAnsi="宋体" w:eastAsia="宋体" w:cs="宋体"/>
          <w:color w:val="auto"/>
          <w:sz w:val="21"/>
          <w:szCs w:val="21"/>
          <w:u w:val="single"/>
        </w:rPr>
        <w:t>1套本工程</w:t>
      </w:r>
      <w:r>
        <w:rPr>
          <w:rFonts w:hint="eastAsia" w:ascii="宋体" w:hAnsi="宋体" w:eastAsia="宋体" w:cs="宋体"/>
          <w:color w:val="auto"/>
          <w:sz w:val="21"/>
          <w:szCs w:val="21"/>
          <w:u w:val="single"/>
          <w:lang w:val="en-US" w:eastAsia="zh-CN"/>
        </w:rPr>
        <w:t>配电设计</w:t>
      </w:r>
      <w:r>
        <w:rPr>
          <w:rFonts w:hint="eastAsia" w:ascii="宋体" w:hAnsi="宋体" w:eastAsia="宋体" w:cs="宋体"/>
          <w:color w:val="auto"/>
          <w:sz w:val="21"/>
          <w:szCs w:val="21"/>
          <w:u w:val="single"/>
        </w:rPr>
        <w:t>图，承包人如需增加，由承包人自行复制并承担费用，所有设计图纸和设计变更文件须经设计单位和发包人盖章确认方有效；</w:t>
      </w:r>
    </w:p>
    <w:p w14:paraId="4E9521E5">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发包人向承包人提供图纸的内容：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施工范围的配电设计图</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E4B4961">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1.6.4 承包人文件</w:t>
      </w:r>
    </w:p>
    <w:p w14:paraId="7E536018">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需要由承包人提供的文件，包括：</w:t>
      </w:r>
      <w:r>
        <w:rPr>
          <w:rFonts w:hint="eastAsia" w:ascii="宋体" w:hAnsi="宋体" w:eastAsia="宋体" w:cs="宋体"/>
          <w:color w:val="auto"/>
          <w:sz w:val="21"/>
          <w:szCs w:val="21"/>
          <w:u w:val="single"/>
        </w:rPr>
        <w:t>包括但不限于施工组织设计、总进度计划、阶段性进度计划、月度进度计划、工程计量报告、竣工资料、归档资料电子档、影像资料及工程结算送审资料及发包人、监理人要求提供的等其他文件；</w:t>
      </w:r>
    </w:p>
    <w:p w14:paraId="2F7AD65F">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承包人提供的文件的期限为：</w:t>
      </w:r>
      <w:r>
        <w:rPr>
          <w:rFonts w:hint="eastAsia" w:ascii="宋体" w:hAnsi="宋体" w:eastAsia="宋体" w:cs="宋体"/>
          <w:color w:val="auto"/>
          <w:sz w:val="21"/>
          <w:szCs w:val="21"/>
          <w:u w:val="single"/>
        </w:rPr>
        <w:t xml:space="preserve">按照合同相关约定或发包人、监理人书面要求执行    </w:t>
      </w:r>
      <w:r>
        <w:rPr>
          <w:rFonts w:hint="eastAsia" w:ascii="宋体" w:hAnsi="宋体" w:eastAsia="宋体" w:cs="宋体"/>
          <w:color w:val="auto"/>
          <w:sz w:val="21"/>
          <w:szCs w:val="21"/>
        </w:rPr>
        <w:t>；</w:t>
      </w:r>
    </w:p>
    <w:p w14:paraId="68460E83">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承包人提供的文件的数量为：</w:t>
      </w:r>
      <w:r>
        <w:rPr>
          <w:rFonts w:hint="eastAsia" w:ascii="宋体" w:hAnsi="宋体" w:eastAsia="宋体" w:cs="宋体"/>
          <w:color w:val="auto"/>
          <w:sz w:val="21"/>
          <w:szCs w:val="21"/>
          <w:u w:val="single"/>
        </w:rPr>
        <w:t xml:space="preserve"> 按照合同相关约定或发包人、监理人书面要求执行   </w:t>
      </w:r>
      <w:r>
        <w:rPr>
          <w:rFonts w:hint="eastAsia" w:ascii="宋体" w:hAnsi="宋体" w:eastAsia="宋体" w:cs="宋体"/>
          <w:color w:val="auto"/>
          <w:sz w:val="21"/>
          <w:szCs w:val="21"/>
        </w:rPr>
        <w:t>；</w:t>
      </w:r>
    </w:p>
    <w:p w14:paraId="410C599E">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承包人提供的文件的形式为：</w:t>
      </w:r>
      <w:r>
        <w:rPr>
          <w:rFonts w:hint="eastAsia" w:ascii="宋体" w:hAnsi="宋体" w:eastAsia="宋体" w:cs="宋体"/>
          <w:color w:val="auto"/>
          <w:sz w:val="21"/>
          <w:szCs w:val="21"/>
          <w:u w:val="single"/>
        </w:rPr>
        <w:t xml:space="preserve">按照合同相关约定或发包人、监理人书面要求执行  </w:t>
      </w:r>
      <w:r>
        <w:rPr>
          <w:rFonts w:hint="eastAsia" w:ascii="宋体" w:hAnsi="宋体" w:eastAsia="宋体" w:cs="宋体"/>
          <w:color w:val="auto"/>
          <w:sz w:val="21"/>
          <w:szCs w:val="21"/>
        </w:rPr>
        <w:t>；</w:t>
      </w:r>
    </w:p>
    <w:p w14:paraId="6B781628">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发包人审批承包人文件的期限：</w:t>
      </w:r>
      <w:r>
        <w:rPr>
          <w:rFonts w:hint="eastAsia" w:ascii="宋体" w:hAnsi="宋体" w:eastAsia="宋体" w:cs="宋体"/>
          <w:color w:val="auto"/>
          <w:sz w:val="21"/>
          <w:szCs w:val="21"/>
          <w:u w:val="single"/>
        </w:rPr>
        <w:t> 按照合同相关约定或发包人、监理人书面要求执行</w:t>
      </w:r>
      <w:r>
        <w:rPr>
          <w:rFonts w:hint="eastAsia" w:ascii="宋体" w:hAnsi="宋体" w:eastAsia="宋体" w:cs="宋体"/>
          <w:color w:val="auto"/>
          <w:sz w:val="21"/>
          <w:szCs w:val="21"/>
        </w:rPr>
        <w:t>。</w:t>
      </w:r>
    </w:p>
    <w:p w14:paraId="5CA0BF8B">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1.6.5 图纸和承包人文件的保管</w:t>
      </w:r>
    </w:p>
    <w:p w14:paraId="59B097F0">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关于图纸和承包人文件的保管的约定：</w:t>
      </w:r>
      <w:r>
        <w:rPr>
          <w:rFonts w:hint="eastAsia" w:ascii="宋体" w:hAnsi="宋体" w:eastAsia="宋体" w:cs="宋体"/>
          <w:color w:val="auto"/>
          <w:sz w:val="21"/>
          <w:szCs w:val="21"/>
          <w:u w:val="single"/>
        </w:rPr>
        <w:t xml:space="preserve">执行通用条款 </w:t>
      </w:r>
      <w:r>
        <w:rPr>
          <w:rFonts w:hint="eastAsia" w:ascii="宋体" w:hAnsi="宋体" w:eastAsia="宋体" w:cs="宋体"/>
          <w:color w:val="auto"/>
          <w:sz w:val="21"/>
          <w:szCs w:val="21"/>
        </w:rPr>
        <w:t>。</w:t>
      </w:r>
    </w:p>
    <w:p w14:paraId="14FD62D7">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1.7 联络</w:t>
      </w:r>
    </w:p>
    <w:p w14:paraId="656F111E">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1.7.2 发包人接收文件的地点：</w:t>
      </w:r>
      <w:r>
        <w:rPr>
          <w:rFonts w:hint="eastAsia" w:ascii="宋体" w:hAnsi="宋体" w:eastAsia="宋体" w:cs="宋体"/>
          <w:color w:val="auto"/>
          <w:sz w:val="21"/>
          <w:szCs w:val="21"/>
          <w:u w:val="single"/>
        </w:rPr>
        <w:t xml:space="preserve">发包人办公室  </w:t>
      </w:r>
      <w:r>
        <w:rPr>
          <w:rFonts w:hint="eastAsia" w:ascii="宋体" w:hAnsi="宋体" w:eastAsia="宋体" w:cs="宋体"/>
          <w:color w:val="auto"/>
          <w:kern w:val="0"/>
          <w:sz w:val="21"/>
          <w:szCs w:val="21"/>
        </w:rPr>
        <w:t>；</w:t>
      </w:r>
    </w:p>
    <w:p w14:paraId="2BCD3787">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发包人指定的接收人为：</w:t>
      </w:r>
      <w:r>
        <w:rPr>
          <w:rFonts w:hint="eastAsia" w:ascii="宋体" w:hAnsi="宋体" w:eastAsia="宋体" w:cs="宋体"/>
          <w:color w:val="auto"/>
          <w:sz w:val="21"/>
          <w:szCs w:val="21"/>
          <w:u w:val="single"/>
        </w:rPr>
        <w:t>发包人指派的项目负责人</w:t>
      </w:r>
      <w:r>
        <w:rPr>
          <w:rFonts w:hint="eastAsia" w:ascii="宋体" w:hAnsi="宋体" w:eastAsia="宋体" w:cs="宋体"/>
          <w:color w:val="auto"/>
          <w:kern w:val="0"/>
          <w:sz w:val="21"/>
          <w:szCs w:val="21"/>
        </w:rPr>
        <w:t>；</w:t>
      </w:r>
    </w:p>
    <w:p w14:paraId="15935712">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承包人接收文件的地点：</w:t>
      </w:r>
      <w:r>
        <w:rPr>
          <w:rFonts w:hint="eastAsia" w:ascii="宋体" w:hAnsi="宋体" w:eastAsia="宋体" w:cs="宋体"/>
          <w:color w:val="auto"/>
          <w:sz w:val="21"/>
          <w:szCs w:val="21"/>
          <w:u w:val="single"/>
        </w:rPr>
        <w:t>项目部</w:t>
      </w:r>
      <w:r>
        <w:rPr>
          <w:rFonts w:hint="eastAsia" w:ascii="宋体" w:hAnsi="宋体" w:eastAsia="宋体" w:cs="宋体"/>
          <w:color w:val="auto"/>
          <w:kern w:val="0"/>
          <w:sz w:val="21"/>
          <w:szCs w:val="21"/>
        </w:rPr>
        <w:t>；</w:t>
      </w:r>
    </w:p>
    <w:p w14:paraId="147203AC">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承包人指定的接收人为：</w:t>
      </w:r>
      <w:r>
        <w:rPr>
          <w:rFonts w:hint="eastAsia" w:ascii="宋体" w:hAnsi="宋体" w:eastAsia="宋体" w:cs="宋体"/>
          <w:color w:val="auto"/>
          <w:sz w:val="21"/>
          <w:szCs w:val="21"/>
          <w:u w:val="single"/>
        </w:rPr>
        <w:t>项目负责人</w:t>
      </w:r>
      <w:r>
        <w:rPr>
          <w:rFonts w:hint="eastAsia" w:ascii="宋体" w:hAnsi="宋体" w:eastAsia="宋体" w:cs="宋体"/>
          <w:color w:val="auto"/>
          <w:kern w:val="0"/>
          <w:sz w:val="21"/>
          <w:szCs w:val="21"/>
        </w:rPr>
        <w:t>。</w:t>
      </w:r>
    </w:p>
    <w:p w14:paraId="738A6031">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监理人接收文件的地点：</w:t>
      </w:r>
      <w:r>
        <w:rPr>
          <w:rFonts w:hint="eastAsia" w:ascii="宋体" w:hAnsi="宋体" w:eastAsia="宋体" w:cs="宋体"/>
          <w:color w:val="auto"/>
          <w:sz w:val="21"/>
          <w:szCs w:val="21"/>
          <w:u w:val="single"/>
        </w:rPr>
        <w:t>监理部</w:t>
      </w:r>
      <w:r>
        <w:rPr>
          <w:rFonts w:hint="eastAsia" w:ascii="宋体" w:hAnsi="宋体" w:eastAsia="宋体" w:cs="宋体"/>
          <w:color w:val="auto"/>
          <w:kern w:val="0"/>
          <w:sz w:val="21"/>
          <w:szCs w:val="21"/>
        </w:rPr>
        <w:t>；</w:t>
      </w:r>
    </w:p>
    <w:p w14:paraId="3F2EE904">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监理人指定的接收人为：</w:t>
      </w:r>
      <w:r>
        <w:rPr>
          <w:rFonts w:hint="eastAsia" w:ascii="宋体" w:hAnsi="宋体" w:eastAsia="宋体" w:cs="宋体"/>
          <w:color w:val="auto"/>
          <w:sz w:val="21"/>
          <w:szCs w:val="21"/>
          <w:u w:val="single"/>
        </w:rPr>
        <w:t>总监理工程师</w:t>
      </w:r>
      <w:r>
        <w:rPr>
          <w:rFonts w:hint="eastAsia" w:ascii="宋体" w:hAnsi="宋体" w:eastAsia="宋体" w:cs="宋体"/>
          <w:color w:val="auto"/>
          <w:kern w:val="0"/>
          <w:sz w:val="21"/>
          <w:szCs w:val="21"/>
        </w:rPr>
        <w:t>。</w:t>
      </w:r>
    </w:p>
    <w:p w14:paraId="0ABBDC8B">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1.10 交通运输</w:t>
      </w:r>
    </w:p>
    <w:p w14:paraId="5B0D069C">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bookmarkStart w:id="75" w:name="_Toc303539100"/>
      <w:bookmarkStart w:id="76" w:name="_Toc300934943"/>
      <w:bookmarkStart w:id="77" w:name="_Toc318581155"/>
      <w:bookmarkStart w:id="78" w:name="_Toc312677986"/>
      <w:bookmarkStart w:id="79" w:name="_Toc304295521"/>
      <w:r>
        <w:rPr>
          <w:rFonts w:hint="eastAsia" w:ascii="宋体" w:hAnsi="宋体" w:eastAsia="宋体" w:cs="宋体"/>
          <w:color w:val="auto"/>
          <w:sz w:val="21"/>
          <w:szCs w:val="21"/>
        </w:rPr>
        <w:t>.10.1 出入现场的权利</w:t>
      </w:r>
    </w:p>
    <w:p w14:paraId="0D657720">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关于出入现场的权利的约定：</w:t>
      </w:r>
      <w:r>
        <w:rPr>
          <w:rFonts w:hint="eastAsia" w:ascii="宋体" w:hAnsi="宋体" w:eastAsia="宋体" w:cs="宋体"/>
          <w:color w:val="auto"/>
          <w:sz w:val="21"/>
          <w:szCs w:val="21"/>
          <w:u w:val="single"/>
        </w:rPr>
        <w:t>费用由中标人承担，按有关规定办理有关施工场地交通、环卫和施工噪音管理等手续，费用由承包人负责。施工中建筑垃圾需运出施工现场外时，承包人需到城管部门办理相关手续并按城管部门指定地点放置。承包人违反城管、环卫等有关管理的规定，被处以违约金的，由承包人承担。在本工程施工期间，施工单位使用的运输车辆须满足公安、市容城管、交通管理部门等的规定并按要求依法遵照有关规定办理运输许可证，严禁使用无牌无证车辆进行施工，若因以上原因造成的各种行政违约金等费用，由施工单位自行承担，发包人不具有协调等责任义务。如由此造成影响导致业主声誉受损，发包人将向承包人收取违约金5000元/次。</w:t>
      </w:r>
    </w:p>
    <w:bookmarkEnd w:id="75"/>
    <w:bookmarkEnd w:id="76"/>
    <w:bookmarkEnd w:id="77"/>
    <w:bookmarkEnd w:id="78"/>
    <w:bookmarkEnd w:id="79"/>
    <w:p w14:paraId="14FF3285">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bookmarkStart w:id="80" w:name="_Toc312677987"/>
      <w:bookmarkStart w:id="81" w:name="_Toc300934944"/>
      <w:bookmarkStart w:id="82" w:name="_Toc304295522"/>
      <w:bookmarkStart w:id="83" w:name="_Toc318581156"/>
      <w:bookmarkStart w:id="84" w:name="_Toc303539101"/>
      <w:r>
        <w:rPr>
          <w:rFonts w:hint="eastAsia" w:ascii="宋体" w:hAnsi="宋体" w:eastAsia="宋体" w:cs="宋体"/>
          <w:color w:val="auto"/>
          <w:sz w:val="21"/>
          <w:szCs w:val="21"/>
        </w:rPr>
        <w:t>.10.3 场内交通</w:t>
      </w:r>
    </w:p>
    <w:p w14:paraId="697B5B27">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关于场外交通和场内交通的边界的约定：</w:t>
      </w:r>
      <w:r>
        <w:rPr>
          <w:rFonts w:hint="eastAsia" w:ascii="宋体" w:hAnsi="宋体" w:eastAsia="宋体" w:cs="宋体"/>
          <w:color w:val="auto"/>
          <w:sz w:val="21"/>
          <w:szCs w:val="21"/>
          <w:u w:val="single"/>
        </w:rPr>
        <w:t>场内交通设施和道路由承包人负责建设，发包人不另支付费用，场内交通边界现场确定</w:t>
      </w:r>
      <w:r>
        <w:rPr>
          <w:rFonts w:hint="eastAsia" w:ascii="宋体" w:hAnsi="宋体" w:eastAsia="宋体" w:cs="宋体"/>
          <w:color w:val="auto"/>
          <w:sz w:val="21"/>
          <w:szCs w:val="21"/>
        </w:rPr>
        <w:t>。</w:t>
      </w:r>
    </w:p>
    <w:p w14:paraId="23453F7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关于发包人向承包人免费提供满足工程施工需要的场内道路和交通设施的约定：</w:t>
      </w:r>
      <w:r>
        <w:rPr>
          <w:rFonts w:hint="eastAsia" w:ascii="宋体" w:hAnsi="宋体" w:eastAsia="宋体" w:cs="宋体"/>
          <w:color w:val="auto"/>
          <w:sz w:val="21"/>
          <w:szCs w:val="21"/>
          <w:u w:val="single"/>
        </w:rPr>
        <w:t>自行踏勘，自行解决</w:t>
      </w:r>
      <w:r>
        <w:rPr>
          <w:rFonts w:hint="eastAsia" w:ascii="宋体" w:hAnsi="宋体" w:eastAsia="宋体" w:cs="宋体"/>
          <w:color w:val="auto"/>
          <w:sz w:val="21"/>
          <w:szCs w:val="21"/>
        </w:rPr>
        <w:t>。</w:t>
      </w:r>
      <w:bookmarkEnd w:id="80"/>
      <w:bookmarkEnd w:id="81"/>
      <w:bookmarkEnd w:id="82"/>
      <w:bookmarkEnd w:id="83"/>
      <w:bookmarkEnd w:id="84"/>
      <w:bookmarkStart w:id="85" w:name="_Toc318581157"/>
    </w:p>
    <w:p w14:paraId="4F54FDF4">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1.10.4 超大件和超重件的运输</w:t>
      </w:r>
    </w:p>
    <w:p w14:paraId="0BB34BD7">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运输超大件或超重件所需的道路和桥梁临时加固改造费用和其他有关费用由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承包人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承担。</w:t>
      </w:r>
    </w:p>
    <w:bookmarkEnd w:id="85"/>
    <w:p w14:paraId="6676FC08">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1.11 知识产权</w:t>
      </w:r>
    </w:p>
    <w:p w14:paraId="0B829B4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发包人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78D0D9C">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关于发包人提供的上述文件的使用限制的要求：</w:t>
      </w:r>
      <w:r>
        <w:rPr>
          <w:rFonts w:hint="eastAsia" w:ascii="宋体" w:hAnsi="宋体" w:eastAsia="宋体" w:cs="宋体"/>
          <w:color w:val="auto"/>
          <w:sz w:val="21"/>
          <w:szCs w:val="21"/>
          <w:u w:val="single"/>
        </w:rPr>
        <w:t xml:space="preserve">未经发包人同意不得复制，不得向承包人以外的人员泄漏有关图纸内容，工程竣工后，原图全部收回 </w:t>
      </w:r>
      <w:r>
        <w:rPr>
          <w:rFonts w:hint="eastAsia" w:ascii="宋体" w:hAnsi="宋体" w:eastAsia="宋体" w:cs="宋体"/>
          <w:color w:val="auto"/>
          <w:sz w:val="21"/>
          <w:szCs w:val="21"/>
        </w:rPr>
        <w:t>。</w:t>
      </w:r>
    </w:p>
    <w:p w14:paraId="2C15566E">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1.11.2 关于承包人为实施工程所编制文件的著作权的归属：</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发包人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F7F81E9">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关于承包人提供的上述文件的使用限制的要求：</w:t>
      </w:r>
      <w:r>
        <w:rPr>
          <w:rFonts w:hint="eastAsia" w:ascii="宋体" w:hAnsi="宋体" w:eastAsia="宋体" w:cs="宋体"/>
          <w:color w:val="auto"/>
          <w:sz w:val="21"/>
          <w:szCs w:val="21"/>
          <w:u w:val="single"/>
        </w:rPr>
        <w:t xml:space="preserve">执行通用条款 </w:t>
      </w:r>
      <w:r>
        <w:rPr>
          <w:rFonts w:hint="eastAsia" w:ascii="宋体" w:hAnsi="宋体" w:eastAsia="宋体" w:cs="宋体"/>
          <w:color w:val="auto"/>
          <w:sz w:val="21"/>
          <w:szCs w:val="21"/>
        </w:rPr>
        <w:t>。</w:t>
      </w:r>
    </w:p>
    <w:p w14:paraId="7B6D3FAA">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1.11.4 承包人在施工过程中所采用的专利、专有技术、技术秘密的使用费的承担方式：</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0812E94F">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1.13 工程量清单错误的修正</w:t>
      </w:r>
    </w:p>
    <w:p w14:paraId="5DE2D25F">
      <w:pPr>
        <w:pStyle w:val="31"/>
        <w:pageBreakBefore w:val="0"/>
        <w:kinsoku/>
        <w:wordWrap/>
        <w:topLinePunct w:val="0"/>
        <w:bidi w:val="0"/>
        <w:spacing w:beforeAutospacing="0" w:line="360" w:lineRule="auto"/>
        <w:ind w:firstLine="468"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出现工程量清单错误时，是否调整合同价格：</w:t>
      </w:r>
      <w:r>
        <w:rPr>
          <w:rFonts w:hint="eastAsia" w:ascii="宋体" w:hAnsi="宋体" w:eastAsia="宋体" w:cs="宋体"/>
          <w:color w:val="auto"/>
          <w:sz w:val="21"/>
          <w:szCs w:val="21"/>
          <w:u w:val="single"/>
        </w:rPr>
        <w:t>是，具体调整方式见下款</w:t>
      </w:r>
      <w:r>
        <w:rPr>
          <w:rFonts w:hint="eastAsia" w:ascii="宋体" w:hAnsi="宋体" w:eastAsia="宋体" w:cs="宋体"/>
          <w:color w:val="auto"/>
          <w:sz w:val="21"/>
          <w:szCs w:val="21"/>
        </w:rPr>
        <w:t>。</w:t>
      </w:r>
    </w:p>
    <w:p w14:paraId="7A4C0DE8">
      <w:pPr>
        <w:pageBreakBefore w:val="0"/>
        <w:kinsoku/>
        <w:wordWrap/>
        <w:topLinePunct w:val="0"/>
        <w:bidi w:val="0"/>
        <w:snapToGrid w:val="0"/>
        <w:spacing w:beforeAutospacing="0" w:line="360" w:lineRule="auto"/>
        <w:ind w:firstLine="420" w:firstLineChars="200"/>
        <w:rPr>
          <w:rFonts w:hint="eastAsia" w:ascii="宋体" w:hAnsi="宋体" w:eastAsia="宋体" w:cs="宋体"/>
          <w:b/>
          <w:bCs/>
          <w:i/>
          <w:iCs/>
          <w:color w:val="auto"/>
          <w:kern w:val="2"/>
          <w:sz w:val="21"/>
          <w:szCs w:val="21"/>
          <w:shd w:val="clear" w:color="FFFFFF" w:fill="D9D9D9"/>
        </w:rPr>
      </w:pPr>
      <w:r>
        <w:rPr>
          <w:rFonts w:hint="eastAsia" w:ascii="宋体" w:hAnsi="宋体" w:eastAsia="宋体" w:cs="宋体"/>
          <w:color w:val="auto"/>
          <w:sz w:val="21"/>
          <w:szCs w:val="21"/>
          <w:u w:val="single"/>
        </w:rPr>
        <w:t>允许调整合同价格的工程量偏差范围：发包人指令调整施工内容及范围（包括但不限于取消或增加项目，变更设计方案及材料，改变施工工艺、施工方法，调整施工顺序等），工程量无论增减，承包人必须无条件执行，否则视为违约，发包人视情节轻重给予违约处罚，发包人将向承包人收取5-50万元的违约金。结算时，工程量按实计算。结算工程量减少0-100%或增加15%以内（含15%）部分的，执行中标单价；超出15%以外部分，投标综合单价高于（控制价×投标让利幅度）时，按（控制价×投标让利幅度）计算，投标综合单价低于（控制价×投标让利幅度）时，执行中标单价。组价明显错误或人材机含量及单价明显异常的（明显异常指承包人单价超出清单控制价中相应单价20%及以上的）应予纠正；新增项目单价按照控制价的编制原则重新组价×投标让利幅度（投标让利幅度为中标价/控制价，其中中标价和控制价均扣除暂定金额、暂估价），重新组价价格最终以竣工结算审计核定为准。</w:t>
      </w:r>
    </w:p>
    <w:p w14:paraId="2EA58F30">
      <w:pPr>
        <w:pageBreakBefore w:val="0"/>
        <w:kinsoku/>
        <w:wordWrap/>
        <w:topLinePunct w:val="0"/>
        <w:bidi w:val="0"/>
        <w:snapToGrid w:val="0"/>
        <w:spacing w:beforeAutospacing="0" w:line="360" w:lineRule="auto"/>
        <w:ind w:firstLine="420" w:firstLineChars="200"/>
        <w:outlineLvl w:val="2"/>
        <w:rPr>
          <w:rFonts w:hint="eastAsia" w:ascii="宋体" w:hAnsi="宋体" w:eastAsia="宋体" w:cs="宋体"/>
          <w:color w:val="auto"/>
          <w:sz w:val="21"/>
          <w:szCs w:val="21"/>
        </w:rPr>
      </w:pPr>
      <w:bookmarkStart w:id="86" w:name="_Toc351203634"/>
      <w:r>
        <w:rPr>
          <w:rFonts w:hint="eastAsia" w:ascii="宋体" w:hAnsi="宋体" w:eastAsia="宋体" w:cs="宋体"/>
          <w:color w:val="auto"/>
          <w:sz w:val="21"/>
          <w:szCs w:val="21"/>
        </w:rPr>
        <w:t>2</w:t>
      </w:r>
      <w:bookmarkStart w:id="87" w:name="_Toc296503157"/>
      <w:bookmarkStart w:id="88" w:name="_Toc296347156"/>
      <w:bookmarkStart w:id="89" w:name="_Toc296891197"/>
      <w:bookmarkStart w:id="90" w:name="_Toc296944496"/>
      <w:bookmarkStart w:id="91" w:name="_Toc296346658"/>
      <w:bookmarkStart w:id="92" w:name="_Toc292559867"/>
      <w:bookmarkStart w:id="93" w:name="_Toc297048343"/>
      <w:bookmarkStart w:id="94" w:name="_Toc297120457"/>
      <w:bookmarkStart w:id="95" w:name="_Toc296890985"/>
      <w:bookmarkStart w:id="96" w:name="_Toc292559362"/>
      <w:r>
        <w:rPr>
          <w:rFonts w:hint="eastAsia" w:ascii="宋体" w:hAnsi="宋体" w:eastAsia="宋体" w:cs="宋体"/>
          <w:color w:val="auto"/>
          <w:sz w:val="21"/>
          <w:szCs w:val="21"/>
        </w:rPr>
        <w:t>. 发包人</w:t>
      </w:r>
      <w:bookmarkEnd w:id="86"/>
    </w:p>
    <w:bookmarkEnd w:id="87"/>
    <w:bookmarkEnd w:id="88"/>
    <w:bookmarkEnd w:id="89"/>
    <w:bookmarkEnd w:id="90"/>
    <w:bookmarkEnd w:id="91"/>
    <w:bookmarkEnd w:id="92"/>
    <w:bookmarkEnd w:id="93"/>
    <w:bookmarkEnd w:id="94"/>
    <w:bookmarkEnd w:id="95"/>
    <w:bookmarkEnd w:id="96"/>
    <w:p w14:paraId="66F895A5">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 xml:space="preserve"> 施工现场、施工条件和基础资料的提供</w:t>
      </w:r>
    </w:p>
    <w:p w14:paraId="7DF945DA">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.1 提供施工现场</w:t>
      </w:r>
    </w:p>
    <w:p w14:paraId="4BCDB95C">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关于发包人移交施工现场的期限要求：</w:t>
      </w:r>
      <w:r>
        <w:rPr>
          <w:rFonts w:hint="eastAsia" w:ascii="宋体" w:hAnsi="宋体" w:eastAsia="宋体" w:cs="宋体"/>
          <w:color w:val="auto"/>
          <w:sz w:val="21"/>
          <w:szCs w:val="21"/>
          <w:u w:val="single"/>
          <w:lang w:val="en-US" w:eastAsia="zh-CN"/>
        </w:rPr>
        <w:t>开工前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4F09B83">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2 提供施工条件</w:t>
      </w:r>
    </w:p>
    <w:p w14:paraId="57652A97">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关于发包人应负责提供施工所需要的条件，包括：</w:t>
      </w:r>
      <w:r>
        <w:rPr>
          <w:rFonts w:hint="eastAsia" w:ascii="宋体" w:hAnsi="宋体" w:eastAsia="宋体" w:cs="宋体"/>
          <w:color w:val="auto"/>
          <w:sz w:val="21"/>
          <w:szCs w:val="21"/>
          <w:u w:val="single"/>
        </w:rPr>
        <w:t>不提供，本项目施工所需要的条件及手续和工程未完全交付发包人前所有的水电费用均由承包人自行办理且相关费用已包含在合同价款中，由承包人承担</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highlight w:val="none"/>
          <w:u w:val="single"/>
          <w:lang w:val="en-US" w:eastAsia="zh-CN"/>
        </w:rPr>
        <w:t>若需从学校搭接水电，需经建设单位同意，</w:t>
      </w:r>
      <w:r>
        <w:rPr>
          <w:rFonts w:hint="eastAsia" w:ascii="宋体" w:hAnsi="宋体" w:eastAsia="宋体" w:cs="宋体"/>
          <w:color w:val="auto"/>
          <w:sz w:val="21"/>
          <w:szCs w:val="21"/>
          <w:highlight w:val="none"/>
          <w:u w:val="single"/>
          <w:lang w:eastAsia="zh-CN"/>
        </w:rPr>
        <w:t>据实结算，从工程结算款价中抵扣或电子转账。对无法装表计量的用水、用电，按工程结算价款的4‰分别收取电费</w:t>
      </w:r>
      <w:r>
        <w:rPr>
          <w:rFonts w:hint="eastAsia" w:ascii="宋体" w:hAnsi="宋体" w:eastAsia="宋体" w:cs="宋体"/>
          <w:color w:val="auto"/>
          <w:sz w:val="21"/>
          <w:szCs w:val="21"/>
          <w:highlight w:val="none"/>
          <w:u w:val="single"/>
        </w:rPr>
        <w:t>。</w:t>
      </w:r>
    </w:p>
    <w:p w14:paraId="19901B8B">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 xml:space="preserve"> 资金来源证明及支付担保</w:t>
      </w:r>
    </w:p>
    <w:p w14:paraId="3B962789">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发包人提供资金来源证明的期限要求：</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0DF476AD">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发包人是否提供支付担保：</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234E919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发包人提供支付担保的形式：</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25650827">
      <w:pPr>
        <w:pageBreakBefore w:val="0"/>
        <w:kinsoku/>
        <w:wordWrap/>
        <w:topLinePunct w:val="0"/>
        <w:bidi w:val="0"/>
        <w:snapToGrid w:val="0"/>
        <w:spacing w:beforeAutospacing="0" w:line="360" w:lineRule="auto"/>
        <w:ind w:firstLine="420" w:firstLineChars="200"/>
        <w:outlineLvl w:val="2"/>
        <w:rPr>
          <w:rFonts w:hint="eastAsia" w:ascii="宋体" w:hAnsi="宋体" w:eastAsia="宋体" w:cs="宋体"/>
          <w:color w:val="auto"/>
          <w:sz w:val="21"/>
          <w:szCs w:val="21"/>
        </w:rPr>
      </w:pPr>
      <w:bookmarkStart w:id="97" w:name="_Toc351203635"/>
      <w:r>
        <w:rPr>
          <w:rFonts w:hint="eastAsia" w:ascii="宋体" w:hAnsi="宋体" w:eastAsia="宋体" w:cs="宋体"/>
          <w:color w:val="auto"/>
          <w:sz w:val="21"/>
          <w:szCs w:val="21"/>
        </w:rPr>
        <w:t>3</w:t>
      </w:r>
      <w:bookmarkStart w:id="98" w:name="_Toc296503158"/>
      <w:bookmarkStart w:id="99" w:name="_Toc292559868"/>
      <w:bookmarkStart w:id="100" w:name="_Toc297048344"/>
      <w:bookmarkStart w:id="101" w:name="_Toc296890986"/>
      <w:bookmarkStart w:id="102" w:name="_Toc296347157"/>
      <w:bookmarkStart w:id="103" w:name="_Toc296346659"/>
      <w:bookmarkStart w:id="104" w:name="_Toc297120458"/>
      <w:bookmarkStart w:id="105" w:name="_Toc296891198"/>
      <w:bookmarkStart w:id="106" w:name="_Toc296944497"/>
      <w:bookmarkStart w:id="107" w:name="_Toc292559363"/>
      <w:r>
        <w:rPr>
          <w:rFonts w:hint="eastAsia" w:ascii="宋体" w:hAnsi="宋体" w:eastAsia="宋体" w:cs="宋体"/>
          <w:color w:val="auto"/>
          <w:sz w:val="21"/>
          <w:szCs w:val="21"/>
        </w:rPr>
        <w:t>. 承包人</w:t>
      </w:r>
      <w:bookmarkEnd w:id="97"/>
    </w:p>
    <w:bookmarkEnd w:id="98"/>
    <w:bookmarkEnd w:id="99"/>
    <w:bookmarkEnd w:id="100"/>
    <w:bookmarkEnd w:id="101"/>
    <w:bookmarkEnd w:id="102"/>
    <w:bookmarkEnd w:id="103"/>
    <w:bookmarkEnd w:id="104"/>
    <w:bookmarkEnd w:id="105"/>
    <w:bookmarkEnd w:id="106"/>
    <w:bookmarkEnd w:id="107"/>
    <w:p w14:paraId="6F57ABEB">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3.1 承包人的一般义务</w:t>
      </w:r>
    </w:p>
    <w:p w14:paraId="73C2595A">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（9）承包人提交的竣工资料的内容：</w:t>
      </w:r>
      <w:r>
        <w:rPr>
          <w:rFonts w:hint="eastAsia" w:ascii="宋体" w:hAnsi="宋体" w:eastAsia="宋体" w:cs="宋体"/>
          <w:color w:val="auto"/>
          <w:sz w:val="21"/>
          <w:szCs w:val="21"/>
          <w:u w:val="single"/>
        </w:rPr>
        <w:t>承包人提供全套竣工图，所有竣工图应为新图纸</w:t>
      </w:r>
      <w:r>
        <w:rPr>
          <w:rFonts w:hint="eastAsia" w:ascii="宋体" w:hAnsi="宋体" w:eastAsia="宋体" w:cs="宋体"/>
          <w:color w:val="auto"/>
          <w:sz w:val="21"/>
          <w:szCs w:val="21"/>
        </w:rPr>
        <w:t>。</w:t>
      </w:r>
    </w:p>
    <w:p w14:paraId="7655457D">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承包人需要提交的竣工资料套数：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纸质材料3套、电子资料1套</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21A18BC">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承包人提交的竣工资料的费用承担：</w:t>
      </w:r>
      <w:r>
        <w:rPr>
          <w:rFonts w:hint="eastAsia" w:ascii="宋体" w:hAnsi="宋体" w:eastAsia="宋体" w:cs="宋体"/>
          <w:color w:val="auto"/>
          <w:sz w:val="21"/>
          <w:szCs w:val="21"/>
          <w:u w:val="single"/>
        </w:rPr>
        <w:t>承包人承担</w:t>
      </w:r>
      <w:r>
        <w:rPr>
          <w:rFonts w:hint="eastAsia" w:ascii="宋体" w:hAnsi="宋体" w:eastAsia="宋体" w:cs="宋体"/>
          <w:color w:val="auto"/>
          <w:sz w:val="21"/>
          <w:szCs w:val="21"/>
        </w:rPr>
        <w:t>。</w:t>
      </w:r>
    </w:p>
    <w:p w14:paraId="41B85DC6">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承包人提交的竣工资料移交时间：</w:t>
      </w:r>
      <w:r>
        <w:rPr>
          <w:rFonts w:hint="eastAsia" w:ascii="宋体" w:hAnsi="宋体" w:eastAsia="宋体" w:cs="宋体"/>
          <w:color w:val="auto"/>
          <w:sz w:val="21"/>
          <w:szCs w:val="21"/>
          <w:u w:val="single"/>
        </w:rPr>
        <w:t>工程竣工验收合格后</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u w:val="single"/>
        </w:rPr>
        <w:t>个</w:t>
      </w:r>
      <w:r>
        <w:rPr>
          <w:rFonts w:hint="eastAsia" w:ascii="宋体" w:hAnsi="宋体" w:eastAsia="宋体" w:cs="宋体"/>
          <w:color w:val="auto"/>
          <w:sz w:val="21"/>
          <w:szCs w:val="21"/>
          <w:u w:val="single"/>
          <w:lang w:val="en-US" w:eastAsia="zh-CN"/>
        </w:rPr>
        <w:t>工作日内</w:t>
      </w:r>
      <w:r>
        <w:rPr>
          <w:rFonts w:hint="eastAsia" w:ascii="宋体" w:hAnsi="宋体" w:eastAsia="宋体" w:cs="宋体"/>
          <w:color w:val="auto"/>
          <w:sz w:val="21"/>
          <w:szCs w:val="21"/>
        </w:rPr>
        <w:t>。</w:t>
      </w:r>
    </w:p>
    <w:p w14:paraId="7B6B948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承包人提交的竣工资料形式要求：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纸质材料和电子资料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C40F649">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（10）承包人应履行的其他义务：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接受发包人的要求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E2E5309">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3.2 项目经理</w:t>
      </w:r>
    </w:p>
    <w:p w14:paraId="49BA259F">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3.2.1 项目经理：</w:t>
      </w:r>
    </w:p>
    <w:p w14:paraId="3E379A62">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    名：</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14519049">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7C23E152">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建造师执业资格等级：</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3D11A62E">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建造师注册证书号：</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75755876">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建造师执业印章号：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877660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安全生产考核合格证书号：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E3F6E65">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15C822F">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027D1B5">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BB4408E">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承包人对项目经理的授权范围如下：</w:t>
      </w:r>
      <w:r>
        <w:rPr>
          <w:rFonts w:hint="eastAsia" w:ascii="宋体" w:hAnsi="宋体" w:eastAsia="宋体" w:cs="宋体"/>
          <w:color w:val="auto"/>
          <w:sz w:val="21"/>
          <w:szCs w:val="21"/>
          <w:u w:val="single"/>
        </w:rPr>
        <w:t>按承包人书面授权书约定</w:t>
      </w:r>
      <w:r>
        <w:rPr>
          <w:rFonts w:hint="eastAsia" w:ascii="宋体" w:hAnsi="宋体" w:eastAsia="宋体" w:cs="宋体"/>
          <w:color w:val="auto"/>
          <w:sz w:val="21"/>
          <w:szCs w:val="21"/>
        </w:rPr>
        <w:t>。</w:t>
      </w:r>
    </w:p>
    <w:p w14:paraId="726C0FE8">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关于项目经理每月在施工现场的时间要求：</w:t>
      </w:r>
      <w:r>
        <w:rPr>
          <w:rFonts w:hint="eastAsia" w:ascii="宋体" w:hAnsi="宋体" w:eastAsia="宋体" w:cs="宋体"/>
          <w:color w:val="auto"/>
          <w:sz w:val="21"/>
          <w:szCs w:val="21"/>
          <w:u w:val="single"/>
          <w:lang w:val="en-US" w:eastAsia="zh-CN"/>
        </w:rPr>
        <w:t>不得更换项目负责人；项目负责人驻场累计时间不得低于实际工期的</w:t>
      </w:r>
      <w:r>
        <w:rPr>
          <w:rFonts w:hint="eastAsia" w:ascii="宋体" w:hAnsi="宋体" w:eastAsia="宋体" w:cs="宋体"/>
          <w:b/>
          <w:bCs/>
          <w:color w:val="auto"/>
          <w:sz w:val="21"/>
          <w:szCs w:val="21"/>
          <w:u w:val="single"/>
          <w:lang w:val="en-US" w:eastAsia="zh-CN"/>
        </w:rPr>
        <w:t>80%</w:t>
      </w:r>
      <w:r>
        <w:rPr>
          <w:rFonts w:hint="eastAsia" w:ascii="宋体" w:hAnsi="宋体" w:eastAsia="宋体" w:cs="宋体"/>
          <w:color w:val="auto"/>
          <w:sz w:val="21"/>
          <w:szCs w:val="21"/>
          <w:u w:val="single"/>
          <w:lang w:val="en-US" w:eastAsia="zh-CN"/>
        </w:rPr>
        <w:t>，不得无故脱离施工现场，缺少一天按</w:t>
      </w:r>
      <w:r>
        <w:rPr>
          <w:rFonts w:hint="eastAsia" w:ascii="宋体" w:hAnsi="宋体" w:eastAsia="宋体" w:cs="宋体"/>
          <w:b/>
          <w:bCs/>
          <w:color w:val="auto"/>
          <w:sz w:val="21"/>
          <w:szCs w:val="21"/>
          <w:u w:val="single"/>
          <w:lang w:val="en-US" w:eastAsia="zh-CN"/>
        </w:rPr>
        <w:t>5000</w:t>
      </w:r>
      <w:r>
        <w:rPr>
          <w:rFonts w:hint="eastAsia" w:ascii="宋体" w:hAnsi="宋体" w:eastAsia="宋体" w:cs="宋体"/>
          <w:color w:val="auto"/>
          <w:sz w:val="21"/>
          <w:szCs w:val="21"/>
          <w:u w:val="single"/>
          <w:lang w:val="en-US" w:eastAsia="zh-CN"/>
        </w:rPr>
        <w:t>元/天从工程结算价抵扣；</w:t>
      </w:r>
      <w:r>
        <w:rPr>
          <w:rFonts w:hint="eastAsia" w:ascii="宋体" w:hAnsi="宋体" w:eastAsia="宋体" w:cs="宋体"/>
          <w:color w:val="auto"/>
          <w:sz w:val="21"/>
          <w:szCs w:val="21"/>
          <w:highlight w:val="none"/>
          <w:u w:val="single"/>
          <w:lang w:val="en-US" w:eastAsia="zh-CN"/>
        </w:rPr>
        <w:t>无故不参加采购人召开的例会、连续缺勤3天、累计缺勤5天或在施工关键技术环节缺勤的</w:t>
      </w:r>
      <w:r>
        <w:rPr>
          <w:rFonts w:hint="eastAsia" w:ascii="宋体" w:hAnsi="宋体" w:eastAsia="宋体" w:cs="宋体"/>
          <w:color w:val="auto"/>
          <w:sz w:val="21"/>
          <w:szCs w:val="21"/>
          <w:u w:val="single"/>
          <w:lang w:val="en-US" w:eastAsia="zh-CN"/>
        </w:rPr>
        <w:t>，采购人终止合同并对已完工程不予以计量计价，视为成交人违约并承担一切损失和赔偿</w:t>
      </w:r>
      <w:r>
        <w:rPr>
          <w:rFonts w:hint="eastAsia" w:ascii="宋体" w:hAnsi="宋体" w:eastAsia="宋体" w:cs="宋体"/>
          <w:color w:val="auto"/>
          <w:sz w:val="21"/>
          <w:szCs w:val="21"/>
          <w:u w:val="single"/>
        </w:rPr>
        <w:t>。</w:t>
      </w:r>
      <w:r>
        <w:rPr>
          <w:rFonts w:hint="eastAsia" w:ascii="宋体" w:hAnsi="宋体" w:eastAsia="宋体" w:cs="宋体"/>
          <w:color w:val="auto"/>
          <w:kern w:val="0"/>
          <w:sz w:val="21"/>
          <w:szCs w:val="21"/>
          <w:u w:val="single"/>
        </w:rPr>
        <w:t>项目经理必须自行解决好与发包人项目现有施工单位的沟通、协调问题。承包人必须配备专职质量员，不得由项目经理、现场负责人、技术负责人等兼任。</w:t>
      </w:r>
    </w:p>
    <w:p w14:paraId="41029BAA">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sz w:val="21"/>
          <w:szCs w:val="21"/>
        </w:rPr>
        <w:t>承包人未提交劳动合同，以及没有为项目经理缴纳社会保险证明的违约责任：</w:t>
      </w:r>
      <w:r>
        <w:rPr>
          <w:rFonts w:hint="eastAsia" w:ascii="宋体" w:hAnsi="宋体" w:eastAsia="宋体" w:cs="宋体"/>
          <w:color w:val="auto"/>
          <w:kern w:val="0"/>
          <w:sz w:val="21"/>
          <w:szCs w:val="21"/>
          <w:u w:val="single"/>
        </w:rPr>
        <w:t>承包人未按要求递交项目经理劳动合同及提供社保证明，视同为允许他人以承包人名义承揽工程。发包人将依法上报有关部门追究承包人法律责任，发包人有权处以承包人违约金5万元。承包人需一次性向发包人现金转账支付违约金，否则发包人有权在进度款支付中扣除。</w:t>
      </w:r>
    </w:p>
    <w:p w14:paraId="23A5FD25">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项目经理未经批准，擅自离开施工现场的违约责任：</w:t>
      </w:r>
      <w:r>
        <w:rPr>
          <w:rFonts w:hint="eastAsia" w:ascii="宋体" w:hAnsi="宋体" w:eastAsia="宋体" w:cs="宋体"/>
          <w:color w:val="auto"/>
          <w:sz w:val="21"/>
          <w:szCs w:val="21"/>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00122365">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3.2.3 承包人擅自更换项目经理的违约责任：</w:t>
      </w:r>
      <w:r>
        <w:rPr>
          <w:rFonts w:hint="eastAsia" w:ascii="宋体" w:hAnsi="宋体" w:eastAsia="宋体" w:cs="宋体"/>
          <w:color w:val="auto"/>
          <w:sz w:val="21"/>
          <w:szCs w:val="21"/>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highlight w:val="none"/>
          <w:u w:val="single"/>
          <w:lang w:val="en-US" w:eastAsia="zh-CN"/>
        </w:rPr>
        <w:t>同时</w:t>
      </w:r>
      <w:r>
        <w:rPr>
          <w:rFonts w:hint="eastAsia" w:ascii="宋体" w:hAnsi="宋体" w:eastAsia="宋体" w:cs="宋体"/>
          <w:color w:val="auto"/>
          <w:sz w:val="21"/>
          <w:szCs w:val="21"/>
          <w:highlight w:val="none"/>
          <w:u w:val="single"/>
        </w:rPr>
        <w:t>承包人应向发包人支付人民币</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万元整的违约金。</w:t>
      </w:r>
    </w:p>
    <w:p w14:paraId="075785CF">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3.2.4 承包人无正当理由拒绝更换项目经理的违约责任：</w:t>
      </w:r>
      <w:r>
        <w:rPr>
          <w:rFonts w:hint="eastAsia" w:ascii="宋体" w:hAnsi="宋体" w:eastAsia="宋体" w:cs="宋体"/>
          <w:color w:val="auto"/>
          <w:sz w:val="21"/>
          <w:szCs w:val="21"/>
          <w:u w:val="single"/>
        </w:rPr>
        <w:t>当发包人认为项目经理不能满足工程要求时，书面告知承包人后，承包人应当在</w:t>
      </w:r>
      <w:r>
        <w:rPr>
          <w:rFonts w:hint="eastAsia" w:ascii="宋体" w:hAnsi="宋体" w:eastAsia="宋体" w:cs="宋体"/>
          <w:color w:val="auto"/>
          <w:sz w:val="21"/>
          <w:szCs w:val="21"/>
          <w:u w:val="single"/>
          <w:lang w:val="en-US" w:eastAsia="zh-CN"/>
        </w:rPr>
        <w:t>7</w:t>
      </w:r>
      <w:r>
        <w:rPr>
          <w:rFonts w:hint="eastAsia" w:ascii="宋体" w:hAnsi="宋体" w:eastAsia="宋体" w:cs="宋体"/>
          <w:color w:val="auto"/>
          <w:sz w:val="21"/>
          <w:szCs w:val="21"/>
          <w:u w:val="single"/>
        </w:rPr>
        <w:t>个工作日内更换项目经理，并支付5万元的违约金。若未按要求及时更换项目经理，发包人有权处以承包人违约金10万元。承包人需一次性向发包人现金转账支付违约金，否则发包人有权在进度款支付中扣除。如承包人拒不更换项目经理，发包人有权要求承包人退场并解除合同。更换后的项目经理资质、业绩经验不得低于变更前项目负责人资质、业绩经验。且由此增加的费用和（或）延误的工期由承包人承担。</w:t>
      </w:r>
    </w:p>
    <w:p w14:paraId="479A7FE7">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3.3 承包人人员</w:t>
      </w:r>
    </w:p>
    <w:p w14:paraId="7CE0B48E">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3.3.1 承包人提交项目管理机构及施工现场管理人员安排报告的期限：</w:t>
      </w:r>
      <w:r>
        <w:rPr>
          <w:rFonts w:hint="eastAsia" w:ascii="宋体" w:hAnsi="宋体" w:eastAsia="宋体" w:cs="宋体"/>
          <w:color w:val="auto"/>
          <w:sz w:val="21"/>
          <w:szCs w:val="21"/>
          <w:u w:val="single"/>
        </w:rPr>
        <w:t>承包人应在合同签订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122E6017">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3.3.3 承包人无正当理由拒绝撤换主要施工管理人员的违约责任：</w:t>
      </w:r>
      <w:r>
        <w:rPr>
          <w:rFonts w:hint="eastAsia" w:ascii="宋体" w:hAnsi="宋体" w:eastAsia="宋体" w:cs="宋体"/>
          <w:color w:val="auto"/>
          <w:sz w:val="21"/>
          <w:szCs w:val="21"/>
          <w:u w:val="single"/>
        </w:rPr>
        <w:t>发包人可以要求承包人更换其认为不称职或不符合要求的项目主要施工管理人员，承包人应予以执行。承包人必须在收到发包人更换项目施工管理人员书面通知的7天内负责更换，更换的项目施工管理人员应得到发包人的书面确认。承包人无正当理由拒绝更换项目施工管理人员的，自承包人接到发包人更换项目施工管理人员通知之第8日起，承包人向发包人支付违约金</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000元/天，直至更换符合发包人要求的项目施工管理人员为止，由此增加的费用和（或）延误的工期及其它责任由承包人承担</w:t>
      </w:r>
      <w:r>
        <w:rPr>
          <w:rFonts w:hint="eastAsia" w:ascii="宋体" w:hAnsi="宋体" w:eastAsia="宋体" w:cs="宋体"/>
          <w:color w:val="auto"/>
          <w:sz w:val="21"/>
          <w:szCs w:val="21"/>
        </w:rPr>
        <w:t>。</w:t>
      </w:r>
    </w:p>
    <w:p w14:paraId="27E00151">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3.3.4 承包人主要施工管理人员离开施工现场的批准要求：</w:t>
      </w:r>
      <w:r>
        <w:rPr>
          <w:rFonts w:hint="eastAsia" w:ascii="宋体" w:hAnsi="宋体" w:eastAsia="宋体" w:cs="宋体"/>
          <w:color w:val="auto"/>
          <w:sz w:val="21"/>
          <w:szCs w:val="21"/>
          <w:u w:val="single"/>
        </w:rPr>
        <w:t>需离开时必须事先征得发包人和监理人同意后方可离开。</w:t>
      </w:r>
    </w:p>
    <w:p w14:paraId="36D4280E">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3.3.5承包人擅自更换主要施工管理人员的违约责任：</w:t>
      </w:r>
      <w:r>
        <w:rPr>
          <w:rFonts w:hint="eastAsia" w:ascii="宋体" w:hAnsi="宋体" w:eastAsia="宋体" w:cs="宋体"/>
          <w:color w:val="auto"/>
          <w:sz w:val="21"/>
          <w:szCs w:val="21"/>
          <w:u w:val="single"/>
        </w:rPr>
        <w:t>如果没有得到发包人和监理工程师的事先同意，承包人不得更改项目施工管理人员（不含项目经理和技术负责人），否则将视为承包人违约，承包人应向发包人支付人民币1万元</w:t>
      </w:r>
      <w:r>
        <w:rPr>
          <w:rFonts w:hint="eastAsia" w:ascii="宋体" w:hAnsi="宋体" w:eastAsia="宋体" w:cs="宋体"/>
          <w:color w:val="auto"/>
          <w:sz w:val="21"/>
          <w:szCs w:val="21"/>
          <w:highlight w:val="none"/>
          <w:u w:val="single"/>
          <w:lang w:val="en-US" w:eastAsia="zh-CN"/>
        </w:rPr>
        <w:t>/人·次</w:t>
      </w:r>
      <w:r>
        <w:rPr>
          <w:rFonts w:hint="eastAsia" w:ascii="宋体" w:hAnsi="宋体" w:eastAsia="宋体" w:cs="宋体"/>
          <w:color w:val="auto"/>
          <w:sz w:val="21"/>
          <w:szCs w:val="21"/>
          <w:u w:val="single"/>
        </w:rPr>
        <w:t>整的违约金。</w:t>
      </w:r>
    </w:p>
    <w:p w14:paraId="4B76152E">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3</w:t>
      </w:r>
      <w:bookmarkStart w:id="108" w:name="_Toc296503159"/>
      <w:bookmarkStart w:id="109" w:name="_Toc292559869"/>
      <w:bookmarkStart w:id="110" w:name="_Toc296347158"/>
      <w:bookmarkStart w:id="111" w:name="_Toc297216151"/>
      <w:bookmarkStart w:id="112" w:name="_Toc300934945"/>
      <w:bookmarkStart w:id="113" w:name="_Toc296890987"/>
      <w:bookmarkStart w:id="114" w:name="_Toc312677988"/>
      <w:bookmarkStart w:id="115" w:name="_Toc297120459"/>
      <w:bookmarkStart w:id="116" w:name="_Toc297048345"/>
      <w:bookmarkStart w:id="117" w:name="_Toc296346660"/>
      <w:bookmarkStart w:id="118" w:name="_Toc304295523"/>
      <w:bookmarkStart w:id="119" w:name="_Toc292559364"/>
      <w:bookmarkStart w:id="120" w:name="_Toc296944498"/>
      <w:bookmarkStart w:id="121" w:name="_Toc297123492"/>
      <w:bookmarkStart w:id="122" w:name="_Toc303539102"/>
      <w:bookmarkStart w:id="123" w:name="_Toc296891199"/>
      <w:r>
        <w:rPr>
          <w:rFonts w:hint="eastAsia" w:ascii="宋体" w:hAnsi="宋体" w:eastAsia="宋体" w:cs="宋体"/>
          <w:bCs/>
          <w:color w:val="auto"/>
          <w:sz w:val="21"/>
          <w:szCs w:val="21"/>
        </w:rPr>
        <w:t>.5 分包</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14:paraId="70C362EA">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w:t>
      </w:r>
      <w:bookmarkStart w:id="124" w:name="_Toc296347159"/>
      <w:bookmarkStart w:id="125" w:name="_Toc297123493"/>
      <w:bookmarkStart w:id="126" w:name="_Toc292559870"/>
      <w:bookmarkStart w:id="127" w:name="_Toc297216152"/>
      <w:bookmarkStart w:id="128" w:name="_Toc297120460"/>
      <w:bookmarkStart w:id="129" w:name="_Toc297048346"/>
      <w:bookmarkStart w:id="130" w:name="_Toc296503160"/>
      <w:bookmarkStart w:id="131" w:name="_Toc296346661"/>
      <w:bookmarkStart w:id="132" w:name="_Toc300934946"/>
      <w:bookmarkStart w:id="133" w:name="_Toc296891200"/>
      <w:bookmarkStart w:id="134" w:name="_Toc296944499"/>
      <w:bookmarkStart w:id="135" w:name="_Toc304295524"/>
      <w:bookmarkStart w:id="136" w:name="_Toc296890988"/>
      <w:bookmarkStart w:id="137" w:name="_Toc292559365"/>
      <w:bookmarkStart w:id="138" w:name="_Toc303539103"/>
      <w:bookmarkStart w:id="139" w:name="_Toc318581158"/>
      <w:bookmarkStart w:id="140" w:name="_Toc312677989"/>
      <w:r>
        <w:rPr>
          <w:rFonts w:hint="eastAsia" w:ascii="宋体" w:hAnsi="宋体" w:eastAsia="宋体" w:cs="宋体"/>
          <w:color w:val="auto"/>
          <w:sz w:val="21"/>
          <w:szCs w:val="21"/>
        </w:rPr>
        <w:t>.5.1 分包的一般约定</w:t>
      </w:r>
    </w:p>
    <w:p w14:paraId="2F7283B6">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禁止分包的工程包括：</w:t>
      </w:r>
      <w:r>
        <w:rPr>
          <w:rFonts w:hint="eastAsia" w:ascii="宋体" w:hAnsi="宋体" w:eastAsia="宋体" w:cs="宋体"/>
          <w:color w:val="auto"/>
          <w:sz w:val="21"/>
          <w:szCs w:val="21"/>
          <w:u w:val="single"/>
        </w:rPr>
        <w:t xml:space="preserve"> 禁止分包 </w:t>
      </w:r>
      <w:r>
        <w:rPr>
          <w:rFonts w:hint="eastAsia" w:ascii="宋体" w:hAnsi="宋体" w:eastAsia="宋体" w:cs="宋体"/>
          <w:color w:val="auto"/>
          <w:sz w:val="21"/>
          <w:szCs w:val="21"/>
        </w:rPr>
        <w:t>。</w:t>
      </w:r>
    </w:p>
    <w:p w14:paraId="503B9F1D">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主体结构、关键性工作的范围：</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Start w:id="141" w:name="_Toc296891201"/>
      <w:bookmarkStart w:id="142" w:name="_Toc297120461"/>
      <w:bookmarkStart w:id="143" w:name="_Toc300934947"/>
      <w:bookmarkStart w:id="144" w:name="_Toc297123494"/>
      <w:bookmarkStart w:id="145" w:name="_Toc296346662"/>
      <w:bookmarkStart w:id="146" w:name="_Toc303539104"/>
      <w:bookmarkStart w:id="147" w:name="_Toc296347160"/>
      <w:bookmarkStart w:id="148" w:name="_Toc297048347"/>
      <w:bookmarkStart w:id="149" w:name="_Toc296890989"/>
      <w:bookmarkStart w:id="150" w:name="_Toc297216153"/>
      <w:bookmarkStart w:id="151" w:name="_Toc296944500"/>
      <w:bookmarkStart w:id="152" w:name="_Toc304295525"/>
      <w:bookmarkStart w:id="153" w:name="_Toc296503161"/>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14:paraId="72081C31">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w:t>
      </w:r>
      <w:bookmarkStart w:id="154" w:name="_Toc318581159"/>
      <w:bookmarkStart w:id="155" w:name="_Toc312677990"/>
      <w:r>
        <w:rPr>
          <w:rFonts w:hint="eastAsia" w:ascii="宋体" w:hAnsi="宋体" w:eastAsia="宋体" w:cs="宋体"/>
          <w:color w:val="auto"/>
          <w:sz w:val="21"/>
          <w:szCs w:val="21"/>
        </w:rPr>
        <w:t>.5.2 分包的确定</w:t>
      </w:r>
    </w:p>
    <w:p w14:paraId="37C41724">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允许分包的专业工程包括：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57B51CC">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其他关于分包的约定：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522369D">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3.5.4 分包合同价款</w:t>
      </w:r>
    </w:p>
    <w:p w14:paraId="219116D0">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关于分包合同价款支付的约定：</w:t>
      </w:r>
      <w:r>
        <w:rPr>
          <w:rFonts w:hint="eastAsia" w:ascii="宋体" w:hAnsi="宋体" w:eastAsia="宋体" w:cs="宋体"/>
          <w:color w:val="auto"/>
          <w:sz w:val="21"/>
          <w:szCs w:val="21"/>
          <w:u w:val="single"/>
        </w:rPr>
        <w:t xml:space="preserve">执行通用条款 </w:t>
      </w:r>
      <w:r>
        <w:rPr>
          <w:rFonts w:hint="eastAsia" w:ascii="宋体" w:hAnsi="宋体" w:eastAsia="宋体" w:cs="宋体"/>
          <w:color w:val="auto"/>
          <w:sz w:val="21"/>
          <w:szCs w:val="21"/>
        </w:rPr>
        <w:t>。</w:t>
      </w:r>
    </w:p>
    <w:bookmarkEnd w:id="154"/>
    <w:bookmarkEnd w:id="155"/>
    <w:p w14:paraId="42F9D92F">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3.6 工程照管与成品、半成品保护</w:t>
      </w:r>
    </w:p>
    <w:p w14:paraId="7AA173C8">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承包人负责照管工程及工程相关的材料、工程设备的起始时间：</w:t>
      </w:r>
      <w:r>
        <w:rPr>
          <w:rFonts w:hint="eastAsia" w:ascii="宋体" w:hAnsi="宋体" w:eastAsia="宋体" w:cs="宋体"/>
          <w:color w:val="auto"/>
          <w:sz w:val="21"/>
          <w:szCs w:val="21"/>
          <w:u w:val="single"/>
        </w:rPr>
        <w:t>自发包人向承包人移交施工现场之日起，承包人应负责照管工程及工程相关的材料、工程设备，直到颁发工程接收证书之日止。</w:t>
      </w:r>
    </w:p>
    <w:p w14:paraId="16367394">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3.7 履约保证金</w:t>
      </w:r>
    </w:p>
    <w:p w14:paraId="1813267B">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承包人是否提供履约保证金：</w:t>
      </w:r>
      <w:r>
        <w:rPr>
          <w:rFonts w:hint="eastAsia" w:ascii="宋体" w:hAnsi="宋体" w:eastAsia="宋体" w:cs="宋体"/>
          <w:color w:val="auto"/>
          <w:sz w:val="21"/>
          <w:szCs w:val="21"/>
          <w:u w:val="single"/>
        </w:rPr>
        <w:t>提供</w:t>
      </w:r>
      <w:r>
        <w:rPr>
          <w:rFonts w:hint="eastAsia" w:ascii="宋体" w:hAnsi="宋体" w:eastAsia="宋体" w:cs="宋体"/>
          <w:color w:val="auto"/>
          <w:sz w:val="21"/>
          <w:szCs w:val="21"/>
        </w:rPr>
        <w:t>。</w:t>
      </w:r>
    </w:p>
    <w:p w14:paraId="093D85F5">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承包人提供履约保证金的形式：</w:t>
      </w:r>
      <w:r>
        <w:rPr>
          <w:rFonts w:hint="eastAsia" w:ascii="宋体" w:hAnsi="宋体" w:eastAsia="宋体" w:cs="宋体"/>
          <w:bCs/>
          <w:color w:val="auto"/>
          <w:sz w:val="21"/>
          <w:szCs w:val="21"/>
          <w:u w:val="single"/>
          <w:lang w:val="en-US" w:eastAsia="zh-CN"/>
        </w:rPr>
        <w:t>支持</w:t>
      </w:r>
      <w:r>
        <w:rPr>
          <w:rFonts w:hint="eastAsia" w:ascii="宋体" w:hAnsi="宋体" w:eastAsia="宋体" w:cs="宋体"/>
          <w:bCs/>
          <w:color w:val="auto"/>
          <w:sz w:val="21"/>
          <w:szCs w:val="21"/>
          <w:u w:val="single"/>
        </w:rPr>
        <w:t>转账/电汇</w:t>
      </w:r>
      <w:r>
        <w:rPr>
          <w:rFonts w:hint="eastAsia" w:ascii="宋体" w:hAnsi="宋体" w:eastAsia="宋体" w:cs="宋体"/>
          <w:bCs/>
          <w:color w:val="auto"/>
          <w:sz w:val="21"/>
          <w:szCs w:val="21"/>
          <w:u w:val="single"/>
          <w:lang w:eastAsia="zh-CN"/>
        </w:rPr>
        <w:t>、</w:t>
      </w:r>
      <w:r>
        <w:rPr>
          <w:rFonts w:hint="eastAsia" w:ascii="宋体" w:hAnsi="宋体" w:eastAsia="宋体" w:cs="宋体"/>
          <w:bCs/>
          <w:color w:val="auto"/>
          <w:sz w:val="21"/>
          <w:szCs w:val="21"/>
          <w:u w:val="single"/>
        </w:rPr>
        <w:t>支票</w:t>
      </w:r>
      <w:r>
        <w:rPr>
          <w:rFonts w:hint="eastAsia" w:ascii="宋体" w:hAnsi="宋体" w:eastAsia="宋体" w:cs="宋体"/>
          <w:bCs/>
          <w:color w:val="auto"/>
          <w:sz w:val="21"/>
          <w:szCs w:val="21"/>
          <w:u w:val="single"/>
          <w:lang w:eastAsia="zh-CN"/>
        </w:rPr>
        <w:t>、</w:t>
      </w:r>
      <w:r>
        <w:rPr>
          <w:rFonts w:hint="eastAsia" w:ascii="宋体" w:hAnsi="宋体" w:eastAsia="宋体" w:cs="宋体"/>
          <w:bCs/>
          <w:color w:val="auto"/>
          <w:sz w:val="21"/>
          <w:szCs w:val="21"/>
          <w:u w:val="single"/>
        </w:rPr>
        <w:t>汇票</w:t>
      </w:r>
      <w:r>
        <w:rPr>
          <w:rFonts w:hint="eastAsia" w:ascii="宋体" w:hAnsi="宋体" w:eastAsia="宋体" w:cs="宋体"/>
          <w:bCs/>
          <w:color w:val="auto"/>
          <w:sz w:val="21"/>
          <w:szCs w:val="21"/>
          <w:u w:val="single"/>
          <w:lang w:eastAsia="zh-CN"/>
        </w:rPr>
        <w:t>、</w:t>
      </w:r>
      <w:r>
        <w:rPr>
          <w:rFonts w:hint="eastAsia" w:ascii="宋体" w:hAnsi="宋体" w:eastAsia="宋体" w:cs="宋体"/>
          <w:bCs/>
          <w:color w:val="auto"/>
          <w:sz w:val="21"/>
          <w:szCs w:val="21"/>
          <w:u w:val="single"/>
        </w:rPr>
        <w:t>本票</w:t>
      </w:r>
      <w:r>
        <w:rPr>
          <w:rFonts w:hint="eastAsia" w:ascii="宋体" w:hAnsi="宋体" w:eastAsia="宋体" w:cs="宋体"/>
          <w:bCs/>
          <w:color w:val="auto"/>
          <w:sz w:val="21"/>
          <w:szCs w:val="21"/>
          <w:u w:val="single"/>
          <w:lang w:eastAsia="zh-CN"/>
        </w:rPr>
        <w:t>、</w:t>
      </w:r>
      <w:r>
        <w:rPr>
          <w:rFonts w:hint="eastAsia" w:ascii="宋体" w:hAnsi="宋体" w:eastAsia="宋体" w:cs="宋体"/>
          <w:bCs/>
          <w:color w:val="auto"/>
          <w:sz w:val="21"/>
          <w:szCs w:val="21"/>
          <w:u w:val="single"/>
        </w:rPr>
        <w:t>保险</w:t>
      </w:r>
      <w:r>
        <w:rPr>
          <w:rFonts w:hint="eastAsia" w:ascii="宋体" w:hAnsi="宋体" w:eastAsia="宋体" w:cs="宋体"/>
          <w:bCs/>
          <w:color w:val="auto"/>
          <w:sz w:val="21"/>
          <w:szCs w:val="21"/>
          <w:u w:val="single"/>
          <w:lang w:eastAsia="zh-CN"/>
        </w:rPr>
        <w:t>、</w:t>
      </w:r>
      <w:r>
        <w:rPr>
          <w:rFonts w:hint="eastAsia" w:ascii="宋体" w:hAnsi="宋体" w:eastAsia="宋体" w:cs="宋体"/>
          <w:bCs/>
          <w:color w:val="auto"/>
          <w:sz w:val="21"/>
          <w:szCs w:val="21"/>
          <w:u w:val="single"/>
        </w:rPr>
        <w:t>保函</w:t>
      </w:r>
    </w:p>
    <w:p w14:paraId="6A59D157">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履约保证金的金额：</w:t>
      </w:r>
      <w:r>
        <w:rPr>
          <w:rFonts w:hint="eastAsia" w:ascii="宋体" w:hAnsi="宋体" w:eastAsia="宋体" w:cs="宋体"/>
          <w:color w:val="auto"/>
          <w:sz w:val="21"/>
          <w:szCs w:val="21"/>
          <w:u w:val="single"/>
        </w:rPr>
        <w:t>中标合同金额×2.5％</w:t>
      </w:r>
      <w:r>
        <w:rPr>
          <w:rFonts w:hint="eastAsia" w:ascii="宋体" w:hAnsi="宋体" w:eastAsia="宋体" w:cs="宋体"/>
          <w:color w:val="auto"/>
          <w:sz w:val="21"/>
          <w:szCs w:val="21"/>
        </w:rPr>
        <w:t>。</w:t>
      </w:r>
    </w:p>
    <w:p w14:paraId="1A2BC12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履约保证金提交期限的要求：</w:t>
      </w:r>
      <w:r>
        <w:rPr>
          <w:rFonts w:hint="eastAsia" w:ascii="宋体" w:hAnsi="宋体" w:eastAsia="宋体" w:cs="宋体"/>
          <w:color w:val="auto"/>
          <w:sz w:val="21"/>
          <w:szCs w:val="21"/>
          <w:u w:val="single"/>
        </w:rPr>
        <w:t>见《专用合同条款数据表》。</w:t>
      </w:r>
    </w:p>
    <w:p w14:paraId="4D23A636">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strike/>
          <w:color w:val="auto"/>
          <w:sz w:val="21"/>
          <w:szCs w:val="21"/>
        </w:rPr>
      </w:pPr>
      <w:r>
        <w:rPr>
          <w:rFonts w:hint="eastAsia" w:ascii="宋体" w:hAnsi="宋体" w:eastAsia="宋体" w:cs="宋体"/>
          <w:bCs/>
          <w:snapToGrid w:val="0"/>
          <w:color w:val="auto"/>
          <w:sz w:val="21"/>
          <w:szCs w:val="21"/>
        </w:rPr>
        <w:t>履约保证金退还时限：</w:t>
      </w:r>
      <w:r>
        <w:rPr>
          <w:rFonts w:hint="eastAsia" w:ascii="宋体" w:hAnsi="宋体" w:eastAsia="宋体" w:cs="宋体"/>
          <w:color w:val="auto"/>
          <w:sz w:val="21"/>
          <w:szCs w:val="21"/>
          <w:u w:val="single"/>
        </w:rPr>
        <w:t>见《专用合同条款数据表》。</w:t>
      </w:r>
    </w:p>
    <w:p w14:paraId="18B3ACF2">
      <w:pPr>
        <w:pageBreakBefore w:val="0"/>
        <w:kinsoku/>
        <w:wordWrap/>
        <w:topLinePunct w:val="0"/>
        <w:bidi w:val="0"/>
        <w:snapToGrid w:val="0"/>
        <w:spacing w:beforeAutospacing="0" w:line="360" w:lineRule="auto"/>
        <w:ind w:firstLine="420" w:firstLineChars="200"/>
        <w:outlineLvl w:val="2"/>
        <w:rPr>
          <w:rFonts w:hint="eastAsia" w:ascii="宋体" w:hAnsi="宋体" w:eastAsia="宋体" w:cs="宋体"/>
          <w:color w:val="auto"/>
          <w:sz w:val="21"/>
          <w:szCs w:val="21"/>
        </w:rPr>
      </w:pPr>
      <w:bookmarkStart w:id="156" w:name="_Toc351203636"/>
      <w:r>
        <w:rPr>
          <w:rFonts w:hint="eastAsia" w:ascii="宋体" w:hAnsi="宋体" w:eastAsia="宋体" w:cs="宋体"/>
          <w:color w:val="auto"/>
          <w:sz w:val="21"/>
          <w:szCs w:val="21"/>
        </w:rPr>
        <w:t>4</w:t>
      </w:r>
      <w:bookmarkStart w:id="157" w:name="_Toc296503162"/>
      <w:bookmarkStart w:id="158" w:name="_Toc296944501"/>
      <w:bookmarkStart w:id="159" w:name="_Toc296346663"/>
      <w:bookmarkStart w:id="160" w:name="_Toc297120462"/>
      <w:bookmarkStart w:id="161" w:name="_Toc296890990"/>
      <w:bookmarkStart w:id="162" w:name="_Toc296891202"/>
      <w:bookmarkStart w:id="163" w:name="_Toc292559871"/>
      <w:bookmarkStart w:id="164" w:name="_Toc267251413"/>
      <w:bookmarkStart w:id="165" w:name="_Toc297048348"/>
      <w:bookmarkStart w:id="166" w:name="_Toc296347161"/>
      <w:bookmarkStart w:id="167" w:name="_Toc292559366"/>
      <w:r>
        <w:rPr>
          <w:rFonts w:hint="eastAsia" w:ascii="宋体" w:hAnsi="宋体" w:eastAsia="宋体" w:cs="宋体"/>
          <w:color w:val="auto"/>
          <w:sz w:val="21"/>
          <w:szCs w:val="21"/>
        </w:rPr>
        <w:t>. 监</w:t>
      </w:r>
      <w:bookmarkEnd w:id="157"/>
      <w:bookmarkEnd w:id="158"/>
      <w:bookmarkEnd w:id="159"/>
      <w:bookmarkEnd w:id="160"/>
      <w:bookmarkEnd w:id="161"/>
      <w:bookmarkEnd w:id="162"/>
      <w:bookmarkEnd w:id="163"/>
      <w:bookmarkEnd w:id="164"/>
      <w:bookmarkEnd w:id="165"/>
      <w:bookmarkEnd w:id="166"/>
      <w:bookmarkEnd w:id="167"/>
      <w:r>
        <w:rPr>
          <w:rFonts w:hint="eastAsia" w:ascii="宋体" w:hAnsi="宋体" w:eastAsia="宋体" w:cs="宋体"/>
          <w:color w:val="auto"/>
          <w:sz w:val="21"/>
          <w:szCs w:val="21"/>
        </w:rPr>
        <w:t>理人</w:t>
      </w:r>
      <w:bookmarkEnd w:id="156"/>
    </w:p>
    <w:p w14:paraId="1504D9E5">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4.1 监理人的一般规定</w:t>
      </w:r>
    </w:p>
    <w:p w14:paraId="4AF71FFC">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b/>
          <w:color w:val="auto"/>
          <w:sz w:val="21"/>
          <w:szCs w:val="21"/>
          <w:u w:val="single"/>
        </w:rPr>
      </w:pPr>
      <w:r>
        <w:rPr>
          <w:rFonts w:hint="eastAsia" w:ascii="宋体" w:hAnsi="宋体" w:eastAsia="宋体" w:cs="宋体"/>
          <w:color w:val="auto"/>
          <w:sz w:val="21"/>
          <w:szCs w:val="21"/>
        </w:rPr>
        <w:t>关于监理人的监理内容：</w:t>
      </w:r>
      <w:r>
        <w:rPr>
          <w:rFonts w:hint="eastAsia" w:ascii="宋体" w:hAnsi="宋体" w:eastAsia="宋体" w:cs="宋体"/>
          <w:color w:val="auto"/>
          <w:sz w:val="21"/>
          <w:szCs w:val="21"/>
          <w:u w:val="single"/>
        </w:rPr>
        <w:t>详见监理合同</w:t>
      </w:r>
      <w:r>
        <w:rPr>
          <w:rFonts w:hint="eastAsia" w:ascii="宋体" w:hAnsi="宋体" w:eastAsia="宋体" w:cs="宋体"/>
          <w:color w:val="auto"/>
          <w:sz w:val="21"/>
          <w:szCs w:val="21"/>
        </w:rPr>
        <w:t>。</w:t>
      </w:r>
    </w:p>
    <w:p w14:paraId="379715EF">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关于监理人的监理权限：</w:t>
      </w:r>
      <w:r>
        <w:rPr>
          <w:rFonts w:hint="eastAsia" w:ascii="宋体" w:hAnsi="宋体" w:eastAsia="宋体" w:cs="宋体"/>
          <w:color w:val="auto"/>
          <w:sz w:val="21"/>
          <w:szCs w:val="21"/>
          <w:u w:val="single"/>
        </w:rPr>
        <w:t>工程质量的监督权；工程上使用的材料和施工质量检验权、确认权；工程施工进度、安全的检查、监督权；工程款支付的审核权；向承包人提出施工组织设计和技术方案的建议权；发包人和承包人间的组织协调的主持权；撤换不合格的工程建设分包单位和注册建造师及有关人员的建议权；分包单位资质及能力的审查权及《建设工程监理规范》规定的法定职权等。</w:t>
      </w:r>
    </w:p>
    <w:p w14:paraId="34D440E1">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关于监理人在施工现场的办公场所、生活场所的提供和费用承担的约定：</w:t>
      </w:r>
      <w:r>
        <w:rPr>
          <w:rFonts w:hint="eastAsia" w:ascii="宋体" w:hAnsi="宋体" w:eastAsia="宋体" w:cs="宋体"/>
          <w:color w:val="auto"/>
          <w:sz w:val="21"/>
          <w:szCs w:val="21"/>
          <w:u w:val="single"/>
        </w:rPr>
        <w:t>承包人提供和承担，含在签约合同价之内，同时为跟踪审计人员在施工现场提供必要的办公场所、办公家具、办公设备等。</w:t>
      </w:r>
    </w:p>
    <w:p w14:paraId="643BCD08">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4.2 监理人员</w:t>
      </w:r>
    </w:p>
    <w:p w14:paraId="6DD79662">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总监理工程师：</w:t>
      </w:r>
    </w:p>
    <w:p w14:paraId="5C85A18F">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    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详见监理合同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FF266A3">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职    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7788DE9">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监理工程师执业资格证书号：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5B0F017">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49EA1BD">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E52343C">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CE62681">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关于监理人的其他约定：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2D88D49">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4.4 商定或确定</w:t>
      </w:r>
    </w:p>
    <w:p w14:paraId="1260B4A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bookmarkStart w:id="168" w:name="_Toc267251418"/>
      <w:r>
        <w:rPr>
          <w:rFonts w:hint="eastAsia" w:ascii="宋体" w:hAnsi="宋体" w:eastAsia="宋体" w:cs="宋体"/>
          <w:color w:val="auto"/>
          <w:sz w:val="21"/>
          <w:szCs w:val="21"/>
        </w:rPr>
        <w:t>在发包人和承包人不能通过协商达成一致意见时，发包人授权监理人对以下事项进行确定：</w:t>
      </w:r>
    </w:p>
    <w:p w14:paraId="15A17B92">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施工方案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144CE2A">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u w:val="single"/>
        </w:rPr>
        <w:t xml:space="preserve">   索赔事项等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FAAA0C3">
      <w:pPr>
        <w:pageBreakBefore w:val="0"/>
        <w:kinsoku/>
        <w:wordWrap/>
        <w:topLinePunct w:val="0"/>
        <w:bidi w:val="0"/>
        <w:snapToGrid w:val="0"/>
        <w:spacing w:beforeAutospacing="0" w:line="360" w:lineRule="auto"/>
        <w:ind w:firstLine="420" w:firstLineChars="200"/>
        <w:outlineLvl w:val="2"/>
        <w:rPr>
          <w:rFonts w:hint="eastAsia" w:ascii="宋体" w:hAnsi="宋体" w:eastAsia="宋体" w:cs="宋体"/>
          <w:color w:val="auto"/>
          <w:sz w:val="21"/>
          <w:szCs w:val="21"/>
        </w:rPr>
      </w:pPr>
      <w:bookmarkStart w:id="169" w:name="_Toc351203637"/>
      <w:r>
        <w:rPr>
          <w:rFonts w:hint="eastAsia" w:ascii="宋体" w:hAnsi="宋体" w:eastAsia="宋体" w:cs="宋体"/>
          <w:color w:val="auto"/>
          <w:sz w:val="21"/>
          <w:szCs w:val="21"/>
        </w:rPr>
        <w:t>5</w:t>
      </w:r>
      <w:bookmarkEnd w:id="168"/>
      <w:bookmarkStart w:id="170" w:name="_Toc296346664"/>
      <w:bookmarkStart w:id="171" w:name="_Toc292559367"/>
      <w:bookmarkStart w:id="172" w:name="_Toc297048349"/>
      <w:bookmarkStart w:id="173" w:name="_Toc296347162"/>
      <w:bookmarkStart w:id="174" w:name="_Toc296944502"/>
      <w:bookmarkStart w:id="175" w:name="_Toc296891203"/>
      <w:bookmarkStart w:id="176" w:name="_Toc292559872"/>
      <w:bookmarkStart w:id="177" w:name="_Toc297120463"/>
      <w:bookmarkStart w:id="178" w:name="_Toc296503163"/>
      <w:bookmarkStart w:id="179" w:name="_Toc296890991"/>
      <w:r>
        <w:rPr>
          <w:rFonts w:hint="eastAsia" w:ascii="宋体" w:hAnsi="宋体" w:eastAsia="宋体" w:cs="宋体"/>
          <w:color w:val="auto"/>
          <w:sz w:val="21"/>
          <w:szCs w:val="21"/>
        </w:rPr>
        <w:t>. 工程质量</w:t>
      </w:r>
      <w:bookmarkEnd w:id="169"/>
    </w:p>
    <w:p w14:paraId="58F042B8">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5.1 质量要求</w:t>
      </w:r>
    </w:p>
    <w:p w14:paraId="3D58084B">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5</w:t>
      </w:r>
      <w:bookmarkStart w:id="180" w:name="_Toc297123496"/>
      <w:bookmarkStart w:id="181" w:name="_Toc297216155"/>
      <w:bookmarkStart w:id="182" w:name="_Toc303539106"/>
      <w:bookmarkStart w:id="183" w:name="_Toc312677997"/>
      <w:bookmarkStart w:id="184" w:name="_Toc318581164"/>
      <w:bookmarkStart w:id="185" w:name="_Toc300934949"/>
      <w:bookmarkStart w:id="186" w:name="_Toc304295527"/>
      <w:r>
        <w:rPr>
          <w:rFonts w:hint="eastAsia" w:ascii="宋体" w:hAnsi="宋体" w:eastAsia="宋体" w:cs="宋体"/>
          <w:color w:val="auto"/>
          <w:sz w:val="21"/>
          <w:szCs w:val="21"/>
        </w:rPr>
        <w:t>.1.1 特殊质量标准和要求：</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1D54F8FD">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关于工程奖项的约定：</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2862E0C3">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bookmarkStart w:id="187" w:name="_Toc351203638"/>
      <w:r>
        <w:rPr>
          <w:rFonts w:hint="eastAsia" w:ascii="宋体" w:hAnsi="宋体" w:eastAsia="宋体" w:cs="宋体"/>
          <w:color w:val="auto"/>
          <w:sz w:val="21"/>
          <w:szCs w:val="21"/>
        </w:rPr>
        <w:t>关于建造要求：</w:t>
      </w:r>
    </w:p>
    <w:p w14:paraId="5E6E2A73">
      <w:pPr>
        <w:pStyle w:val="14"/>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（1）绿色建筑等级要求：</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5B2BC2E2">
      <w:pPr>
        <w:pStyle w:val="14"/>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（2）智慧工地管理要求：</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4D1EC644">
      <w:pPr>
        <w:pStyle w:val="14"/>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（3）建筑垃圾减量化目标：</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1802C7EB">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（4）装配式建筑装配率要求：</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182D491D">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7A771E5D">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5.3 隐蔽工程检查</w:t>
      </w:r>
    </w:p>
    <w:p w14:paraId="26861A75">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5.3.1隐蔽工程隐蔽前，承包人需自行自检，自检合格后通知发包人和监理单位验收，发包人及监理单位按设计图、规范、标准和施工组织设计或施工方案到现场进行验收，确认验收合格并办理签证后方可隐蔽。验收不合格，承包人在限定时间内整改后重新验收。</w:t>
      </w:r>
    </w:p>
    <w:p w14:paraId="1BC1CF56">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5.3.2 承包人提前通知监理人隐蔽工程检查的期限的约定：</w:t>
      </w:r>
      <w:r>
        <w:rPr>
          <w:rFonts w:hint="eastAsia" w:ascii="宋体" w:hAnsi="宋体" w:eastAsia="宋体" w:cs="宋体"/>
          <w:color w:val="auto"/>
          <w:sz w:val="21"/>
          <w:szCs w:val="21"/>
          <w:u w:val="single"/>
        </w:rPr>
        <w:t>工程具备隐蔽条件或达到中间验收部位时，承包人自检合格后，在隐蔽和中间验收48小时前书面通知甲方代表和监理工程师参加。通知应包含承包人自检记录、隐蔽和中间验收的内容、时间和地点。承包人准备验收记录，验收合格，甲方代表及监理工程师在验收记录上签字后，方可进行隐蔽和继续施工。验收不合格，承包人在限定时间内重新验收。承包人不服从质量管理的，发包人有权解除本合同并责令承包人清退其出场，承包人给发包人造成损失的，还应并赔偿因此而造成的一切损失。</w:t>
      </w:r>
    </w:p>
    <w:p w14:paraId="7FF3ADE5">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监理人不能按时进行检查时，应提前</w:t>
      </w:r>
      <w:r>
        <w:rPr>
          <w:rFonts w:hint="eastAsia" w:ascii="宋体" w:hAnsi="宋体" w:eastAsia="宋体" w:cs="宋体"/>
          <w:color w:val="auto"/>
          <w:sz w:val="21"/>
          <w:szCs w:val="21"/>
          <w:u w:val="single"/>
        </w:rPr>
        <w:t xml:space="preserve"> 24 </w:t>
      </w:r>
      <w:r>
        <w:rPr>
          <w:rFonts w:hint="eastAsia" w:ascii="宋体" w:hAnsi="宋体" w:eastAsia="宋体" w:cs="宋体"/>
          <w:color w:val="auto"/>
          <w:sz w:val="21"/>
          <w:szCs w:val="21"/>
        </w:rPr>
        <w:t>小时提交书面延期要求。</w:t>
      </w:r>
    </w:p>
    <w:p w14:paraId="1AC73471">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关于延期最长不得超过：</w:t>
      </w:r>
      <w:r>
        <w:rPr>
          <w:rFonts w:hint="eastAsia" w:ascii="宋体" w:hAnsi="宋体" w:eastAsia="宋体" w:cs="宋体"/>
          <w:color w:val="auto"/>
          <w:sz w:val="21"/>
          <w:szCs w:val="21"/>
          <w:u w:val="single"/>
        </w:rPr>
        <w:t xml:space="preserve"> 48 </w:t>
      </w:r>
      <w:r>
        <w:rPr>
          <w:rFonts w:hint="eastAsia" w:ascii="宋体" w:hAnsi="宋体" w:eastAsia="宋体" w:cs="宋体"/>
          <w:color w:val="auto"/>
          <w:sz w:val="21"/>
          <w:szCs w:val="21"/>
        </w:rPr>
        <w:t>小时。</w:t>
      </w:r>
    </w:p>
    <w:p w14:paraId="0270664C">
      <w:pPr>
        <w:pageBreakBefore w:val="0"/>
        <w:kinsoku/>
        <w:wordWrap/>
        <w:topLinePunct w:val="0"/>
        <w:bidi w:val="0"/>
        <w:snapToGrid w:val="0"/>
        <w:spacing w:beforeAutospacing="0" w:line="360" w:lineRule="auto"/>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6. 安全文明施工与环境保护</w:t>
      </w:r>
      <w:bookmarkEnd w:id="187"/>
    </w:p>
    <w:bookmarkEnd w:id="180"/>
    <w:bookmarkEnd w:id="181"/>
    <w:bookmarkEnd w:id="182"/>
    <w:bookmarkEnd w:id="183"/>
    <w:bookmarkEnd w:id="184"/>
    <w:bookmarkEnd w:id="185"/>
    <w:bookmarkEnd w:id="186"/>
    <w:p w14:paraId="3E9D2306">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6.1安全文明施工</w:t>
      </w:r>
    </w:p>
    <w:p w14:paraId="24E50F17">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6.1.1 项目安全生产的达标目标及相应事项的约定：</w:t>
      </w:r>
      <w:r>
        <w:rPr>
          <w:rFonts w:hint="eastAsia" w:ascii="宋体" w:hAnsi="宋体" w:eastAsia="宋体" w:cs="宋体"/>
          <w:color w:val="auto"/>
          <w:sz w:val="21"/>
          <w:szCs w:val="21"/>
          <w:u w:val="single"/>
        </w:rPr>
        <w:t>承包人应按《建筑施工企业安全生产管理机构设置及专职安全生产管理人员配备办法》（建质【2008】91 号）设置专职安全生产管理人员，并按照工程建设安全生产有关管理规定及技术标准和要求采取有效的安全措施，确保自身和第三人及周边环境的安全。达到安全生产无事故的目标。由于承包人安全措施不力造成事故的责任和因此发生的费用，由承包人承担。</w:t>
      </w:r>
    </w:p>
    <w:p w14:paraId="2950288A">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承包人在履行合同前应制订安全稳定事故应急处理预案并报发包人备案，在合同履行过程中如发生安全稳定事故（指造成人身伤害、财产损失或影响生产经营活动正常进行的一切意外事件或群体事件等），承包人应立即通知发包人并按事先制订的预案进行处理。</w:t>
      </w:r>
    </w:p>
    <w:p w14:paraId="197D91E4">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承包人应遵守工程建设安全生产有关管理规定，严格按安全标准组织施工，并随时接受行业安全检查人员依法实施的监督检查，采取必要的安全防护措施，消除事故隐患。一旦发生任何事故，承包人应尽快向监理工程师和发包人报告事故的详情。此外，在发生任何死亡或重大事故时，承包人应立即用最快的可行方法通知监理工程师、发包人。承包人处理安全事故方案应事先征求发包人的意见。除非法律另有规定，未经发包人书面同意，承包人不得就所发生的安全事故向任何第三方予以披露。如安全生产事故系因承包人（包含其员工、代理人及其他一切关联方）的原因所引起的，则承包人应承担由此引起的一切法律责任及经济损失，发包人有权在承包人工程款中直接等额扣除相应损失金额，同时承包人还应按每个事故向发包人支付人民币3-50万元的违约金（具体金额由发包人按以下标准在相应幅度内确定后一并在工程款中予以扣除，事故被公司层面通报的为3－10万；事故被发包人职能部门通报的为10－20万；事故被市级职能部门通报的为20－30万；事故被市级以上职能部门通报的为40－50万）以作为给发包人带来不便和增加工作的补偿，这不包括有关当局由于上述事故而规定的任何罚金或采取措施的费用。如发包人因此产生对第三方赔偿、补偿等负担义务的，由承包人最终承担。</w:t>
      </w:r>
    </w:p>
    <w:p w14:paraId="0D9D4685">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如发生的安全生产事故导致人员伤亡或经济损失在10万元以上的，则发包人有权解除与承包人的合同，承包人应承担由此引起的一切法律责任及经济损失。 </w:t>
      </w:r>
    </w:p>
    <w:p w14:paraId="5DAF667C">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安全防护文明施工措施费已包含在合同价款中，承包人应自行承担该费用。</w:t>
      </w:r>
    </w:p>
    <w:p w14:paraId="7F2983CF">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6.1.4 关于治安保卫的特别约定：</w:t>
      </w:r>
      <w:r>
        <w:rPr>
          <w:rFonts w:hint="eastAsia" w:ascii="宋体" w:hAnsi="宋体" w:eastAsia="宋体" w:cs="宋体"/>
          <w:color w:val="auto"/>
          <w:sz w:val="21"/>
          <w:szCs w:val="21"/>
          <w:u w:val="single"/>
        </w:rPr>
        <w:t>承包人应与当地公安部门协商，在现场建立治安管理机构或联防组织，统一管理施工场地的治安保卫事项，履行合同工程的治安保卫职责。承包人除应协助现场治安管理机构或联防组织维护施工场地的社会治安外，还应做好包括生活区在内的承包人管辖区的治安保卫工作。</w:t>
      </w:r>
    </w:p>
    <w:p w14:paraId="2408D835">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关于编制施工场地治安管理计划的约定：</w:t>
      </w:r>
      <w:r>
        <w:rPr>
          <w:rFonts w:hint="eastAsia" w:ascii="宋体" w:hAnsi="宋体" w:eastAsia="宋体" w:cs="宋体"/>
          <w:color w:val="auto"/>
          <w:sz w:val="21"/>
          <w:szCs w:val="21"/>
          <w:u w:val="single"/>
        </w:rPr>
        <w:t>承包人编制，监理人审核，其它按照通用合同条款约定执行。</w:t>
      </w:r>
    </w:p>
    <w:p w14:paraId="0DBE6011">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6.1.5 文明施工</w:t>
      </w:r>
    </w:p>
    <w:p w14:paraId="4E7E9889">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合同当事人对文明施工的要求：（1）符合项目建设地文明施工要求；（</w:t>
      </w:r>
      <w:r>
        <w:rPr>
          <w:rFonts w:hint="eastAsia" w:cs="宋体"/>
          <w:color w:val="auto"/>
          <w:sz w:val="21"/>
          <w:szCs w:val="21"/>
          <w:u w:val="single"/>
          <w:lang w:val="en-US" w:eastAsia="zh-CN"/>
        </w:rPr>
        <w:t>2</w:t>
      </w:r>
      <w:r>
        <w:rPr>
          <w:rFonts w:hint="eastAsia" w:ascii="宋体" w:hAnsi="宋体" w:eastAsia="宋体" w:cs="宋体"/>
          <w:color w:val="auto"/>
          <w:sz w:val="21"/>
          <w:szCs w:val="21"/>
          <w:u w:val="single"/>
        </w:rPr>
        <w:t>）发生安全事故，承包人应按照有关规定立即上报有关部门并通知工程师，同时按照政府有关要求处理，由事故责任方承担发生的费用。发包人根据事故的分类对承包人进行处以违约，事故分类：《生产安全事故报告和调查处理条例》（国务院令第493号）中第三条指出根据生产安全事故（以下简称事故）造成的人员伤亡或者直接经济损失，事故一般分为以下等级：</w:t>
      </w:r>
    </w:p>
    <w:p w14:paraId="59C150CA">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（一）特别重大事故，是指造成30人以上死亡，或者100人以上重伤（包括急性工业中毒，下同），或者1亿元以上直接经济损失的事故；</w:t>
      </w:r>
    </w:p>
    <w:p w14:paraId="496AB7C7">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（二）重大事故，是指造成10人以上30人以下死亡，或者50人以上100人以下重伤，或者5000万元以上1亿元以下直接经济损失的事故；</w:t>
      </w:r>
    </w:p>
    <w:p w14:paraId="4A66CE08">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（三）较大事故，是指造成3人以上10人以下死亡，或者10人以上50人以下重伤，或者1000万元以上5000万元以下直接经济损失的事故；</w:t>
      </w:r>
    </w:p>
    <w:p w14:paraId="5AF98DEB">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（四）一般事故，是指造成3人以下死亡，或者10人以下重伤，或者1000万元以下直接经济损失的事故。</w:t>
      </w:r>
    </w:p>
    <w:p w14:paraId="3D677BDD">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（以上包括本数，以下不包括本数。）</w:t>
      </w:r>
    </w:p>
    <w:p w14:paraId="3A96BC5C">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如国家颁布新标准规定，以新划分标准执行。</w:t>
      </w:r>
    </w:p>
    <w:p w14:paraId="68ED33E7">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6.1.6 发生质量事故，承包人应按照有关规定立即上报有关部门并通知工程师，同时按照政府有关要求处理，由事故责任方承担发生的费用。发包人根据事故的分类对承包人进行处以违约：</w:t>
      </w:r>
    </w:p>
    <w:p w14:paraId="489C0660">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1）特别重大质量事故，发包人对承包人处以 50 万元的人民币违约金； </w:t>
      </w:r>
    </w:p>
    <w:p w14:paraId="546553DB">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2）重大质量事故，发包人对承包人处以 30 万元的人民币违约金； </w:t>
      </w:r>
    </w:p>
    <w:p w14:paraId="7C37AFAD">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3）严重质量事故，发包人对承包人处以 20 万元的人民币违约金； </w:t>
      </w:r>
    </w:p>
    <w:p w14:paraId="21A6AD6B">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4）一般质量事故，发包人对承包人处以 10 万元的人民币违约金；并承担因施工质量事故给本工程建设单位、项目管理单位和监理人带来的经济损失。 </w:t>
      </w:r>
    </w:p>
    <w:p w14:paraId="6AA650F3">
      <w:pPr>
        <w:pStyle w:val="54"/>
        <w:pageBreakBefore w:val="0"/>
        <w:kinsoku/>
        <w:wordWrap/>
        <w:topLinePunct w:val="0"/>
        <w:bidi w:val="0"/>
        <w:spacing w:beforeAutospacing="0" w:after="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质量事故等级标准划分，按国家相关规范执行。</w:t>
      </w:r>
    </w:p>
    <w:p w14:paraId="11D45F38">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6.1.7 发生安全事故，承包人应按照有关规定立即上报有关部门并通知工程师，同时按照政府有关要求处理，由事故责任方承担发生的费用。发包人根据事故的分类对承包人进行处以违约：</w:t>
      </w:r>
    </w:p>
    <w:p w14:paraId="1F744C13">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1）特别重大事故，发包人对承包人处以50万元的人民币违约金；</w:t>
      </w:r>
    </w:p>
    <w:p w14:paraId="6A1E2A1B">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2）重大事故，发包人对承包人处以30万元的人民币违约金；</w:t>
      </w:r>
    </w:p>
    <w:p w14:paraId="4AFA9A0A">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3）较大事故，发包人对承包人处以20万元的人民币违约金；</w:t>
      </w:r>
    </w:p>
    <w:p w14:paraId="7EB73D22">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4）一般事故，发包人对承包人处以10万元的人民币违约金；并承担因施工安全事故给本工程建设单位、项目管理单位和监理人带来的经济损失。</w:t>
      </w:r>
    </w:p>
    <w:p w14:paraId="2E0A4F1F">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bCs/>
          <w:color w:val="auto"/>
          <w:sz w:val="21"/>
          <w:szCs w:val="21"/>
          <w:u w:val="single"/>
        </w:rPr>
      </w:pPr>
      <w:r>
        <w:rPr>
          <w:rFonts w:hint="eastAsia" w:ascii="宋体" w:hAnsi="宋体" w:eastAsia="宋体" w:cs="宋体"/>
          <w:bCs/>
          <w:color w:val="auto"/>
          <w:sz w:val="21"/>
          <w:szCs w:val="21"/>
        </w:rPr>
        <w:t>6.1.8关于安全文明施工费支付比例和支付期限的约定：</w:t>
      </w:r>
      <w:r>
        <w:rPr>
          <w:rFonts w:hint="eastAsia" w:ascii="宋体" w:hAnsi="宋体" w:eastAsia="宋体" w:cs="宋体"/>
          <w:color w:val="auto"/>
          <w:sz w:val="21"/>
          <w:szCs w:val="21"/>
          <w:u w:val="single"/>
        </w:rPr>
        <w:t>与工程款同期同比例支付。施工单位须按滁州市相关规定及监理单位、建设单位、安监站要求做好现场安全文明措施</w:t>
      </w:r>
      <w:r>
        <w:rPr>
          <w:rFonts w:hint="eastAsia" w:ascii="宋体" w:hAnsi="宋体" w:eastAsia="宋体" w:cs="宋体"/>
          <w:color w:val="auto"/>
          <w:sz w:val="21"/>
          <w:szCs w:val="21"/>
        </w:rPr>
        <w:t>。</w:t>
      </w:r>
    </w:p>
    <w:p w14:paraId="15E07E88">
      <w:pPr>
        <w:pStyle w:val="6"/>
        <w:pageBreakBefore w:val="0"/>
        <w:kinsoku/>
        <w:wordWrap/>
        <w:topLinePunct w:val="0"/>
        <w:bidi w:val="0"/>
        <w:snapToGrid w:val="0"/>
        <w:spacing w:before="0" w:beforeAutospacing="0" w:after="0" w:line="360" w:lineRule="auto"/>
        <w:ind w:firstLine="420" w:firstLineChars="200"/>
        <w:rPr>
          <w:rFonts w:hint="eastAsia" w:ascii="宋体" w:hAnsi="宋体" w:eastAsia="宋体" w:cs="宋体"/>
          <w:b w:val="0"/>
          <w:color w:val="auto"/>
          <w:sz w:val="21"/>
          <w:szCs w:val="21"/>
        </w:rPr>
      </w:pPr>
      <w:bookmarkStart w:id="188" w:name="_Toc1377"/>
      <w:bookmarkStart w:id="189" w:name="_Toc417623620"/>
      <w:r>
        <w:rPr>
          <w:rFonts w:hint="eastAsia" w:ascii="宋体" w:hAnsi="宋体" w:eastAsia="宋体" w:cs="宋体"/>
          <w:b w:val="0"/>
          <w:color w:val="auto"/>
          <w:sz w:val="21"/>
          <w:szCs w:val="21"/>
        </w:rPr>
        <w:t>7. 工期和进度</w:t>
      </w:r>
      <w:bookmarkEnd w:id="188"/>
      <w:bookmarkEnd w:id="189"/>
    </w:p>
    <w:p w14:paraId="2B284727">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7.1 施工组织设计</w:t>
      </w:r>
    </w:p>
    <w:p w14:paraId="17DF1F0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7.1.1 合同当事人约定的施工组织设计应包括的其他内容：</w:t>
      </w:r>
      <w:r>
        <w:rPr>
          <w:rFonts w:hint="eastAsia" w:ascii="宋体" w:hAnsi="宋体" w:eastAsia="宋体" w:cs="宋体"/>
          <w:color w:val="auto"/>
          <w:sz w:val="21"/>
          <w:szCs w:val="21"/>
          <w:u w:val="single"/>
        </w:rPr>
        <w:t>总进度计划须含网络图、横道图。</w:t>
      </w:r>
    </w:p>
    <w:p w14:paraId="20812C9B">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7.1.2 施工组织设计的提交和修改</w:t>
      </w:r>
    </w:p>
    <w:p w14:paraId="6929A41E">
      <w:pPr>
        <w:pageBreakBefore w:val="0"/>
        <w:kinsoku/>
        <w:wordWrap/>
        <w:topLinePunct w:val="0"/>
        <w:autoSpaceDE w:val="0"/>
        <w:autoSpaceDN w:val="0"/>
        <w:bidi w:val="0"/>
        <w:adjustRightInd w:val="0"/>
        <w:snapToGrid w:val="0"/>
        <w:spacing w:beforeAutospacing="0" w:line="360" w:lineRule="auto"/>
        <w:ind w:firstLine="420" w:firstLineChars="200"/>
        <w:jc w:val="left"/>
        <w:rPr>
          <w:rFonts w:hint="eastAsia" w:ascii="宋体" w:hAnsi="宋体" w:eastAsia="宋体" w:cs="宋体"/>
          <w:color w:val="auto"/>
          <w:kern w:val="0"/>
          <w:sz w:val="21"/>
          <w:szCs w:val="21"/>
          <w:u w:val="single"/>
        </w:rPr>
      </w:pPr>
      <w:r>
        <w:rPr>
          <w:rFonts w:hint="eastAsia" w:ascii="宋体" w:hAnsi="宋体" w:eastAsia="宋体" w:cs="宋体"/>
          <w:color w:val="auto"/>
          <w:sz w:val="21"/>
          <w:szCs w:val="21"/>
        </w:rPr>
        <w:t>承包人提交详细施工组织设计的期限的约定：</w:t>
      </w:r>
      <w:r>
        <w:rPr>
          <w:rFonts w:hint="eastAsia" w:ascii="宋体" w:hAnsi="宋体" w:eastAsia="宋体" w:cs="宋体"/>
          <w:color w:val="auto"/>
          <w:kern w:val="0"/>
          <w:sz w:val="21"/>
          <w:szCs w:val="21"/>
          <w:u w:val="single"/>
        </w:rPr>
        <w:t>图纸会审及设计交底后一周内提供标后施工组织设计和进度计划、机械设备进场计划、物资计划、劳动力计划。</w:t>
      </w:r>
    </w:p>
    <w:p w14:paraId="3C1EA08F">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发包人和监理人在收到详细的施工组织设计后确认或提出修改意见的期限：</w:t>
      </w:r>
      <w:r>
        <w:rPr>
          <w:rFonts w:hint="eastAsia" w:ascii="宋体" w:hAnsi="宋体" w:eastAsia="宋体" w:cs="宋体"/>
          <w:color w:val="auto"/>
          <w:sz w:val="21"/>
          <w:szCs w:val="21"/>
          <w:u w:val="single"/>
        </w:rPr>
        <w:t>监理工程师应于收到承包人资料一周内予以确认，逾期不批复，可视为该施工组织设计（施工方案）已经批准。乙方必须按照批准的进度计划组织施工，接受甲方和监理对进度的检查、监督。工程实际进展与进度计划不符时，承包人应立即修改进度计划和采取赶工措施，调整后的进度计划及相应的措施报告上报监理、甲方批准后执行。</w:t>
      </w:r>
    </w:p>
    <w:p w14:paraId="32047339">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7</w:t>
      </w:r>
      <w:bookmarkStart w:id="190" w:name="_Toc312678005"/>
      <w:bookmarkStart w:id="191" w:name="_Toc297216173"/>
      <w:bookmarkStart w:id="192" w:name="_Toc297123514"/>
      <w:bookmarkStart w:id="193" w:name="_Toc304295541"/>
      <w:bookmarkStart w:id="194" w:name="_Toc303539123"/>
      <w:bookmarkStart w:id="195" w:name="_Toc312677479"/>
      <w:bookmarkStart w:id="196" w:name="_Toc300934966"/>
      <w:r>
        <w:rPr>
          <w:rFonts w:hint="eastAsia" w:ascii="宋体" w:hAnsi="宋体" w:eastAsia="宋体" w:cs="宋体"/>
          <w:bCs/>
          <w:color w:val="auto"/>
          <w:sz w:val="21"/>
          <w:szCs w:val="21"/>
        </w:rPr>
        <w:t>.2 施工进度计划</w:t>
      </w:r>
    </w:p>
    <w:p w14:paraId="4F50DBAD">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7.2.2 施工进度计划的修订</w:t>
      </w:r>
    </w:p>
    <w:p w14:paraId="758E34CD">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发包人和监理人在收到修订的施工进度计划后确认或提出修改意见的期限：</w:t>
      </w:r>
      <w:r>
        <w:rPr>
          <w:rFonts w:hint="eastAsia" w:ascii="宋体" w:hAnsi="宋体" w:eastAsia="宋体" w:cs="宋体"/>
          <w:color w:val="auto"/>
          <w:sz w:val="21"/>
          <w:szCs w:val="21"/>
          <w:u w:val="single"/>
        </w:rPr>
        <w:t>监理工程师应于收到承包人资料一周内予以确认，逾期不批复，可视为该施工组织设计（施工方案）已经批准。乙方必须按照批准的进度计划组织施工，接受甲方和监理对进度的检查、监督。工程实际进展与进度计划不符时，承包人应立即修改进度计划和采取赶工措施，调整后的进度计划及相应的措施报告上报监理、甲方批准后执行。</w:t>
      </w:r>
    </w:p>
    <w:p w14:paraId="1C3E2C4D">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7.3 开工</w:t>
      </w:r>
    </w:p>
    <w:p w14:paraId="09DC621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7.3.1 开工准备</w:t>
      </w:r>
    </w:p>
    <w:p w14:paraId="54F42EF5">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关于承包人提交工程开工报审表的期限：</w:t>
      </w:r>
      <w:r>
        <w:rPr>
          <w:rFonts w:hint="eastAsia" w:ascii="宋体" w:hAnsi="宋体" w:eastAsia="宋体" w:cs="宋体"/>
          <w:color w:val="auto"/>
          <w:sz w:val="21"/>
          <w:szCs w:val="21"/>
          <w:u w:val="single"/>
        </w:rPr>
        <w:t>执行通用条款</w:t>
      </w:r>
      <w:r>
        <w:rPr>
          <w:rFonts w:hint="eastAsia" w:ascii="宋体" w:hAnsi="宋体" w:eastAsia="宋体" w:cs="宋体"/>
          <w:color w:val="auto"/>
          <w:sz w:val="21"/>
          <w:szCs w:val="21"/>
        </w:rPr>
        <w:t>。</w:t>
      </w:r>
    </w:p>
    <w:p w14:paraId="53CED761">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关于发包人应完成的其他开工准备工作及期限：</w:t>
      </w:r>
      <w:r>
        <w:rPr>
          <w:rFonts w:hint="eastAsia" w:ascii="宋体" w:hAnsi="宋体" w:eastAsia="宋体" w:cs="宋体"/>
          <w:color w:val="auto"/>
          <w:sz w:val="21"/>
          <w:szCs w:val="21"/>
          <w:u w:val="single"/>
        </w:rPr>
        <w:t>执行通用条款</w:t>
      </w:r>
      <w:r>
        <w:rPr>
          <w:rFonts w:hint="eastAsia" w:ascii="宋体" w:hAnsi="宋体" w:eastAsia="宋体" w:cs="宋体"/>
          <w:color w:val="auto"/>
          <w:sz w:val="21"/>
          <w:szCs w:val="21"/>
        </w:rPr>
        <w:t>。</w:t>
      </w:r>
    </w:p>
    <w:p w14:paraId="78D91EAE">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关于承包人应完成的其他开工准备工作及期限：</w:t>
      </w:r>
      <w:r>
        <w:rPr>
          <w:rFonts w:hint="eastAsia" w:ascii="宋体" w:hAnsi="宋体" w:eastAsia="宋体" w:cs="宋体"/>
          <w:color w:val="auto"/>
          <w:sz w:val="21"/>
          <w:szCs w:val="21"/>
          <w:u w:val="single"/>
        </w:rPr>
        <w:t>执行通用条款</w:t>
      </w:r>
      <w:r>
        <w:rPr>
          <w:rFonts w:hint="eastAsia" w:ascii="宋体" w:hAnsi="宋体" w:eastAsia="宋体" w:cs="宋体"/>
          <w:color w:val="auto"/>
          <w:sz w:val="21"/>
          <w:szCs w:val="21"/>
        </w:rPr>
        <w:t>。</w:t>
      </w:r>
    </w:p>
    <w:p w14:paraId="7734BAD7">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7.3.2 开工通知</w:t>
      </w:r>
    </w:p>
    <w:p w14:paraId="726707A6">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因发包人原因造成监理人未能在计划开工日期之日起</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rPr>
        <w:t>天内发出开工通知的，承包人有权提出价格调整要求，或者解除合同。</w:t>
      </w:r>
    </w:p>
    <w:bookmarkEnd w:id="190"/>
    <w:bookmarkEnd w:id="191"/>
    <w:bookmarkEnd w:id="192"/>
    <w:bookmarkEnd w:id="193"/>
    <w:bookmarkEnd w:id="194"/>
    <w:bookmarkEnd w:id="195"/>
    <w:bookmarkEnd w:id="196"/>
    <w:p w14:paraId="6C4D8CB1">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7.4 测量放线</w:t>
      </w:r>
    </w:p>
    <w:p w14:paraId="12E24C4F">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7.4.1 发包人通过监理人向承包人提供测量基准点、基准线和水准点及其书面资料的期限：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511C6E8">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7</w:t>
      </w:r>
      <w:bookmarkStart w:id="197" w:name="_Toc297216175"/>
      <w:bookmarkStart w:id="198" w:name="_Toc300934968"/>
      <w:bookmarkStart w:id="199" w:name="_Toc304295546"/>
      <w:bookmarkStart w:id="200" w:name="_Toc297123516"/>
      <w:bookmarkStart w:id="201" w:name="_Toc303539125"/>
      <w:bookmarkStart w:id="202" w:name="_Toc312677484"/>
      <w:bookmarkStart w:id="203" w:name="_Toc312678010"/>
      <w:r>
        <w:rPr>
          <w:rFonts w:hint="eastAsia" w:ascii="宋体" w:hAnsi="宋体" w:eastAsia="宋体" w:cs="宋体"/>
          <w:bCs/>
          <w:color w:val="auto"/>
          <w:sz w:val="21"/>
          <w:szCs w:val="21"/>
        </w:rPr>
        <w:t>.5 工期延误</w:t>
      </w:r>
    </w:p>
    <w:bookmarkEnd w:id="197"/>
    <w:bookmarkEnd w:id="198"/>
    <w:bookmarkEnd w:id="199"/>
    <w:bookmarkEnd w:id="200"/>
    <w:bookmarkEnd w:id="201"/>
    <w:bookmarkEnd w:id="202"/>
    <w:bookmarkEnd w:id="203"/>
    <w:p w14:paraId="40142D58">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7.5.1 因发包人原因导致工期延误</w:t>
      </w:r>
    </w:p>
    <w:p w14:paraId="6A9FEF28">
      <w:pPr>
        <w:pStyle w:val="54"/>
        <w:pageBreakBefore w:val="0"/>
        <w:kinsoku/>
        <w:wordWrap/>
        <w:topLinePunct w:val="0"/>
        <w:bidi w:val="0"/>
        <w:spacing w:beforeAutospacing="0"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（7）因发包人原因导致工期延误的其他情形：</w:t>
      </w:r>
      <w:r>
        <w:rPr>
          <w:rFonts w:hint="eastAsia" w:ascii="宋体" w:hAnsi="宋体" w:eastAsia="宋体" w:cs="宋体"/>
          <w:color w:val="auto"/>
          <w:sz w:val="21"/>
          <w:szCs w:val="21"/>
          <w:highlight w:val="none"/>
          <w:u w:val="single"/>
        </w:rPr>
        <w:t>具体开工时间以</w:t>
      </w:r>
      <w:r>
        <w:rPr>
          <w:rFonts w:hint="eastAsia" w:ascii="宋体" w:hAnsi="宋体" w:cs="宋体"/>
          <w:color w:val="auto"/>
          <w:sz w:val="21"/>
          <w:szCs w:val="21"/>
          <w:highlight w:val="none"/>
          <w:u w:val="single"/>
          <w:lang w:val="en-US" w:eastAsia="zh-CN"/>
        </w:rPr>
        <w:t>承包</w:t>
      </w:r>
      <w:r>
        <w:rPr>
          <w:rFonts w:hint="eastAsia" w:ascii="宋体" w:hAnsi="宋体" w:eastAsia="宋体" w:cs="宋体"/>
          <w:color w:val="auto"/>
          <w:sz w:val="21"/>
          <w:szCs w:val="21"/>
          <w:highlight w:val="none"/>
          <w:u w:val="single"/>
        </w:rPr>
        <w:t>人通知时间为准。</w:t>
      </w:r>
      <w:r>
        <w:rPr>
          <w:rFonts w:hint="eastAsia" w:ascii="宋体" w:hAnsi="宋体" w:eastAsia="宋体" w:cs="宋体"/>
          <w:color w:val="auto"/>
          <w:sz w:val="21"/>
          <w:szCs w:val="21"/>
          <w:u w:val="single"/>
        </w:rPr>
        <w:t>成交单位按合同工期要求，每延迟一天，按5000元/天处以违约金，从工程结算款中扣除。如延误工期超出合同工期50%的，不予支付工程款。如因学校要求增加工程量、教育教学、重大活动、极端天气等不可抗拒因素造成，经学校和成交单位书面确认后，工期予以顺延，具体以实际发生时间为依据。</w:t>
      </w:r>
    </w:p>
    <w:p w14:paraId="629BF309">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w:t>
      </w:r>
      <w:bookmarkStart w:id="204" w:name="_Toc312677486"/>
      <w:bookmarkStart w:id="205" w:name="_Toc318581169"/>
      <w:bookmarkStart w:id="206" w:name="_Toc312678012"/>
      <w:bookmarkStart w:id="207" w:name="_Toc304295548"/>
      <w:bookmarkStart w:id="208" w:name="_Toc303539127"/>
      <w:bookmarkStart w:id="209" w:name="_Toc300934970"/>
      <w:bookmarkStart w:id="210" w:name="_Toc297123518"/>
      <w:bookmarkStart w:id="211" w:name="_Toc297216177"/>
      <w:r>
        <w:rPr>
          <w:rFonts w:hint="eastAsia" w:ascii="宋体" w:hAnsi="宋体" w:eastAsia="宋体" w:cs="宋体"/>
          <w:color w:val="auto"/>
          <w:sz w:val="21"/>
          <w:szCs w:val="21"/>
        </w:rPr>
        <w:t>.5.2 因承包人原因导致工期延误</w:t>
      </w:r>
    </w:p>
    <w:bookmarkEnd w:id="204"/>
    <w:bookmarkEnd w:id="205"/>
    <w:bookmarkEnd w:id="206"/>
    <w:p w14:paraId="0FAB52BE">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因</w:t>
      </w:r>
      <w:bookmarkStart w:id="212" w:name="_Toc312678013"/>
      <w:bookmarkStart w:id="213" w:name="_Toc312677487"/>
      <w:bookmarkStart w:id="214" w:name="_Toc318581170"/>
      <w:r>
        <w:rPr>
          <w:rFonts w:hint="eastAsia" w:ascii="宋体" w:hAnsi="宋体" w:eastAsia="宋体" w:cs="宋体"/>
          <w:color w:val="auto"/>
          <w:sz w:val="21"/>
          <w:szCs w:val="21"/>
        </w:rPr>
        <w:t>承包人原因造成工期延误，逾期竣工违约金的计算方法为：</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bookmarkEnd w:id="207"/>
      <w:bookmarkEnd w:id="208"/>
      <w:bookmarkEnd w:id="209"/>
      <w:bookmarkEnd w:id="210"/>
      <w:bookmarkEnd w:id="211"/>
      <w:bookmarkEnd w:id="212"/>
      <w:bookmarkEnd w:id="213"/>
    </w:p>
    <w:bookmarkEnd w:id="214"/>
    <w:p w14:paraId="55263BD3">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b/>
          <w:color w:val="auto"/>
          <w:sz w:val="21"/>
          <w:szCs w:val="21"/>
          <w:u w:val="single"/>
        </w:rPr>
      </w:pPr>
      <w:r>
        <w:rPr>
          <w:rFonts w:hint="eastAsia" w:ascii="宋体" w:hAnsi="宋体" w:eastAsia="宋体" w:cs="宋体"/>
          <w:color w:val="auto"/>
          <w:sz w:val="21"/>
          <w:szCs w:val="21"/>
        </w:rPr>
        <w:t>因承包人原因造成工期延误，逾</w:t>
      </w:r>
      <w:bookmarkStart w:id="215" w:name="_Toc312678014"/>
      <w:bookmarkStart w:id="216" w:name="_Toc318581171"/>
      <w:r>
        <w:rPr>
          <w:rFonts w:hint="eastAsia" w:ascii="宋体" w:hAnsi="宋体" w:eastAsia="宋体" w:cs="宋体"/>
          <w:color w:val="auto"/>
          <w:sz w:val="21"/>
          <w:szCs w:val="21"/>
        </w:rPr>
        <w:t>期竣工违约金的上限：</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bookmarkEnd w:id="215"/>
    <w:bookmarkEnd w:id="216"/>
    <w:p w14:paraId="4A5F79FC">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7</w:t>
      </w:r>
      <w:bookmarkStart w:id="217" w:name="_Toc297216178"/>
      <w:bookmarkStart w:id="218" w:name="_Toc300934971"/>
      <w:bookmarkStart w:id="219" w:name="_Toc297123519"/>
      <w:bookmarkStart w:id="220" w:name="_Toc304295549"/>
      <w:bookmarkStart w:id="221" w:name="_Toc303539128"/>
      <w:bookmarkStart w:id="222" w:name="_Toc312678015"/>
      <w:r>
        <w:rPr>
          <w:rFonts w:hint="eastAsia" w:ascii="宋体" w:hAnsi="宋体" w:eastAsia="宋体" w:cs="宋体"/>
          <w:bCs/>
          <w:color w:val="auto"/>
          <w:sz w:val="21"/>
          <w:szCs w:val="21"/>
        </w:rPr>
        <w:t>.6 不</w:t>
      </w:r>
      <w:bookmarkEnd w:id="217"/>
      <w:bookmarkEnd w:id="218"/>
      <w:bookmarkEnd w:id="219"/>
      <w:bookmarkEnd w:id="220"/>
      <w:bookmarkEnd w:id="221"/>
      <w:bookmarkEnd w:id="222"/>
      <w:r>
        <w:rPr>
          <w:rFonts w:hint="eastAsia" w:ascii="宋体" w:hAnsi="宋体" w:eastAsia="宋体" w:cs="宋体"/>
          <w:bCs/>
          <w:color w:val="auto"/>
          <w:sz w:val="21"/>
          <w:szCs w:val="21"/>
        </w:rPr>
        <w:t>利物质条件</w:t>
      </w:r>
    </w:p>
    <w:p w14:paraId="265DF712">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b/>
          <w:color w:val="auto"/>
          <w:sz w:val="21"/>
          <w:szCs w:val="21"/>
          <w:u w:val="single"/>
        </w:rPr>
      </w:pPr>
      <w:bookmarkStart w:id="223" w:name="_Toc318581172"/>
      <w:bookmarkStart w:id="224" w:name="_Toc297123520"/>
      <w:bookmarkStart w:id="225" w:name="_Toc303539129"/>
      <w:bookmarkStart w:id="226" w:name="_Toc312678016"/>
      <w:bookmarkStart w:id="227" w:name="_Toc304295550"/>
      <w:bookmarkStart w:id="228" w:name="_Toc300934972"/>
      <w:bookmarkStart w:id="229" w:name="_Toc297216179"/>
      <w:r>
        <w:rPr>
          <w:rFonts w:hint="eastAsia" w:ascii="宋体" w:hAnsi="宋体" w:eastAsia="宋体" w:cs="宋体"/>
          <w:color w:val="auto"/>
          <w:sz w:val="21"/>
          <w:szCs w:val="21"/>
        </w:rPr>
        <w:t>不利物质条件的其他情形和有关约定：</w:t>
      </w:r>
      <w:r>
        <w:rPr>
          <w:rFonts w:hint="eastAsia" w:ascii="宋体" w:hAnsi="宋体" w:eastAsia="宋体" w:cs="宋体"/>
          <w:color w:val="auto"/>
          <w:sz w:val="21"/>
          <w:szCs w:val="21"/>
          <w:u w:val="single"/>
        </w:rPr>
        <w:t>承包人应了解</w:t>
      </w:r>
      <w:r>
        <w:rPr>
          <w:rFonts w:hint="eastAsia" w:ascii="宋体" w:hAnsi="宋体" w:eastAsia="宋体" w:cs="宋体"/>
          <w:color w:val="auto"/>
          <w:sz w:val="21"/>
          <w:szCs w:val="21"/>
          <w:u w:val="single"/>
          <w:lang w:val="en-US" w:eastAsia="zh-CN"/>
        </w:rPr>
        <w:t>本项配电安装工程所有内容</w:t>
      </w:r>
      <w:r>
        <w:rPr>
          <w:rFonts w:hint="eastAsia" w:ascii="宋体" w:hAnsi="宋体" w:eastAsia="宋体" w:cs="宋体"/>
          <w:color w:val="auto"/>
          <w:sz w:val="21"/>
          <w:szCs w:val="21"/>
          <w:u w:val="single"/>
        </w:rPr>
        <w:t>，中标后不得以不利物质条件为由提出索赔</w:t>
      </w:r>
      <w:r>
        <w:rPr>
          <w:rFonts w:hint="eastAsia" w:ascii="宋体" w:hAnsi="宋体" w:eastAsia="宋体" w:cs="宋体"/>
          <w:color w:val="auto"/>
          <w:sz w:val="21"/>
          <w:szCs w:val="21"/>
        </w:rPr>
        <w:t>。</w:t>
      </w:r>
    </w:p>
    <w:bookmarkEnd w:id="223"/>
    <w:bookmarkEnd w:id="224"/>
    <w:bookmarkEnd w:id="225"/>
    <w:bookmarkEnd w:id="226"/>
    <w:bookmarkEnd w:id="227"/>
    <w:bookmarkEnd w:id="228"/>
    <w:bookmarkEnd w:id="229"/>
    <w:p w14:paraId="23899978">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7</w:t>
      </w:r>
      <w:bookmarkStart w:id="230" w:name="_Toc304295551"/>
      <w:bookmarkStart w:id="231" w:name="_Toc297216180"/>
      <w:bookmarkStart w:id="232" w:name="_Toc300934973"/>
      <w:bookmarkStart w:id="233" w:name="_Toc297123521"/>
      <w:bookmarkStart w:id="234" w:name="_Toc303539130"/>
      <w:bookmarkStart w:id="235" w:name="_Toc312678017"/>
      <w:r>
        <w:rPr>
          <w:rFonts w:hint="eastAsia" w:ascii="宋体" w:hAnsi="宋体" w:eastAsia="宋体" w:cs="宋体"/>
          <w:bCs/>
          <w:color w:val="auto"/>
          <w:sz w:val="21"/>
          <w:szCs w:val="21"/>
        </w:rPr>
        <w:t>.7 异常恶劣的气候条件</w:t>
      </w:r>
    </w:p>
    <w:bookmarkEnd w:id="230"/>
    <w:bookmarkEnd w:id="231"/>
    <w:bookmarkEnd w:id="232"/>
    <w:bookmarkEnd w:id="233"/>
    <w:bookmarkEnd w:id="234"/>
    <w:bookmarkEnd w:id="235"/>
    <w:p w14:paraId="6777BEDC">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发包人和承包人同意以下情形视为异常恶劣的气候条件：</w:t>
      </w:r>
    </w:p>
    <w:p w14:paraId="3060FA9B">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（1） 七级以上（含七级）大风连续 8 小时 ； </w:t>
      </w:r>
    </w:p>
    <w:p w14:paraId="125F2129">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（2） 日最高温度大于 40 摄氏度，日最低温度小于-4 摄氏度 ； </w:t>
      </w:r>
    </w:p>
    <w:p w14:paraId="7094D32C">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（3） 日（昼夜）平均积雪量超过 200mm 的恶劣天气影响 。 </w:t>
      </w:r>
    </w:p>
    <w:p w14:paraId="080A7250">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7.9 提前竣工</w:t>
      </w:r>
    </w:p>
    <w:p w14:paraId="7A50251C">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7.9.2 提前竣工的奖励：</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7384A027">
      <w:pPr>
        <w:pageBreakBefore w:val="0"/>
        <w:kinsoku/>
        <w:wordWrap/>
        <w:topLinePunct w:val="0"/>
        <w:bidi w:val="0"/>
        <w:snapToGrid w:val="0"/>
        <w:spacing w:beforeAutospacing="0" w:line="360" w:lineRule="auto"/>
        <w:ind w:firstLine="420" w:firstLineChars="200"/>
        <w:outlineLvl w:val="2"/>
        <w:rPr>
          <w:rFonts w:hint="eastAsia" w:ascii="宋体" w:hAnsi="宋体" w:eastAsia="宋体" w:cs="宋体"/>
          <w:color w:val="auto"/>
          <w:sz w:val="21"/>
          <w:szCs w:val="21"/>
        </w:rPr>
      </w:pPr>
      <w:bookmarkStart w:id="236" w:name="_Toc351203640"/>
      <w:r>
        <w:rPr>
          <w:rFonts w:hint="eastAsia" w:ascii="宋体" w:hAnsi="宋体" w:eastAsia="宋体" w:cs="宋体"/>
          <w:color w:val="auto"/>
          <w:sz w:val="21"/>
          <w:szCs w:val="21"/>
        </w:rPr>
        <w:t>8. 材料与设备</w:t>
      </w:r>
      <w:bookmarkEnd w:id="236"/>
    </w:p>
    <w:bookmarkEnd w:id="170"/>
    <w:bookmarkEnd w:id="171"/>
    <w:bookmarkEnd w:id="172"/>
    <w:bookmarkEnd w:id="173"/>
    <w:bookmarkEnd w:id="174"/>
    <w:bookmarkEnd w:id="175"/>
    <w:bookmarkEnd w:id="176"/>
    <w:bookmarkEnd w:id="177"/>
    <w:bookmarkEnd w:id="178"/>
    <w:bookmarkEnd w:id="179"/>
    <w:p w14:paraId="6CC18E15">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w:t>
      </w:r>
      <w:bookmarkStart w:id="237" w:name="_Toc312678019"/>
      <w:bookmarkStart w:id="238" w:name="_Toc296347166"/>
      <w:bookmarkStart w:id="239" w:name="_Toc280868654"/>
      <w:bookmarkStart w:id="240" w:name="_Toc296346668"/>
      <w:bookmarkStart w:id="241" w:name="_Toc292559372"/>
      <w:bookmarkStart w:id="242" w:name="_Toc300934979"/>
      <w:bookmarkStart w:id="243" w:name="_Toc292559877"/>
      <w:bookmarkStart w:id="244" w:name="_Toc296503167"/>
      <w:bookmarkStart w:id="245" w:name="_Toc304295556"/>
      <w:bookmarkStart w:id="246" w:name="_Toc297216186"/>
      <w:bookmarkStart w:id="247" w:name="_Toc296944506"/>
      <w:bookmarkStart w:id="248" w:name="_Toc296891207"/>
      <w:bookmarkStart w:id="249" w:name="_Toc297120467"/>
      <w:bookmarkStart w:id="250" w:name="_Toc297123527"/>
      <w:bookmarkStart w:id="251" w:name="_Toc303539136"/>
      <w:bookmarkStart w:id="252" w:name="_Toc296890995"/>
      <w:bookmarkStart w:id="253" w:name="_Toc312677493"/>
      <w:bookmarkStart w:id="254" w:name="_Toc297048353"/>
      <w:bookmarkStart w:id="255" w:name="_Toc280868656"/>
      <w:bookmarkStart w:id="256" w:name="_Toc267251424"/>
      <w:bookmarkStart w:id="257" w:name="_Toc280868655"/>
      <w:r>
        <w:rPr>
          <w:rFonts w:hint="eastAsia" w:ascii="宋体" w:hAnsi="宋体" w:eastAsia="宋体" w:cs="宋体"/>
          <w:color w:val="auto"/>
          <w:sz w:val="21"/>
          <w:szCs w:val="21"/>
        </w:rPr>
        <w:t>.4 材料与工程设备的保管与使用</w:t>
      </w:r>
    </w:p>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14:paraId="55B793CA">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8</w:t>
      </w:r>
      <w:bookmarkStart w:id="258" w:name="_Toc292559373"/>
      <w:bookmarkStart w:id="259" w:name="_Toc292559878"/>
      <w:bookmarkStart w:id="260" w:name="_Toc297048354"/>
      <w:bookmarkStart w:id="261" w:name="_Toc300934980"/>
      <w:bookmarkStart w:id="262" w:name="_Toc296890996"/>
      <w:bookmarkStart w:id="263" w:name="_Toc296346669"/>
      <w:bookmarkStart w:id="264" w:name="_Toc312677494"/>
      <w:bookmarkStart w:id="265" w:name="_Toc297120468"/>
      <w:bookmarkStart w:id="266" w:name="_Toc304295557"/>
      <w:bookmarkStart w:id="267" w:name="_Toc312678020"/>
      <w:bookmarkStart w:id="268" w:name="_Toc303539137"/>
      <w:bookmarkStart w:id="269" w:name="_Toc296891208"/>
      <w:bookmarkStart w:id="270" w:name="_Toc296944507"/>
      <w:bookmarkStart w:id="271" w:name="_Toc296503168"/>
      <w:bookmarkStart w:id="272" w:name="_Toc297216187"/>
      <w:bookmarkStart w:id="273" w:name="_Toc296347167"/>
      <w:bookmarkStart w:id="274" w:name="_Toc318581173"/>
      <w:bookmarkStart w:id="275" w:name="_Toc297123528"/>
      <w:r>
        <w:rPr>
          <w:rFonts w:hint="eastAsia" w:ascii="宋体" w:hAnsi="宋体" w:eastAsia="宋体" w:cs="宋体"/>
          <w:color w:val="auto"/>
          <w:sz w:val="21"/>
          <w:szCs w:val="21"/>
        </w:rPr>
        <w:t>.4.1 发包人供应的材料设备的保管费用的承担：</w:t>
      </w:r>
      <w:r>
        <w:rPr>
          <w:rFonts w:hint="eastAsia" w:ascii="宋体" w:hAnsi="宋体" w:eastAsia="宋体" w:cs="宋体"/>
          <w:color w:val="auto"/>
          <w:sz w:val="21"/>
          <w:szCs w:val="21"/>
          <w:u w:val="single"/>
        </w:rPr>
        <w:t xml:space="preserve"> 承包人承担</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含在工程费用内</w:t>
      </w:r>
      <w:r>
        <w:rPr>
          <w:rFonts w:hint="eastAsia" w:ascii="宋体" w:hAnsi="宋体" w:eastAsia="宋体" w:cs="宋体"/>
          <w:color w:val="auto"/>
          <w:sz w:val="21"/>
          <w:szCs w:val="21"/>
        </w:rPr>
        <w:t>。</w:t>
      </w:r>
      <w:bookmarkEnd w:id="258"/>
      <w:bookmarkEnd w:id="259"/>
    </w:p>
    <w:p w14:paraId="376155CA">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8.6 样品</w:t>
      </w:r>
    </w:p>
    <w:p w14:paraId="5B86F5A4">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8.6.1 样品的报送与封存</w:t>
      </w:r>
    </w:p>
    <w:p w14:paraId="3CAD44E9">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需要承包人报送样品的材料或工程设备，样品的种类、名称、规格、数量要求：</w:t>
      </w:r>
      <w:r>
        <w:rPr>
          <w:rFonts w:hint="eastAsia" w:ascii="宋体" w:hAnsi="宋体" w:eastAsia="宋体" w:cs="宋体"/>
          <w:color w:val="auto"/>
          <w:sz w:val="21"/>
          <w:szCs w:val="21"/>
          <w:u w:val="single"/>
        </w:rPr>
        <w:t xml:space="preserve"> 根据投标</w:t>
      </w:r>
      <w:r>
        <w:rPr>
          <w:rFonts w:hint="eastAsia" w:ascii="宋体" w:hAnsi="宋体" w:eastAsia="宋体" w:cs="宋体"/>
          <w:color w:val="auto"/>
          <w:sz w:val="21"/>
          <w:szCs w:val="21"/>
          <w:u w:val="single"/>
          <w:lang w:val="en-US" w:eastAsia="zh-CN"/>
        </w:rPr>
        <w:t>人投标时提供的主材品牌及其他辅材要求</w:t>
      </w:r>
      <w:r>
        <w:rPr>
          <w:rFonts w:hint="eastAsia" w:ascii="宋体" w:hAnsi="宋体" w:eastAsia="宋体" w:cs="宋体"/>
          <w:color w:val="auto"/>
          <w:sz w:val="21"/>
          <w:szCs w:val="21"/>
          <w:u w:val="single"/>
        </w:rPr>
        <w:t>，使用前须经发包人认可。</w:t>
      </w:r>
    </w:p>
    <w:tbl>
      <w:tblPr>
        <w:tblStyle w:val="56"/>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3210"/>
        <w:gridCol w:w="3862"/>
      </w:tblGrid>
      <w:tr w14:paraId="0008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05" w:type="dxa"/>
            <w:vAlign w:val="top"/>
          </w:tcPr>
          <w:p w14:paraId="2685FF07">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序号</w:t>
            </w:r>
          </w:p>
        </w:tc>
        <w:tc>
          <w:tcPr>
            <w:tcW w:w="3495" w:type="dxa"/>
            <w:vAlign w:val="top"/>
          </w:tcPr>
          <w:p w14:paraId="6E6C1D2E">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材料名称</w:t>
            </w:r>
          </w:p>
        </w:tc>
        <w:tc>
          <w:tcPr>
            <w:tcW w:w="4284" w:type="dxa"/>
            <w:vAlign w:val="top"/>
          </w:tcPr>
          <w:p w14:paraId="7CD45230">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材料品牌、规格或型号</w:t>
            </w:r>
          </w:p>
        </w:tc>
      </w:tr>
      <w:tr w14:paraId="3E53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top"/>
          </w:tcPr>
          <w:p w14:paraId="73D5DD3A">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3495" w:type="dxa"/>
            <w:vAlign w:val="top"/>
          </w:tcPr>
          <w:p w14:paraId="17B2C301">
            <w:pPr>
              <w:pageBreakBefore w:val="0"/>
              <w:kinsoku/>
              <w:wordWrap/>
              <w:topLinePunct w:val="0"/>
              <w:bidi w:val="0"/>
              <w:snapToGrid w:val="0"/>
              <w:spacing w:beforeAutospacing="0"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电力电缆（YJV22）</w:t>
            </w:r>
          </w:p>
        </w:tc>
        <w:tc>
          <w:tcPr>
            <w:tcW w:w="4284" w:type="dxa"/>
            <w:vAlign w:val="top"/>
          </w:tcPr>
          <w:p w14:paraId="5BF2767A">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eastAsia="zh-CN"/>
              </w:rPr>
            </w:pPr>
          </w:p>
        </w:tc>
      </w:tr>
      <w:tr w14:paraId="3546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top"/>
          </w:tcPr>
          <w:p w14:paraId="469861AE">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3495" w:type="dxa"/>
            <w:vAlign w:val="top"/>
          </w:tcPr>
          <w:p w14:paraId="62B74FC9">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电力电缆（YJV）</w:t>
            </w:r>
          </w:p>
        </w:tc>
        <w:tc>
          <w:tcPr>
            <w:tcW w:w="4284" w:type="dxa"/>
            <w:vAlign w:val="top"/>
          </w:tcPr>
          <w:p w14:paraId="4DD49522">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eastAsia="zh-CN"/>
              </w:rPr>
            </w:pPr>
          </w:p>
        </w:tc>
      </w:tr>
      <w:tr w14:paraId="2EF6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top"/>
          </w:tcPr>
          <w:p w14:paraId="23E3EED1">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3495" w:type="dxa"/>
            <w:vAlign w:val="top"/>
          </w:tcPr>
          <w:p w14:paraId="6C8F877D">
            <w:pPr>
              <w:pageBreakBefore w:val="0"/>
              <w:kinsoku/>
              <w:wordWrap/>
              <w:topLinePunct w:val="0"/>
              <w:bidi w:val="0"/>
              <w:snapToGrid w:val="0"/>
              <w:spacing w:beforeAutospacing="0"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电力电缆（BV）</w:t>
            </w:r>
          </w:p>
        </w:tc>
        <w:tc>
          <w:tcPr>
            <w:tcW w:w="4284" w:type="dxa"/>
            <w:vAlign w:val="top"/>
          </w:tcPr>
          <w:p w14:paraId="089BE635">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eastAsia="zh-CN"/>
              </w:rPr>
            </w:pPr>
          </w:p>
        </w:tc>
      </w:tr>
      <w:tr w14:paraId="79F4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top"/>
          </w:tcPr>
          <w:p w14:paraId="70FBCD95">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3495" w:type="dxa"/>
            <w:vAlign w:val="top"/>
          </w:tcPr>
          <w:p w14:paraId="0DA0E782">
            <w:pPr>
              <w:pageBreakBefore w:val="0"/>
              <w:kinsoku/>
              <w:wordWrap/>
              <w:topLinePunct w:val="0"/>
              <w:bidi w:val="0"/>
              <w:snapToGrid w:val="0"/>
              <w:spacing w:beforeAutospacing="0"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配电开关</w:t>
            </w:r>
          </w:p>
        </w:tc>
        <w:tc>
          <w:tcPr>
            <w:tcW w:w="4284" w:type="dxa"/>
            <w:vAlign w:val="top"/>
          </w:tcPr>
          <w:p w14:paraId="173F692B">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eastAsia="zh-CN"/>
              </w:rPr>
            </w:pPr>
          </w:p>
        </w:tc>
      </w:tr>
      <w:tr w14:paraId="5C82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top"/>
          </w:tcPr>
          <w:p w14:paraId="7D01E1A3">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3495" w:type="dxa"/>
            <w:vAlign w:val="top"/>
          </w:tcPr>
          <w:p w14:paraId="545C8AF7">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断路器</w:t>
            </w:r>
          </w:p>
        </w:tc>
        <w:tc>
          <w:tcPr>
            <w:tcW w:w="4284" w:type="dxa"/>
            <w:vAlign w:val="top"/>
          </w:tcPr>
          <w:p w14:paraId="6B8139BE">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eastAsia="zh-CN"/>
              </w:rPr>
            </w:pPr>
          </w:p>
        </w:tc>
      </w:tr>
      <w:tr w14:paraId="0D89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top"/>
          </w:tcPr>
          <w:p w14:paraId="39B2ACB5">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3495" w:type="dxa"/>
            <w:vAlign w:val="top"/>
          </w:tcPr>
          <w:p w14:paraId="5C182AD5">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配电箱</w:t>
            </w:r>
          </w:p>
        </w:tc>
        <w:tc>
          <w:tcPr>
            <w:tcW w:w="4284" w:type="dxa"/>
            <w:vAlign w:val="top"/>
          </w:tcPr>
          <w:p w14:paraId="66D4FB1C">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eastAsia="zh-CN"/>
              </w:rPr>
            </w:pPr>
          </w:p>
        </w:tc>
      </w:tr>
      <w:tr w14:paraId="232A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top"/>
          </w:tcPr>
          <w:p w14:paraId="2DDC620A">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3495" w:type="dxa"/>
            <w:vAlign w:val="top"/>
          </w:tcPr>
          <w:p w14:paraId="51DD888E">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电缆保护管</w:t>
            </w:r>
          </w:p>
        </w:tc>
        <w:tc>
          <w:tcPr>
            <w:tcW w:w="4284" w:type="dxa"/>
            <w:vAlign w:val="top"/>
          </w:tcPr>
          <w:p w14:paraId="1483F931">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eastAsia="zh-CN"/>
              </w:rPr>
            </w:pPr>
          </w:p>
        </w:tc>
      </w:tr>
      <w:tr w14:paraId="1E53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top"/>
          </w:tcPr>
          <w:p w14:paraId="5EF95D8F">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3495" w:type="dxa"/>
            <w:vAlign w:val="top"/>
          </w:tcPr>
          <w:p w14:paraId="4DB1D723">
            <w:pPr>
              <w:pageBreakBefore w:val="0"/>
              <w:kinsoku/>
              <w:wordWrap/>
              <w:topLinePunct w:val="0"/>
              <w:bidi w:val="0"/>
              <w:snapToGrid w:val="0"/>
              <w:spacing w:beforeAutospacing="0" w:line="360" w:lineRule="auto"/>
              <w:ind w:firstLine="420" w:firstLineChars="200"/>
              <w:rPr>
                <w:color w:val="auto"/>
              </w:rPr>
            </w:pPr>
            <w:r>
              <w:rPr>
                <w:rFonts w:hint="eastAsia" w:ascii="宋体" w:hAnsi="宋体" w:eastAsia="宋体" w:cs="宋体"/>
                <w:color w:val="auto"/>
                <w:sz w:val="21"/>
                <w:szCs w:val="21"/>
                <w:lang w:val="en-US" w:eastAsia="zh-CN"/>
              </w:rPr>
              <w:t>桥架</w:t>
            </w:r>
          </w:p>
        </w:tc>
        <w:tc>
          <w:tcPr>
            <w:tcW w:w="4284" w:type="dxa"/>
            <w:vAlign w:val="top"/>
          </w:tcPr>
          <w:p w14:paraId="1C9F3466">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lang w:eastAsia="zh-CN"/>
              </w:rPr>
            </w:pPr>
          </w:p>
        </w:tc>
      </w:tr>
    </w:tbl>
    <w:p w14:paraId="71600FF2">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8.8 施工设备和临时设施</w:t>
      </w:r>
    </w:p>
    <w:p w14:paraId="1EDFB30D">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8.8.1 承包人提供的施工设备和临时设施</w:t>
      </w:r>
    </w:p>
    <w:p w14:paraId="19282C9E">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关于修建临时设施费用承担的约定：</w:t>
      </w:r>
      <w:r>
        <w:rPr>
          <w:rFonts w:hint="eastAsia" w:ascii="宋体" w:hAnsi="宋体" w:eastAsia="宋体" w:cs="宋体"/>
          <w:color w:val="auto"/>
          <w:sz w:val="21"/>
          <w:szCs w:val="21"/>
          <w:u w:val="single"/>
        </w:rPr>
        <w:t xml:space="preserve">由承包人自行承担费用 </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费用含在工程款内</w:t>
      </w:r>
      <w:r>
        <w:rPr>
          <w:rFonts w:hint="eastAsia" w:ascii="宋体" w:hAnsi="宋体" w:eastAsia="宋体" w:cs="宋体"/>
          <w:color w:val="auto"/>
          <w:sz w:val="21"/>
          <w:szCs w:val="21"/>
        </w:rPr>
        <w:t>。</w:t>
      </w:r>
    </w:p>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14:paraId="45BADE6B">
      <w:pPr>
        <w:pageBreakBefore w:val="0"/>
        <w:kinsoku/>
        <w:wordWrap/>
        <w:topLinePunct w:val="0"/>
        <w:bidi w:val="0"/>
        <w:snapToGrid w:val="0"/>
        <w:spacing w:beforeAutospacing="0" w:line="360" w:lineRule="auto"/>
        <w:ind w:firstLine="420" w:firstLineChars="200"/>
        <w:outlineLvl w:val="2"/>
        <w:rPr>
          <w:rFonts w:hint="eastAsia" w:ascii="宋体" w:hAnsi="宋体" w:eastAsia="宋体" w:cs="宋体"/>
          <w:color w:val="auto"/>
          <w:sz w:val="21"/>
          <w:szCs w:val="21"/>
        </w:rPr>
      </w:pPr>
      <w:bookmarkStart w:id="276" w:name="_Toc351203641"/>
      <w:r>
        <w:rPr>
          <w:rFonts w:hint="eastAsia" w:ascii="宋体" w:hAnsi="宋体" w:eastAsia="宋体" w:cs="宋体"/>
          <w:color w:val="auto"/>
          <w:sz w:val="21"/>
          <w:szCs w:val="21"/>
        </w:rPr>
        <w:t>9</w:t>
      </w:r>
      <w:bookmarkEnd w:id="255"/>
      <w:bookmarkEnd w:id="256"/>
      <w:bookmarkEnd w:id="257"/>
      <w:bookmarkStart w:id="277" w:name="_Toc297123533"/>
      <w:bookmarkStart w:id="278" w:name="_Toc297216192"/>
      <w:bookmarkStart w:id="279" w:name="_Toc303539139"/>
      <w:bookmarkStart w:id="280" w:name="_Toc300934982"/>
      <w:bookmarkStart w:id="281" w:name="_Toc312677495"/>
      <w:bookmarkStart w:id="282" w:name="_Toc304295559"/>
      <w:bookmarkStart w:id="283" w:name="_Toc312678021"/>
      <w:bookmarkStart w:id="284" w:name="_Toc296891001"/>
      <w:bookmarkStart w:id="285" w:name="_Toc296503173"/>
      <w:bookmarkStart w:id="286" w:name="_Toc292559378"/>
      <w:bookmarkStart w:id="287" w:name="_Toc267251427"/>
      <w:bookmarkStart w:id="288" w:name="_Toc296346674"/>
      <w:bookmarkStart w:id="289" w:name="_Toc296944512"/>
      <w:bookmarkStart w:id="290" w:name="_Toc296891213"/>
      <w:bookmarkStart w:id="291" w:name="_Toc297120473"/>
      <w:bookmarkStart w:id="292" w:name="_Toc297048359"/>
      <w:bookmarkStart w:id="293" w:name="_Toc296347172"/>
      <w:bookmarkStart w:id="294" w:name="_Toc292559883"/>
      <w:bookmarkStart w:id="295" w:name="_Toc267251428"/>
      <w:r>
        <w:rPr>
          <w:rFonts w:hint="eastAsia" w:ascii="宋体" w:hAnsi="宋体" w:eastAsia="宋体" w:cs="宋体"/>
          <w:color w:val="auto"/>
          <w:sz w:val="21"/>
          <w:szCs w:val="21"/>
        </w:rPr>
        <w:t>. 试验与检验</w:t>
      </w:r>
      <w:bookmarkEnd w:id="276"/>
    </w:p>
    <w:bookmarkEnd w:id="277"/>
    <w:bookmarkEnd w:id="278"/>
    <w:bookmarkEnd w:id="279"/>
    <w:bookmarkEnd w:id="280"/>
    <w:bookmarkEnd w:id="281"/>
    <w:bookmarkEnd w:id="282"/>
    <w:bookmarkEnd w:id="283"/>
    <w:p w14:paraId="5C47F278">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9</w:t>
      </w:r>
      <w:bookmarkStart w:id="296" w:name="_Toc303539140"/>
      <w:bookmarkStart w:id="297" w:name="_Toc300934983"/>
      <w:bookmarkStart w:id="298" w:name="_Toc304295560"/>
      <w:bookmarkStart w:id="299" w:name="_Toc297216193"/>
      <w:bookmarkStart w:id="300" w:name="_Toc312677496"/>
      <w:bookmarkStart w:id="301" w:name="_Toc312678022"/>
      <w:bookmarkStart w:id="302" w:name="_Toc297123534"/>
      <w:r>
        <w:rPr>
          <w:rFonts w:hint="eastAsia" w:ascii="宋体" w:hAnsi="宋体" w:eastAsia="宋体" w:cs="宋体"/>
          <w:bCs/>
          <w:color w:val="auto"/>
          <w:sz w:val="21"/>
          <w:szCs w:val="21"/>
        </w:rPr>
        <w:t>.1 试验设备与试验人员</w:t>
      </w:r>
    </w:p>
    <w:bookmarkEnd w:id="296"/>
    <w:bookmarkEnd w:id="297"/>
    <w:bookmarkEnd w:id="298"/>
    <w:bookmarkEnd w:id="299"/>
    <w:bookmarkEnd w:id="300"/>
    <w:bookmarkEnd w:id="301"/>
    <w:bookmarkEnd w:id="302"/>
    <w:p w14:paraId="08003551">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w:t>
      </w:r>
      <w:bookmarkStart w:id="303" w:name="_Toc304295561"/>
      <w:bookmarkStart w:id="304" w:name="_Toc300934984"/>
      <w:bookmarkStart w:id="305" w:name="_Toc312677497"/>
      <w:bookmarkStart w:id="306" w:name="_Toc297216194"/>
      <w:bookmarkStart w:id="307" w:name="_Toc303539141"/>
      <w:bookmarkStart w:id="308" w:name="_Toc312678023"/>
      <w:bookmarkStart w:id="309" w:name="_Toc297123535"/>
      <w:bookmarkStart w:id="310" w:name="_Toc318581174"/>
      <w:r>
        <w:rPr>
          <w:rFonts w:hint="eastAsia" w:ascii="宋体" w:hAnsi="宋体" w:eastAsia="宋体" w:cs="宋体"/>
          <w:color w:val="auto"/>
          <w:sz w:val="21"/>
          <w:szCs w:val="21"/>
        </w:rPr>
        <w:t>.1.2 试验设备</w:t>
      </w:r>
    </w:p>
    <w:p w14:paraId="2C73988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施工现场需要配置的试验场所</w:t>
      </w:r>
      <w:bookmarkEnd w:id="303"/>
      <w:bookmarkEnd w:id="304"/>
      <w:bookmarkEnd w:id="305"/>
      <w:bookmarkEnd w:id="306"/>
      <w:bookmarkEnd w:id="307"/>
      <w:bookmarkEnd w:id="308"/>
      <w:bookmarkEnd w:id="309"/>
      <w:bookmarkStart w:id="311" w:name="_Toc312678024"/>
      <w:bookmarkStart w:id="312" w:name="_Toc303539142"/>
      <w:bookmarkStart w:id="313" w:name="_Toc300934985"/>
      <w:bookmarkStart w:id="314" w:name="_Toc297216195"/>
      <w:bookmarkStart w:id="315" w:name="_Toc312677498"/>
      <w:bookmarkStart w:id="316" w:name="_Toc297123536"/>
      <w:bookmarkStart w:id="317" w:name="_Toc304295562"/>
      <w:r>
        <w:rPr>
          <w:rFonts w:hint="eastAsia" w:ascii="宋体" w:hAnsi="宋体" w:eastAsia="宋体" w:cs="宋体"/>
          <w:color w:val="auto"/>
          <w:sz w:val="21"/>
          <w:szCs w:val="21"/>
        </w:rPr>
        <w:t>：</w:t>
      </w:r>
      <w:r>
        <w:rPr>
          <w:rFonts w:hint="eastAsia" w:ascii="宋体" w:hAnsi="宋体" w:eastAsia="宋体" w:cs="宋体"/>
          <w:color w:val="auto"/>
          <w:sz w:val="21"/>
          <w:szCs w:val="21"/>
          <w:u w:val="single"/>
        </w:rPr>
        <w:t>按有关规定执行，承包人自行承担费用</w:t>
      </w:r>
      <w:r>
        <w:rPr>
          <w:rFonts w:hint="eastAsia" w:ascii="宋体" w:hAnsi="宋体" w:eastAsia="宋体" w:cs="宋体"/>
          <w:color w:val="auto"/>
          <w:sz w:val="21"/>
          <w:szCs w:val="21"/>
        </w:rPr>
        <w:t>。</w:t>
      </w:r>
    </w:p>
    <w:p w14:paraId="0DB4F14A">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施工现场需要配备的试验设备：</w:t>
      </w:r>
      <w:r>
        <w:rPr>
          <w:rFonts w:hint="eastAsia" w:ascii="宋体" w:hAnsi="宋体" w:eastAsia="宋体" w:cs="宋体"/>
          <w:color w:val="auto"/>
          <w:sz w:val="21"/>
          <w:szCs w:val="21"/>
          <w:u w:val="single"/>
        </w:rPr>
        <w:t>按有关规定执行，承包人自行承担费用</w:t>
      </w:r>
      <w:r>
        <w:rPr>
          <w:rFonts w:hint="eastAsia" w:ascii="宋体" w:hAnsi="宋体" w:eastAsia="宋体" w:cs="宋体"/>
          <w:color w:val="auto"/>
          <w:sz w:val="21"/>
          <w:szCs w:val="21"/>
        </w:rPr>
        <w:t>。</w:t>
      </w:r>
    </w:p>
    <w:p w14:paraId="67A75DF6">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施工现场需要具备的其他试验条件：</w:t>
      </w:r>
      <w:r>
        <w:rPr>
          <w:rFonts w:hint="eastAsia" w:ascii="宋体" w:hAnsi="宋体" w:eastAsia="宋体" w:cs="宋体"/>
          <w:color w:val="auto"/>
          <w:sz w:val="21"/>
          <w:szCs w:val="21"/>
          <w:u w:val="single"/>
        </w:rPr>
        <w:t xml:space="preserve">按有关规定执行，承包人自行承担费用 </w:t>
      </w:r>
      <w:r>
        <w:rPr>
          <w:rFonts w:hint="eastAsia" w:ascii="宋体" w:hAnsi="宋体" w:eastAsia="宋体" w:cs="宋体"/>
          <w:color w:val="auto"/>
          <w:sz w:val="21"/>
          <w:szCs w:val="21"/>
        </w:rPr>
        <w:t>。</w:t>
      </w:r>
    </w:p>
    <w:p w14:paraId="1C9F91C2">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9.4 现场工艺试验 </w:t>
      </w:r>
    </w:p>
    <w:p w14:paraId="7BAAEAD9">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现场工艺试验的有关约定：</w:t>
      </w:r>
      <w:r>
        <w:rPr>
          <w:rFonts w:hint="eastAsia" w:ascii="宋体" w:hAnsi="宋体" w:eastAsia="宋体" w:cs="宋体"/>
          <w:color w:val="auto"/>
          <w:sz w:val="21"/>
          <w:szCs w:val="21"/>
          <w:u w:val="single"/>
        </w:rPr>
        <w:t xml:space="preserve">按有关规定执行，承包人自行承担费用 </w:t>
      </w:r>
      <w:r>
        <w:rPr>
          <w:rFonts w:hint="eastAsia" w:ascii="宋体" w:hAnsi="宋体" w:eastAsia="宋体" w:cs="宋体"/>
          <w:color w:val="auto"/>
          <w:sz w:val="21"/>
          <w:szCs w:val="21"/>
        </w:rPr>
        <w:t>。</w:t>
      </w:r>
    </w:p>
    <w:bookmarkEnd w:id="310"/>
    <w:bookmarkEnd w:id="311"/>
    <w:bookmarkEnd w:id="312"/>
    <w:bookmarkEnd w:id="313"/>
    <w:bookmarkEnd w:id="314"/>
    <w:bookmarkEnd w:id="315"/>
    <w:bookmarkEnd w:id="316"/>
    <w:bookmarkEnd w:id="317"/>
    <w:p w14:paraId="07C4813D">
      <w:pPr>
        <w:pageBreakBefore w:val="0"/>
        <w:kinsoku/>
        <w:wordWrap/>
        <w:topLinePunct w:val="0"/>
        <w:bidi w:val="0"/>
        <w:snapToGrid w:val="0"/>
        <w:spacing w:beforeAutospacing="0" w:line="360" w:lineRule="auto"/>
        <w:ind w:firstLine="420" w:firstLineChars="200"/>
        <w:outlineLvl w:val="2"/>
        <w:rPr>
          <w:rFonts w:hint="eastAsia" w:ascii="宋体" w:hAnsi="宋体" w:eastAsia="宋体" w:cs="宋体"/>
          <w:color w:val="auto"/>
          <w:sz w:val="21"/>
          <w:szCs w:val="21"/>
        </w:rPr>
      </w:pPr>
      <w:bookmarkStart w:id="318" w:name="_Toc351203642"/>
      <w:r>
        <w:rPr>
          <w:rFonts w:hint="eastAsia" w:ascii="宋体" w:hAnsi="宋体" w:eastAsia="宋体" w:cs="宋体"/>
          <w:color w:val="auto"/>
          <w:sz w:val="21"/>
          <w:szCs w:val="21"/>
        </w:rPr>
        <w:t>1</w:t>
      </w:r>
      <w:bookmarkEnd w:id="284"/>
      <w:bookmarkEnd w:id="285"/>
      <w:bookmarkEnd w:id="286"/>
      <w:bookmarkEnd w:id="287"/>
      <w:bookmarkEnd w:id="288"/>
      <w:bookmarkEnd w:id="289"/>
      <w:bookmarkEnd w:id="290"/>
      <w:bookmarkEnd w:id="291"/>
      <w:bookmarkEnd w:id="292"/>
      <w:bookmarkEnd w:id="293"/>
      <w:bookmarkEnd w:id="294"/>
      <w:bookmarkEnd w:id="295"/>
      <w:bookmarkStart w:id="319" w:name="_Toc292559398"/>
      <w:bookmarkStart w:id="320" w:name="_Toc296891021"/>
      <w:bookmarkStart w:id="321" w:name="_Toc296347192"/>
      <w:bookmarkStart w:id="322" w:name="_Toc304295566"/>
      <w:bookmarkStart w:id="323" w:name="_Toc300934989"/>
      <w:bookmarkStart w:id="324" w:name="_Toc297123540"/>
      <w:bookmarkStart w:id="325" w:name="_Toc297120493"/>
      <w:bookmarkStart w:id="326" w:name="_Toc292559903"/>
      <w:bookmarkStart w:id="327" w:name="_Toc297048379"/>
      <w:bookmarkStart w:id="328" w:name="_Toc296346694"/>
      <w:bookmarkStart w:id="329" w:name="_Toc297216199"/>
      <w:bookmarkStart w:id="330" w:name="_Toc296944532"/>
      <w:bookmarkStart w:id="331" w:name="_Toc296891233"/>
      <w:bookmarkStart w:id="332" w:name="_Toc303539146"/>
      <w:bookmarkStart w:id="333" w:name="_Toc296503193"/>
      <w:bookmarkStart w:id="334" w:name="_Toc312677499"/>
      <w:bookmarkStart w:id="335" w:name="_Toc312678025"/>
      <w:bookmarkStart w:id="336" w:name="_Toc267251439"/>
      <w:bookmarkStart w:id="337" w:name="_Toc267251441"/>
      <w:bookmarkStart w:id="338" w:name="_Toc267251440"/>
      <w:bookmarkStart w:id="339" w:name="_Toc267251433"/>
      <w:bookmarkStart w:id="340" w:name="_Toc267251435"/>
      <w:bookmarkStart w:id="341" w:name="_Toc267251437"/>
      <w:bookmarkStart w:id="342" w:name="_Toc267251442"/>
      <w:r>
        <w:rPr>
          <w:rFonts w:hint="eastAsia" w:ascii="宋体" w:hAnsi="宋体" w:eastAsia="宋体" w:cs="宋体"/>
          <w:color w:val="auto"/>
          <w:sz w:val="21"/>
          <w:szCs w:val="21"/>
        </w:rPr>
        <w:t>0. 变更</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bookmarkEnd w:id="334"/>
    <w:bookmarkEnd w:id="335"/>
    <w:p w14:paraId="43FE8F43">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w:t>
      </w:r>
      <w:bookmarkStart w:id="343" w:name="_Toc297120494"/>
      <w:bookmarkStart w:id="344" w:name="_Toc296346695"/>
      <w:bookmarkStart w:id="345" w:name="_Toc304295567"/>
      <w:bookmarkStart w:id="346" w:name="_Toc296944533"/>
      <w:bookmarkStart w:id="347" w:name="_Toc297216200"/>
      <w:bookmarkStart w:id="348" w:name="_Toc303539147"/>
      <w:bookmarkStart w:id="349" w:name="_Toc312678026"/>
      <w:bookmarkStart w:id="350" w:name="_Toc300934990"/>
      <w:bookmarkStart w:id="351" w:name="_Toc296503194"/>
      <w:bookmarkStart w:id="352" w:name="_Toc296891022"/>
      <w:bookmarkStart w:id="353" w:name="_Toc292559904"/>
      <w:bookmarkStart w:id="354" w:name="_Toc312677500"/>
      <w:bookmarkStart w:id="355" w:name="_Toc297123541"/>
      <w:bookmarkStart w:id="356" w:name="_Toc292559399"/>
      <w:bookmarkStart w:id="357" w:name="_Toc296347193"/>
      <w:bookmarkStart w:id="358" w:name="_Toc297048380"/>
      <w:bookmarkStart w:id="359" w:name="_Toc296891234"/>
      <w:r>
        <w:rPr>
          <w:rFonts w:hint="eastAsia" w:ascii="宋体" w:hAnsi="宋体" w:eastAsia="宋体" w:cs="宋体"/>
          <w:bCs/>
          <w:color w:val="auto"/>
          <w:sz w:val="21"/>
          <w:szCs w:val="21"/>
        </w:rPr>
        <w:t>0.1 变更的范围</w:t>
      </w:r>
    </w:p>
    <w:p w14:paraId="6493C59B">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关于变更的范围的约定：</w:t>
      </w:r>
      <w:r>
        <w:rPr>
          <w:rFonts w:hint="eastAsia" w:ascii="宋体" w:hAnsi="宋体" w:eastAsia="宋体" w:cs="宋体"/>
          <w:color w:val="auto"/>
          <w:sz w:val="21"/>
          <w:szCs w:val="21"/>
          <w:u w:val="single"/>
        </w:rPr>
        <w:t>按有关规定执行，承包人自行承担费用</w:t>
      </w:r>
      <w:r>
        <w:rPr>
          <w:rFonts w:hint="eastAsia" w:ascii="宋体" w:hAnsi="宋体" w:eastAsia="宋体" w:cs="宋体"/>
          <w:color w:val="auto"/>
          <w:sz w:val="21"/>
          <w:szCs w:val="21"/>
        </w:rPr>
        <w:t>。</w:t>
      </w:r>
    </w:p>
    <w:p w14:paraId="28E5D74E">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10.4 变更估价</w:t>
      </w:r>
    </w:p>
    <w:p w14:paraId="2E760FC3">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10.4.1 变更估价原则</w:t>
      </w:r>
    </w:p>
    <w:p w14:paraId="13D1AB4D">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关于变更估价的约定：</w:t>
      </w:r>
    </w:p>
    <w:p w14:paraId="621729C5">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变更导致结算工程量减少0-100%或增加 15%以内（含 15%）部分的，执行中标单价；超出15%以外部分，投标综合单价高于（控制价×投标让利幅度）时，按（控制价×投标让利幅度）计算，投标综合单价低于（控制价×投标让利幅度）时，执行中标单价。组价明显错误或人材机含量及单价明显异常的（明显异常指承包人单价超出清单控制价中相应单价20%及以上的）应予纠正；新增项目单价按照控制价的编制原则重新组价×投标让利幅度（投标让利幅度为中标价/控制价，其中中标价和控制价均扣除暂定金额、暂估价），重新组价价格最终以竣工结算审计核定为准。</w:t>
      </w:r>
    </w:p>
    <w:p w14:paraId="2D7DAC57">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技术措施费调整：</w:t>
      </w:r>
      <w:r>
        <w:rPr>
          <w:rFonts w:hint="eastAsia" w:ascii="宋体" w:hAnsi="宋体" w:eastAsia="宋体" w:cs="宋体"/>
          <w:b/>
          <w:color w:val="auto"/>
          <w:sz w:val="21"/>
          <w:szCs w:val="21"/>
          <w:u w:val="single"/>
        </w:rPr>
        <w:t>因承包人擅自改变施工技术措施，造成的价格变动，措施费不予调整。因工程量清单错误必须改变原来施工技术措施，履行变更手续，按照工程变更条款执行。</w:t>
      </w:r>
    </w:p>
    <w:p w14:paraId="7D529D42">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组织措施费调整：</w:t>
      </w:r>
      <w:r>
        <w:rPr>
          <w:rFonts w:hint="eastAsia" w:ascii="宋体" w:hAnsi="宋体" w:eastAsia="宋体" w:cs="宋体"/>
          <w:color w:val="auto"/>
          <w:sz w:val="21"/>
          <w:szCs w:val="21"/>
          <w:u w:val="single"/>
        </w:rPr>
        <w:t>按实调整。</w:t>
      </w:r>
    </w:p>
    <w:p w14:paraId="480BD385">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Start w:id="360" w:name="_Toc303539150"/>
      <w:bookmarkStart w:id="361" w:name="_Toc292559907"/>
      <w:bookmarkStart w:id="362" w:name="_Toc297048383"/>
      <w:bookmarkStart w:id="363" w:name="_Toc296891025"/>
      <w:bookmarkStart w:id="364" w:name="_Toc296891237"/>
      <w:bookmarkStart w:id="365" w:name="_Toc297120497"/>
      <w:bookmarkStart w:id="366" w:name="_Toc296503197"/>
      <w:bookmarkStart w:id="367" w:name="_Toc292559402"/>
      <w:bookmarkStart w:id="368" w:name="_Toc297123544"/>
      <w:bookmarkStart w:id="369" w:name="_Toc296347196"/>
      <w:bookmarkStart w:id="370" w:name="_Toc297216203"/>
      <w:bookmarkStart w:id="371" w:name="_Toc300934993"/>
      <w:bookmarkStart w:id="372" w:name="_Toc296944536"/>
      <w:bookmarkStart w:id="373" w:name="_Toc296346698"/>
      <w:bookmarkStart w:id="374" w:name="_Toc304295570"/>
      <w:bookmarkStart w:id="375" w:name="_Toc312678029"/>
      <w:bookmarkStart w:id="376" w:name="_Toc312677503"/>
      <w:r>
        <w:rPr>
          <w:rFonts w:hint="eastAsia" w:ascii="宋体" w:hAnsi="宋体" w:eastAsia="宋体" w:cs="宋体"/>
          <w:bCs/>
          <w:color w:val="auto"/>
          <w:sz w:val="21"/>
          <w:szCs w:val="21"/>
        </w:rPr>
        <w:t>0.5 承</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Start w:id="377" w:name="_Toc297048389"/>
      <w:bookmarkStart w:id="378" w:name="_Toc292559913"/>
      <w:bookmarkStart w:id="379" w:name="_Toc296347202"/>
      <w:bookmarkStart w:id="380" w:name="_Toc292559408"/>
      <w:bookmarkStart w:id="381" w:name="_Toc296891243"/>
      <w:bookmarkStart w:id="382" w:name="_Toc297120503"/>
      <w:bookmarkStart w:id="383" w:name="_Toc297216204"/>
      <w:bookmarkStart w:id="384" w:name="_Toc296346704"/>
      <w:bookmarkStart w:id="385" w:name="_Toc296944542"/>
      <w:bookmarkStart w:id="386" w:name="_Toc296891031"/>
      <w:bookmarkStart w:id="387" w:name="_Toc296503203"/>
      <w:bookmarkStart w:id="388" w:name="_Toc303539151"/>
      <w:bookmarkStart w:id="389" w:name="_Toc300934994"/>
      <w:bookmarkStart w:id="390" w:name="_Toc297123545"/>
      <w:r>
        <w:rPr>
          <w:rFonts w:hint="eastAsia" w:ascii="宋体" w:hAnsi="宋体" w:eastAsia="宋体" w:cs="宋体"/>
          <w:bCs/>
          <w:color w:val="auto"/>
          <w:sz w:val="21"/>
          <w:szCs w:val="21"/>
        </w:rPr>
        <w:t>包人的合理化建议</w:t>
      </w:r>
    </w:p>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14:paraId="30E7D154">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监理人审查承包人合理化建议的期限：</w:t>
      </w:r>
      <w:r>
        <w:rPr>
          <w:rFonts w:hint="eastAsia" w:ascii="宋体" w:hAnsi="宋体" w:eastAsia="宋体" w:cs="宋体"/>
          <w:color w:val="auto"/>
          <w:sz w:val="21"/>
          <w:szCs w:val="21"/>
          <w:u w:val="single"/>
        </w:rPr>
        <w:t>监理人应在收到承包人提交的合理化建议后7天内审查完毕并报送发包人，发现其中存在技术上的缺陷，应通知承包人修改。</w:t>
      </w:r>
    </w:p>
    <w:p w14:paraId="6D6F93ED">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发包人审批承包人合理化建议的期限：</w:t>
      </w:r>
      <w:r>
        <w:rPr>
          <w:rFonts w:hint="eastAsia" w:ascii="宋体" w:hAnsi="宋体" w:eastAsia="宋体" w:cs="宋体"/>
          <w:color w:val="auto"/>
          <w:sz w:val="21"/>
          <w:szCs w:val="21"/>
          <w:u w:val="single"/>
        </w:rPr>
        <w:t>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2AE540E8">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承包人提出的合理化建议降低了合同价格或者提高了工程经济效益的奖励的方法和金额为：</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w:t>
      </w:r>
    </w:p>
    <w:p w14:paraId="73EE7398">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w:t>
      </w:r>
      <w:bookmarkStart w:id="391" w:name="_Toc296503199"/>
      <w:bookmarkStart w:id="392" w:name="_Toc292559404"/>
      <w:bookmarkStart w:id="393" w:name="_Toc297120499"/>
      <w:bookmarkStart w:id="394" w:name="_Toc304295574"/>
      <w:bookmarkStart w:id="395" w:name="_Toc292559909"/>
      <w:bookmarkStart w:id="396" w:name="_Toc312678033"/>
      <w:bookmarkStart w:id="397" w:name="_Toc296891239"/>
      <w:bookmarkStart w:id="398" w:name="_Toc296944538"/>
      <w:bookmarkStart w:id="399" w:name="_Toc296891027"/>
      <w:bookmarkStart w:id="400" w:name="_Toc297216207"/>
      <w:bookmarkStart w:id="401" w:name="_Toc297123548"/>
      <w:bookmarkStart w:id="402" w:name="_Toc312677507"/>
      <w:bookmarkStart w:id="403" w:name="_Toc296346700"/>
      <w:bookmarkStart w:id="404" w:name="_Toc300934997"/>
      <w:bookmarkStart w:id="405" w:name="_Toc303539154"/>
      <w:bookmarkStart w:id="406" w:name="_Toc296347198"/>
      <w:bookmarkStart w:id="407" w:name="_Toc297048385"/>
      <w:r>
        <w:rPr>
          <w:rFonts w:hint="eastAsia" w:ascii="宋体" w:hAnsi="宋体" w:eastAsia="宋体" w:cs="宋体"/>
          <w:bCs/>
          <w:color w:val="auto"/>
          <w:sz w:val="21"/>
          <w:szCs w:val="21"/>
        </w:rPr>
        <w:t>0.7 暂估价</w:t>
      </w:r>
    </w:p>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14:paraId="1F7976F1">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bookmarkStart w:id="408" w:name="_Toc351203643"/>
      <w:r>
        <w:rPr>
          <w:rFonts w:hint="eastAsia" w:ascii="宋体" w:hAnsi="宋体" w:eastAsia="宋体" w:cs="宋体"/>
          <w:color w:val="auto"/>
          <w:kern w:val="0"/>
          <w:sz w:val="21"/>
          <w:szCs w:val="21"/>
        </w:rPr>
        <w:t>暂估价材料和工程设备的明细</w:t>
      </w:r>
      <w:r>
        <w:rPr>
          <w:rFonts w:hint="eastAsia" w:ascii="宋体" w:hAnsi="宋体" w:eastAsia="宋体" w:cs="宋体"/>
          <w:color w:val="auto"/>
          <w:kern w:val="0"/>
          <w:sz w:val="21"/>
          <w:szCs w:val="21"/>
          <w:u w:val="single"/>
        </w:rPr>
        <w:t>详见本项目最高投标限价。</w:t>
      </w:r>
    </w:p>
    <w:p w14:paraId="6F592285">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10.7.1 依法必须招标的暂估价项目</w:t>
      </w:r>
    </w:p>
    <w:p w14:paraId="700E68F1">
      <w:pPr>
        <w:pStyle w:val="31"/>
        <w:pageBreakBefore w:val="0"/>
        <w:kinsoku/>
        <w:wordWrap/>
        <w:topLinePunct w:val="0"/>
        <w:bidi w:val="0"/>
        <w:spacing w:beforeAutospacing="0" w:line="360" w:lineRule="auto"/>
        <w:ind w:firstLine="468"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对于依法必须招标的暂估价项目的确认和批准由发包人通过招标方式确定。</w:t>
      </w:r>
    </w:p>
    <w:p w14:paraId="60ED0585">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10.7.2 不属于依法必须招标的暂估价项目</w:t>
      </w:r>
    </w:p>
    <w:p w14:paraId="1352F599">
      <w:pPr>
        <w:pStyle w:val="31"/>
        <w:pageBreakBefore w:val="0"/>
        <w:kinsoku/>
        <w:wordWrap/>
        <w:topLinePunct w:val="0"/>
        <w:bidi w:val="0"/>
        <w:spacing w:beforeAutospacing="0" w:line="360" w:lineRule="auto"/>
        <w:ind w:firstLine="468"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对于不属于依法必须招标的暂估价项目的确认和批准由发包人采用询价或招标方式确定。</w:t>
      </w:r>
    </w:p>
    <w:p w14:paraId="50518F01">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第3种方式：承包人直接实施的暂估价项目</w:t>
      </w:r>
    </w:p>
    <w:p w14:paraId="3A15F173">
      <w:pPr>
        <w:pStyle w:val="54"/>
        <w:pageBreakBefore w:val="0"/>
        <w:kinsoku/>
        <w:wordWrap/>
        <w:topLinePunct w:val="0"/>
        <w:bidi w:val="0"/>
        <w:spacing w:beforeAutospacing="0"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承包人直接实施的暂估价项目的约定：</w:t>
      </w:r>
      <w:r>
        <w:rPr>
          <w:rFonts w:hint="eastAsia" w:ascii="宋体" w:hAnsi="宋体" w:eastAsia="宋体" w:cs="宋体"/>
          <w:color w:val="auto"/>
          <w:sz w:val="21"/>
          <w:szCs w:val="21"/>
          <w:u w:val="single"/>
        </w:rPr>
        <w:t xml:space="preserve">  执行通用条款 。</w:t>
      </w:r>
    </w:p>
    <w:p w14:paraId="60712DD3">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10.8 暂列金额</w:t>
      </w:r>
    </w:p>
    <w:p w14:paraId="71309E4F">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kern w:val="0"/>
          <w:sz w:val="21"/>
          <w:szCs w:val="21"/>
        </w:rPr>
        <w:t>合同当事人关于暂列金额使用的约定：</w:t>
      </w:r>
      <w:r>
        <w:rPr>
          <w:rFonts w:hint="eastAsia" w:ascii="宋体" w:hAnsi="宋体" w:eastAsia="宋体" w:cs="宋体"/>
          <w:color w:val="auto"/>
          <w:sz w:val="21"/>
          <w:szCs w:val="21"/>
          <w:u w:val="single"/>
        </w:rPr>
        <w:t xml:space="preserve"> 暂列金是发包人为可能发生工程变更而暂列的金额，是发包人自行确定设立的，承包商无权使用此笔费用。此费用按实际发生经发包人签证后确定全部使用、部分使用或不使用。暂列金不计入工程款付款的基数</w:t>
      </w:r>
      <w:r>
        <w:rPr>
          <w:rFonts w:hint="eastAsia" w:ascii="宋体" w:hAnsi="宋体" w:eastAsia="宋体" w:cs="宋体"/>
          <w:color w:val="auto"/>
          <w:kern w:val="0"/>
          <w:sz w:val="21"/>
          <w:szCs w:val="21"/>
        </w:rPr>
        <w:t>。</w:t>
      </w:r>
    </w:p>
    <w:p w14:paraId="6D83B034">
      <w:pPr>
        <w:pageBreakBefore w:val="0"/>
        <w:kinsoku/>
        <w:wordWrap/>
        <w:topLinePunct w:val="0"/>
        <w:bidi w:val="0"/>
        <w:snapToGrid w:val="0"/>
        <w:spacing w:beforeAutospacing="0" w:line="360" w:lineRule="auto"/>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11. 价格调整</w:t>
      </w:r>
      <w:bookmarkEnd w:id="408"/>
    </w:p>
    <w:bookmarkEnd w:id="336"/>
    <w:bookmarkEnd w:id="337"/>
    <w:bookmarkEnd w:id="338"/>
    <w:bookmarkEnd w:id="339"/>
    <w:bookmarkEnd w:id="340"/>
    <w:bookmarkEnd w:id="341"/>
    <w:p w14:paraId="6F9EBEBB">
      <w:pPr>
        <w:keepNext/>
        <w:keepLines/>
        <w:pageBreakBefore w:val="0"/>
        <w:kinsoku/>
        <w:wordWrap/>
        <w:topLinePunct w:val="0"/>
        <w:bidi w:val="0"/>
        <w:adjustRightInd w:val="0"/>
        <w:snapToGrid w:val="0"/>
        <w:spacing w:beforeAutospacing="0" w:line="360" w:lineRule="auto"/>
        <w:ind w:firstLine="420" w:firstLineChars="200"/>
        <w:outlineLvl w:val="3"/>
        <w:rPr>
          <w:rFonts w:hint="eastAsia" w:ascii="宋体" w:hAnsi="宋体" w:eastAsia="宋体" w:cs="宋体"/>
          <w:bCs/>
          <w:color w:val="auto"/>
          <w:sz w:val="21"/>
          <w:szCs w:val="21"/>
        </w:rPr>
      </w:pPr>
      <w:bookmarkStart w:id="409" w:name="_Toc296891033"/>
      <w:bookmarkStart w:id="410" w:name="_Toc303539159"/>
      <w:bookmarkStart w:id="411" w:name="_Toc296347204"/>
      <w:bookmarkStart w:id="412" w:name="_Toc300935002"/>
      <w:bookmarkStart w:id="413" w:name="_Toc296944544"/>
      <w:bookmarkStart w:id="414" w:name="_Toc296346706"/>
      <w:bookmarkStart w:id="415" w:name="_Toc297048391"/>
      <w:bookmarkStart w:id="416" w:name="_Toc297216211"/>
      <w:bookmarkStart w:id="417" w:name="_Toc304295579"/>
      <w:bookmarkStart w:id="418" w:name="_Toc296891245"/>
      <w:bookmarkStart w:id="419" w:name="_Toc296503205"/>
      <w:bookmarkStart w:id="420" w:name="_Toc297120505"/>
      <w:bookmarkStart w:id="421" w:name="_Toc292559915"/>
      <w:bookmarkStart w:id="422" w:name="_Toc351203644"/>
      <w:bookmarkStart w:id="423" w:name="_Toc297123552"/>
      <w:bookmarkStart w:id="424" w:name="_Toc312678040"/>
      <w:bookmarkStart w:id="425" w:name="_Toc292559410"/>
      <w:r>
        <w:rPr>
          <w:rFonts w:hint="eastAsia" w:ascii="宋体" w:hAnsi="宋体" w:eastAsia="宋体" w:cs="宋体"/>
          <w:bCs/>
          <w:color w:val="auto"/>
          <w:sz w:val="21"/>
          <w:szCs w:val="21"/>
        </w:rPr>
        <w:t>11.1 市场价格波动引起的调整</w:t>
      </w:r>
    </w:p>
    <w:p w14:paraId="47FEA3D3">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b/>
          <w:color w:val="auto"/>
          <w:sz w:val="21"/>
          <w:szCs w:val="21"/>
          <w:u w:val="single"/>
        </w:rPr>
      </w:pPr>
      <w:r>
        <w:rPr>
          <w:rFonts w:hint="eastAsia" w:ascii="宋体" w:hAnsi="宋体" w:eastAsia="宋体" w:cs="宋体"/>
          <w:color w:val="auto"/>
          <w:kern w:val="0"/>
          <w:sz w:val="21"/>
          <w:szCs w:val="21"/>
        </w:rPr>
        <w:t>市场价格波动是否调整合同价格的约定：</w:t>
      </w:r>
      <w:r>
        <w:rPr>
          <w:rFonts w:hint="eastAsia" w:ascii="宋体" w:hAnsi="宋体" w:eastAsia="宋体" w:cs="宋体"/>
          <w:b/>
          <w:color w:val="auto"/>
          <w:sz w:val="21"/>
          <w:szCs w:val="21"/>
          <w:u w:val="single"/>
        </w:rPr>
        <w:t xml:space="preserve"> 不调整 </w:t>
      </w:r>
      <w:r>
        <w:rPr>
          <w:rFonts w:hint="eastAsia" w:ascii="宋体" w:hAnsi="宋体" w:eastAsia="宋体" w:cs="宋体"/>
          <w:color w:val="auto"/>
          <w:sz w:val="21"/>
          <w:szCs w:val="21"/>
        </w:rPr>
        <w:t>。</w:t>
      </w:r>
    </w:p>
    <w:p w14:paraId="5EAA61CA">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11.2人工费调整按省建设行政主管部门或其授权的工程造价管理机构发布的调整文件规定执行。</w:t>
      </w:r>
    </w:p>
    <w:p w14:paraId="21940A99">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施工机械台班使用费的风险范围：施工机械台班使用费中燃料、水电费及其他要素价格风险由承包人承担。</w:t>
      </w:r>
    </w:p>
    <w:p w14:paraId="2CDB7AC4">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其他价格调整方式：</w:t>
      </w:r>
      <w:r>
        <w:rPr>
          <w:rFonts w:hint="eastAsia" w:ascii="宋体" w:hAnsi="宋体" w:eastAsia="宋体" w:cs="宋体"/>
          <w:color w:val="auto"/>
          <w:sz w:val="21"/>
          <w:szCs w:val="21"/>
          <w:u w:val="single"/>
        </w:rPr>
        <w:t xml:space="preserve"> 不采用</w:t>
      </w:r>
      <w:r>
        <w:rPr>
          <w:rFonts w:hint="eastAsia" w:ascii="宋体" w:hAnsi="宋体" w:eastAsia="宋体" w:cs="宋体"/>
          <w:color w:val="auto"/>
          <w:sz w:val="21"/>
          <w:szCs w:val="21"/>
        </w:rPr>
        <w:t xml:space="preserve"> 。</w:t>
      </w:r>
    </w:p>
    <w:p w14:paraId="2181C279">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11.3暂估价材料价格调整</w:t>
      </w:r>
    </w:p>
    <w:p w14:paraId="1DFD2B68">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材料价格：除上述专用条款中第11.1条中约定的可调价格材料和实行暂估价的材料（详见最高投标限价）外，其他材料由承包人按市场合格产品价格及采购文件的规定自行报价一次性包干，投标人在确定响应报价时应充分考虑材料价格上涨等市场风险因素，这部分材料价格今后将不作任何调整。</w:t>
      </w:r>
    </w:p>
    <w:p w14:paraId="2E96DDE6">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（2）实行暂估价的主要材料(半成品)，在投标报价中按采购文件和答疑及工程量清单总说明给定的价格计算，不得减少报价，工程竣工结算时按二次招标价或甲乙双方认质认价的签证调整。</w:t>
      </w:r>
    </w:p>
    <w:p w14:paraId="6D2F5E14">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（3）主要材料（半成品）的价差调整价款决算时仅计取税金，不再计取其他任何费用。</w:t>
      </w:r>
    </w:p>
    <w:p w14:paraId="1E936894">
      <w:pPr>
        <w:pStyle w:val="6"/>
        <w:pageBreakBefore w:val="0"/>
        <w:kinsoku/>
        <w:wordWrap/>
        <w:topLinePunct w:val="0"/>
        <w:bidi w:val="0"/>
        <w:snapToGrid w:val="0"/>
        <w:spacing w:before="0" w:beforeAutospacing="0" w:after="0" w:line="360" w:lineRule="auto"/>
        <w:ind w:firstLine="420" w:firstLineChars="200"/>
        <w:rPr>
          <w:rFonts w:hint="eastAsia" w:ascii="宋体" w:hAnsi="宋体" w:eastAsia="宋体" w:cs="宋体"/>
          <w:b w:val="0"/>
          <w:color w:val="auto"/>
          <w:sz w:val="21"/>
          <w:szCs w:val="21"/>
        </w:rPr>
      </w:pPr>
      <w:bookmarkStart w:id="426" w:name="_Toc417623625"/>
      <w:bookmarkStart w:id="427" w:name="_Toc19616"/>
      <w:r>
        <w:rPr>
          <w:rFonts w:hint="eastAsia" w:ascii="宋体" w:hAnsi="宋体" w:eastAsia="宋体" w:cs="宋体"/>
          <w:b w:val="0"/>
          <w:color w:val="auto"/>
          <w:sz w:val="21"/>
          <w:szCs w:val="21"/>
        </w:rPr>
        <w:t>12. 合同价格、计量与支付</w:t>
      </w:r>
      <w:bookmarkEnd w:id="426"/>
      <w:bookmarkEnd w:id="427"/>
    </w:p>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14:paraId="41A68BEC">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color w:val="auto"/>
          <w:sz w:val="21"/>
          <w:szCs w:val="21"/>
        </w:rPr>
      </w:pPr>
      <w:bookmarkStart w:id="428" w:name="_Toc292559916"/>
      <w:bookmarkStart w:id="429" w:name="_Toc267251461"/>
      <w:bookmarkStart w:id="430" w:name="_Toc292559411"/>
      <w:bookmarkStart w:id="431" w:name="_Toc296347205"/>
      <w:bookmarkStart w:id="432" w:name="_Toc296944545"/>
      <w:bookmarkStart w:id="433" w:name="_Toc296891246"/>
      <w:bookmarkStart w:id="434" w:name="_Toc296503206"/>
      <w:bookmarkStart w:id="435" w:name="_Toc296346707"/>
      <w:bookmarkStart w:id="436" w:name="_Toc296891034"/>
      <w:bookmarkStart w:id="437" w:name="_Toc297120506"/>
      <w:bookmarkStart w:id="438" w:name="_Toc297048392"/>
      <w:bookmarkStart w:id="439" w:name="_Toc297123553"/>
      <w:bookmarkStart w:id="440" w:name="_Toc300935003"/>
      <w:bookmarkStart w:id="441" w:name="_Toc312678041"/>
      <w:bookmarkStart w:id="442" w:name="_Toc303539160"/>
      <w:bookmarkStart w:id="443" w:name="_Toc304295580"/>
      <w:bookmarkStart w:id="444" w:name="_Toc297216212"/>
      <w:r>
        <w:rPr>
          <w:rFonts w:hint="eastAsia" w:ascii="宋体" w:hAnsi="宋体" w:eastAsia="宋体" w:cs="宋体"/>
          <w:bCs/>
          <w:color w:val="auto"/>
          <w:sz w:val="21"/>
          <w:szCs w:val="21"/>
        </w:rPr>
        <w:t>12.1 合</w:t>
      </w:r>
      <w:bookmarkEnd w:id="428"/>
      <w:bookmarkEnd w:id="429"/>
      <w:bookmarkEnd w:id="430"/>
      <w:r>
        <w:rPr>
          <w:rFonts w:hint="eastAsia" w:ascii="宋体" w:hAnsi="宋体" w:eastAsia="宋体" w:cs="宋体"/>
          <w:bCs/>
          <w:color w:val="auto"/>
          <w:sz w:val="21"/>
          <w:szCs w:val="21"/>
        </w:rPr>
        <w:t>同价</w:t>
      </w:r>
      <w:bookmarkEnd w:id="431"/>
      <w:bookmarkEnd w:id="432"/>
      <w:bookmarkEnd w:id="433"/>
      <w:bookmarkEnd w:id="434"/>
      <w:bookmarkEnd w:id="435"/>
      <w:bookmarkEnd w:id="436"/>
      <w:bookmarkEnd w:id="437"/>
      <w:bookmarkEnd w:id="438"/>
      <w:r>
        <w:rPr>
          <w:rFonts w:hint="eastAsia" w:ascii="宋体" w:hAnsi="宋体" w:eastAsia="宋体" w:cs="宋体"/>
          <w:bCs/>
          <w:color w:val="auto"/>
          <w:sz w:val="21"/>
          <w:szCs w:val="21"/>
        </w:rPr>
        <w:t>格形式</w:t>
      </w:r>
      <w:bookmarkEnd w:id="439"/>
      <w:bookmarkEnd w:id="440"/>
      <w:bookmarkEnd w:id="441"/>
      <w:bookmarkEnd w:id="442"/>
      <w:bookmarkEnd w:id="443"/>
      <w:bookmarkEnd w:id="444"/>
      <w:bookmarkStart w:id="445" w:name="_Toc297123554"/>
      <w:bookmarkStart w:id="446" w:name="_Toc297216213"/>
      <w:bookmarkStart w:id="447" w:name="_Toc312678042"/>
      <w:bookmarkStart w:id="448" w:name="_Toc303539161"/>
      <w:bookmarkStart w:id="449" w:name="_Toc300935004"/>
      <w:bookmarkStart w:id="450" w:name="_Toc304295581"/>
      <w:bookmarkStart w:id="451" w:name="_Toc296347206"/>
      <w:bookmarkStart w:id="452" w:name="_Toc296944546"/>
      <w:bookmarkStart w:id="453" w:name="_Toc297048393"/>
      <w:bookmarkStart w:id="454" w:name="_Toc297120507"/>
      <w:bookmarkStart w:id="455" w:name="_Toc296891247"/>
      <w:bookmarkStart w:id="456" w:name="_Toc292559917"/>
      <w:bookmarkStart w:id="457" w:name="_Toc296891035"/>
      <w:bookmarkStart w:id="458" w:name="_Toc292559412"/>
      <w:bookmarkStart w:id="459" w:name="_Toc296503207"/>
      <w:bookmarkStart w:id="460" w:name="_Toc296346708"/>
      <w:r>
        <w:rPr>
          <w:rFonts w:hint="eastAsia" w:ascii="宋体" w:hAnsi="宋体" w:eastAsia="宋体" w:cs="宋体"/>
          <w:bCs/>
          <w:color w:val="auto"/>
          <w:sz w:val="21"/>
          <w:szCs w:val="21"/>
          <w:lang w:eastAsia="zh-CN"/>
        </w:rPr>
        <w:t>：</w:t>
      </w:r>
      <w:r>
        <w:rPr>
          <w:rFonts w:hint="eastAsia" w:ascii="宋体" w:hAnsi="宋体" w:eastAsia="宋体" w:cs="宋体"/>
          <w:color w:val="auto"/>
          <w:sz w:val="21"/>
          <w:szCs w:val="21"/>
        </w:rPr>
        <w:t>单价合同。</w:t>
      </w:r>
    </w:p>
    <w:p w14:paraId="07E81262">
      <w:pPr>
        <w:pageBreakBefore w:val="0"/>
        <w:kinsoku/>
        <w:wordWrap/>
        <w:topLinePunct w:val="0"/>
        <w:bidi w:val="0"/>
        <w:adjustRightInd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综合单价包含的风险范围：</w:t>
      </w:r>
      <w:r>
        <w:rPr>
          <w:rFonts w:hint="eastAsia" w:ascii="宋体" w:hAnsi="宋体" w:eastAsia="宋体" w:cs="宋体"/>
          <w:color w:val="auto"/>
          <w:sz w:val="21"/>
          <w:szCs w:val="21"/>
          <w:u w:val="single"/>
        </w:rPr>
        <w:t>隐含于已标价工程量清单综合单价中，用于化解发承包双方在工程合同中约定内容和范围内的市场价格波动风险的费用。综合单价包括为完成本项目所需要的一切费用,包括但不限于人工费、材料费、施工机械费、管理费、利润、风险费用、总包管理费、赶工措施费、相关交易费及完成本工程</w:t>
      </w:r>
      <w:r>
        <w:rPr>
          <w:rFonts w:hint="eastAsia" w:ascii="宋体" w:hAnsi="宋体" w:eastAsia="宋体" w:cs="宋体"/>
          <w:color w:val="auto"/>
          <w:sz w:val="21"/>
          <w:szCs w:val="21"/>
          <w:u w:val="single"/>
          <w:lang w:val="en-US" w:eastAsia="zh-CN"/>
        </w:rPr>
        <w:t>招标</w:t>
      </w:r>
      <w:r>
        <w:rPr>
          <w:rFonts w:hint="eastAsia" w:ascii="宋体" w:hAnsi="宋体" w:eastAsia="宋体" w:cs="宋体"/>
          <w:color w:val="auto"/>
          <w:sz w:val="21"/>
          <w:szCs w:val="21"/>
          <w:u w:val="single"/>
        </w:rPr>
        <w:t>文件及合同条款内容等所有费用。</w:t>
      </w:r>
    </w:p>
    <w:p w14:paraId="5EE9344D">
      <w:pPr>
        <w:pageBreakBefore w:val="0"/>
        <w:kinsoku/>
        <w:wordWrap/>
        <w:topLinePunct w:val="0"/>
        <w:bidi w:val="0"/>
        <w:adjustRightInd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风险费用的计算方法：</w:t>
      </w:r>
      <w:r>
        <w:rPr>
          <w:rFonts w:hint="eastAsia" w:ascii="宋体" w:hAnsi="宋体" w:eastAsia="宋体" w:cs="宋体"/>
          <w:color w:val="auto"/>
          <w:sz w:val="21"/>
          <w:szCs w:val="21"/>
          <w:u w:val="single"/>
        </w:rPr>
        <w:t>承包人自行考虑，包含在报价中。</w:t>
      </w:r>
    </w:p>
    <w:p w14:paraId="72E5E452">
      <w:pPr>
        <w:pageBreakBefore w:val="0"/>
        <w:kinsoku/>
        <w:wordWrap/>
        <w:topLinePunct w:val="0"/>
        <w:bidi w:val="0"/>
        <w:adjustRightInd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风险范围以外合同价格的调整方法：</w:t>
      </w:r>
      <w:r>
        <w:rPr>
          <w:rFonts w:hint="eastAsia" w:ascii="宋体" w:hAnsi="宋体" w:eastAsia="宋体" w:cs="宋体"/>
          <w:color w:val="auto"/>
          <w:sz w:val="21"/>
          <w:szCs w:val="21"/>
          <w:highlight w:val="none"/>
          <w:u w:val="single"/>
        </w:rPr>
        <w:t>按照国家级省市政策要求</w:t>
      </w:r>
      <w:r>
        <w:rPr>
          <w:rFonts w:hint="eastAsia" w:ascii="宋体" w:hAnsi="宋体" w:eastAsia="宋体" w:cs="宋体"/>
          <w:color w:val="auto"/>
          <w:sz w:val="21"/>
          <w:szCs w:val="21"/>
          <w:u w:val="single"/>
        </w:rPr>
        <w:t>。</w:t>
      </w:r>
    </w:p>
    <w:p w14:paraId="4949A632">
      <w:pPr>
        <w:pageBreakBefore w:val="0"/>
        <w:kinsoku/>
        <w:wordWrap/>
        <w:topLinePunct w:val="0"/>
        <w:bidi w:val="0"/>
        <w:adjustRightInd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国家法律、法规、规章和政策发生变化及由政府定价或政府指导价管理的原材料等价格风险由发包人承担。</w:t>
      </w:r>
    </w:p>
    <w:p w14:paraId="3458D93F">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12.2 预付款</w:t>
      </w:r>
    </w:p>
    <w:bookmarkEnd w:id="445"/>
    <w:bookmarkEnd w:id="446"/>
    <w:bookmarkEnd w:id="447"/>
    <w:bookmarkEnd w:id="448"/>
    <w:bookmarkEnd w:id="449"/>
    <w:bookmarkEnd w:id="450"/>
    <w:p w14:paraId="271FF9D5">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12.2.1 预付款的支付</w:t>
      </w:r>
    </w:p>
    <w:p w14:paraId="4A25F674">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预付款支付比例或金额：</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142E20BD">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预付款支付期限：</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0D5F4903">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预付款扣回的方式：</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74709B21">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12.2.2 预付款担保</w:t>
      </w:r>
    </w:p>
    <w:p w14:paraId="58A0FBF8">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承包人提交预付款担保的期限：</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4CDA56AD">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预付款担保的形式为：</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bookmarkEnd w:id="451"/>
    <w:bookmarkEnd w:id="452"/>
    <w:bookmarkEnd w:id="453"/>
    <w:bookmarkEnd w:id="454"/>
    <w:bookmarkEnd w:id="455"/>
    <w:bookmarkEnd w:id="456"/>
    <w:bookmarkEnd w:id="457"/>
    <w:bookmarkEnd w:id="458"/>
    <w:bookmarkEnd w:id="459"/>
    <w:bookmarkEnd w:id="460"/>
    <w:p w14:paraId="0BC4F1E5">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12.3 计量</w:t>
      </w:r>
    </w:p>
    <w:p w14:paraId="332AFFDA">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12.3.1 计量原则</w:t>
      </w:r>
    </w:p>
    <w:p w14:paraId="24F95395">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工程量计算规则：</w:t>
      </w:r>
      <w:r>
        <w:rPr>
          <w:rFonts w:hint="eastAsia" w:ascii="宋体" w:hAnsi="宋体" w:eastAsia="宋体" w:cs="宋体"/>
          <w:color w:val="auto"/>
          <w:sz w:val="21"/>
          <w:szCs w:val="21"/>
          <w:u w:val="single"/>
        </w:rPr>
        <w:t>按招标工程量清单及最高投标限价所采用的工程量清单计价规范及配套文件等</w:t>
      </w:r>
      <w:r>
        <w:rPr>
          <w:rFonts w:hint="eastAsia" w:ascii="宋体" w:hAnsi="宋体" w:eastAsia="宋体" w:cs="宋体"/>
          <w:b/>
          <w:color w:val="auto"/>
          <w:sz w:val="21"/>
          <w:szCs w:val="21"/>
        </w:rPr>
        <w:t>。</w:t>
      </w:r>
    </w:p>
    <w:p w14:paraId="44D0BF7A">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12.3.2 计量周期</w:t>
      </w:r>
    </w:p>
    <w:p w14:paraId="4A1FEE4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关于计量周期的约定</w:t>
      </w:r>
      <w:r>
        <w:rPr>
          <w:rFonts w:hint="eastAsia" w:ascii="宋体" w:hAnsi="宋体" w:eastAsia="宋体" w:cs="宋体"/>
          <w:b/>
          <w:color w:val="auto"/>
          <w:sz w:val="21"/>
          <w:szCs w:val="21"/>
        </w:rPr>
        <w:t>：</w:t>
      </w:r>
      <w:r>
        <w:rPr>
          <w:rFonts w:hint="eastAsia" w:ascii="宋体" w:hAnsi="宋体" w:eastAsia="宋体" w:cs="宋体"/>
          <w:color w:val="auto"/>
          <w:sz w:val="21"/>
          <w:szCs w:val="21"/>
          <w:u w:val="single"/>
        </w:rPr>
        <w:t xml:space="preserve">见《专用合同条款数据表》 </w:t>
      </w:r>
      <w:r>
        <w:rPr>
          <w:rFonts w:hint="eastAsia" w:ascii="宋体" w:hAnsi="宋体" w:eastAsia="宋体" w:cs="宋体"/>
          <w:b/>
          <w:color w:val="auto"/>
          <w:sz w:val="21"/>
          <w:szCs w:val="21"/>
        </w:rPr>
        <w:t>。</w:t>
      </w:r>
    </w:p>
    <w:p w14:paraId="0AC4D3BA">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12.3.3 单价合同的计量</w:t>
      </w:r>
    </w:p>
    <w:p w14:paraId="07291D8F">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关于单价合同计量的约定：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pacing w:val="8"/>
          <w:sz w:val="21"/>
          <w:szCs w:val="21"/>
          <w:highlight w:val="none"/>
          <w:u w:val="single" w:color="auto"/>
        </w:rPr>
        <w:t>固定综合单价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110232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12.3.4 总价合同的计量</w:t>
      </w:r>
    </w:p>
    <w:p w14:paraId="142487E1">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关于总价合同计量的约定：</w:t>
      </w:r>
      <w:r>
        <w:rPr>
          <w:rFonts w:hint="eastAsia" w:ascii="宋体" w:hAnsi="宋体" w:eastAsia="宋体" w:cs="宋体"/>
          <w:color w:val="auto"/>
          <w:sz w:val="21"/>
          <w:szCs w:val="21"/>
          <w:u w:val="single"/>
        </w:rPr>
        <w:t xml:space="preserve">  不执行    </w:t>
      </w:r>
      <w:r>
        <w:rPr>
          <w:rFonts w:hint="eastAsia" w:ascii="宋体" w:hAnsi="宋体" w:eastAsia="宋体" w:cs="宋体"/>
          <w:color w:val="auto"/>
          <w:sz w:val="21"/>
          <w:szCs w:val="21"/>
        </w:rPr>
        <w:t>。</w:t>
      </w:r>
    </w:p>
    <w:p w14:paraId="16A858E6">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12.3.5 总价合同采用支付分解表计量支付的，是否适用第12.3.4项〔总价合同的计量〕约定进行计量：</w:t>
      </w:r>
      <w:r>
        <w:rPr>
          <w:rFonts w:hint="eastAsia" w:ascii="宋体" w:hAnsi="宋体" w:eastAsia="宋体" w:cs="宋体"/>
          <w:color w:val="auto"/>
          <w:sz w:val="21"/>
          <w:szCs w:val="21"/>
          <w:u w:val="single"/>
        </w:rPr>
        <w:t xml:space="preserve"> 不执行  </w:t>
      </w:r>
      <w:r>
        <w:rPr>
          <w:rFonts w:hint="eastAsia" w:ascii="宋体" w:hAnsi="宋体" w:eastAsia="宋体" w:cs="宋体"/>
          <w:b/>
          <w:color w:val="auto"/>
          <w:sz w:val="21"/>
          <w:szCs w:val="21"/>
        </w:rPr>
        <w:t>。</w:t>
      </w:r>
    </w:p>
    <w:p w14:paraId="27D8108B">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12.3.6 其他价格形式合同的计量</w:t>
      </w:r>
    </w:p>
    <w:p w14:paraId="55F5036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其他价格形式的计量方式和程序：</w:t>
      </w:r>
      <w:r>
        <w:rPr>
          <w:rFonts w:hint="eastAsia" w:ascii="宋体" w:hAnsi="宋体" w:eastAsia="宋体" w:cs="宋体"/>
          <w:color w:val="auto"/>
          <w:sz w:val="21"/>
          <w:szCs w:val="21"/>
          <w:u w:val="single"/>
        </w:rPr>
        <w:t xml:space="preserve">不执行   </w:t>
      </w:r>
      <w:r>
        <w:rPr>
          <w:rFonts w:hint="eastAsia" w:ascii="宋体" w:hAnsi="宋体" w:eastAsia="宋体" w:cs="宋体"/>
          <w:color w:val="auto"/>
          <w:sz w:val="21"/>
          <w:szCs w:val="21"/>
        </w:rPr>
        <w:t>。</w:t>
      </w:r>
    </w:p>
    <w:p w14:paraId="138D54A9">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12.3.7综合单价的约定</w:t>
      </w:r>
    </w:p>
    <w:p w14:paraId="3A3A4D35">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合同中有类似工程项目综合单价的，可参照合同中类似项目的综合单价计算确定；若清单子目实际工程量增加超出清单工程量的15％的，且原合同内综合单价超出招标控制价中综合单价的，超出部分的工程量综合单价按照招标控制价中综合单价乘以中标价/控制价（中标价和控制价均应扣除暂列金额和暂估价部分）。</w:t>
      </w:r>
    </w:p>
    <w:p w14:paraId="0B772859">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合同中没有类似工程项目综合单价的，由承包人参考“清单计价依据”提出适当的综合单价，经发包人或其委托的竣工结算审计单位审定后乘以中标价/控制价作为结算依据（中标价和控制价均应扣除暂列金额和暂估价部分）</w:t>
      </w:r>
      <w:r>
        <w:rPr>
          <w:rFonts w:hint="eastAsia" w:ascii="宋体" w:hAnsi="宋体" w:eastAsia="宋体" w:cs="宋体"/>
          <w:color w:val="auto"/>
          <w:sz w:val="21"/>
          <w:szCs w:val="21"/>
          <w:lang w:eastAsia="zh-CN"/>
        </w:rPr>
        <w:t>。</w:t>
      </w:r>
    </w:p>
    <w:p w14:paraId="3445F72C">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（3）清单项目中项目特征或工程内容发生部分变更的，应以原综合单价为基础，仅就变更部分调整其综合单价。</w:t>
      </w:r>
    </w:p>
    <w:p w14:paraId="214650BD">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12.4 工程进度款支付</w:t>
      </w:r>
    </w:p>
    <w:p w14:paraId="59EE9C0E">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bookmarkStart w:id="461" w:name="_Toc296346712"/>
      <w:bookmarkStart w:id="462" w:name="_Toc296503211"/>
      <w:bookmarkStart w:id="463" w:name="_Toc292559416"/>
      <w:bookmarkStart w:id="464" w:name="_Toc292559921"/>
      <w:bookmarkStart w:id="465" w:name="_Toc296891251"/>
      <w:bookmarkStart w:id="466" w:name="_Toc296347210"/>
      <w:bookmarkStart w:id="467" w:name="_Toc297048397"/>
      <w:bookmarkStart w:id="468" w:name="_Toc297123556"/>
      <w:bookmarkStart w:id="469" w:name="_Toc296944550"/>
      <w:bookmarkStart w:id="470" w:name="_Toc297120511"/>
      <w:bookmarkStart w:id="471" w:name="_Toc300935006"/>
      <w:bookmarkStart w:id="472" w:name="_Toc297216215"/>
      <w:bookmarkStart w:id="473" w:name="_Toc303539163"/>
      <w:bookmarkStart w:id="474" w:name="_Toc296891039"/>
      <w:r>
        <w:rPr>
          <w:rFonts w:hint="eastAsia" w:ascii="宋体" w:hAnsi="宋体" w:eastAsia="宋体" w:cs="宋体"/>
          <w:color w:val="auto"/>
          <w:sz w:val="21"/>
          <w:szCs w:val="21"/>
        </w:rPr>
        <w:t>12.4.1 付款周期</w:t>
      </w:r>
    </w:p>
    <w:p w14:paraId="40886184">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关于付款周期的约定：</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3FFDC287">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12.4.2 进度付款申请单的编制</w:t>
      </w:r>
    </w:p>
    <w:p w14:paraId="3424C186">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关于进度付款申请单编制的约定：</w:t>
      </w:r>
      <w:r>
        <w:rPr>
          <w:rFonts w:hint="eastAsia" w:ascii="宋体" w:hAnsi="宋体" w:eastAsia="宋体" w:cs="宋体"/>
          <w:color w:val="auto"/>
          <w:sz w:val="21"/>
          <w:szCs w:val="21"/>
          <w:u w:val="single"/>
        </w:rPr>
        <w:t xml:space="preserve">  不执行 </w:t>
      </w:r>
      <w:r>
        <w:rPr>
          <w:rFonts w:hint="eastAsia" w:ascii="宋体" w:hAnsi="宋体" w:eastAsia="宋体" w:cs="宋体"/>
          <w:color w:val="auto"/>
          <w:sz w:val="21"/>
          <w:szCs w:val="21"/>
        </w:rPr>
        <w:t>。</w:t>
      </w:r>
    </w:p>
    <w:p w14:paraId="304B79AF">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rFonts w:hint="eastAsia" w:ascii="宋体" w:hAnsi="宋体" w:eastAsia="宋体" w:cs="宋体"/>
          <w:color w:val="auto"/>
          <w:sz w:val="21"/>
          <w:szCs w:val="21"/>
        </w:rPr>
        <w:t>2.4.3 进度付款申请单的提交</w:t>
      </w:r>
    </w:p>
    <w:p w14:paraId="1E34D02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（1）单价合同进度付款申请单提交的约定：</w:t>
      </w:r>
      <w:r>
        <w:rPr>
          <w:rFonts w:hint="eastAsia" w:ascii="宋体" w:hAnsi="宋体" w:eastAsia="宋体" w:cs="宋体"/>
          <w:color w:val="auto"/>
          <w:sz w:val="21"/>
          <w:szCs w:val="21"/>
          <w:u w:val="single"/>
        </w:rPr>
        <w:t xml:space="preserve"> 不执行  </w:t>
      </w:r>
      <w:r>
        <w:rPr>
          <w:rFonts w:hint="eastAsia" w:ascii="宋体" w:hAnsi="宋体" w:eastAsia="宋体" w:cs="宋体"/>
          <w:color w:val="auto"/>
          <w:sz w:val="21"/>
          <w:szCs w:val="21"/>
        </w:rPr>
        <w:t>。</w:t>
      </w:r>
    </w:p>
    <w:p w14:paraId="58D09603">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（2）总价合同进度付款申请单提交的约定：</w:t>
      </w:r>
      <w:r>
        <w:rPr>
          <w:rFonts w:hint="eastAsia" w:ascii="宋体" w:hAnsi="宋体" w:eastAsia="宋体" w:cs="宋体"/>
          <w:color w:val="auto"/>
          <w:sz w:val="21"/>
          <w:szCs w:val="21"/>
          <w:u w:val="single"/>
        </w:rPr>
        <w:t xml:space="preserve"> 不执行  </w:t>
      </w:r>
      <w:r>
        <w:rPr>
          <w:rFonts w:hint="eastAsia" w:ascii="宋体" w:hAnsi="宋体" w:eastAsia="宋体" w:cs="宋体"/>
          <w:color w:val="auto"/>
          <w:sz w:val="21"/>
          <w:szCs w:val="21"/>
        </w:rPr>
        <w:t>。</w:t>
      </w:r>
    </w:p>
    <w:p w14:paraId="45DA58F7">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（3）其他价格形式合同进度付款申请单提交的约定：</w:t>
      </w:r>
      <w:r>
        <w:rPr>
          <w:rFonts w:hint="eastAsia" w:ascii="宋体" w:hAnsi="宋体" w:eastAsia="宋体" w:cs="宋体"/>
          <w:color w:val="auto"/>
          <w:sz w:val="21"/>
          <w:szCs w:val="21"/>
          <w:u w:val="single"/>
        </w:rPr>
        <w:t xml:space="preserve">  不执行 </w:t>
      </w:r>
      <w:r>
        <w:rPr>
          <w:rFonts w:hint="eastAsia" w:ascii="宋体" w:hAnsi="宋体" w:eastAsia="宋体" w:cs="宋体"/>
          <w:color w:val="auto"/>
          <w:sz w:val="21"/>
          <w:szCs w:val="21"/>
        </w:rPr>
        <w:t>。</w:t>
      </w:r>
    </w:p>
    <w:p w14:paraId="3F899966">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12.4.4 进度款审核和支付</w:t>
      </w:r>
    </w:p>
    <w:p w14:paraId="10074EE4">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b/>
          <w:color w:val="auto"/>
          <w:sz w:val="21"/>
          <w:szCs w:val="21"/>
          <w:u w:val="single"/>
        </w:rPr>
      </w:pPr>
      <w:r>
        <w:rPr>
          <w:rFonts w:hint="eastAsia" w:ascii="宋体" w:hAnsi="宋体" w:eastAsia="宋体" w:cs="宋体"/>
          <w:color w:val="auto"/>
          <w:sz w:val="21"/>
          <w:szCs w:val="21"/>
        </w:rPr>
        <w:t>（1）监理人审查并报送发包人的期限：</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0C936398">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b/>
          <w:color w:val="auto"/>
          <w:sz w:val="21"/>
          <w:szCs w:val="21"/>
          <w:u w:val="single"/>
        </w:rPr>
      </w:pPr>
      <w:r>
        <w:rPr>
          <w:rFonts w:hint="eastAsia" w:ascii="宋体" w:hAnsi="宋体" w:eastAsia="宋体" w:cs="宋体"/>
          <w:color w:val="auto"/>
          <w:sz w:val="21"/>
          <w:szCs w:val="21"/>
        </w:rPr>
        <w:t>发包人完成审批并签发进度款支付证书的期限：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F7F240D">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（2）发包人支付进度款的期限：</w:t>
      </w:r>
      <w:r>
        <w:rPr>
          <w:rFonts w:hint="eastAsia" w:ascii="宋体" w:hAnsi="宋体" w:eastAsia="宋体" w:cs="宋体"/>
          <w:color w:val="auto"/>
          <w:sz w:val="21"/>
          <w:szCs w:val="21"/>
          <w:u w:val="single"/>
        </w:rPr>
        <w:t>合同签订后具备实施条件后，支付合同价款的40%预付款（预付款支付前，成交人须提供同等金额的见索即付保函)。工程竣工验收合格，出具正式审计报告后付至审计结算价的100%，在审计结算报告定案后7个工作日内，须提交审计结算价的2%（取整到个位）至采购人指定账户，作为质量保证金。质量保证金支持保函（银行保函、担保机构担保、保证保险）使用。保函有效期须与工程缺陷责任期截止时间保持一致。缺陷责任期(2年)满后，办理缺陷责任期验收手续和质保金退还手续，符合要求后，一个月内退还。</w:t>
      </w:r>
    </w:p>
    <w:p w14:paraId="709392EE">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发包人逾期支付进度款的违约金的计算方式</w:t>
      </w:r>
      <w:r>
        <w:rPr>
          <w:rFonts w:hint="eastAsia" w:ascii="宋体" w:hAnsi="宋体" w:eastAsia="宋体" w:cs="宋体"/>
          <w:color w:val="auto"/>
          <w:sz w:val="21"/>
          <w:szCs w:val="21"/>
          <w:u w:val="single"/>
        </w:rPr>
        <w:t xml:space="preserve">  不采用  </w:t>
      </w:r>
      <w:r>
        <w:rPr>
          <w:rFonts w:hint="eastAsia" w:ascii="宋体" w:hAnsi="宋体" w:eastAsia="宋体" w:cs="宋体"/>
          <w:color w:val="auto"/>
          <w:sz w:val="21"/>
          <w:szCs w:val="21"/>
        </w:rPr>
        <w:t>。</w:t>
      </w:r>
    </w:p>
    <w:p w14:paraId="2D48FECB">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12.4.6 支付分解表的编制</w:t>
      </w:r>
    </w:p>
    <w:p w14:paraId="1A7CBC0E">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（2）总价合同支付分解表的编制与审批：</w:t>
      </w:r>
      <w:r>
        <w:rPr>
          <w:rFonts w:hint="eastAsia" w:ascii="宋体" w:hAnsi="宋体" w:eastAsia="宋体" w:cs="宋体"/>
          <w:color w:val="auto"/>
          <w:sz w:val="21"/>
          <w:szCs w:val="21"/>
          <w:u w:val="single"/>
        </w:rPr>
        <w:t xml:space="preserve"> 不执行  </w:t>
      </w:r>
      <w:r>
        <w:rPr>
          <w:rFonts w:hint="eastAsia" w:ascii="宋体" w:hAnsi="宋体" w:eastAsia="宋体" w:cs="宋体"/>
          <w:color w:val="auto"/>
          <w:sz w:val="21"/>
          <w:szCs w:val="21"/>
        </w:rPr>
        <w:t>。</w:t>
      </w:r>
    </w:p>
    <w:p w14:paraId="25CAA676">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（3）单价合同的总价项目支付分解表的编制与审批：</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1BD125A4">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12.4.7 农民工工资管理</w:t>
      </w:r>
    </w:p>
    <w:p w14:paraId="3873D754">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bCs/>
          <w:color w:val="auto"/>
          <w:sz w:val="21"/>
          <w:szCs w:val="21"/>
        </w:rPr>
        <w:t>本工程农民工工资实行专用账户管理，承包人设立的专用账户开户行为</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，账号：</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w:t>
      </w:r>
    </w:p>
    <w:p w14:paraId="1289DB18">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bCs/>
          <w:color w:val="auto"/>
          <w:sz w:val="21"/>
          <w:szCs w:val="21"/>
        </w:rPr>
      </w:pPr>
      <w:r>
        <w:rPr>
          <w:rFonts w:hint="eastAsia" w:ascii="宋体" w:hAnsi="宋体" w:eastAsia="宋体" w:cs="宋体"/>
          <w:color w:val="auto"/>
          <w:sz w:val="21"/>
          <w:szCs w:val="21"/>
        </w:rPr>
        <w:t>（2）</w:t>
      </w:r>
      <w:r>
        <w:rPr>
          <w:rFonts w:hint="eastAsia" w:ascii="宋体" w:hAnsi="宋体" w:eastAsia="宋体" w:cs="宋体"/>
          <w:bCs/>
          <w:color w:val="auto"/>
          <w:sz w:val="21"/>
          <w:szCs w:val="21"/>
        </w:rPr>
        <w:t>本工程工资性工程款</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元。</w:t>
      </w:r>
    </w:p>
    <w:p w14:paraId="1A8A4FE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bCs/>
          <w:color w:val="auto"/>
          <w:sz w:val="21"/>
          <w:szCs w:val="21"/>
        </w:rPr>
      </w:pPr>
      <w:r>
        <w:rPr>
          <w:rFonts w:hint="eastAsia" w:ascii="宋体" w:hAnsi="宋体" w:eastAsia="宋体" w:cs="宋体"/>
          <w:color w:val="auto"/>
          <w:sz w:val="21"/>
          <w:szCs w:val="21"/>
        </w:rPr>
        <w:t>（3）</w:t>
      </w:r>
      <w:r>
        <w:rPr>
          <w:rFonts w:hint="eastAsia" w:ascii="宋体" w:hAnsi="宋体" w:eastAsia="宋体" w:cs="宋体"/>
          <w:bCs/>
          <w:color w:val="auto"/>
          <w:sz w:val="21"/>
          <w:szCs w:val="21"/>
        </w:rPr>
        <w:t>发包人于每月</w:t>
      </w:r>
      <w:r>
        <w:rPr>
          <w:rFonts w:hint="eastAsia" w:ascii="宋体" w:hAnsi="宋体" w:eastAsia="宋体" w:cs="宋体"/>
          <w:bCs/>
          <w:color w:val="auto"/>
          <w:sz w:val="21"/>
          <w:szCs w:val="21"/>
          <w:u w:val="single"/>
          <w:lang w:val="en-US" w:eastAsia="zh-CN"/>
        </w:rPr>
        <w:t>/</w:t>
      </w:r>
      <w:r>
        <w:rPr>
          <w:rFonts w:hint="eastAsia" w:ascii="宋体" w:hAnsi="宋体" w:eastAsia="宋体" w:cs="宋体"/>
          <w:bCs/>
          <w:color w:val="auto"/>
          <w:sz w:val="21"/>
          <w:szCs w:val="21"/>
        </w:rPr>
        <w:t>日前将工资性工程进度款转入农民工工资专用账户。</w:t>
      </w:r>
    </w:p>
    <w:p w14:paraId="524C339B">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bCs/>
          <w:color w:val="auto"/>
          <w:sz w:val="21"/>
          <w:szCs w:val="21"/>
        </w:rPr>
      </w:pPr>
      <w:r>
        <w:rPr>
          <w:rFonts w:hint="eastAsia" w:ascii="宋体" w:hAnsi="宋体" w:eastAsia="宋体" w:cs="宋体"/>
          <w:color w:val="auto"/>
          <w:sz w:val="21"/>
          <w:szCs w:val="21"/>
        </w:rPr>
        <w:t>（4）</w:t>
      </w:r>
      <w:r>
        <w:rPr>
          <w:rFonts w:hint="eastAsia" w:ascii="宋体" w:hAnsi="宋体" w:eastAsia="宋体" w:cs="宋体"/>
          <w:bCs/>
          <w:color w:val="auto"/>
          <w:sz w:val="21"/>
          <w:szCs w:val="21"/>
        </w:rPr>
        <w:t>承包人每月</w:t>
      </w:r>
      <w:r>
        <w:rPr>
          <w:rFonts w:hint="eastAsia" w:ascii="宋体" w:hAnsi="宋体" w:eastAsia="宋体" w:cs="宋体"/>
          <w:bCs/>
          <w:color w:val="auto"/>
          <w:sz w:val="21"/>
          <w:szCs w:val="21"/>
          <w:u w:val="single"/>
          <w:lang w:val="en-US" w:eastAsia="zh-CN"/>
        </w:rPr>
        <w:t>/</w:t>
      </w:r>
      <w:r>
        <w:rPr>
          <w:rFonts w:hint="eastAsia" w:ascii="宋体" w:hAnsi="宋体" w:eastAsia="宋体" w:cs="宋体"/>
          <w:bCs/>
          <w:color w:val="auto"/>
          <w:sz w:val="21"/>
          <w:szCs w:val="21"/>
        </w:rPr>
        <w:t>日前上报本工程农民工工资清单，每月</w:t>
      </w:r>
      <w:r>
        <w:rPr>
          <w:rFonts w:hint="eastAsia" w:ascii="宋体" w:hAnsi="宋体" w:eastAsia="宋体" w:cs="宋体"/>
          <w:bCs/>
          <w:color w:val="auto"/>
          <w:sz w:val="21"/>
          <w:szCs w:val="21"/>
          <w:u w:val="single"/>
          <w:lang w:val="en-US" w:eastAsia="zh-CN"/>
        </w:rPr>
        <w:t>/</w:t>
      </w:r>
      <w:r>
        <w:rPr>
          <w:rFonts w:hint="eastAsia" w:ascii="宋体" w:hAnsi="宋体" w:eastAsia="宋体" w:cs="宋体"/>
          <w:bCs/>
          <w:color w:val="auto"/>
          <w:sz w:val="21"/>
          <w:szCs w:val="21"/>
        </w:rPr>
        <w:t>日前委托开设农民工工资专用账户的银行支付农民工工资。</w:t>
      </w:r>
    </w:p>
    <w:p w14:paraId="631968DB">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（5）</w:t>
      </w:r>
      <w:r>
        <w:rPr>
          <w:rFonts w:hint="eastAsia" w:ascii="宋体" w:hAnsi="宋体" w:eastAsia="宋体" w:cs="宋体"/>
          <w:bCs/>
          <w:color w:val="auto"/>
          <w:sz w:val="21"/>
          <w:szCs w:val="21"/>
        </w:rPr>
        <w:t>工程竣工后，经项目部农民工维权组确认无农民工工资拖欠后，发、承双方办理农民工工资专用账户撤销手续，农民工工资专用账户余额划至本合同约定的承包人账户。</w:t>
      </w:r>
    </w:p>
    <w:bookmarkEnd w:id="342"/>
    <w:p w14:paraId="6CC649C8">
      <w:pPr>
        <w:pageBreakBefore w:val="0"/>
        <w:kinsoku/>
        <w:wordWrap/>
        <w:topLinePunct w:val="0"/>
        <w:bidi w:val="0"/>
        <w:snapToGrid w:val="0"/>
        <w:spacing w:beforeAutospacing="0" w:line="360" w:lineRule="auto"/>
        <w:ind w:firstLine="420" w:firstLineChars="200"/>
        <w:outlineLvl w:val="2"/>
        <w:rPr>
          <w:rFonts w:hint="eastAsia" w:ascii="宋体" w:hAnsi="宋体" w:eastAsia="宋体" w:cs="宋体"/>
          <w:color w:val="auto"/>
          <w:sz w:val="21"/>
          <w:szCs w:val="21"/>
        </w:rPr>
      </w:pPr>
      <w:bookmarkStart w:id="475" w:name="_Toc351203645"/>
      <w:bookmarkStart w:id="476" w:name="_Toc297120519"/>
      <w:bookmarkStart w:id="477" w:name="_Toc304295593"/>
      <w:bookmarkStart w:id="478" w:name="_Toc303539172"/>
      <w:bookmarkStart w:id="479" w:name="_Toc296944558"/>
      <w:bookmarkStart w:id="480" w:name="_Toc300935015"/>
      <w:bookmarkStart w:id="481" w:name="_Toc312678053"/>
      <w:bookmarkStart w:id="482" w:name="_Toc292559424"/>
      <w:bookmarkStart w:id="483" w:name="_Toc296346720"/>
      <w:bookmarkStart w:id="484" w:name="_Toc297123564"/>
      <w:bookmarkStart w:id="485" w:name="_Toc297216223"/>
      <w:bookmarkStart w:id="486" w:name="_Toc296891047"/>
      <w:bookmarkStart w:id="487" w:name="_Toc292559929"/>
      <w:bookmarkStart w:id="488" w:name="_Toc296347218"/>
      <w:bookmarkStart w:id="489" w:name="_Toc296503219"/>
      <w:bookmarkStart w:id="490" w:name="_Toc296891259"/>
      <w:bookmarkStart w:id="491" w:name="_Toc297048405"/>
      <w:r>
        <w:rPr>
          <w:rFonts w:hint="eastAsia" w:ascii="宋体" w:hAnsi="宋体" w:eastAsia="宋体" w:cs="宋体"/>
          <w:color w:val="auto"/>
          <w:sz w:val="21"/>
          <w:szCs w:val="21"/>
        </w:rPr>
        <w:t>13. 验收和工程试车</w:t>
      </w:r>
      <w:bookmarkEnd w:id="475"/>
    </w:p>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14:paraId="457E3912">
      <w:pPr>
        <w:keepNext/>
        <w:keepLines/>
        <w:pageBreakBefore w:val="0"/>
        <w:kinsoku/>
        <w:wordWrap/>
        <w:topLinePunct w:val="0"/>
        <w:bidi w:val="0"/>
        <w:snapToGrid w:val="0"/>
        <w:spacing w:beforeAutospacing="0" w:line="360" w:lineRule="auto"/>
        <w:ind w:firstLine="420" w:firstLineChars="200"/>
        <w:jc w:val="left"/>
        <w:outlineLvl w:val="2"/>
        <w:rPr>
          <w:rFonts w:hint="eastAsia" w:ascii="宋体" w:hAnsi="宋体" w:eastAsia="宋体" w:cs="宋体"/>
          <w:bCs/>
          <w:color w:val="auto"/>
          <w:sz w:val="21"/>
          <w:szCs w:val="21"/>
        </w:rPr>
      </w:pPr>
      <w:r>
        <w:rPr>
          <w:rFonts w:hint="eastAsia" w:ascii="宋体" w:hAnsi="宋体" w:eastAsia="宋体" w:cs="宋体"/>
          <w:bCs/>
          <w:color w:val="auto"/>
          <w:sz w:val="21"/>
          <w:szCs w:val="21"/>
        </w:rPr>
        <w:t>13.1 分部分项工程验收</w:t>
      </w:r>
    </w:p>
    <w:p w14:paraId="71500BD9">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13.1.2 监理人不能按时进行验收时，应提前</w:t>
      </w:r>
      <w:r>
        <w:rPr>
          <w:rFonts w:hint="eastAsia" w:ascii="宋体" w:hAnsi="宋体" w:eastAsia="宋体" w:cs="宋体"/>
          <w:color w:val="auto"/>
          <w:sz w:val="21"/>
          <w:szCs w:val="21"/>
          <w:u w:val="single"/>
        </w:rPr>
        <w:t>24</w:t>
      </w:r>
      <w:r>
        <w:rPr>
          <w:rFonts w:hint="eastAsia" w:ascii="宋体" w:hAnsi="宋体" w:eastAsia="宋体" w:cs="宋体"/>
          <w:color w:val="auto"/>
          <w:sz w:val="21"/>
          <w:szCs w:val="21"/>
        </w:rPr>
        <w:t>小时提交书面延期要求。</w:t>
      </w:r>
    </w:p>
    <w:p w14:paraId="43ADE3C9">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关于延期最长不得超过：</w:t>
      </w:r>
      <w:r>
        <w:rPr>
          <w:rFonts w:hint="eastAsia" w:ascii="宋体" w:hAnsi="宋体" w:eastAsia="宋体" w:cs="宋体"/>
          <w:color w:val="auto"/>
          <w:sz w:val="21"/>
          <w:szCs w:val="21"/>
          <w:u w:val="single"/>
        </w:rPr>
        <w:t>48</w:t>
      </w:r>
      <w:r>
        <w:rPr>
          <w:rFonts w:hint="eastAsia" w:ascii="宋体" w:hAnsi="宋体" w:eastAsia="宋体" w:cs="宋体"/>
          <w:color w:val="auto"/>
          <w:sz w:val="21"/>
          <w:szCs w:val="21"/>
        </w:rPr>
        <w:t>小时。</w:t>
      </w:r>
    </w:p>
    <w:p w14:paraId="30148940">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bookmarkStart w:id="492" w:name="_Toc296891051"/>
      <w:bookmarkStart w:id="493" w:name="_Toc297120523"/>
      <w:bookmarkStart w:id="494" w:name="_Toc292559933"/>
      <w:bookmarkStart w:id="495" w:name="_Toc296944562"/>
      <w:bookmarkStart w:id="496" w:name="_Toc312678056"/>
      <w:bookmarkStart w:id="497" w:name="_Toc297048409"/>
      <w:bookmarkStart w:id="498" w:name="_Toc303539173"/>
      <w:bookmarkStart w:id="499" w:name="_Toc296891263"/>
      <w:bookmarkStart w:id="500" w:name="_Toc297123565"/>
      <w:bookmarkStart w:id="501" w:name="_Toc300935016"/>
      <w:bookmarkStart w:id="502" w:name="_Toc304295596"/>
      <w:bookmarkStart w:id="503" w:name="_Toc297216224"/>
      <w:bookmarkStart w:id="504" w:name="_Toc292559428"/>
      <w:bookmarkStart w:id="505" w:name="_Toc296347222"/>
      <w:bookmarkStart w:id="506" w:name="_Toc296503223"/>
      <w:bookmarkStart w:id="507" w:name="_Toc296346724"/>
      <w:bookmarkStart w:id="508" w:name="_Toc267251474"/>
      <w:bookmarkStart w:id="509" w:name="_Toc267251471"/>
      <w:bookmarkStart w:id="510" w:name="_Toc267251470"/>
      <w:bookmarkStart w:id="511" w:name="_Toc267251473"/>
      <w:bookmarkStart w:id="512" w:name="_Toc267251472"/>
      <w:bookmarkStart w:id="513" w:name="_Toc267251475"/>
      <w:bookmarkStart w:id="514" w:name="_Toc267251476"/>
      <w:r>
        <w:rPr>
          <w:rFonts w:hint="eastAsia" w:ascii="宋体" w:hAnsi="宋体" w:eastAsia="宋体" w:cs="宋体"/>
          <w:bCs/>
          <w:color w:val="auto"/>
          <w:sz w:val="21"/>
          <w:szCs w:val="21"/>
        </w:rPr>
        <w:t>13.2 竣工验收</w:t>
      </w:r>
    </w:p>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14:paraId="482A8934">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bookmarkStart w:id="515" w:name="_Toc280868704"/>
      <w:bookmarkStart w:id="516" w:name="_Toc280868705"/>
      <w:bookmarkStart w:id="517" w:name="_Toc280868706"/>
      <w:bookmarkStart w:id="518" w:name="_Toc280868707"/>
      <w:bookmarkStart w:id="519" w:name="_Toc280868708"/>
      <w:bookmarkStart w:id="520" w:name="_Toc280868709"/>
      <w:r>
        <w:rPr>
          <w:rFonts w:hint="eastAsia" w:ascii="宋体" w:hAnsi="宋体" w:eastAsia="宋体" w:cs="宋体"/>
          <w:color w:val="auto"/>
          <w:sz w:val="21"/>
          <w:szCs w:val="21"/>
        </w:rPr>
        <w:t>13.2.2 竣工验收程序</w:t>
      </w:r>
    </w:p>
    <w:bookmarkEnd w:id="515"/>
    <w:p w14:paraId="59AA84F4">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关于竣工验收程序的约定：</w:t>
      </w:r>
      <w:r>
        <w:rPr>
          <w:rFonts w:hint="eastAsia" w:ascii="宋体" w:hAnsi="宋体" w:eastAsia="宋体" w:cs="宋体"/>
          <w:color w:val="auto"/>
          <w:sz w:val="21"/>
          <w:szCs w:val="21"/>
          <w:highlight w:val="none"/>
          <w:u w:val="single"/>
          <w:lang w:val="en-US" w:eastAsia="zh-CN"/>
        </w:rPr>
        <w:t>承包人应提交完整的各类工程资料、结算文件、竣工验收报告、环境检测报告等，经发包人审核合格后，按相关规章制度组织竣工验收</w:t>
      </w:r>
      <w:r>
        <w:rPr>
          <w:rFonts w:hint="eastAsia" w:ascii="宋体" w:hAnsi="宋体" w:eastAsia="宋体" w:cs="宋体"/>
          <w:color w:val="auto"/>
          <w:sz w:val="21"/>
          <w:szCs w:val="21"/>
        </w:rPr>
        <w:t>。</w:t>
      </w:r>
    </w:p>
    <w:p w14:paraId="0BCD01D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发包人不按照本项约定组织竣工验收、颁发工程接收证书的违约金的计算方法：</w:t>
      </w:r>
      <w:r>
        <w:rPr>
          <w:rFonts w:hint="eastAsia" w:ascii="宋体" w:hAnsi="宋体" w:eastAsia="宋体" w:cs="宋体"/>
          <w:color w:val="auto"/>
          <w:sz w:val="21"/>
          <w:szCs w:val="21"/>
          <w:u w:val="single"/>
        </w:rPr>
        <w:t>执行通用条款</w:t>
      </w:r>
      <w:r>
        <w:rPr>
          <w:rFonts w:hint="eastAsia" w:ascii="宋体" w:hAnsi="宋体" w:eastAsia="宋体" w:cs="宋体"/>
          <w:color w:val="auto"/>
          <w:sz w:val="21"/>
          <w:szCs w:val="21"/>
        </w:rPr>
        <w:t>。</w:t>
      </w:r>
    </w:p>
    <w:bookmarkEnd w:id="516"/>
    <w:p w14:paraId="25203678">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13.2.5 移交、接收全部与部分工程</w:t>
      </w:r>
    </w:p>
    <w:bookmarkEnd w:id="517"/>
    <w:p w14:paraId="2D5F2F26">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承包人向发包人移交工程的期限：</w:t>
      </w:r>
      <w:r>
        <w:rPr>
          <w:rFonts w:hint="eastAsia" w:ascii="宋体" w:hAnsi="宋体" w:eastAsia="宋体" w:cs="宋体"/>
          <w:color w:val="auto"/>
          <w:sz w:val="21"/>
          <w:szCs w:val="21"/>
          <w:u w:val="single"/>
          <w:lang w:val="en-US" w:eastAsia="zh-CN"/>
        </w:rPr>
        <w:t>竣工验收合格</w:t>
      </w:r>
      <w:r>
        <w:rPr>
          <w:rFonts w:hint="eastAsia" w:ascii="宋体" w:hAnsi="宋体" w:eastAsia="宋体" w:cs="宋体"/>
          <w:color w:val="auto"/>
          <w:sz w:val="21"/>
          <w:szCs w:val="21"/>
          <w:u w:val="single"/>
        </w:rPr>
        <w:t>后7天内完成工程的移交</w:t>
      </w:r>
      <w:r>
        <w:rPr>
          <w:rFonts w:hint="eastAsia" w:ascii="宋体" w:hAnsi="宋体" w:eastAsia="宋体" w:cs="宋体"/>
          <w:color w:val="auto"/>
          <w:sz w:val="21"/>
          <w:szCs w:val="21"/>
        </w:rPr>
        <w:t>。</w:t>
      </w:r>
    </w:p>
    <w:p w14:paraId="578E56B4">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发包人未按本合同约定接收全部或部分工程的，违约金的计算方法为：</w:t>
      </w:r>
      <w:r>
        <w:rPr>
          <w:rFonts w:hint="eastAsia" w:ascii="宋体" w:hAnsi="宋体" w:eastAsia="宋体" w:cs="宋体"/>
          <w:color w:val="auto"/>
          <w:sz w:val="21"/>
          <w:szCs w:val="21"/>
          <w:u w:val="single"/>
          <w:lang w:val="en-US" w:eastAsia="zh-CN"/>
        </w:rPr>
        <w:t>不考虑</w:t>
      </w:r>
      <w:r>
        <w:rPr>
          <w:rFonts w:hint="eastAsia" w:ascii="宋体" w:hAnsi="宋体" w:eastAsia="宋体" w:cs="宋体"/>
          <w:color w:val="auto"/>
          <w:sz w:val="21"/>
          <w:szCs w:val="21"/>
        </w:rPr>
        <w:t>。</w:t>
      </w:r>
    </w:p>
    <w:bookmarkEnd w:id="518"/>
    <w:p w14:paraId="6B4FB033">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承包人未按时移交工程的，违约金的计算方法为：</w:t>
      </w:r>
      <w:r>
        <w:rPr>
          <w:rFonts w:hint="eastAsia" w:ascii="宋体" w:hAnsi="宋体" w:eastAsia="宋体" w:cs="宋体"/>
          <w:color w:val="auto"/>
          <w:sz w:val="21"/>
          <w:szCs w:val="21"/>
          <w:u w:val="single"/>
        </w:rPr>
        <w:t>暂停工程款支付；承包人承担工程照管、成品保护、保管等与工程有关的各项费用</w:t>
      </w:r>
      <w:r>
        <w:rPr>
          <w:rFonts w:hint="eastAsia" w:ascii="宋体" w:hAnsi="宋体" w:eastAsia="宋体" w:cs="宋体"/>
          <w:color w:val="auto"/>
          <w:sz w:val="21"/>
          <w:szCs w:val="21"/>
        </w:rPr>
        <w:t>。</w:t>
      </w:r>
    </w:p>
    <w:p w14:paraId="2E17C291">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13.3 工程试车</w:t>
      </w:r>
    </w:p>
    <w:bookmarkEnd w:id="519"/>
    <w:p w14:paraId="21425CE1">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13.3.1 试车程序</w:t>
      </w:r>
    </w:p>
    <w:p w14:paraId="3D5D21E1">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工程试车内容：</w:t>
      </w:r>
      <w:r>
        <w:rPr>
          <w:rFonts w:hint="eastAsia" w:ascii="宋体" w:hAnsi="宋体" w:eastAsia="宋体" w:cs="宋体"/>
          <w:color w:val="auto"/>
          <w:sz w:val="21"/>
          <w:szCs w:val="21"/>
          <w:u w:val="single"/>
          <w:lang w:val="en-US" w:eastAsia="zh-CN"/>
        </w:rPr>
        <w:t>配电线路带符合运转，无条件配合空调安装项目的调试，并由此承担自身过失责任</w:t>
      </w:r>
      <w:r>
        <w:rPr>
          <w:rFonts w:hint="eastAsia" w:ascii="宋体" w:hAnsi="宋体" w:eastAsia="宋体" w:cs="宋体"/>
          <w:color w:val="auto"/>
          <w:sz w:val="21"/>
          <w:szCs w:val="21"/>
        </w:rPr>
        <w:t>。</w:t>
      </w:r>
    </w:p>
    <w:p w14:paraId="2643A264">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（1）单机无负荷试车费用由</w:t>
      </w:r>
      <w:r>
        <w:rPr>
          <w:rFonts w:hint="eastAsia" w:ascii="宋体" w:hAnsi="宋体" w:eastAsia="宋体" w:cs="宋体"/>
          <w:color w:val="auto"/>
          <w:sz w:val="21"/>
          <w:szCs w:val="21"/>
          <w:u w:val="single"/>
        </w:rPr>
        <w:t>承包人</w:t>
      </w:r>
      <w:r>
        <w:rPr>
          <w:rFonts w:hint="eastAsia" w:ascii="宋体" w:hAnsi="宋体" w:eastAsia="宋体" w:cs="宋体"/>
          <w:color w:val="auto"/>
          <w:sz w:val="21"/>
          <w:szCs w:val="21"/>
        </w:rPr>
        <w:t>承担；</w:t>
      </w:r>
    </w:p>
    <w:p w14:paraId="69AAB95F">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（2）无负荷联动试车费用由</w:t>
      </w:r>
      <w:r>
        <w:rPr>
          <w:rFonts w:hint="eastAsia" w:ascii="宋体" w:hAnsi="宋体" w:eastAsia="宋体" w:cs="宋体"/>
          <w:color w:val="auto"/>
          <w:sz w:val="21"/>
          <w:szCs w:val="21"/>
          <w:u w:val="single"/>
        </w:rPr>
        <w:t>承包人</w:t>
      </w:r>
      <w:r>
        <w:rPr>
          <w:rFonts w:hint="eastAsia" w:ascii="宋体" w:hAnsi="宋体" w:eastAsia="宋体" w:cs="宋体"/>
          <w:color w:val="auto"/>
          <w:sz w:val="21"/>
          <w:szCs w:val="21"/>
        </w:rPr>
        <w:t>承担。</w:t>
      </w:r>
    </w:p>
    <w:p w14:paraId="3C9C7509">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13.3.3 投料试车</w:t>
      </w:r>
    </w:p>
    <w:p w14:paraId="1202AD28">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关于投料试车相关事项的约定：</w:t>
      </w:r>
      <w:r>
        <w:rPr>
          <w:rFonts w:hint="eastAsia" w:ascii="宋体" w:hAnsi="宋体" w:eastAsia="宋体" w:cs="宋体"/>
          <w:color w:val="auto"/>
          <w:sz w:val="21"/>
          <w:szCs w:val="21"/>
          <w:u w:val="single"/>
        </w:rPr>
        <w:t>执行通用条款</w:t>
      </w:r>
      <w:r>
        <w:rPr>
          <w:rFonts w:hint="eastAsia" w:ascii="宋体" w:hAnsi="宋体" w:eastAsia="宋体" w:cs="宋体"/>
          <w:color w:val="auto"/>
          <w:sz w:val="21"/>
          <w:szCs w:val="21"/>
        </w:rPr>
        <w:t>。</w:t>
      </w:r>
    </w:p>
    <w:p w14:paraId="7E94B7EC">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13.6 竣工退场</w:t>
      </w:r>
    </w:p>
    <w:p w14:paraId="2E9372C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13.6.1 竣工退场</w:t>
      </w:r>
    </w:p>
    <w:p w14:paraId="36F55519">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承包人完成竣工退场的期限：</w:t>
      </w:r>
      <w:r>
        <w:rPr>
          <w:rFonts w:hint="eastAsia" w:ascii="宋体" w:hAnsi="宋体" w:eastAsia="宋体" w:cs="宋体"/>
          <w:color w:val="auto"/>
          <w:sz w:val="21"/>
          <w:szCs w:val="21"/>
          <w:u w:val="single"/>
        </w:rPr>
        <w:t>竣工之日起15日内</w:t>
      </w:r>
      <w:r>
        <w:rPr>
          <w:rFonts w:hint="eastAsia" w:ascii="宋体" w:hAnsi="宋体" w:eastAsia="宋体" w:cs="宋体"/>
          <w:color w:val="auto"/>
          <w:sz w:val="21"/>
          <w:szCs w:val="21"/>
        </w:rPr>
        <w:t>。</w:t>
      </w:r>
    </w:p>
    <w:p w14:paraId="6F7ABC0C">
      <w:pPr>
        <w:pageBreakBefore w:val="0"/>
        <w:kinsoku/>
        <w:wordWrap/>
        <w:topLinePunct w:val="0"/>
        <w:bidi w:val="0"/>
        <w:snapToGrid w:val="0"/>
        <w:spacing w:beforeAutospacing="0" w:line="360" w:lineRule="auto"/>
        <w:ind w:firstLine="420" w:firstLineChars="200"/>
        <w:outlineLvl w:val="2"/>
        <w:rPr>
          <w:rFonts w:hint="eastAsia" w:ascii="宋体" w:hAnsi="宋体" w:eastAsia="宋体" w:cs="宋体"/>
          <w:color w:val="auto"/>
          <w:sz w:val="21"/>
          <w:szCs w:val="21"/>
        </w:rPr>
      </w:pPr>
      <w:bookmarkStart w:id="521" w:name="_Toc351203646"/>
      <w:r>
        <w:rPr>
          <w:rFonts w:hint="eastAsia" w:ascii="宋体" w:hAnsi="宋体" w:eastAsia="宋体" w:cs="宋体"/>
          <w:color w:val="auto"/>
          <w:sz w:val="21"/>
          <w:szCs w:val="21"/>
        </w:rPr>
        <w:t>14. 竣工结算</w:t>
      </w:r>
      <w:bookmarkEnd w:id="521"/>
    </w:p>
    <w:p w14:paraId="562298C3">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14.1 竣工结算申请</w:t>
      </w:r>
    </w:p>
    <w:p w14:paraId="45754BA9">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承包人提交竣工结算申请单的期限：</w:t>
      </w:r>
      <w:r>
        <w:rPr>
          <w:rFonts w:hint="eastAsia" w:ascii="宋体" w:hAnsi="宋体" w:eastAsia="宋体" w:cs="宋体"/>
          <w:color w:val="auto"/>
          <w:sz w:val="21"/>
          <w:szCs w:val="21"/>
          <w:u w:val="single"/>
        </w:rPr>
        <w:t>承包人应在工程竣工验收合格后</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u w:val="single"/>
        </w:rPr>
        <w:t>天内</w:t>
      </w:r>
      <w:r>
        <w:rPr>
          <w:rFonts w:hint="eastAsia" w:ascii="宋体" w:hAnsi="宋体" w:eastAsia="宋体" w:cs="宋体"/>
          <w:color w:val="auto"/>
          <w:sz w:val="21"/>
          <w:szCs w:val="21"/>
        </w:rPr>
        <w:t>。</w:t>
      </w:r>
    </w:p>
    <w:p w14:paraId="5113F136">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竣工结算申请单应包括的内容：</w:t>
      </w:r>
      <w:r>
        <w:rPr>
          <w:rFonts w:hint="eastAsia" w:ascii="宋体" w:hAnsi="宋体" w:eastAsia="宋体" w:cs="宋体"/>
          <w:color w:val="auto"/>
          <w:sz w:val="21"/>
          <w:szCs w:val="21"/>
          <w:u w:val="single"/>
        </w:rPr>
        <w:t>执行通用条款</w:t>
      </w:r>
      <w:r>
        <w:rPr>
          <w:rFonts w:hint="eastAsia" w:ascii="宋体" w:hAnsi="宋体" w:eastAsia="宋体" w:cs="宋体"/>
          <w:color w:val="auto"/>
          <w:sz w:val="21"/>
          <w:szCs w:val="21"/>
        </w:rPr>
        <w:t>。</w:t>
      </w:r>
    </w:p>
    <w:p w14:paraId="7BCCC678">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14.2 竣工结算审核</w:t>
      </w:r>
    </w:p>
    <w:p w14:paraId="2036FEE2">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发包人审批竣工付款申请单的期限：</w:t>
      </w:r>
      <w:r>
        <w:rPr>
          <w:rFonts w:hint="eastAsia" w:ascii="宋体" w:hAnsi="宋体" w:eastAsia="宋体" w:cs="宋体"/>
          <w:color w:val="auto"/>
          <w:sz w:val="21"/>
          <w:szCs w:val="21"/>
          <w:u w:val="single"/>
        </w:rPr>
        <w:t>发包人应在收到监理人提交的经审核的竣工结算申请单后14天内完成审批</w:t>
      </w:r>
      <w:r>
        <w:rPr>
          <w:rFonts w:hint="eastAsia" w:ascii="宋体" w:hAnsi="宋体" w:eastAsia="宋体" w:cs="宋体"/>
          <w:color w:val="auto"/>
          <w:sz w:val="21"/>
          <w:szCs w:val="21"/>
        </w:rPr>
        <w:t>。</w:t>
      </w:r>
    </w:p>
    <w:p w14:paraId="67905A12">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发包人完成竣工付款的期限：</w:t>
      </w:r>
      <w:r>
        <w:rPr>
          <w:rFonts w:hint="eastAsia" w:ascii="宋体" w:hAnsi="宋体" w:eastAsia="宋体" w:cs="宋体"/>
          <w:color w:val="auto"/>
          <w:sz w:val="21"/>
          <w:szCs w:val="21"/>
          <w:u w:val="single"/>
        </w:rPr>
        <w:t>发包人应在签发竣工付款证书后的14天内，完成对承包人的竣工付款</w:t>
      </w:r>
      <w:r>
        <w:rPr>
          <w:rFonts w:hint="eastAsia" w:ascii="宋体" w:hAnsi="宋体" w:eastAsia="宋体" w:cs="宋体"/>
          <w:color w:val="auto"/>
          <w:sz w:val="21"/>
          <w:szCs w:val="21"/>
        </w:rPr>
        <w:t>。</w:t>
      </w:r>
    </w:p>
    <w:p w14:paraId="5F06B499">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关于竣工付款证书异议部分复核的方式和程序：</w:t>
      </w:r>
      <w:r>
        <w:rPr>
          <w:rFonts w:hint="eastAsia" w:ascii="宋体" w:hAnsi="宋体" w:eastAsia="宋体" w:cs="宋体"/>
          <w:color w:val="auto"/>
          <w:sz w:val="21"/>
          <w:szCs w:val="21"/>
          <w:u w:val="single"/>
        </w:rPr>
        <w:t>执行通用条款</w:t>
      </w:r>
      <w:r>
        <w:rPr>
          <w:rFonts w:hint="eastAsia" w:ascii="宋体" w:hAnsi="宋体" w:eastAsia="宋体" w:cs="宋体"/>
          <w:color w:val="auto"/>
          <w:sz w:val="21"/>
          <w:szCs w:val="21"/>
        </w:rPr>
        <w:t>。</w:t>
      </w:r>
    </w:p>
    <w:p w14:paraId="45067C9F">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14.4 最终结清</w:t>
      </w:r>
    </w:p>
    <w:p w14:paraId="188576C4">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14.4.1 最终结清申请单</w:t>
      </w:r>
    </w:p>
    <w:p w14:paraId="1A4DBA03">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承包人提交最终结清申请单的份数：</w:t>
      </w:r>
      <w:r>
        <w:rPr>
          <w:rFonts w:hint="eastAsia" w:ascii="宋体" w:hAnsi="宋体" w:eastAsia="宋体" w:cs="宋体"/>
          <w:color w:val="auto"/>
          <w:sz w:val="21"/>
          <w:szCs w:val="21"/>
          <w:highlight w:val="none"/>
          <w:u w:val="single"/>
          <w:lang w:val="en-US" w:eastAsia="zh-CN"/>
        </w:rPr>
        <w:t>纸质材料3份，电子稿1份</w:t>
      </w:r>
      <w:r>
        <w:rPr>
          <w:rFonts w:hint="eastAsia" w:ascii="宋体" w:hAnsi="宋体" w:eastAsia="宋体" w:cs="宋体"/>
          <w:color w:val="auto"/>
          <w:sz w:val="21"/>
          <w:szCs w:val="21"/>
        </w:rPr>
        <w:t>。</w:t>
      </w:r>
    </w:p>
    <w:p w14:paraId="0DC19F18">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承包人提交最终结算申请单的期限：</w:t>
      </w:r>
      <w:r>
        <w:rPr>
          <w:rFonts w:hint="eastAsia" w:ascii="宋体" w:hAnsi="宋体" w:eastAsia="宋体" w:cs="宋体"/>
          <w:color w:val="auto"/>
          <w:sz w:val="21"/>
          <w:szCs w:val="21"/>
          <w:u w:val="single"/>
        </w:rPr>
        <w:t>缺陷责任期终止证书颁发后7天内</w:t>
      </w:r>
      <w:r>
        <w:rPr>
          <w:rFonts w:hint="eastAsia" w:ascii="宋体" w:hAnsi="宋体" w:eastAsia="宋体" w:cs="宋体"/>
          <w:color w:val="auto"/>
          <w:sz w:val="21"/>
          <w:szCs w:val="21"/>
        </w:rPr>
        <w:t xml:space="preserve">。 </w:t>
      </w:r>
    </w:p>
    <w:p w14:paraId="5630E1A7">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14.4.2 最终结清证书和支付</w:t>
      </w:r>
    </w:p>
    <w:bookmarkEnd w:id="508"/>
    <w:bookmarkEnd w:id="509"/>
    <w:bookmarkEnd w:id="510"/>
    <w:bookmarkEnd w:id="511"/>
    <w:bookmarkEnd w:id="512"/>
    <w:bookmarkEnd w:id="513"/>
    <w:bookmarkEnd w:id="514"/>
    <w:bookmarkEnd w:id="520"/>
    <w:p w14:paraId="1F970CE9">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bookmarkStart w:id="522" w:name="_Toc351203647"/>
      <w:bookmarkStart w:id="523" w:name="_Toc267251483"/>
      <w:bookmarkStart w:id="524" w:name="_Toc267251482"/>
      <w:bookmarkStart w:id="525" w:name="_Toc267251484"/>
      <w:bookmarkStart w:id="526" w:name="_Toc267251485"/>
      <w:bookmarkStart w:id="527" w:name="_Toc267251489"/>
      <w:bookmarkStart w:id="528" w:name="_Toc267251488"/>
      <w:bookmarkStart w:id="529" w:name="_Toc267251490"/>
      <w:bookmarkStart w:id="530" w:name="_Toc267251486"/>
      <w:bookmarkStart w:id="531" w:name="_Toc267251501"/>
      <w:bookmarkStart w:id="532" w:name="_Toc267251495"/>
      <w:bookmarkStart w:id="533" w:name="_Toc267251502"/>
      <w:bookmarkStart w:id="534" w:name="_Toc267251496"/>
      <w:bookmarkStart w:id="535" w:name="_Toc267251498"/>
      <w:bookmarkStart w:id="536" w:name="_Toc267251503"/>
      <w:bookmarkStart w:id="537" w:name="_Toc267251499"/>
      <w:bookmarkStart w:id="538" w:name="_Toc267251497"/>
      <w:bookmarkStart w:id="539" w:name="_Toc267251493"/>
      <w:bookmarkStart w:id="540" w:name="_Toc267251494"/>
      <w:bookmarkStart w:id="541" w:name="_Toc267251491"/>
      <w:bookmarkStart w:id="542" w:name="_Toc267251492"/>
      <w:bookmarkStart w:id="543" w:name="_Toc267251506"/>
      <w:bookmarkStart w:id="544" w:name="_Toc267251504"/>
      <w:bookmarkStart w:id="545" w:name="_Toc267251507"/>
      <w:bookmarkStart w:id="546" w:name="_Toc267251508"/>
      <w:bookmarkStart w:id="547" w:name="_Toc267251514"/>
      <w:bookmarkStart w:id="548" w:name="_Toc267251513"/>
      <w:bookmarkStart w:id="549" w:name="_Toc267251511"/>
      <w:bookmarkStart w:id="550" w:name="_Toc267251510"/>
      <w:bookmarkStart w:id="551" w:name="_Toc267251509"/>
      <w:bookmarkStart w:id="552" w:name="_Toc267251515"/>
      <w:r>
        <w:rPr>
          <w:rFonts w:hint="eastAsia" w:ascii="宋体" w:hAnsi="宋体" w:eastAsia="宋体" w:cs="宋体"/>
          <w:color w:val="auto"/>
          <w:sz w:val="21"/>
          <w:szCs w:val="21"/>
        </w:rPr>
        <w:t>14.</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 按照学校工程审计相关管理办法规定执行。</w:t>
      </w:r>
    </w:p>
    <w:p w14:paraId="4CB7B398">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 发包人审批竣工付款申请单的期限：</w:t>
      </w:r>
      <w:r>
        <w:rPr>
          <w:rFonts w:hint="eastAsia" w:ascii="宋体" w:hAnsi="宋体" w:eastAsia="宋体" w:cs="宋体"/>
          <w:color w:val="auto"/>
          <w:sz w:val="21"/>
          <w:szCs w:val="21"/>
          <w:u w:val="single"/>
        </w:rPr>
        <w:t>审核备案后</w:t>
      </w:r>
      <w:r>
        <w:rPr>
          <w:rFonts w:hint="eastAsia" w:ascii="宋体" w:hAnsi="宋体" w:eastAsia="宋体" w:cs="宋体"/>
          <w:color w:val="auto"/>
          <w:sz w:val="21"/>
          <w:szCs w:val="21"/>
        </w:rPr>
        <w:t>。</w:t>
      </w:r>
    </w:p>
    <w:p w14:paraId="2E4CB91E">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.3 发包人完成竣工付款的期限：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 </w:t>
      </w:r>
    </w:p>
    <w:p w14:paraId="18F095B0">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14.</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.4 关于竣工付款证书异议部分复核的方式和程序：</w:t>
      </w:r>
      <w:r>
        <w:rPr>
          <w:rFonts w:hint="eastAsia" w:ascii="宋体" w:hAnsi="宋体" w:eastAsia="宋体" w:cs="宋体"/>
          <w:color w:val="auto"/>
          <w:sz w:val="21"/>
          <w:szCs w:val="21"/>
          <w:u w:val="single"/>
        </w:rPr>
        <w:t>查阅竣工图纸、施工合同、本项目招标控制价电子版和书面文本、签证资料、结算书、材料价格证明资料以及与竣工造价有关的相关资料</w:t>
      </w:r>
      <w:r>
        <w:rPr>
          <w:rFonts w:hint="eastAsia" w:ascii="宋体" w:hAnsi="宋体" w:eastAsia="宋体" w:cs="宋体"/>
          <w:color w:val="auto"/>
          <w:sz w:val="21"/>
          <w:szCs w:val="21"/>
        </w:rPr>
        <w:t>。</w:t>
      </w:r>
    </w:p>
    <w:p w14:paraId="1E2D7082">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关于竣工结算超额审计费用：</w:t>
      </w:r>
      <w:r>
        <w:rPr>
          <w:rFonts w:hint="eastAsia" w:ascii="宋体" w:hAnsi="宋体" w:eastAsia="宋体" w:cs="宋体"/>
          <w:b/>
          <w:bCs/>
          <w:color w:val="auto"/>
          <w:sz w:val="21"/>
          <w:szCs w:val="21"/>
          <w:u w:val="single"/>
        </w:rPr>
        <w:t>根据《滁州市人民政府办公室关于印发市政府投资建设项目审计监督颁发的通知》第二十三条规定，对审减率超过10%的工程项目，超过部分应支付的审计费用，由施工单位承担，项目结算付款单位根据审计结果从工程待结价款中扣除。</w:t>
      </w:r>
    </w:p>
    <w:p w14:paraId="03669A5F">
      <w:pPr>
        <w:pageBreakBefore w:val="0"/>
        <w:kinsoku/>
        <w:wordWrap/>
        <w:topLinePunct w:val="0"/>
        <w:bidi w:val="0"/>
        <w:snapToGrid w:val="0"/>
        <w:spacing w:beforeAutospacing="0"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14.</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.5送审要求：</w:t>
      </w:r>
    </w:p>
    <w:p w14:paraId="155A1984">
      <w:pPr>
        <w:keepNext w:val="0"/>
        <w:keepLines w:val="0"/>
        <w:pageBreakBefore w:val="0"/>
        <w:widowControl w:val="0"/>
        <w:numPr>
          <w:ilvl w:val="0"/>
          <w:numId w:val="6"/>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竣工结算审核资料应该一次性申报，发包人只接受一次申报结算，若承包人申报结算有遗漏（工程量少报、漏报、掉项）不得追加；承包人申报资料若有缺陷，只有发包人要求补充、完善时方可补充。结算结束标志，发承包人双方签署结算单（工程定案表）。</w:t>
      </w:r>
    </w:p>
    <w:p w14:paraId="451756C2">
      <w:pPr>
        <w:keepNext w:val="0"/>
        <w:keepLines w:val="0"/>
        <w:pageBreakBefore w:val="0"/>
        <w:widowControl w:val="0"/>
        <w:numPr>
          <w:ilvl w:val="0"/>
          <w:numId w:val="6"/>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此工程采取跟踪审计制度，工程竣工审计结算时，对工程结算审减额10%以上（不含10%）的部分,由承包人承担审计咨询费用；对审减额在10％以下（含10%）的部分，由发包人承担审计咨询费。承包人承担的审计咨询费用由发包人从工程款中代扣。</w:t>
      </w:r>
    </w:p>
    <w:p w14:paraId="2AE2A4E7">
      <w:pPr>
        <w:keepNext w:val="0"/>
        <w:keepLines w:val="0"/>
        <w:pageBreakBefore w:val="0"/>
        <w:widowControl w:val="0"/>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（3）承包人委派</w:t>
      </w:r>
      <w:r>
        <w:rPr>
          <w:rFonts w:hint="eastAsia" w:ascii="宋体" w:hAnsi="宋体" w:eastAsia="宋体" w:cs="宋体"/>
          <w:color w:val="auto"/>
          <w:sz w:val="21"/>
          <w:szCs w:val="21"/>
          <w:u w:val="single"/>
        </w:rPr>
        <w:t>（姓名：  ） （电话：      ）（邮箱：    </w:t>
      </w:r>
      <w:r>
        <w:rPr>
          <w:rFonts w:hint="eastAsia" w:ascii="宋体" w:hAnsi="宋体" w:eastAsia="宋体" w:cs="宋体"/>
          <w:color w:val="auto"/>
          <w:sz w:val="21"/>
          <w:szCs w:val="21"/>
        </w:rPr>
        <w:t>）代表承包人全权办理与结算审计相关的一切事宜。</w:t>
      </w:r>
    </w:p>
    <w:p w14:paraId="35C1BF96">
      <w:pPr>
        <w:keepNext w:val="0"/>
        <w:keepLines w:val="0"/>
        <w:pageBreakBefore w:val="0"/>
        <w:widowControl w:val="0"/>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（4）承包人须积极配合发包人审计费开票工作,承包人纳税人识别号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开户行及账号：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3993639">
      <w:pPr>
        <w:keepNext w:val="0"/>
        <w:keepLines w:val="0"/>
        <w:pageBreakBefore w:val="0"/>
        <w:widowControl w:val="0"/>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（5）承包人承诺此工程开票税率：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%。（结算税率按开票税率结算）</w:t>
      </w:r>
    </w:p>
    <w:p w14:paraId="519385B8">
      <w:pPr>
        <w:pageBreakBefore w:val="0"/>
        <w:kinsoku/>
        <w:wordWrap/>
        <w:topLinePunct w:val="0"/>
        <w:bidi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14.4 最终结清</w:t>
      </w:r>
    </w:p>
    <w:p w14:paraId="067C8EE9">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14.4.1 最终结清申请单</w:t>
      </w:r>
    </w:p>
    <w:p w14:paraId="15689A22">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承包人提交最终结清申请单的份数：</w:t>
      </w:r>
      <w:r>
        <w:rPr>
          <w:rFonts w:hint="eastAsia" w:ascii="宋体" w:hAnsi="宋体" w:eastAsia="宋体" w:cs="宋体"/>
          <w:color w:val="auto"/>
          <w:sz w:val="21"/>
          <w:szCs w:val="21"/>
          <w:u w:val="single"/>
        </w:rPr>
        <w:t xml:space="preserve">按监理要求  </w:t>
      </w:r>
      <w:r>
        <w:rPr>
          <w:rFonts w:hint="eastAsia" w:ascii="宋体" w:hAnsi="宋体" w:eastAsia="宋体" w:cs="宋体"/>
          <w:color w:val="auto"/>
          <w:sz w:val="21"/>
          <w:szCs w:val="21"/>
        </w:rPr>
        <w:t>。</w:t>
      </w:r>
    </w:p>
    <w:p w14:paraId="00577038">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承包人提交最终结算申请单的期限：</w:t>
      </w:r>
      <w:r>
        <w:rPr>
          <w:rFonts w:hint="eastAsia" w:ascii="宋体" w:hAnsi="宋体" w:eastAsia="宋体" w:cs="宋体"/>
          <w:color w:val="auto"/>
          <w:kern w:val="0"/>
          <w:sz w:val="21"/>
          <w:szCs w:val="21"/>
          <w:u w:val="single"/>
        </w:rPr>
        <w:t>执行通用条款</w:t>
      </w:r>
      <w:r>
        <w:rPr>
          <w:rFonts w:hint="eastAsia" w:ascii="宋体" w:hAnsi="宋体" w:eastAsia="宋体" w:cs="宋体"/>
          <w:color w:val="auto"/>
          <w:sz w:val="21"/>
          <w:szCs w:val="21"/>
          <w:u w:val="single"/>
        </w:rPr>
        <w:t>。</w:t>
      </w:r>
    </w:p>
    <w:p w14:paraId="2CA57EBC">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14.4.2 最终结清证书和支付</w:t>
      </w:r>
    </w:p>
    <w:p w14:paraId="522867F2">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（1）发包人完成最终结清申请单的审批并颁发最终结清证书的期限：</w:t>
      </w:r>
      <w:r>
        <w:rPr>
          <w:rFonts w:hint="eastAsia" w:ascii="宋体" w:hAnsi="宋体" w:eastAsia="宋体" w:cs="宋体"/>
          <w:color w:val="auto"/>
          <w:sz w:val="21"/>
          <w:szCs w:val="21"/>
          <w:u w:val="single"/>
        </w:rPr>
        <w:t>执行通用条款。</w:t>
      </w:r>
    </w:p>
    <w:p w14:paraId="4E3BEAE2">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（2）发包人完成支付的期限：</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65860D0B">
      <w:pPr>
        <w:pageBreakBefore w:val="0"/>
        <w:kinsoku/>
        <w:wordWrap/>
        <w:topLinePunct w:val="0"/>
        <w:bidi w:val="0"/>
        <w:snapToGrid w:val="0"/>
        <w:spacing w:beforeAutospacing="0" w:line="360" w:lineRule="auto"/>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15. 缺陷责任期与保修</w:t>
      </w:r>
      <w:bookmarkEnd w:id="522"/>
    </w:p>
    <w:p w14:paraId="617AD3E5">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15.2 缺陷责任期</w:t>
      </w:r>
      <w:bookmarkEnd w:id="523"/>
    </w:p>
    <w:p w14:paraId="3ECF5566">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缺陷责任期的具体期限：</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593A991A">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15.3 质量保证金</w:t>
      </w:r>
    </w:p>
    <w:p w14:paraId="79D7CDCC">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关于是否扣留质量保证金的约定：</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。在工程项目竣工前，承包人按专用合同条款第3.7款提供履约保证金的，发包人不得同时预留工程质量保证金。</w:t>
      </w:r>
    </w:p>
    <w:p w14:paraId="665119D8">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15.3.1 承包人提供质量保证金的方式</w:t>
      </w:r>
    </w:p>
    <w:p w14:paraId="179B9082">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质量保证金可采用以下任意一种方式：</w:t>
      </w:r>
    </w:p>
    <w:p w14:paraId="2306C39D">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（1）由银行业金融机构、工程担保公司、保险机构出具银行保函、工程质量保险等担保方式，担保/保证金额为：</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5336ACFF">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61E5E141">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（3）其他方式：</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6549384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15.3.2 质量保证金的扣留</w:t>
      </w:r>
    </w:p>
    <w:p w14:paraId="7FEAFA9E">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质量保证金的扣留采取以下方式：</w:t>
      </w:r>
    </w:p>
    <w:p w14:paraId="3F0F0E48">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（1）在支付工程进度款时逐次扣留，在此情形下，质量保证金的计算基数不包括预付款的支付、扣回以及价格调整的金额；</w:t>
      </w:r>
    </w:p>
    <w:p w14:paraId="128DFC24">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（2）工程竣工结算时一次性扣留质量保证金；</w:t>
      </w:r>
    </w:p>
    <w:p w14:paraId="0608807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（3）其他扣留方式：</w:t>
      </w:r>
      <w:r>
        <w:rPr>
          <w:rFonts w:hint="eastAsia" w:ascii="宋体" w:hAnsi="宋体" w:eastAsia="宋体" w:cs="宋体"/>
          <w:color w:val="auto"/>
          <w:kern w:val="0"/>
          <w:sz w:val="21"/>
          <w:szCs w:val="21"/>
          <w:u w:val="single"/>
          <w:lang w:val="en-US" w:eastAsia="zh-CN"/>
        </w:rPr>
        <w:t>/</w:t>
      </w:r>
      <w:r>
        <w:rPr>
          <w:rFonts w:hint="eastAsia" w:ascii="宋体" w:hAnsi="宋体" w:eastAsia="宋体" w:cs="宋体"/>
          <w:color w:val="auto"/>
          <w:sz w:val="21"/>
          <w:szCs w:val="21"/>
        </w:rPr>
        <w:t>。</w:t>
      </w:r>
    </w:p>
    <w:p w14:paraId="0715646C">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关于质量保证金的补充约定：</w:t>
      </w:r>
    </w:p>
    <w:bookmarkEnd w:id="524"/>
    <w:bookmarkEnd w:id="525"/>
    <w:p w14:paraId="43191896">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关于质量保证金的补充约定：</w:t>
      </w:r>
      <w:r>
        <w:rPr>
          <w:rFonts w:hint="eastAsia" w:ascii="宋体" w:hAnsi="宋体" w:eastAsia="宋体" w:cs="宋体"/>
          <w:color w:val="auto"/>
          <w:kern w:val="0"/>
          <w:sz w:val="21"/>
          <w:szCs w:val="21"/>
          <w:u w:val="single"/>
        </w:rPr>
        <w:t>质量保证金支持保函（银行保函、担保机构担保、保证保险）使用。采用保函的，保函有效期须与缺陷责任期截止时间保持一致</w:t>
      </w:r>
      <w:r>
        <w:rPr>
          <w:rFonts w:hint="eastAsia" w:ascii="宋体" w:hAnsi="宋体" w:eastAsia="宋体" w:cs="宋体"/>
          <w:color w:val="auto"/>
          <w:kern w:val="0"/>
          <w:sz w:val="21"/>
          <w:szCs w:val="21"/>
        </w:rPr>
        <w:t>。</w:t>
      </w:r>
    </w:p>
    <w:p w14:paraId="7B20FBAB">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15.4 保修</w:t>
      </w:r>
    </w:p>
    <w:bookmarkEnd w:id="526"/>
    <w:p w14:paraId="1230630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15.4.1 保修责任</w:t>
      </w:r>
    </w:p>
    <w:p w14:paraId="2EB085E3">
      <w:pPr>
        <w:pageBreakBefore w:val="0"/>
        <w:kinsoku/>
        <w:wordWrap/>
        <w:topLinePunct w:val="0"/>
        <w:bidi w:val="0"/>
        <w:snapToGrid w:val="0"/>
        <w:spacing w:beforeAutospacing="0"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工程保修期为：</w:t>
      </w:r>
      <w:r>
        <w:rPr>
          <w:rFonts w:hint="eastAsia" w:ascii="宋体" w:hAnsi="宋体" w:eastAsia="宋体" w:cs="宋体"/>
          <w:color w:val="auto"/>
          <w:kern w:val="0"/>
          <w:sz w:val="21"/>
          <w:szCs w:val="21"/>
          <w:u w:val="single"/>
        </w:rPr>
        <w:t>验收合格之日</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最低年限2</w:t>
      </w:r>
      <w:r>
        <w:rPr>
          <w:rFonts w:hint="eastAsia" w:ascii="宋体" w:hAnsi="宋体" w:eastAsia="宋体" w:cs="宋体"/>
          <w:color w:val="auto"/>
          <w:kern w:val="0"/>
          <w:sz w:val="21"/>
          <w:szCs w:val="21"/>
          <w:u w:val="single"/>
        </w:rPr>
        <w:t>年，具体期限以成交人评审时承诺的期限为准。</w:t>
      </w:r>
    </w:p>
    <w:p w14:paraId="2C2B904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15.4.3 修复通知</w:t>
      </w:r>
    </w:p>
    <w:p w14:paraId="4FEB891E">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rPr>
        <w:t>承包人收到保修通知并到达工程现场的合理时间：</w:t>
      </w:r>
      <w:r>
        <w:rPr>
          <w:rFonts w:hint="eastAsia" w:ascii="宋体" w:hAnsi="宋体" w:eastAsia="宋体" w:cs="宋体"/>
          <w:color w:val="auto"/>
          <w:kern w:val="0"/>
          <w:sz w:val="21"/>
          <w:szCs w:val="21"/>
          <w:u w:val="single"/>
        </w:rPr>
        <w:t>质保期内发生</w:t>
      </w:r>
      <w:r>
        <w:rPr>
          <w:rFonts w:hint="eastAsia" w:ascii="宋体" w:hAnsi="宋体" w:eastAsia="宋体" w:cs="宋体"/>
          <w:color w:val="auto"/>
          <w:kern w:val="0"/>
          <w:sz w:val="21"/>
          <w:szCs w:val="21"/>
          <w:u w:val="single"/>
          <w:lang w:val="en-US" w:eastAsia="zh-CN"/>
        </w:rPr>
        <w:t>设备运行故障</w:t>
      </w:r>
      <w:r>
        <w:rPr>
          <w:rFonts w:hint="eastAsia" w:ascii="宋体" w:hAnsi="宋体" w:eastAsia="宋体" w:cs="宋体"/>
          <w:color w:val="auto"/>
          <w:kern w:val="0"/>
          <w:sz w:val="21"/>
          <w:szCs w:val="21"/>
          <w:u w:val="single"/>
        </w:rPr>
        <w:t>等问题，成交人收到采购人通知时，</w:t>
      </w:r>
      <w:r>
        <w:rPr>
          <w:rFonts w:hint="eastAsia" w:ascii="宋体" w:hAnsi="宋体" w:eastAsia="宋体" w:cs="宋体"/>
          <w:color w:val="auto"/>
          <w:kern w:val="0"/>
          <w:sz w:val="21"/>
          <w:szCs w:val="21"/>
          <w:u w:val="single"/>
          <w:lang w:val="en-US" w:eastAsia="zh-CN"/>
        </w:rPr>
        <w:t>应及时响应及时现场排查故障</w:t>
      </w:r>
      <w:r>
        <w:rPr>
          <w:rFonts w:hint="eastAsia" w:ascii="宋体" w:hAnsi="宋体" w:eastAsia="宋体" w:cs="宋体"/>
          <w:color w:val="auto"/>
          <w:kern w:val="0"/>
          <w:sz w:val="21"/>
          <w:szCs w:val="21"/>
          <w:u w:val="single"/>
        </w:rPr>
        <w:t>，符合维修条件时，3天内完成</w:t>
      </w:r>
      <w:r>
        <w:rPr>
          <w:rFonts w:hint="eastAsia" w:ascii="宋体" w:hAnsi="宋体" w:eastAsia="宋体" w:cs="宋体"/>
          <w:color w:val="auto"/>
          <w:kern w:val="0"/>
          <w:sz w:val="21"/>
          <w:szCs w:val="21"/>
          <w:u w:val="single"/>
          <w:lang w:val="en-US" w:eastAsia="zh-CN"/>
        </w:rPr>
        <w:t>修复</w:t>
      </w:r>
      <w:r>
        <w:rPr>
          <w:rFonts w:hint="eastAsia" w:ascii="宋体" w:hAnsi="宋体" w:eastAsia="宋体" w:cs="宋体"/>
          <w:color w:val="auto"/>
          <w:kern w:val="0"/>
          <w:sz w:val="21"/>
          <w:szCs w:val="21"/>
          <w:u w:val="single"/>
        </w:rPr>
        <w:t>，如遇紧急情况，按采购人要求执行。不能按采购人要求及时到达及时维修的，由采购人组织维修，费用从质保金中支付，其发生的费用无需征得成交人同意。质保金费用不足以支付的，应由成交人另行支付。质保期内</w:t>
      </w:r>
      <w:r>
        <w:rPr>
          <w:rFonts w:hint="eastAsia" w:ascii="宋体" w:hAnsi="宋体" w:eastAsia="宋体" w:cs="宋体"/>
          <w:color w:val="auto"/>
          <w:kern w:val="0"/>
          <w:sz w:val="21"/>
          <w:szCs w:val="21"/>
          <w:u w:val="single"/>
          <w:lang w:val="en-US" w:eastAsia="zh-CN"/>
        </w:rPr>
        <w:t>同一地点同一故障累计</w:t>
      </w:r>
      <w:r>
        <w:rPr>
          <w:rFonts w:hint="eastAsia" w:ascii="宋体" w:hAnsi="宋体" w:eastAsia="宋体" w:cs="宋体"/>
          <w:color w:val="auto"/>
          <w:kern w:val="0"/>
          <w:sz w:val="21"/>
          <w:szCs w:val="21"/>
          <w:u w:val="single"/>
        </w:rPr>
        <w:t>发生</w:t>
      </w:r>
      <w:r>
        <w:rPr>
          <w:rFonts w:hint="eastAsia" w:ascii="宋体" w:hAnsi="宋体" w:eastAsia="宋体" w:cs="宋体"/>
          <w:color w:val="auto"/>
          <w:kern w:val="0"/>
          <w:sz w:val="21"/>
          <w:szCs w:val="21"/>
          <w:u w:val="single"/>
          <w:lang w:val="en-US" w:eastAsia="zh-CN"/>
        </w:rPr>
        <w:t>20</w:t>
      </w:r>
      <w:r>
        <w:rPr>
          <w:rFonts w:hint="eastAsia" w:ascii="宋体" w:hAnsi="宋体" w:eastAsia="宋体" w:cs="宋体"/>
          <w:color w:val="auto"/>
          <w:kern w:val="0"/>
          <w:sz w:val="21"/>
          <w:szCs w:val="21"/>
          <w:u w:val="single"/>
        </w:rPr>
        <w:t>次以上的，全额扣除质量保证金。成交人不服从采购人要求，给采购人造成损失或社会不良影响的，视为违约行为，采购人依法依规追究其法律责任</w:t>
      </w:r>
      <w:r>
        <w:rPr>
          <w:rFonts w:hint="eastAsia" w:ascii="宋体" w:hAnsi="宋体" w:eastAsia="宋体" w:cs="宋体"/>
          <w:color w:val="auto"/>
          <w:kern w:val="0"/>
          <w:sz w:val="21"/>
          <w:szCs w:val="21"/>
          <w:u w:val="single"/>
          <w:lang w:eastAsia="zh-CN"/>
        </w:rPr>
        <w:t>。</w:t>
      </w:r>
    </w:p>
    <w:bookmarkEnd w:id="527"/>
    <w:bookmarkEnd w:id="528"/>
    <w:bookmarkEnd w:id="529"/>
    <w:bookmarkEnd w:id="530"/>
    <w:p w14:paraId="627FA805">
      <w:pPr>
        <w:pageBreakBefore w:val="0"/>
        <w:kinsoku/>
        <w:wordWrap/>
        <w:topLinePunct w:val="0"/>
        <w:bidi w:val="0"/>
        <w:snapToGrid w:val="0"/>
        <w:spacing w:beforeAutospacing="0" w:line="360" w:lineRule="auto"/>
        <w:ind w:firstLine="420" w:firstLineChars="200"/>
        <w:outlineLvl w:val="2"/>
        <w:rPr>
          <w:rFonts w:hint="eastAsia" w:ascii="宋体" w:hAnsi="宋体" w:eastAsia="宋体" w:cs="宋体"/>
          <w:color w:val="auto"/>
          <w:sz w:val="21"/>
          <w:szCs w:val="21"/>
        </w:rPr>
      </w:pPr>
      <w:bookmarkStart w:id="553" w:name="_Toc351203648"/>
      <w:bookmarkStart w:id="554" w:name="_Toc280868717"/>
      <w:bookmarkStart w:id="555" w:name="_Toc280868718"/>
      <w:r>
        <w:rPr>
          <w:rFonts w:hint="eastAsia" w:ascii="宋体" w:hAnsi="宋体" w:eastAsia="宋体" w:cs="宋体"/>
          <w:color w:val="auto"/>
          <w:sz w:val="21"/>
          <w:szCs w:val="21"/>
        </w:rPr>
        <w:t>16. 违约</w:t>
      </w:r>
      <w:bookmarkEnd w:id="553"/>
    </w:p>
    <w:p w14:paraId="15CDE27E">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16.1 发包人违约</w:t>
      </w:r>
    </w:p>
    <w:p w14:paraId="4D1ABF01">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16.1.1 发包人违约的情形</w:t>
      </w:r>
    </w:p>
    <w:p w14:paraId="28858EED">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发包人违约的其他情形：</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626384A">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16.1.2 发包人违约的责任</w:t>
      </w:r>
    </w:p>
    <w:p w14:paraId="5B347DBC">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发包人违约责任的承担方式和计算方法：</w:t>
      </w:r>
    </w:p>
    <w:p w14:paraId="71E867DA">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（1）因发包人原因未能在计划开工日期前7天内下达开工通知的违约责任：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6F4CA3B">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（2）因发包人原因未能按合同约定支付合同价款的违约责任：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4FB30AE">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b/>
          <w:color w:val="auto"/>
          <w:sz w:val="21"/>
          <w:szCs w:val="21"/>
          <w:u w:val="single"/>
        </w:rPr>
      </w:pPr>
      <w:r>
        <w:rPr>
          <w:rFonts w:hint="eastAsia" w:ascii="宋体" w:hAnsi="宋体" w:eastAsia="宋体" w:cs="宋体"/>
          <w:color w:val="auto"/>
          <w:sz w:val="21"/>
          <w:szCs w:val="21"/>
        </w:rPr>
        <w:t>（3）发包人违反第10.1款〔变更的范围〕第（2）项约定，自行实施被取消的工作或转由他人实施的违约责任：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48B218B">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7A2FF5F">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（5）因发包人违反合同约定造成暂停施工的违约责任：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F005771">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（6）发包人无正当理由没有在约定期限内发出复工指示，导致承包人无法复工的违约责任：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A279EAB">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（7）其他：</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375ABB6">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16.1.3 因发包人违约解除合同</w:t>
      </w:r>
    </w:p>
    <w:p w14:paraId="6DBC7DF1">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承包人按16.1.1项〔发包人违约的情形〕约定暂停施工满</w:t>
      </w:r>
      <w:r>
        <w:rPr>
          <w:rFonts w:hint="eastAsia" w:ascii="宋体" w:hAnsi="宋体" w:eastAsia="宋体" w:cs="宋体"/>
          <w:color w:val="auto"/>
          <w:sz w:val="21"/>
          <w:szCs w:val="21"/>
          <w:u w:val="single"/>
        </w:rPr>
        <w:t>28</w:t>
      </w:r>
      <w:r>
        <w:rPr>
          <w:rFonts w:hint="eastAsia" w:ascii="宋体" w:hAnsi="宋体" w:eastAsia="宋体" w:cs="宋体"/>
          <w:color w:val="auto"/>
          <w:sz w:val="21"/>
          <w:szCs w:val="21"/>
        </w:rPr>
        <w:t>天后发包人仍不纠正其违约行为并致使合同目的不能实现的，承包人有权解除合同。</w:t>
      </w:r>
    </w:p>
    <w:p w14:paraId="4087E7B2">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16.2 承包人违约</w:t>
      </w:r>
    </w:p>
    <w:p w14:paraId="33C2E518">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16.2.1 承包人违约的情形</w:t>
      </w:r>
    </w:p>
    <w:p w14:paraId="55B5D091">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承包人违约的其他情形：</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u w:val="single"/>
        </w:rPr>
        <w:t xml:space="preserve">执行通用条款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FC604FA">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16.2.2 承包人违约的责任</w:t>
      </w:r>
    </w:p>
    <w:p w14:paraId="34A0B877">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kern w:val="0"/>
          <w:sz w:val="21"/>
          <w:szCs w:val="21"/>
          <w:u w:val="single"/>
          <w:lang w:eastAsia="zh-CN"/>
        </w:rPr>
      </w:pPr>
      <w:r>
        <w:rPr>
          <w:rFonts w:hint="eastAsia" w:ascii="宋体" w:hAnsi="宋体" w:eastAsia="宋体" w:cs="宋体"/>
          <w:color w:val="auto"/>
          <w:sz w:val="21"/>
          <w:szCs w:val="21"/>
        </w:rPr>
        <w:t>承包人违约责任的承担方式和计算方法：</w:t>
      </w:r>
      <w:r>
        <w:rPr>
          <w:rFonts w:hint="eastAsia" w:ascii="宋体" w:hAnsi="宋体" w:eastAsia="宋体" w:cs="宋体"/>
          <w:color w:val="auto"/>
          <w:kern w:val="0"/>
          <w:sz w:val="21"/>
          <w:szCs w:val="21"/>
          <w:u w:val="single"/>
        </w:rPr>
        <w:t xml:space="preserve"> 由承包人承担全部费用并承担相关法律责任</w:t>
      </w:r>
      <w:r>
        <w:rPr>
          <w:rFonts w:hint="eastAsia" w:ascii="宋体" w:hAnsi="宋体" w:eastAsia="宋体" w:cs="宋体"/>
          <w:color w:val="auto"/>
          <w:kern w:val="0"/>
          <w:sz w:val="21"/>
          <w:szCs w:val="21"/>
          <w:u w:val="single"/>
          <w:lang w:eastAsia="zh-CN"/>
        </w:rPr>
        <w:t>。</w:t>
      </w:r>
    </w:p>
    <w:p w14:paraId="19D6396F">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16.2.3 因承包人违约解除合同</w:t>
      </w:r>
    </w:p>
    <w:p w14:paraId="2CB6E74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关于承包人违约解除合同的特别约定：</w:t>
      </w:r>
      <w:r>
        <w:rPr>
          <w:rFonts w:hint="eastAsia" w:ascii="宋体" w:hAnsi="宋体" w:eastAsia="宋体" w:cs="宋体"/>
          <w:color w:val="auto"/>
          <w:kern w:val="0"/>
          <w:sz w:val="21"/>
          <w:szCs w:val="21"/>
          <w:u w:val="single"/>
        </w:rPr>
        <w:t>除专用条款约定情形外，其余执行通用条款</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37C2307">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u w:val="single"/>
        </w:rPr>
        <w:t>承包人承担费用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E2B4CE1">
      <w:pPr>
        <w:pageBreakBefore w:val="0"/>
        <w:kinsoku/>
        <w:wordWrap/>
        <w:topLinePunct w:val="0"/>
        <w:bidi w:val="0"/>
        <w:snapToGrid w:val="0"/>
        <w:spacing w:beforeAutospacing="0" w:line="360" w:lineRule="auto"/>
        <w:ind w:firstLine="420" w:firstLineChars="200"/>
        <w:outlineLvl w:val="2"/>
        <w:rPr>
          <w:rFonts w:hint="eastAsia" w:ascii="宋体" w:hAnsi="宋体" w:eastAsia="宋体" w:cs="宋体"/>
          <w:color w:val="auto"/>
          <w:sz w:val="21"/>
          <w:szCs w:val="21"/>
        </w:rPr>
      </w:pPr>
      <w:bookmarkStart w:id="556" w:name="_Toc351203649"/>
      <w:r>
        <w:rPr>
          <w:rFonts w:hint="eastAsia" w:ascii="宋体" w:hAnsi="宋体" w:eastAsia="宋体" w:cs="宋体"/>
          <w:color w:val="auto"/>
          <w:sz w:val="21"/>
          <w:szCs w:val="21"/>
        </w:rPr>
        <w:t>17. 不可抗力</w:t>
      </w:r>
      <w:bookmarkEnd w:id="556"/>
      <w:r>
        <w:rPr>
          <w:rFonts w:hint="eastAsia" w:ascii="宋体" w:hAnsi="宋体" w:eastAsia="宋体" w:cs="宋体"/>
          <w:color w:val="auto"/>
          <w:sz w:val="21"/>
          <w:szCs w:val="21"/>
        </w:rPr>
        <w:t xml:space="preserve"> </w:t>
      </w:r>
      <w:bookmarkEnd w:id="554"/>
    </w:p>
    <w:p w14:paraId="35C1F38E">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17.1 不可抗力的确认</w:t>
      </w:r>
    </w:p>
    <w:p w14:paraId="3F6ECD12">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b/>
          <w:color w:val="auto"/>
          <w:sz w:val="21"/>
          <w:szCs w:val="21"/>
          <w:u w:val="single"/>
        </w:rPr>
      </w:pPr>
      <w:r>
        <w:rPr>
          <w:rFonts w:hint="eastAsia" w:ascii="宋体" w:hAnsi="宋体" w:eastAsia="宋体" w:cs="宋体"/>
          <w:color w:val="auto"/>
          <w:sz w:val="21"/>
          <w:szCs w:val="21"/>
        </w:rPr>
        <w:t>除通用合同条款约定的不可抗力事件之外，视为不可抗力的其他情形：</w:t>
      </w:r>
      <w:r>
        <w:rPr>
          <w:rFonts w:hint="eastAsia" w:ascii="宋体" w:hAnsi="宋体" w:eastAsia="宋体" w:cs="宋体"/>
          <w:color w:val="auto"/>
          <w:sz w:val="21"/>
          <w:szCs w:val="21"/>
          <w:u w:val="single"/>
        </w:rPr>
        <w:t>另行商定</w:t>
      </w:r>
      <w:r>
        <w:rPr>
          <w:rFonts w:hint="eastAsia" w:ascii="宋体" w:hAnsi="宋体" w:eastAsia="宋体" w:cs="宋体"/>
          <w:color w:val="auto"/>
          <w:sz w:val="21"/>
          <w:szCs w:val="21"/>
        </w:rPr>
        <w:t>。</w:t>
      </w:r>
    </w:p>
    <w:p w14:paraId="241B4B62">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17.4 因不可抗力解除合同</w:t>
      </w:r>
    </w:p>
    <w:p w14:paraId="4A4FCB04">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合同解除后，发包人应在商定或确定发包人应支付款项后</w:t>
      </w:r>
      <w:r>
        <w:rPr>
          <w:rFonts w:hint="eastAsia" w:ascii="宋体" w:hAnsi="宋体" w:eastAsia="宋体" w:cs="宋体"/>
          <w:color w:val="auto"/>
          <w:sz w:val="21"/>
          <w:szCs w:val="21"/>
          <w:u w:val="single"/>
        </w:rPr>
        <w:t>28</w:t>
      </w:r>
      <w:r>
        <w:rPr>
          <w:rFonts w:hint="eastAsia" w:ascii="宋体" w:hAnsi="宋体" w:eastAsia="宋体" w:cs="宋体"/>
          <w:color w:val="auto"/>
          <w:sz w:val="21"/>
          <w:szCs w:val="21"/>
        </w:rPr>
        <w:t>天内完成款项的支付。</w:t>
      </w:r>
    </w:p>
    <w:p w14:paraId="29BD58C4">
      <w:pPr>
        <w:pageBreakBefore w:val="0"/>
        <w:kinsoku/>
        <w:wordWrap/>
        <w:topLinePunct w:val="0"/>
        <w:bidi w:val="0"/>
        <w:snapToGrid w:val="0"/>
        <w:spacing w:beforeAutospacing="0" w:line="360" w:lineRule="auto"/>
        <w:ind w:firstLine="420" w:firstLineChars="200"/>
        <w:outlineLvl w:val="2"/>
        <w:rPr>
          <w:rFonts w:hint="eastAsia" w:ascii="宋体" w:hAnsi="宋体" w:eastAsia="宋体" w:cs="宋体"/>
          <w:color w:val="auto"/>
          <w:sz w:val="21"/>
          <w:szCs w:val="21"/>
        </w:rPr>
      </w:pPr>
      <w:bookmarkStart w:id="557" w:name="_Toc351203650"/>
      <w:r>
        <w:rPr>
          <w:rFonts w:hint="eastAsia" w:ascii="宋体" w:hAnsi="宋体" w:eastAsia="宋体" w:cs="宋体"/>
          <w:color w:val="auto"/>
          <w:sz w:val="21"/>
          <w:szCs w:val="21"/>
        </w:rPr>
        <w:t>18. 保险</w:t>
      </w:r>
      <w:bookmarkEnd w:id="557"/>
    </w:p>
    <w:bookmarkEnd w:id="555"/>
    <w:p w14:paraId="587E770F">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18.1 工程保险</w:t>
      </w:r>
    </w:p>
    <w:p w14:paraId="4A934659">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关于工程保险的特别约定：</w:t>
      </w:r>
      <w:r>
        <w:rPr>
          <w:rFonts w:hint="eastAsia" w:ascii="宋体" w:hAnsi="宋体" w:eastAsia="宋体" w:cs="宋体"/>
          <w:color w:val="auto"/>
          <w:sz w:val="21"/>
          <w:szCs w:val="21"/>
          <w:u w:val="single"/>
        </w:rPr>
        <w:t xml:space="preserve"> 承包人自行考虑 </w:t>
      </w:r>
      <w:r>
        <w:rPr>
          <w:rFonts w:hint="eastAsia" w:ascii="宋体" w:hAnsi="宋体" w:eastAsia="宋体" w:cs="宋体"/>
          <w:b/>
          <w:color w:val="auto"/>
          <w:sz w:val="21"/>
          <w:szCs w:val="21"/>
        </w:rPr>
        <w:t>。</w:t>
      </w:r>
    </w:p>
    <w:p w14:paraId="6C337938">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18.3 其他保险</w:t>
      </w:r>
    </w:p>
    <w:p w14:paraId="2EFEFE0B">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关于其他保险的约定：</w:t>
      </w:r>
      <w:r>
        <w:rPr>
          <w:rFonts w:hint="eastAsia" w:ascii="宋体" w:hAnsi="宋体" w:eastAsia="宋体" w:cs="宋体"/>
          <w:color w:val="auto"/>
          <w:sz w:val="21"/>
          <w:szCs w:val="21"/>
          <w:u w:val="single"/>
        </w:rPr>
        <w:t>承包人须为其施工现场的全部人员办理意外伤害保险并支付保险费，包括其员工及为履行合同聘请的第三方的人员</w:t>
      </w:r>
      <w:r>
        <w:rPr>
          <w:rFonts w:hint="eastAsia" w:ascii="宋体" w:hAnsi="宋体" w:eastAsia="宋体" w:cs="宋体"/>
          <w:color w:val="auto"/>
          <w:sz w:val="21"/>
          <w:szCs w:val="21"/>
        </w:rPr>
        <w:t>。</w:t>
      </w:r>
    </w:p>
    <w:p w14:paraId="52EE210F">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承包人是否应为其施工设备等办理财产保险：</w:t>
      </w:r>
      <w:r>
        <w:rPr>
          <w:rFonts w:hint="eastAsia" w:ascii="宋体" w:hAnsi="宋体" w:eastAsia="宋体" w:cs="宋体"/>
          <w:color w:val="auto"/>
          <w:sz w:val="21"/>
          <w:szCs w:val="21"/>
          <w:u w:val="single"/>
        </w:rPr>
        <w:t>执行通用条款</w:t>
      </w:r>
      <w:r>
        <w:rPr>
          <w:rFonts w:hint="eastAsia" w:ascii="宋体" w:hAnsi="宋体" w:eastAsia="宋体" w:cs="宋体"/>
          <w:color w:val="auto"/>
          <w:sz w:val="21"/>
          <w:szCs w:val="21"/>
        </w:rPr>
        <w:t>。</w:t>
      </w:r>
    </w:p>
    <w:p w14:paraId="1D0CDA33">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18.7 通知义务</w:t>
      </w:r>
    </w:p>
    <w:p w14:paraId="1D52643D">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b/>
          <w:color w:val="auto"/>
          <w:sz w:val="21"/>
          <w:szCs w:val="21"/>
          <w:u w:val="single"/>
        </w:rPr>
      </w:pPr>
      <w:r>
        <w:rPr>
          <w:rFonts w:hint="eastAsia" w:ascii="宋体" w:hAnsi="宋体" w:eastAsia="宋体" w:cs="宋体"/>
          <w:color w:val="auto"/>
          <w:sz w:val="21"/>
          <w:szCs w:val="21"/>
        </w:rPr>
        <w:t>关于变更保险合同时的通知义务的约定：</w:t>
      </w:r>
      <w:r>
        <w:rPr>
          <w:rFonts w:hint="eastAsia" w:ascii="宋体" w:hAnsi="宋体" w:eastAsia="宋体" w:cs="宋体"/>
          <w:color w:val="auto"/>
          <w:sz w:val="21"/>
          <w:szCs w:val="21"/>
          <w:u w:val="single"/>
        </w:rPr>
        <w:t>执行通用条款</w:t>
      </w:r>
      <w:r>
        <w:rPr>
          <w:rFonts w:hint="eastAsia" w:ascii="宋体" w:hAnsi="宋体" w:eastAsia="宋体" w:cs="宋体"/>
          <w:color w:val="auto"/>
          <w:sz w:val="21"/>
          <w:szCs w:val="21"/>
        </w:rPr>
        <w:t>。</w:t>
      </w:r>
    </w:p>
    <w:bookmarkEnd w:id="531"/>
    <w:bookmarkEnd w:id="532"/>
    <w:bookmarkEnd w:id="533"/>
    <w:bookmarkEnd w:id="534"/>
    <w:bookmarkEnd w:id="535"/>
    <w:bookmarkEnd w:id="536"/>
    <w:bookmarkEnd w:id="537"/>
    <w:bookmarkEnd w:id="538"/>
    <w:bookmarkEnd w:id="539"/>
    <w:bookmarkEnd w:id="540"/>
    <w:bookmarkEnd w:id="541"/>
    <w:bookmarkEnd w:id="542"/>
    <w:p w14:paraId="5208D2F2">
      <w:pPr>
        <w:pageBreakBefore w:val="0"/>
        <w:kinsoku/>
        <w:wordWrap/>
        <w:topLinePunct w:val="0"/>
        <w:bidi w:val="0"/>
        <w:snapToGrid w:val="0"/>
        <w:spacing w:beforeAutospacing="0" w:line="360" w:lineRule="auto"/>
        <w:ind w:firstLine="420" w:firstLineChars="200"/>
        <w:outlineLvl w:val="2"/>
        <w:rPr>
          <w:rFonts w:hint="eastAsia" w:ascii="宋体" w:hAnsi="宋体" w:eastAsia="宋体" w:cs="宋体"/>
          <w:color w:val="auto"/>
          <w:sz w:val="21"/>
          <w:szCs w:val="21"/>
        </w:rPr>
      </w:pPr>
      <w:bookmarkStart w:id="558" w:name="_Toc351203651"/>
      <w:r>
        <w:rPr>
          <w:rFonts w:hint="eastAsia" w:ascii="宋体" w:hAnsi="宋体" w:eastAsia="宋体" w:cs="宋体"/>
          <w:color w:val="auto"/>
          <w:sz w:val="21"/>
          <w:szCs w:val="21"/>
        </w:rPr>
        <w:t>20. 争议解决</w:t>
      </w:r>
      <w:bookmarkEnd w:id="558"/>
    </w:p>
    <w:bookmarkEnd w:id="543"/>
    <w:bookmarkEnd w:id="544"/>
    <w:p w14:paraId="3A7F4B9B">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20.3 争</w:t>
      </w:r>
      <w:bookmarkEnd w:id="545"/>
      <w:r>
        <w:rPr>
          <w:rFonts w:hint="eastAsia" w:ascii="宋体" w:hAnsi="宋体" w:eastAsia="宋体" w:cs="宋体"/>
          <w:bCs/>
          <w:color w:val="auto"/>
          <w:sz w:val="21"/>
          <w:szCs w:val="21"/>
        </w:rPr>
        <w:t>议评审</w:t>
      </w:r>
    </w:p>
    <w:p w14:paraId="449C1A16">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合同当事人是否同意将工程争议提交争议评审小组决定：</w:t>
      </w:r>
      <w:r>
        <w:rPr>
          <w:rFonts w:hint="eastAsia" w:ascii="宋体" w:hAnsi="宋体" w:eastAsia="宋体" w:cs="宋体"/>
          <w:color w:val="auto"/>
          <w:sz w:val="21"/>
          <w:szCs w:val="21"/>
          <w:u w:val="single"/>
        </w:rPr>
        <w:t xml:space="preserve"> 不同意   </w:t>
      </w:r>
      <w:r>
        <w:rPr>
          <w:rFonts w:hint="eastAsia" w:ascii="宋体" w:hAnsi="宋体" w:eastAsia="宋体" w:cs="宋体"/>
          <w:color w:val="auto"/>
          <w:sz w:val="21"/>
          <w:szCs w:val="21"/>
        </w:rPr>
        <w:t>。</w:t>
      </w:r>
    </w:p>
    <w:p w14:paraId="7755E3F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20.3.1 争议评审小组的确定</w:t>
      </w:r>
    </w:p>
    <w:p w14:paraId="1A9172C0">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争议评审小组成员的确定：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4A8A946">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选定争议评审员的期限：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07DEF2A">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争议评审小组成员的报酬承担方式：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CA6F028">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其他事项的约定：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54C6B7B">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20.3.2 争议评审小组的决定</w:t>
      </w:r>
    </w:p>
    <w:p w14:paraId="66AE8874">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合同当事人关于本项的约定：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95461A3">
      <w:pPr>
        <w:keepNext/>
        <w:keepLines/>
        <w:pageBreakBefore w:val="0"/>
        <w:kinsoku/>
        <w:wordWrap/>
        <w:topLinePunct w:val="0"/>
        <w:bidi w:val="0"/>
        <w:snapToGrid w:val="0"/>
        <w:spacing w:beforeAutospacing="0" w:line="360" w:lineRule="auto"/>
        <w:ind w:firstLine="420" w:firstLineChars="200"/>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20.4 仲裁或诉讼</w:t>
      </w:r>
      <w:bookmarkEnd w:id="546"/>
    </w:p>
    <w:bookmarkEnd w:id="547"/>
    <w:bookmarkEnd w:id="548"/>
    <w:bookmarkEnd w:id="549"/>
    <w:bookmarkEnd w:id="550"/>
    <w:bookmarkEnd w:id="551"/>
    <w:bookmarkEnd w:id="552"/>
    <w:p w14:paraId="37DCAB61">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因合同及合同有关事项发生的争议，按下列</w:t>
      </w:r>
      <w:r>
        <w:rPr>
          <w:rFonts w:hint="eastAsia" w:ascii="宋体" w:hAnsi="宋体" w:eastAsia="宋体" w:cs="宋体"/>
          <w:b/>
          <w:bCs/>
          <w:color w:val="auto"/>
          <w:sz w:val="21"/>
          <w:szCs w:val="21"/>
        </w:rPr>
        <w:t>第</w:t>
      </w:r>
      <w:r>
        <w:rPr>
          <w:rFonts w:hint="eastAsia" w:ascii="宋体" w:hAnsi="宋体" w:eastAsia="宋体" w:cs="宋体"/>
          <w:b/>
          <w:bCs/>
          <w:color w:val="auto"/>
          <w:sz w:val="21"/>
          <w:szCs w:val="21"/>
          <w:u w:val="single"/>
        </w:rPr>
        <w:t xml:space="preserve"> 2 </w:t>
      </w:r>
      <w:r>
        <w:rPr>
          <w:rFonts w:hint="eastAsia" w:ascii="宋体" w:hAnsi="宋体" w:eastAsia="宋体" w:cs="宋体"/>
          <w:b/>
          <w:bCs/>
          <w:color w:val="auto"/>
          <w:sz w:val="21"/>
          <w:szCs w:val="21"/>
        </w:rPr>
        <w:t>种</w:t>
      </w:r>
      <w:r>
        <w:rPr>
          <w:rFonts w:hint="eastAsia" w:ascii="宋体" w:hAnsi="宋体" w:eastAsia="宋体" w:cs="宋体"/>
          <w:color w:val="auto"/>
          <w:sz w:val="21"/>
          <w:szCs w:val="21"/>
        </w:rPr>
        <w:t>方式解决：</w:t>
      </w:r>
    </w:p>
    <w:p w14:paraId="78FC2ED5">
      <w:pPr>
        <w:pageBreakBefore w:val="0"/>
        <w:numPr>
          <w:ilvl w:val="0"/>
          <w:numId w:val="7"/>
        </w:numPr>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向</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滁州</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仲裁委员会申请仲裁；</w:t>
      </w:r>
    </w:p>
    <w:p w14:paraId="4563400B">
      <w:pPr>
        <w:pageBreakBefore w:val="0"/>
        <w:kinsoku/>
        <w:wordWrap/>
        <w:topLinePunct w:val="0"/>
        <w:bidi w:val="0"/>
        <w:adjustRightInd w:val="0"/>
        <w:snapToGrid w:val="0"/>
        <w:spacing w:beforeAutospacing="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（2）向</w:t>
      </w:r>
      <w:r>
        <w:rPr>
          <w:rFonts w:hint="eastAsia" w:ascii="宋体" w:hAnsi="宋体" w:eastAsia="宋体" w:cs="宋体"/>
          <w:color w:val="auto"/>
          <w:sz w:val="21"/>
          <w:szCs w:val="21"/>
          <w:u w:val="single"/>
        </w:rPr>
        <w:t>滁州市琅琊区</w:t>
      </w:r>
      <w:r>
        <w:rPr>
          <w:rFonts w:hint="eastAsia" w:ascii="宋体" w:hAnsi="宋体" w:eastAsia="宋体" w:cs="宋体"/>
          <w:color w:val="auto"/>
          <w:sz w:val="21"/>
          <w:szCs w:val="21"/>
        </w:rPr>
        <w:t>人民法院起诉。</w:t>
      </w:r>
      <w:bookmarkEnd w:id="64"/>
    </w:p>
    <w:p w14:paraId="2A308E28">
      <w:pPr>
        <w:rPr>
          <w:rFonts w:hint="eastAsia" w:cs="宋体"/>
          <w:b/>
          <w:color w:val="auto"/>
          <w:sz w:val="21"/>
          <w:szCs w:val="21"/>
          <w:highlight w:val="none"/>
        </w:rPr>
      </w:pPr>
      <w:r>
        <w:rPr>
          <w:rFonts w:hint="eastAsia" w:cs="宋体"/>
          <w:b/>
          <w:color w:val="auto"/>
          <w:sz w:val="21"/>
          <w:szCs w:val="21"/>
          <w:highlight w:val="none"/>
        </w:rPr>
        <w:br w:type="page"/>
      </w:r>
    </w:p>
    <w:p w14:paraId="1D860B45">
      <w:pPr>
        <w:snapToGrid w:val="0"/>
        <w:spacing w:line="360" w:lineRule="auto"/>
        <w:rPr>
          <w:rFonts w:cs="宋体"/>
          <w:b/>
          <w:color w:val="auto"/>
          <w:sz w:val="21"/>
          <w:szCs w:val="21"/>
          <w:highlight w:val="none"/>
        </w:rPr>
      </w:pPr>
      <w:r>
        <w:rPr>
          <w:rFonts w:hint="eastAsia" w:cs="宋体"/>
          <w:b/>
          <w:color w:val="auto"/>
          <w:sz w:val="21"/>
          <w:szCs w:val="21"/>
          <w:highlight w:val="none"/>
        </w:rPr>
        <w:t>附件</w:t>
      </w:r>
    </w:p>
    <w:p w14:paraId="02825514">
      <w:pPr>
        <w:snapToGrid w:val="0"/>
        <w:spacing w:line="360" w:lineRule="auto"/>
        <w:rPr>
          <w:rFonts w:cs="宋体"/>
          <w:color w:val="auto"/>
          <w:sz w:val="21"/>
          <w:szCs w:val="21"/>
          <w:highlight w:val="none"/>
        </w:rPr>
      </w:pPr>
      <w:r>
        <w:rPr>
          <w:rFonts w:hint="eastAsia" w:cs="宋体"/>
          <w:color w:val="auto"/>
          <w:sz w:val="21"/>
          <w:szCs w:val="21"/>
          <w:highlight w:val="none"/>
        </w:rPr>
        <w:t>协议书附件：</w:t>
      </w:r>
    </w:p>
    <w:p w14:paraId="245AE4FE">
      <w:pPr>
        <w:snapToGrid w:val="0"/>
        <w:spacing w:line="360" w:lineRule="auto"/>
        <w:rPr>
          <w:rFonts w:cs="宋体"/>
          <w:color w:val="auto"/>
          <w:sz w:val="21"/>
          <w:szCs w:val="21"/>
          <w:highlight w:val="none"/>
        </w:rPr>
      </w:pPr>
      <w:bookmarkStart w:id="559" w:name="_Toc128950221"/>
      <w:r>
        <w:rPr>
          <w:rFonts w:hint="eastAsia" w:cs="宋体"/>
          <w:color w:val="auto"/>
          <w:sz w:val="21"/>
          <w:szCs w:val="21"/>
          <w:highlight w:val="none"/>
        </w:rPr>
        <w:t>附件1：承包人承揽工程项目一览表</w:t>
      </w:r>
      <w:bookmarkEnd w:id="559"/>
    </w:p>
    <w:p w14:paraId="57DDF528">
      <w:pPr>
        <w:snapToGrid w:val="0"/>
        <w:spacing w:line="360" w:lineRule="auto"/>
        <w:rPr>
          <w:rFonts w:cs="宋体"/>
          <w:color w:val="auto"/>
          <w:sz w:val="21"/>
          <w:szCs w:val="21"/>
          <w:highlight w:val="none"/>
        </w:rPr>
      </w:pPr>
    </w:p>
    <w:p w14:paraId="71655008">
      <w:pPr>
        <w:snapToGrid w:val="0"/>
        <w:spacing w:line="360" w:lineRule="auto"/>
        <w:rPr>
          <w:rFonts w:cs="宋体"/>
          <w:color w:val="auto"/>
          <w:sz w:val="21"/>
          <w:szCs w:val="21"/>
          <w:highlight w:val="none"/>
        </w:rPr>
      </w:pPr>
      <w:r>
        <w:rPr>
          <w:rFonts w:hint="eastAsia" w:cs="宋体"/>
          <w:color w:val="auto"/>
          <w:sz w:val="21"/>
          <w:szCs w:val="21"/>
          <w:highlight w:val="none"/>
        </w:rPr>
        <w:t>专用合同条款附件：</w:t>
      </w:r>
    </w:p>
    <w:p w14:paraId="5425724D">
      <w:pPr>
        <w:snapToGrid w:val="0"/>
        <w:spacing w:line="360" w:lineRule="auto"/>
        <w:rPr>
          <w:rFonts w:cs="宋体"/>
          <w:color w:val="auto"/>
          <w:sz w:val="21"/>
          <w:szCs w:val="21"/>
          <w:highlight w:val="none"/>
        </w:rPr>
      </w:pPr>
      <w:bookmarkStart w:id="560" w:name="_Toc128950222"/>
      <w:r>
        <w:rPr>
          <w:rFonts w:hint="eastAsia" w:cs="宋体"/>
          <w:color w:val="auto"/>
          <w:sz w:val="21"/>
          <w:szCs w:val="21"/>
          <w:highlight w:val="none"/>
        </w:rPr>
        <w:t>附件2：发包人供应材料设备一览表</w:t>
      </w:r>
      <w:bookmarkEnd w:id="560"/>
    </w:p>
    <w:p w14:paraId="45AC2A4C">
      <w:pPr>
        <w:snapToGrid w:val="0"/>
        <w:spacing w:line="360" w:lineRule="auto"/>
        <w:rPr>
          <w:rFonts w:cs="宋体"/>
          <w:color w:val="auto"/>
          <w:sz w:val="21"/>
          <w:szCs w:val="21"/>
          <w:highlight w:val="none"/>
        </w:rPr>
      </w:pPr>
      <w:bookmarkStart w:id="561" w:name="_Toc128950223"/>
      <w:r>
        <w:rPr>
          <w:rFonts w:hint="eastAsia" w:cs="宋体"/>
          <w:color w:val="auto"/>
          <w:sz w:val="21"/>
          <w:szCs w:val="21"/>
          <w:highlight w:val="none"/>
        </w:rPr>
        <w:t>附件3：工程质量保修书</w:t>
      </w:r>
      <w:bookmarkEnd w:id="561"/>
    </w:p>
    <w:p w14:paraId="533EE064">
      <w:pPr>
        <w:snapToGrid w:val="0"/>
        <w:spacing w:line="360" w:lineRule="auto"/>
        <w:rPr>
          <w:rFonts w:cs="宋体"/>
          <w:color w:val="auto"/>
          <w:sz w:val="21"/>
          <w:szCs w:val="21"/>
          <w:highlight w:val="none"/>
        </w:rPr>
      </w:pPr>
      <w:bookmarkStart w:id="562" w:name="_Toc128950224"/>
      <w:r>
        <w:rPr>
          <w:rFonts w:hint="eastAsia" w:cs="宋体"/>
          <w:color w:val="auto"/>
          <w:sz w:val="21"/>
          <w:szCs w:val="21"/>
          <w:highlight w:val="none"/>
        </w:rPr>
        <w:t>附件4：主要建设工程文件目录</w:t>
      </w:r>
      <w:bookmarkEnd w:id="562"/>
    </w:p>
    <w:p w14:paraId="3E14C298">
      <w:pPr>
        <w:snapToGrid w:val="0"/>
        <w:spacing w:line="360" w:lineRule="auto"/>
        <w:rPr>
          <w:rFonts w:cs="宋体"/>
          <w:color w:val="auto"/>
          <w:sz w:val="21"/>
          <w:szCs w:val="21"/>
          <w:highlight w:val="none"/>
        </w:rPr>
      </w:pPr>
      <w:bookmarkStart w:id="563" w:name="_Toc128950225"/>
      <w:r>
        <w:rPr>
          <w:rFonts w:hint="eastAsia" w:cs="宋体"/>
          <w:color w:val="auto"/>
          <w:sz w:val="21"/>
          <w:szCs w:val="21"/>
          <w:highlight w:val="none"/>
        </w:rPr>
        <w:t>附件5：承包人用于本工程施工的机械设备表</w:t>
      </w:r>
      <w:bookmarkEnd w:id="563"/>
    </w:p>
    <w:p w14:paraId="4EF1AAEA">
      <w:pPr>
        <w:snapToGrid w:val="0"/>
        <w:spacing w:line="360" w:lineRule="auto"/>
        <w:rPr>
          <w:rFonts w:cs="宋体"/>
          <w:color w:val="auto"/>
          <w:sz w:val="21"/>
          <w:szCs w:val="21"/>
          <w:highlight w:val="none"/>
        </w:rPr>
      </w:pPr>
      <w:bookmarkStart w:id="564" w:name="_Toc128950226"/>
      <w:r>
        <w:rPr>
          <w:rFonts w:hint="eastAsia" w:cs="宋体"/>
          <w:color w:val="auto"/>
          <w:sz w:val="21"/>
          <w:szCs w:val="21"/>
          <w:highlight w:val="none"/>
        </w:rPr>
        <w:t>附件6：承包人主要施工管理人员表</w:t>
      </w:r>
      <w:bookmarkEnd w:id="564"/>
    </w:p>
    <w:p w14:paraId="31E7B20F">
      <w:pPr>
        <w:snapToGrid w:val="0"/>
        <w:spacing w:line="360" w:lineRule="auto"/>
        <w:rPr>
          <w:rFonts w:cs="宋体"/>
          <w:color w:val="auto"/>
          <w:sz w:val="21"/>
          <w:szCs w:val="21"/>
          <w:highlight w:val="none"/>
        </w:rPr>
      </w:pPr>
      <w:bookmarkStart w:id="565" w:name="_Toc128950227"/>
      <w:r>
        <w:rPr>
          <w:rFonts w:hint="eastAsia" w:cs="宋体"/>
          <w:color w:val="auto"/>
          <w:sz w:val="21"/>
          <w:szCs w:val="21"/>
          <w:highlight w:val="none"/>
        </w:rPr>
        <w:t>附件7：分包人主要施工管理人员表</w:t>
      </w:r>
      <w:bookmarkEnd w:id="565"/>
    </w:p>
    <w:p w14:paraId="60707DDB">
      <w:pPr>
        <w:snapToGrid w:val="0"/>
        <w:spacing w:line="360" w:lineRule="auto"/>
        <w:rPr>
          <w:rFonts w:cs="宋体"/>
          <w:color w:val="auto"/>
          <w:sz w:val="21"/>
          <w:szCs w:val="21"/>
          <w:highlight w:val="none"/>
        </w:rPr>
      </w:pPr>
      <w:bookmarkStart w:id="566" w:name="_Toc128950228"/>
      <w:r>
        <w:rPr>
          <w:rFonts w:hint="eastAsia" w:cs="宋体"/>
          <w:color w:val="auto"/>
          <w:sz w:val="21"/>
          <w:szCs w:val="21"/>
          <w:highlight w:val="none"/>
        </w:rPr>
        <w:t>附件8：廉政协议</w:t>
      </w:r>
      <w:bookmarkEnd w:id="566"/>
    </w:p>
    <w:p w14:paraId="74EB8D12">
      <w:pPr>
        <w:snapToGrid w:val="0"/>
        <w:spacing w:line="360" w:lineRule="auto"/>
        <w:rPr>
          <w:rFonts w:cs="宋体"/>
          <w:color w:val="auto"/>
          <w:sz w:val="21"/>
          <w:szCs w:val="21"/>
          <w:highlight w:val="none"/>
        </w:rPr>
      </w:pPr>
      <w:bookmarkStart w:id="567" w:name="_Toc128950229"/>
      <w:r>
        <w:rPr>
          <w:rFonts w:hint="eastAsia" w:cs="宋体"/>
          <w:color w:val="auto"/>
          <w:sz w:val="21"/>
          <w:szCs w:val="21"/>
          <w:highlight w:val="none"/>
        </w:rPr>
        <w:t>附件9：履约保证金格式</w:t>
      </w:r>
      <w:bookmarkEnd w:id="567"/>
    </w:p>
    <w:p w14:paraId="3415BA02">
      <w:pPr>
        <w:snapToGrid w:val="0"/>
        <w:spacing w:line="360" w:lineRule="auto"/>
        <w:rPr>
          <w:rFonts w:cs="宋体"/>
          <w:color w:val="auto"/>
          <w:sz w:val="21"/>
          <w:szCs w:val="21"/>
          <w:highlight w:val="none"/>
        </w:rPr>
      </w:pPr>
      <w:bookmarkStart w:id="568" w:name="_Toc128950230"/>
      <w:r>
        <w:rPr>
          <w:rFonts w:hint="eastAsia" w:cs="宋体"/>
          <w:color w:val="auto"/>
          <w:sz w:val="21"/>
          <w:szCs w:val="21"/>
          <w:highlight w:val="none"/>
        </w:rPr>
        <w:t>附件10：预付款担保格式</w:t>
      </w:r>
      <w:bookmarkEnd w:id="568"/>
    </w:p>
    <w:p w14:paraId="2126F53C">
      <w:pPr>
        <w:snapToGrid w:val="0"/>
        <w:spacing w:line="360" w:lineRule="auto"/>
        <w:rPr>
          <w:rFonts w:cs="宋体"/>
          <w:color w:val="auto"/>
          <w:sz w:val="21"/>
          <w:szCs w:val="21"/>
          <w:highlight w:val="none"/>
        </w:rPr>
      </w:pPr>
      <w:bookmarkStart w:id="569" w:name="_Toc128950231"/>
      <w:r>
        <w:rPr>
          <w:rFonts w:hint="eastAsia" w:cs="宋体"/>
          <w:color w:val="auto"/>
          <w:sz w:val="21"/>
          <w:szCs w:val="21"/>
          <w:highlight w:val="none"/>
        </w:rPr>
        <w:t>附件11：支付担保格式</w:t>
      </w:r>
      <w:bookmarkEnd w:id="569"/>
    </w:p>
    <w:p w14:paraId="1DD2AA4B">
      <w:pPr>
        <w:snapToGrid w:val="0"/>
        <w:spacing w:line="360" w:lineRule="auto"/>
        <w:rPr>
          <w:rFonts w:cs="宋体"/>
          <w:color w:val="auto"/>
          <w:sz w:val="21"/>
          <w:szCs w:val="21"/>
          <w:highlight w:val="none"/>
        </w:rPr>
      </w:pPr>
      <w:bookmarkStart w:id="570" w:name="_Toc128950232"/>
      <w:r>
        <w:rPr>
          <w:rFonts w:hint="eastAsia" w:cs="宋体"/>
          <w:color w:val="auto"/>
          <w:sz w:val="21"/>
          <w:szCs w:val="21"/>
          <w:highlight w:val="none"/>
        </w:rPr>
        <w:t>附件12：暂估价一览表</w:t>
      </w:r>
      <w:bookmarkEnd w:id="570"/>
    </w:p>
    <w:p w14:paraId="233FFD24">
      <w:pPr>
        <w:snapToGrid w:val="0"/>
        <w:spacing w:line="360" w:lineRule="auto"/>
        <w:rPr>
          <w:rFonts w:cs="宋体"/>
          <w:color w:val="auto"/>
          <w:sz w:val="21"/>
          <w:szCs w:val="21"/>
          <w:highlight w:val="none"/>
        </w:rPr>
      </w:pPr>
      <w:bookmarkStart w:id="571" w:name="_Toc128950233"/>
      <w:r>
        <w:rPr>
          <w:rFonts w:hint="eastAsia" w:cs="宋体"/>
          <w:color w:val="auto"/>
          <w:sz w:val="21"/>
          <w:szCs w:val="21"/>
          <w:highlight w:val="none"/>
        </w:rPr>
        <w:t>附件13：安全生产合同</w:t>
      </w:r>
      <w:bookmarkEnd w:id="571"/>
    </w:p>
    <w:p w14:paraId="3E3A633A">
      <w:pPr>
        <w:snapToGrid w:val="0"/>
        <w:spacing w:line="360" w:lineRule="auto"/>
        <w:rPr>
          <w:rFonts w:cs="宋体"/>
          <w:color w:val="auto"/>
          <w:sz w:val="21"/>
          <w:szCs w:val="21"/>
          <w:highlight w:val="none"/>
        </w:rPr>
      </w:pPr>
      <w:bookmarkStart w:id="572" w:name="_Toc128950234"/>
      <w:r>
        <w:rPr>
          <w:rFonts w:hint="eastAsia" w:cs="宋体"/>
          <w:color w:val="auto"/>
          <w:sz w:val="21"/>
          <w:szCs w:val="21"/>
          <w:highlight w:val="none"/>
        </w:rPr>
        <w:t>附件14：项目经理质量终身责任制承诺</w:t>
      </w:r>
      <w:bookmarkEnd w:id="572"/>
    </w:p>
    <w:p w14:paraId="47AE1FD2">
      <w:pPr>
        <w:snapToGrid w:val="0"/>
        <w:spacing w:before="312" w:beforeLines="100" w:after="312" w:afterLines="100" w:line="360" w:lineRule="auto"/>
        <w:outlineLvl w:val="2"/>
        <w:rPr>
          <w:rFonts w:ascii="Times New Roman" w:eastAsia="黑体"/>
          <w:color w:val="auto"/>
          <w:szCs w:val="24"/>
          <w:highlight w:val="none"/>
        </w:rPr>
      </w:pPr>
      <w:r>
        <w:rPr>
          <w:rFonts w:hint="eastAsia" w:cs="宋体"/>
          <w:bCs/>
          <w:color w:val="auto"/>
          <w:sz w:val="21"/>
          <w:szCs w:val="21"/>
          <w:highlight w:val="none"/>
        </w:rPr>
        <w:br w:type="page"/>
      </w:r>
      <w:bookmarkStart w:id="573" w:name="_Toc128950235"/>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：承包人承揽工程项目一览表</w:t>
      </w:r>
      <w:bookmarkEnd w:id="573"/>
    </w:p>
    <w:p w14:paraId="7F36DEB7">
      <w:pPr>
        <w:spacing w:line="360" w:lineRule="auto"/>
        <w:jc w:val="center"/>
        <w:rPr>
          <w:rFonts w:cs="宋体"/>
          <w:color w:val="auto"/>
          <w:sz w:val="22"/>
          <w:szCs w:val="21"/>
          <w:highlight w:val="none"/>
        </w:rPr>
      </w:pPr>
      <w:r>
        <w:rPr>
          <w:rFonts w:hint="eastAsia" w:cs="宋体"/>
          <w:color w:val="auto"/>
          <w:sz w:val="22"/>
          <w:szCs w:val="21"/>
          <w:highlight w:val="none"/>
        </w:rPr>
        <w:t>承包人承揽工程项目一览表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9"/>
        <w:gridCol w:w="691"/>
        <w:gridCol w:w="1301"/>
        <w:gridCol w:w="691"/>
        <w:gridCol w:w="401"/>
        <w:gridCol w:w="691"/>
        <w:gridCol w:w="982"/>
        <w:gridCol w:w="1244"/>
        <w:gridCol w:w="691"/>
        <w:gridCol w:w="691"/>
      </w:tblGrid>
      <w:tr w14:paraId="3C72E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6" w:type="pct"/>
            <w:tcBorders>
              <w:top w:val="single" w:color="auto" w:sz="12" w:space="0"/>
              <w:bottom w:val="double" w:color="auto" w:sz="6" w:space="0"/>
            </w:tcBorders>
            <w:vAlign w:val="center"/>
          </w:tcPr>
          <w:p w14:paraId="12664676">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单位工程名称</w:t>
            </w:r>
          </w:p>
        </w:tc>
        <w:tc>
          <w:tcPr>
            <w:tcW w:w="413" w:type="pct"/>
            <w:tcBorders>
              <w:top w:val="single" w:color="auto" w:sz="12" w:space="0"/>
              <w:bottom w:val="double" w:color="auto" w:sz="6" w:space="0"/>
            </w:tcBorders>
            <w:vAlign w:val="center"/>
          </w:tcPr>
          <w:p w14:paraId="26F03AFA">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建设规模</w:t>
            </w:r>
          </w:p>
        </w:tc>
        <w:tc>
          <w:tcPr>
            <w:tcW w:w="778" w:type="pct"/>
            <w:tcBorders>
              <w:top w:val="single" w:color="auto" w:sz="12" w:space="0"/>
              <w:bottom w:val="double" w:color="auto" w:sz="6" w:space="0"/>
            </w:tcBorders>
            <w:vAlign w:val="center"/>
          </w:tcPr>
          <w:p w14:paraId="1182F896">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建筑面积（平方米）</w:t>
            </w:r>
          </w:p>
        </w:tc>
        <w:tc>
          <w:tcPr>
            <w:tcW w:w="413" w:type="pct"/>
            <w:tcBorders>
              <w:top w:val="single" w:color="auto" w:sz="12" w:space="0"/>
              <w:bottom w:val="double" w:color="auto" w:sz="6" w:space="0"/>
            </w:tcBorders>
            <w:vAlign w:val="center"/>
          </w:tcPr>
          <w:p w14:paraId="04D15E6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结构形式</w:t>
            </w:r>
          </w:p>
        </w:tc>
        <w:tc>
          <w:tcPr>
            <w:tcW w:w="240" w:type="pct"/>
            <w:tcBorders>
              <w:top w:val="single" w:color="auto" w:sz="12" w:space="0"/>
              <w:bottom w:val="double" w:color="auto" w:sz="6" w:space="0"/>
            </w:tcBorders>
            <w:vAlign w:val="center"/>
          </w:tcPr>
          <w:p w14:paraId="5E2D0E8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层数</w:t>
            </w:r>
          </w:p>
        </w:tc>
        <w:tc>
          <w:tcPr>
            <w:tcW w:w="413" w:type="pct"/>
            <w:tcBorders>
              <w:top w:val="single" w:color="auto" w:sz="12" w:space="0"/>
              <w:bottom w:val="double" w:color="auto" w:sz="6" w:space="0"/>
            </w:tcBorders>
            <w:vAlign w:val="center"/>
          </w:tcPr>
          <w:p w14:paraId="20B69E02">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生产能力</w:t>
            </w:r>
          </w:p>
        </w:tc>
        <w:tc>
          <w:tcPr>
            <w:tcW w:w="587" w:type="pct"/>
            <w:tcBorders>
              <w:top w:val="single" w:color="auto" w:sz="12" w:space="0"/>
              <w:bottom w:val="double" w:color="auto" w:sz="6" w:space="0"/>
            </w:tcBorders>
            <w:vAlign w:val="center"/>
          </w:tcPr>
          <w:p w14:paraId="6ED9B08E">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设备安装内容</w:t>
            </w:r>
          </w:p>
        </w:tc>
        <w:tc>
          <w:tcPr>
            <w:tcW w:w="744" w:type="pct"/>
            <w:tcBorders>
              <w:top w:val="single" w:color="auto" w:sz="12" w:space="0"/>
              <w:bottom w:val="double" w:color="auto" w:sz="6" w:space="0"/>
            </w:tcBorders>
            <w:vAlign w:val="center"/>
          </w:tcPr>
          <w:p w14:paraId="45147EC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合同价格（元）</w:t>
            </w:r>
          </w:p>
        </w:tc>
        <w:tc>
          <w:tcPr>
            <w:tcW w:w="413" w:type="pct"/>
            <w:tcBorders>
              <w:top w:val="single" w:color="auto" w:sz="12" w:space="0"/>
              <w:bottom w:val="double" w:color="auto" w:sz="6" w:space="0"/>
            </w:tcBorders>
            <w:vAlign w:val="center"/>
          </w:tcPr>
          <w:p w14:paraId="34FF596C">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开工日期</w:t>
            </w:r>
          </w:p>
        </w:tc>
        <w:tc>
          <w:tcPr>
            <w:tcW w:w="413" w:type="pct"/>
            <w:tcBorders>
              <w:top w:val="single" w:color="auto" w:sz="12" w:space="0"/>
              <w:bottom w:val="double" w:color="auto" w:sz="6" w:space="0"/>
            </w:tcBorders>
            <w:vAlign w:val="center"/>
          </w:tcPr>
          <w:p w14:paraId="600D7B0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竣工日期</w:t>
            </w:r>
          </w:p>
        </w:tc>
      </w:tr>
      <w:tr w14:paraId="66120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double" w:color="auto" w:sz="6" w:space="0"/>
            </w:tcBorders>
            <w:vAlign w:val="center"/>
          </w:tcPr>
          <w:p w14:paraId="54E12B97">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5C56A7B">
            <w:pPr>
              <w:keepNext/>
              <w:snapToGrid w:val="0"/>
              <w:spacing w:line="360" w:lineRule="auto"/>
              <w:jc w:val="center"/>
              <w:rPr>
                <w:rFonts w:cs="宋体"/>
                <w:color w:val="auto"/>
                <w:sz w:val="22"/>
                <w:szCs w:val="21"/>
                <w:highlight w:val="none"/>
              </w:rPr>
            </w:pPr>
          </w:p>
        </w:tc>
        <w:tc>
          <w:tcPr>
            <w:tcW w:w="778" w:type="pct"/>
            <w:tcBorders>
              <w:top w:val="double" w:color="auto" w:sz="6" w:space="0"/>
            </w:tcBorders>
            <w:vAlign w:val="center"/>
          </w:tcPr>
          <w:p w14:paraId="22DFA87B">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6B534016">
            <w:pPr>
              <w:keepNext/>
              <w:snapToGrid w:val="0"/>
              <w:spacing w:line="360" w:lineRule="auto"/>
              <w:jc w:val="center"/>
              <w:rPr>
                <w:rFonts w:cs="宋体"/>
                <w:color w:val="auto"/>
                <w:sz w:val="22"/>
                <w:szCs w:val="21"/>
                <w:highlight w:val="none"/>
              </w:rPr>
            </w:pPr>
          </w:p>
        </w:tc>
        <w:tc>
          <w:tcPr>
            <w:tcW w:w="240" w:type="pct"/>
            <w:tcBorders>
              <w:top w:val="double" w:color="auto" w:sz="6" w:space="0"/>
            </w:tcBorders>
            <w:vAlign w:val="center"/>
          </w:tcPr>
          <w:p w14:paraId="0FF2411A">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DBCCAFA">
            <w:pPr>
              <w:keepNext/>
              <w:snapToGrid w:val="0"/>
              <w:spacing w:line="360" w:lineRule="auto"/>
              <w:jc w:val="center"/>
              <w:rPr>
                <w:rFonts w:cs="宋体"/>
                <w:color w:val="auto"/>
                <w:sz w:val="22"/>
                <w:szCs w:val="21"/>
                <w:highlight w:val="none"/>
              </w:rPr>
            </w:pPr>
          </w:p>
        </w:tc>
        <w:tc>
          <w:tcPr>
            <w:tcW w:w="587" w:type="pct"/>
            <w:tcBorders>
              <w:top w:val="double" w:color="auto" w:sz="6" w:space="0"/>
            </w:tcBorders>
            <w:vAlign w:val="center"/>
          </w:tcPr>
          <w:p w14:paraId="172AF527">
            <w:pPr>
              <w:keepNext/>
              <w:snapToGrid w:val="0"/>
              <w:spacing w:line="360" w:lineRule="auto"/>
              <w:jc w:val="center"/>
              <w:rPr>
                <w:rFonts w:cs="宋体"/>
                <w:color w:val="auto"/>
                <w:sz w:val="22"/>
                <w:szCs w:val="21"/>
                <w:highlight w:val="none"/>
              </w:rPr>
            </w:pPr>
          </w:p>
        </w:tc>
        <w:tc>
          <w:tcPr>
            <w:tcW w:w="744" w:type="pct"/>
            <w:tcBorders>
              <w:top w:val="double" w:color="auto" w:sz="6" w:space="0"/>
            </w:tcBorders>
            <w:vAlign w:val="center"/>
          </w:tcPr>
          <w:p w14:paraId="77E7F616">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62042DED">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06D32A6">
            <w:pPr>
              <w:keepNext/>
              <w:snapToGrid w:val="0"/>
              <w:spacing w:line="360" w:lineRule="auto"/>
              <w:jc w:val="center"/>
              <w:rPr>
                <w:rFonts w:cs="宋体"/>
                <w:color w:val="auto"/>
                <w:sz w:val="22"/>
                <w:szCs w:val="21"/>
                <w:highlight w:val="none"/>
              </w:rPr>
            </w:pPr>
          </w:p>
        </w:tc>
      </w:tr>
      <w:tr w14:paraId="720F0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395979B0">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BCEAFE7">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67BE03D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7178F167">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49043DB8">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8199885">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6F5F14DF">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2F770F4D">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79D49E1">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241D642">
            <w:pPr>
              <w:keepNext/>
              <w:snapToGrid w:val="0"/>
              <w:spacing w:line="360" w:lineRule="auto"/>
              <w:jc w:val="center"/>
              <w:rPr>
                <w:rFonts w:cs="宋体"/>
                <w:color w:val="auto"/>
                <w:sz w:val="22"/>
                <w:szCs w:val="21"/>
                <w:highlight w:val="none"/>
              </w:rPr>
            </w:pPr>
          </w:p>
        </w:tc>
      </w:tr>
      <w:tr w14:paraId="60B9B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2779E79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2E13234F">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0084F675">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73A14A44">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6AB19A97">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3CE40B7F">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25DB89B4">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23D6043B">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00E1AFFE">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FB074E4">
            <w:pPr>
              <w:keepNext/>
              <w:snapToGrid w:val="0"/>
              <w:spacing w:line="360" w:lineRule="auto"/>
              <w:jc w:val="center"/>
              <w:rPr>
                <w:rFonts w:cs="宋体"/>
                <w:color w:val="auto"/>
                <w:sz w:val="22"/>
                <w:szCs w:val="21"/>
                <w:highlight w:val="none"/>
              </w:rPr>
            </w:pPr>
          </w:p>
        </w:tc>
      </w:tr>
      <w:tr w14:paraId="4785E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bottom w:val="single" w:color="auto" w:sz="12" w:space="0"/>
            </w:tcBorders>
            <w:vAlign w:val="center"/>
          </w:tcPr>
          <w:p w14:paraId="25BA471E">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259CCC39">
            <w:pPr>
              <w:keepNext/>
              <w:snapToGrid w:val="0"/>
              <w:spacing w:line="360" w:lineRule="auto"/>
              <w:jc w:val="center"/>
              <w:rPr>
                <w:rFonts w:cs="宋体"/>
                <w:color w:val="auto"/>
                <w:sz w:val="22"/>
                <w:szCs w:val="21"/>
                <w:highlight w:val="none"/>
              </w:rPr>
            </w:pPr>
          </w:p>
        </w:tc>
        <w:tc>
          <w:tcPr>
            <w:tcW w:w="778" w:type="pct"/>
            <w:tcBorders>
              <w:bottom w:val="single" w:color="auto" w:sz="12" w:space="0"/>
            </w:tcBorders>
            <w:vAlign w:val="center"/>
          </w:tcPr>
          <w:p w14:paraId="08F2C0A3">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541A54AD">
            <w:pPr>
              <w:keepNext/>
              <w:snapToGrid w:val="0"/>
              <w:spacing w:line="360" w:lineRule="auto"/>
              <w:jc w:val="center"/>
              <w:rPr>
                <w:rFonts w:cs="宋体"/>
                <w:color w:val="auto"/>
                <w:sz w:val="22"/>
                <w:szCs w:val="21"/>
                <w:highlight w:val="none"/>
              </w:rPr>
            </w:pPr>
          </w:p>
        </w:tc>
        <w:tc>
          <w:tcPr>
            <w:tcW w:w="240" w:type="pct"/>
            <w:tcBorders>
              <w:bottom w:val="single" w:color="auto" w:sz="12" w:space="0"/>
            </w:tcBorders>
            <w:vAlign w:val="center"/>
          </w:tcPr>
          <w:p w14:paraId="78F37455">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4215CE45">
            <w:pPr>
              <w:keepNext/>
              <w:snapToGrid w:val="0"/>
              <w:spacing w:line="360" w:lineRule="auto"/>
              <w:jc w:val="center"/>
              <w:rPr>
                <w:rFonts w:cs="宋体"/>
                <w:color w:val="auto"/>
                <w:sz w:val="22"/>
                <w:szCs w:val="21"/>
                <w:highlight w:val="none"/>
              </w:rPr>
            </w:pPr>
          </w:p>
        </w:tc>
        <w:tc>
          <w:tcPr>
            <w:tcW w:w="587" w:type="pct"/>
            <w:tcBorders>
              <w:bottom w:val="single" w:color="auto" w:sz="12" w:space="0"/>
            </w:tcBorders>
            <w:vAlign w:val="center"/>
          </w:tcPr>
          <w:p w14:paraId="51369A98">
            <w:pPr>
              <w:keepNext/>
              <w:snapToGrid w:val="0"/>
              <w:spacing w:line="360" w:lineRule="auto"/>
              <w:jc w:val="center"/>
              <w:rPr>
                <w:rFonts w:cs="宋体"/>
                <w:color w:val="auto"/>
                <w:sz w:val="22"/>
                <w:szCs w:val="21"/>
                <w:highlight w:val="none"/>
              </w:rPr>
            </w:pPr>
          </w:p>
        </w:tc>
        <w:tc>
          <w:tcPr>
            <w:tcW w:w="744" w:type="pct"/>
            <w:tcBorders>
              <w:bottom w:val="single" w:color="auto" w:sz="12" w:space="0"/>
            </w:tcBorders>
            <w:vAlign w:val="center"/>
          </w:tcPr>
          <w:p w14:paraId="0E66A57B">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325AEB60">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4FF5A942">
            <w:pPr>
              <w:keepNext/>
              <w:snapToGrid w:val="0"/>
              <w:spacing w:line="360" w:lineRule="auto"/>
              <w:jc w:val="center"/>
              <w:rPr>
                <w:rFonts w:cs="宋体"/>
                <w:color w:val="auto"/>
                <w:sz w:val="22"/>
                <w:szCs w:val="21"/>
                <w:highlight w:val="none"/>
              </w:rPr>
            </w:pPr>
          </w:p>
        </w:tc>
      </w:tr>
    </w:tbl>
    <w:p w14:paraId="5AE8092B">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574" w:name="_Toc128950236"/>
      <w:r>
        <w:rPr>
          <w:rFonts w:hint="eastAsia" w:ascii="Times New Roman" w:eastAsia="黑体"/>
          <w:color w:val="auto"/>
          <w:szCs w:val="24"/>
          <w:highlight w:val="none"/>
        </w:rPr>
        <w:t>附</w:t>
      </w:r>
      <w:bookmarkStart w:id="575" w:name="_Toc296891265"/>
      <w:bookmarkStart w:id="576" w:name="_Toc296503225"/>
      <w:bookmarkStart w:id="577" w:name="_Toc296944564"/>
      <w:bookmarkStart w:id="578" w:name="_Toc267261692"/>
      <w:bookmarkStart w:id="579" w:name="_Toc296891053"/>
      <w:bookmarkStart w:id="580" w:name="_Toc296346726"/>
      <w:bookmarkStart w:id="581" w:name="_Toc296347224"/>
      <w:r>
        <w:rPr>
          <w:rFonts w:hint="eastAsia" w:ascii="Times New Roman" w:eastAsia="黑体"/>
          <w:color w:val="auto"/>
          <w:szCs w:val="24"/>
          <w:highlight w:val="none"/>
        </w:rPr>
        <w:t>件</w:t>
      </w:r>
      <w:r>
        <w:rPr>
          <w:rFonts w:ascii="Times New Roman" w:eastAsia="黑体"/>
          <w:color w:val="auto"/>
          <w:szCs w:val="24"/>
          <w:highlight w:val="none"/>
        </w:rPr>
        <w:t>2</w:t>
      </w:r>
      <w:r>
        <w:rPr>
          <w:rFonts w:hint="eastAsia" w:ascii="Times New Roman" w:eastAsia="黑体"/>
          <w:color w:val="auto"/>
          <w:szCs w:val="24"/>
          <w:highlight w:val="none"/>
        </w:rPr>
        <w:t>：发包人供应材料设备一览表</w:t>
      </w:r>
      <w:bookmarkEnd w:id="574"/>
    </w:p>
    <w:bookmarkEnd w:id="575"/>
    <w:bookmarkEnd w:id="576"/>
    <w:bookmarkEnd w:id="577"/>
    <w:bookmarkEnd w:id="578"/>
    <w:bookmarkEnd w:id="579"/>
    <w:bookmarkEnd w:id="580"/>
    <w:bookmarkEnd w:id="581"/>
    <w:p w14:paraId="0022B17A">
      <w:pPr>
        <w:spacing w:line="360" w:lineRule="auto"/>
        <w:jc w:val="center"/>
        <w:rPr>
          <w:rFonts w:cs="宋体"/>
          <w:color w:val="auto"/>
          <w:sz w:val="22"/>
          <w:szCs w:val="21"/>
          <w:highlight w:val="none"/>
        </w:rPr>
      </w:pPr>
      <w:r>
        <w:rPr>
          <w:rFonts w:hint="eastAsia" w:cs="宋体"/>
          <w:color w:val="auto"/>
          <w:sz w:val="22"/>
          <w:szCs w:val="21"/>
          <w:highlight w:val="none"/>
        </w:rPr>
        <w:t>发包人供应材料设备一览表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88"/>
        <w:gridCol w:w="1574"/>
        <w:gridCol w:w="923"/>
        <w:gridCol w:w="488"/>
        <w:gridCol w:w="488"/>
        <w:gridCol w:w="1141"/>
        <w:gridCol w:w="923"/>
        <w:gridCol w:w="924"/>
        <w:gridCol w:w="924"/>
        <w:gridCol w:w="489"/>
      </w:tblGrid>
      <w:tr w14:paraId="0C1C0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92" w:type="pct"/>
            <w:tcBorders>
              <w:top w:val="single" w:color="auto" w:sz="12" w:space="0"/>
              <w:bottom w:val="double" w:color="auto" w:sz="6" w:space="0"/>
            </w:tcBorders>
            <w:vAlign w:val="center"/>
          </w:tcPr>
          <w:p w14:paraId="7D201145">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序号</w:t>
            </w:r>
          </w:p>
        </w:tc>
        <w:tc>
          <w:tcPr>
            <w:tcW w:w="941" w:type="pct"/>
            <w:tcBorders>
              <w:top w:val="single" w:color="auto" w:sz="12" w:space="0"/>
              <w:bottom w:val="double" w:color="auto" w:sz="6" w:space="0"/>
            </w:tcBorders>
            <w:vAlign w:val="center"/>
          </w:tcPr>
          <w:p w14:paraId="3DDAE78E">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材料、设备品种</w:t>
            </w:r>
          </w:p>
        </w:tc>
        <w:tc>
          <w:tcPr>
            <w:tcW w:w="552" w:type="pct"/>
            <w:tcBorders>
              <w:top w:val="single" w:color="auto" w:sz="12" w:space="0"/>
              <w:bottom w:val="double" w:color="auto" w:sz="6" w:space="0"/>
            </w:tcBorders>
            <w:vAlign w:val="center"/>
          </w:tcPr>
          <w:p w14:paraId="5C1B0C4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规格型号</w:t>
            </w:r>
          </w:p>
        </w:tc>
        <w:tc>
          <w:tcPr>
            <w:tcW w:w="292" w:type="pct"/>
            <w:tcBorders>
              <w:top w:val="single" w:color="auto" w:sz="12" w:space="0"/>
              <w:bottom w:val="double" w:color="auto" w:sz="6" w:space="0"/>
            </w:tcBorders>
            <w:vAlign w:val="center"/>
          </w:tcPr>
          <w:p w14:paraId="5094DB13">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w:t>
            </w:r>
          </w:p>
        </w:tc>
        <w:tc>
          <w:tcPr>
            <w:tcW w:w="292" w:type="pct"/>
            <w:tcBorders>
              <w:top w:val="single" w:color="auto" w:sz="12" w:space="0"/>
              <w:bottom w:val="double" w:color="auto" w:sz="6" w:space="0"/>
            </w:tcBorders>
            <w:vAlign w:val="center"/>
          </w:tcPr>
          <w:p w14:paraId="3F426435">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数量</w:t>
            </w:r>
          </w:p>
        </w:tc>
        <w:tc>
          <w:tcPr>
            <w:tcW w:w="682" w:type="pct"/>
            <w:tcBorders>
              <w:top w:val="single" w:color="auto" w:sz="12" w:space="0"/>
              <w:bottom w:val="double" w:color="auto" w:sz="6" w:space="0"/>
            </w:tcBorders>
            <w:vAlign w:val="center"/>
          </w:tcPr>
          <w:p w14:paraId="58BB0E94">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单价（元）</w:t>
            </w:r>
          </w:p>
        </w:tc>
        <w:tc>
          <w:tcPr>
            <w:tcW w:w="552" w:type="pct"/>
            <w:tcBorders>
              <w:top w:val="single" w:color="auto" w:sz="12" w:space="0"/>
              <w:bottom w:val="double" w:color="auto" w:sz="6" w:space="0"/>
            </w:tcBorders>
            <w:vAlign w:val="center"/>
          </w:tcPr>
          <w:p w14:paraId="137FC9C2">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质量等级</w:t>
            </w:r>
          </w:p>
        </w:tc>
        <w:tc>
          <w:tcPr>
            <w:tcW w:w="552" w:type="pct"/>
            <w:tcBorders>
              <w:top w:val="single" w:color="auto" w:sz="12" w:space="0"/>
              <w:bottom w:val="double" w:color="auto" w:sz="6" w:space="0"/>
            </w:tcBorders>
            <w:vAlign w:val="center"/>
          </w:tcPr>
          <w:p w14:paraId="2A14BBA9">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供应时间</w:t>
            </w:r>
          </w:p>
        </w:tc>
        <w:tc>
          <w:tcPr>
            <w:tcW w:w="552" w:type="pct"/>
            <w:tcBorders>
              <w:top w:val="single" w:color="auto" w:sz="12" w:space="0"/>
              <w:bottom w:val="double" w:color="auto" w:sz="6" w:space="0"/>
            </w:tcBorders>
            <w:vAlign w:val="center"/>
          </w:tcPr>
          <w:p w14:paraId="35E2CA27">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送达地点</w:t>
            </w:r>
          </w:p>
        </w:tc>
        <w:tc>
          <w:tcPr>
            <w:tcW w:w="292" w:type="pct"/>
            <w:tcBorders>
              <w:top w:val="single" w:color="auto" w:sz="12" w:space="0"/>
              <w:bottom w:val="double" w:color="auto" w:sz="6" w:space="0"/>
            </w:tcBorders>
            <w:vAlign w:val="center"/>
          </w:tcPr>
          <w:p w14:paraId="787BDC9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备注</w:t>
            </w:r>
          </w:p>
        </w:tc>
      </w:tr>
      <w:tr w14:paraId="29F0F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top w:val="double" w:color="auto" w:sz="6" w:space="0"/>
            </w:tcBorders>
            <w:vAlign w:val="center"/>
          </w:tcPr>
          <w:p w14:paraId="5C457E7A">
            <w:pPr>
              <w:keepNext/>
              <w:snapToGrid w:val="0"/>
              <w:spacing w:line="360" w:lineRule="auto"/>
              <w:jc w:val="center"/>
              <w:rPr>
                <w:rFonts w:cs="宋体"/>
                <w:color w:val="auto"/>
                <w:sz w:val="22"/>
                <w:szCs w:val="21"/>
                <w:highlight w:val="none"/>
              </w:rPr>
            </w:pPr>
          </w:p>
        </w:tc>
        <w:tc>
          <w:tcPr>
            <w:tcW w:w="941" w:type="pct"/>
            <w:tcBorders>
              <w:top w:val="double" w:color="auto" w:sz="6" w:space="0"/>
            </w:tcBorders>
            <w:vAlign w:val="center"/>
          </w:tcPr>
          <w:p w14:paraId="77E3FD66">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3B176BA7">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22B4A756">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1938CFF7">
            <w:pPr>
              <w:keepNext/>
              <w:snapToGrid w:val="0"/>
              <w:spacing w:line="360" w:lineRule="auto"/>
              <w:jc w:val="center"/>
              <w:rPr>
                <w:rFonts w:cs="宋体"/>
                <w:color w:val="auto"/>
                <w:sz w:val="22"/>
                <w:szCs w:val="21"/>
                <w:highlight w:val="none"/>
              </w:rPr>
            </w:pPr>
          </w:p>
        </w:tc>
        <w:tc>
          <w:tcPr>
            <w:tcW w:w="682" w:type="pct"/>
            <w:tcBorders>
              <w:top w:val="double" w:color="auto" w:sz="6" w:space="0"/>
            </w:tcBorders>
            <w:vAlign w:val="center"/>
          </w:tcPr>
          <w:p w14:paraId="7D12FB4D">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5EFE3454">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3924986E">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23B6D5B3">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343EB6B6">
            <w:pPr>
              <w:keepNext/>
              <w:snapToGrid w:val="0"/>
              <w:spacing w:line="360" w:lineRule="auto"/>
              <w:jc w:val="center"/>
              <w:rPr>
                <w:rFonts w:cs="宋体"/>
                <w:color w:val="auto"/>
                <w:sz w:val="22"/>
                <w:szCs w:val="21"/>
                <w:highlight w:val="none"/>
              </w:rPr>
            </w:pPr>
          </w:p>
        </w:tc>
      </w:tr>
      <w:tr w14:paraId="42883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vAlign w:val="center"/>
          </w:tcPr>
          <w:p w14:paraId="1F8E23DB">
            <w:pPr>
              <w:snapToGrid w:val="0"/>
              <w:spacing w:line="360" w:lineRule="auto"/>
              <w:jc w:val="center"/>
              <w:rPr>
                <w:rFonts w:cs="宋体"/>
                <w:color w:val="auto"/>
                <w:sz w:val="22"/>
                <w:szCs w:val="21"/>
                <w:highlight w:val="none"/>
              </w:rPr>
            </w:pPr>
          </w:p>
        </w:tc>
        <w:tc>
          <w:tcPr>
            <w:tcW w:w="941" w:type="pct"/>
            <w:vAlign w:val="center"/>
          </w:tcPr>
          <w:p w14:paraId="231ACD7E">
            <w:pPr>
              <w:snapToGrid w:val="0"/>
              <w:spacing w:line="360" w:lineRule="auto"/>
              <w:jc w:val="center"/>
              <w:rPr>
                <w:rFonts w:cs="宋体"/>
                <w:color w:val="auto"/>
                <w:sz w:val="22"/>
                <w:szCs w:val="21"/>
                <w:highlight w:val="none"/>
              </w:rPr>
            </w:pPr>
          </w:p>
        </w:tc>
        <w:tc>
          <w:tcPr>
            <w:tcW w:w="552" w:type="pct"/>
            <w:vAlign w:val="center"/>
          </w:tcPr>
          <w:p w14:paraId="781DD300">
            <w:pPr>
              <w:snapToGrid w:val="0"/>
              <w:spacing w:line="360" w:lineRule="auto"/>
              <w:jc w:val="center"/>
              <w:rPr>
                <w:rFonts w:cs="宋体"/>
                <w:color w:val="auto"/>
                <w:sz w:val="22"/>
                <w:szCs w:val="21"/>
                <w:highlight w:val="none"/>
              </w:rPr>
            </w:pPr>
          </w:p>
        </w:tc>
        <w:tc>
          <w:tcPr>
            <w:tcW w:w="292" w:type="pct"/>
            <w:vAlign w:val="center"/>
          </w:tcPr>
          <w:p w14:paraId="1F8424A5">
            <w:pPr>
              <w:snapToGrid w:val="0"/>
              <w:spacing w:line="360" w:lineRule="auto"/>
              <w:jc w:val="center"/>
              <w:rPr>
                <w:rFonts w:cs="宋体"/>
                <w:color w:val="auto"/>
                <w:sz w:val="22"/>
                <w:szCs w:val="21"/>
                <w:highlight w:val="none"/>
              </w:rPr>
            </w:pPr>
          </w:p>
        </w:tc>
        <w:tc>
          <w:tcPr>
            <w:tcW w:w="292" w:type="pct"/>
            <w:vAlign w:val="center"/>
          </w:tcPr>
          <w:p w14:paraId="717DB30D">
            <w:pPr>
              <w:snapToGrid w:val="0"/>
              <w:spacing w:line="360" w:lineRule="auto"/>
              <w:jc w:val="center"/>
              <w:rPr>
                <w:rFonts w:cs="宋体"/>
                <w:color w:val="auto"/>
                <w:sz w:val="22"/>
                <w:szCs w:val="21"/>
                <w:highlight w:val="none"/>
              </w:rPr>
            </w:pPr>
          </w:p>
        </w:tc>
        <w:tc>
          <w:tcPr>
            <w:tcW w:w="682" w:type="pct"/>
            <w:vAlign w:val="center"/>
          </w:tcPr>
          <w:p w14:paraId="247A49BF">
            <w:pPr>
              <w:snapToGrid w:val="0"/>
              <w:spacing w:line="360" w:lineRule="auto"/>
              <w:jc w:val="center"/>
              <w:rPr>
                <w:rFonts w:cs="宋体"/>
                <w:color w:val="auto"/>
                <w:sz w:val="22"/>
                <w:szCs w:val="21"/>
                <w:highlight w:val="none"/>
              </w:rPr>
            </w:pPr>
          </w:p>
        </w:tc>
        <w:tc>
          <w:tcPr>
            <w:tcW w:w="552" w:type="pct"/>
            <w:vAlign w:val="center"/>
          </w:tcPr>
          <w:p w14:paraId="5CBA5F39">
            <w:pPr>
              <w:snapToGrid w:val="0"/>
              <w:spacing w:line="360" w:lineRule="auto"/>
              <w:jc w:val="center"/>
              <w:rPr>
                <w:rFonts w:cs="宋体"/>
                <w:color w:val="auto"/>
                <w:sz w:val="22"/>
                <w:szCs w:val="21"/>
                <w:highlight w:val="none"/>
              </w:rPr>
            </w:pPr>
          </w:p>
        </w:tc>
        <w:tc>
          <w:tcPr>
            <w:tcW w:w="552" w:type="pct"/>
            <w:vAlign w:val="center"/>
          </w:tcPr>
          <w:p w14:paraId="34C8B68B">
            <w:pPr>
              <w:snapToGrid w:val="0"/>
              <w:spacing w:line="360" w:lineRule="auto"/>
              <w:jc w:val="center"/>
              <w:rPr>
                <w:rFonts w:cs="宋体"/>
                <w:color w:val="auto"/>
                <w:sz w:val="22"/>
                <w:szCs w:val="21"/>
                <w:highlight w:val="none"/>
              </w:rPr>
            </w:pPr>
          </w:p>
        </w:tc>
        <w:tc>
          <w:tcPr>
            <w:tcW w:w="552" w:type="pct"/>
            <w:vAlign w:val="center"/>
          </w:tcPr>
          <w:p w14:paraId="2CAE7F66">
            <w:pPr>
              <w:snapToGrid w:val="0"/>
              <w:spacing w:line="360" w:lineRule="auto"/>
              <w:jc w:val="center"/>
              <w:rPr>
                <w:rFonts w:cs="宋体"/>
                <w:color w:val="auto"/>
                <w:sz w:val="22"/>
                <w:szCs w:val="21"/>
                <w:highlight w:val="none"/>
              </w:rPr>
            </w:pPr>
          </w:p>
        </w:tc>
        <w:tc>
          <w:tcPr>
            <w:tcW w:w="292" w:type="pct"/>
            <w:vAlign w:val="center"/>
          </w:tcPr>
          <w:p w14:paraId="1A1A3DB1">
            <w:pPr>
              <w:snapToGrid w:val="0"/>
              <w:spacing w:line="360" w:lineRule="auto"/>
              <w:jc w:val="center"/>
              <w:rPr>
                <w:rFonts w:cs="宋体"/>
                <w:color w:val="auto"/>
                <w:sz w:val="22"/>
                <w:szCs w:val="21"/>
                <w:highlight w:val="none"/>
              </w:rPr>
            </w:pPr>
          </w:p>
        </w:tc>
      </w:tr>
      <w:tr w14:paraId="4437B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bottom w:val="single" w:color="auto" w:sz="12" w:space="0"/>
            </w:tcBorders>
            <w:vAlign w:val="center"/>
          </w:tcPr>
          <w:p w14:paraId="072DD76D">
            <w:pPr>
              <w:snapToGrid w:val="0"/>
              <w:spacing w:line="360" w:lineRule="auto"/>
              <w:jc w:val="center"/>
              <w:rPr>
                <w:rFonts w:cs="宋体"/>
                <w:color w:val="auto"/>
                <w:sz w:val="22"/>
                <w:szCs w:val="21"/>
                <w:highlight w:val="none"/>
              </w:rPr>
            </w:pPr>
          </w:p>
        </w:tc>
        <w:tc>
          <w:tcPr>
            <w:tcW w:w="941" w:type="pct"/>
            <w:tcBorders>
              <w:bottom w:val="single" w:color="auto" w:sz="12" w:space="0"/>
            </w:tcBorders>
            <w:vAlign w:val="center"/>
          </w:tcPr>
          <w:p w14:paraId="61102550">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3C1ED585">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727AF209">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471A0A7F">
            <w:pPr>
              <w:snapToGrid w:val="0"/>
              <w:spacing w:line="360" w:lineRule="auto"/>
              <w:jc w:val="center"/>
              <w:rPr>
                <w:rFonts w:cs="宋体"/>
                <w:color w:val="auto"/>
                <w:sz w:val="22"/>
                <w:szCs w:val="21"/>
                <w:highlight w:val="none"/>
              </w:rPr>
            </w:pPr>
          </w:p>
        </w:tc>
        <w:tc>
          <w:tcPr>
            <w:tcW w:w="682" w:type="pct"/>
            <w:tcBorders>
              <w:bottom w:val="single" w:color="auto" w:sz="12" w:space="0"/>
            </w:tcBorders>
            <w:vAlign w:val="center"/>
          </w:tcPr>
          <w:p w14:paraId="459BD776">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19E46F8E">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51730C06">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553608F7">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5708C111">
            <w:pPr>
              <w:snapToGrid w:val="0"/>
              <w:spacing w:line="360" w:lineRule="auto"/>
              <w:jc w:val="center"/>
              <w:rPr>
                <w:rFonts w:cs="宋体"/>
                <w:color w:val="auto"/>
                <w:sz w:val="22"/>
                <w:szCs w:val="21"/>
                <w:highlight w:val="none"/>
              </w:rPr>
            </w:pPr>
          </w:p>
        </w:tc>
      </w:tr>
    </w:tbl>
    <w:p w14:paraId="330737A8">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582" w:name="_Toc128950237"/>
      <w:r>
        <w:rPr>
          <w:rFonts w:hint="eastAsia" w:ascii="Times New Roman" w:eastAsia="黑体"/>
          <w:color w:val="auto"/>
          <w:szCs w:val="24"/>
          <w:highlight w:val="none"/>
        </w:rPr>
        <w:t>附件3：工程质量保修书（房屋建筑工程）</w:t>
      </w:r>
      <w:bookmarkEnd w:id="582"/>
    </w:p>
    <w:p w14:paraId="7E7CC9D9">
      <w:pPr>
        <w:adjustRightInd w:val="0"/>
        <w:snapToGrid w:val="0"/>
        <w:spacing w:before="156" w:beforeLines="50" w:after="156" w:afterLines="50" w:line="360" w:lineRule="auto"/>
        <w:jc w:val="center"/>
        <w:rPr>
          <w:rFonts w:cs="宋体"/>
          <w:b/>
          <w:color w:val="auto"/>
          <w:highlight w:val="none"/>
        </w:rPr>
      </w:pPr>
      <w:r>
        <w:rPr>
          <w:rFonts w:hint="eastAsia" w:cs="宋体"/>
          <w:b/>
          <w:color w:val="auto"/>
          <w:highlight w:val="none"/>
        </w:rPr>
        <w:t>工程质量保修书</w:t>
      </w:r>
    </w:p>
    <w:p w14:paraId="29AB7D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8EE5A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68616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发包人和承包人根据《中华人民共和国建筑法》和《建设工程质量管理条例》，经协商一致就_______________（工程全称）签订工程质量保修书。</w:t>
      </w:r>
    </w:p>
    <w:p w14:paraId="62E375C6">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一、工程质量保修范围和内容</w:t>
      </w:r>
    </w:p>
    <w:p w14:paraId="416B94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承包人在质量保修期内，按照有关法律规定和合同约定，承担工程质量保修责任。</w:t>
      </w:r>
    </w:p>
    <w:p w14:paraId="03CE9F1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E22D92">
      <w:pPr>
        <w:adjustRightInd w:val="0"/>
        <w:snapToGrid w:val="0"/>
        <w:spacing w:line="360" w:lineRule="auto"/>
        <w:ind w:firstLine="413" w:firstLineChars="196"/>
        <w:rPr>
          <w:rFonts w:cs="宋体"/>
          <w:b/>
          <w:color w:val="auto"/>
          <w:sz w:val="21"/>
          <w:szCs w:val="21"/>
          <w:highlight w:val="none"/>
        </w:rPr>
      </w:pPr>
      <w:r>
        <w:rPr>
          <w:rFonts w:hint="eastAsia" w:cs="宋体"/>
          <w:b/>
          <w:color w:val="auto"/>
          <w:sz w:val="21"/>
          <w:szCs w:val="21"/>
          <w:highlight w:val="none"/>
        </w:rPr>
        <w:t>二、质量保修期</w:t>
      </w:r>
    </w:p>
    <w:p w14:paraId="31E5C5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根据《建设工程质量管理条例》及有关规定，工程的质量保修期如下：</w:t>
      </w:r>
    </w:p>
    <w:p w14:paraId="47B5DA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地基基础工程和主体结构工程为设计文件规定的工程合理使用年限；</w:t>
      </w:r>
    </w:p>
    <w:p w14:paraId="37BA407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屋面防水工程、有防水要求的卫生间、房间和外墙面的防渗为</w:t>
      </w:r>
      <w:r>
        <w:rPr>
          <w:rFonts w:hint="eastAsia" w:cs="宋体"/>
          <w:color w:val="auto"/>
          <w:sz w:val="21"/>
          <w:szCs w:val="21"/>
          <w:highlight w:val="none"/>
          <w:u w:val="single"/>
        </w:rPr>
        <w:t>5</w:t>
      </w:r>
      <w:r>
        <w:rPr>
          <w:rFonts w:hint="eastAsia" w:cs="宋体"/>
          <w:color w:val="auto"/>
          <w:sz w:val="21"/>
          <w:szCs w:val="21"/>
          <w:highlight w:val="none"/>
        </w:rPr>
        <w:t>年；</w:t>
      </w:r>
    </w:p>
    <w:p w14:paraId="25E7CF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 装修工程为</w:t>
      </w:r>
      <w:r>
        <w:rPr>
          <w:rFonts w:hint="eastAsia" w:cs="宋体"/>
          <w:color w:val="auto"/>
          <w:sz w:val="21"/>
          <w:szCs w:val="21"/>
          <w:highlight w:val="none"/>
          <w:u w:val="single"/>
        </w:rPr>
        <w:t>2</w:t>
      </w:r>
      <w:r>
        <w:rPr>
          <w:rFonts w:hint="eastAsia" w:cs="宋体"/>
          <w:color w:val="auto"/>
          <w:sz w:val="21"/>
          <w:szCs w:val="21"/>
          <w:highlight w:val="none"/>
        </w:rPr>
        <w:t>年；</w:t>
      </w:r>
    </w:p>
    <w:p w14:paraId="2528D9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 电气管线、给排水管道、设备安装工程为</w:t>
      </w:r>
      <w:r>
        <w:rPr>
          <w:rFonts w:hint="eastAsia" w:cs="宋体"/>
          <w:color w:val="auto"/>
          <w:sz w:val="21"/>
          <w:szCs w:val="21"/>
          <w:highlight w:val="none"/>
          <w:u w:val="single"/>
        </w:rPr>
        <w:t>2</w:t>
      </w:r>
      <w:r>
        <w:rPr>
          <w:rFonts w:hint="eastAsia" w:cs="宋体"/>
          <w:color w:val="auto"/>
          <w:sz w:val="21"/>
          <w:szCs w:val="21"/>
          <w:highlight w:val="none"/>
        </w:rPr>
        <w:t>年；</w:t>
      </w:r>
    </w:p>
    <w:p w14:paraId="2F4B64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5. 供热与供冷系统为</w:t>
      </w:r>
      <w:r>
        <w:rPr>
          <w:rFonts w:hint="eastAsia" w:cs="宋体"/>
          <w:color w:val="auto"/>
          <w:sz w:val="21"/>
          <w:szCs w:val="21"/>
          <w:highlight w:val="none"/>
          <w:u w:val="single"/>
        </w:rPr>
        <w:t>2</w:t>
      </w:r>
      <w:r>
        <w:rPr>
          <w:rFonts w:hint="eastAsia" w:cs="宋体"/>
          <w:color w:val="auto"/>
          <w:sz w:val="21"/>
          <w:szCs w:val="21"/>
          <w:highlight w:val="none"/>
        </w:rPr>
        <w:t>个采暖期、供冷期；</w:t>
      </w:r>
    </w:p>
    <w:p w14:paraId="2E6ED4E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 住宅小区内的给排水设施、道路等配套工程为</w:t>
      </w:r>
      <w:r>
        <w:rPr>
          <w:rFonts w:hint="eastAsia" w:cs="宋体"/>
          <w:color w:val="auto"/>
          <w:sz w:val="21"/>
          <w:szCs w:val="21"/>
          <w:highlight w:val="none"/>
          <w:u w:val="single"/>
        </w:rPr>
        <w:t>2</w:t>
      </w:r>
      <w:r>
        <w:rPr>
          <w:rFonts w:hint="eastAsia" w:cs="宋体"/>
          <w:color w:val="auto"/>
          <w:sz w:val="21"/>
          <w:szCs w:val="21"/>
          <w:highlight w:val="none"/>
        </w:rPr>
        <w:t>年；</w:t>
      </w:r>
    </w:p>
    <w:p w14:paraId="5BED005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 其他项目保修期限约定如下：</w:t>
      </w:r>
      <w:r>
        <w:rPr>
          <w:rFonts w:hint="eastAsia" w:cs="宋体"/>
          <w:color w:val="auto"/>
          <w:sz w:val="21"/>
          <w:szCs w:val="21"/>
          <w:highlight w:val="none"/>
          <w:u w:val="single"/>
        </w:rPr>
        <w:t>保温工程5年</w:t>
      </w:r>
      <w:r>
        <w:rPr>
          <w:rFonts w:hint="eastAsia" w:cs="宋体"/>
          <w:color w:val="auto"/>
          <w:sz w:val="21"/>
          <w:szCs w:val="21"/>
          <w:highlight w:val="none"/>
        </w:rPr>
        <w:t>。</w:t>
      </w:r>
    </w:p>
    <w:p w14:paraId="2534BF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质量保修期自工程竣工验收合格之日起计算。</w:t>
      </w:r>
    </w:p>
    <w:p w14:paraId="2FF498C9">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467EC0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两年</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39B820E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缺陷责任期终止后，发包人应退还剩余的质量保证金。</w:t>
      </w:r>
    </w:p>
    <w:p w14:paraId="490609E6">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四、质量保修责任</w:t>
      </w:r>
    </w:p>
    <w:p w14:paraId="2544457C">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1. 属于保修范围、内容的项目，承包人应当在接到保修通知之日起7天内派人保修。承包人不在约定期限内派人保修的，发包人可以委托他人修理。</w:t>
      </w:r>
    </w:p>
    <w:p w14:paraId="05057A68">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2. 发生紧急事故需抢修的，承包人在接到事故通知后，应当立即到达事故现场抢修。</w:t>
      </w:r>
    </w:p>
    <w:p w14:paraId="7C9EBF5D">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D960549">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4. 质量保修完成后，由发包人组织验收。</w:t>
      </w:r>
    </w:p>
    <w:p w14:paraId="38C6C1DB">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五、保修费用</w:t>
      </w:r>
    </w:p>
    <w:p w14:paraId="23F9A8E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保修费用由造成质量缺陷的责任方承担。</w:t>
      </w:r>
    </w:p>
    <w:p w14:paraId="27062591">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六、双方约定的其他工程质量保修事项：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0BDFEBFF">
      <w:pPr>
        <w:adjustRightInd w:val="0"/>
        <w:snapToGrid w:val="0"/>
        <w:spacing w:line="360" w:lineRule="auto"/>
        <w:ind w:firstLine="399" w:firstLineChars="190"/>
        <w:rPr>
          <w:rFonts w:cs="宋体"/>
          <w:color w:val="auto"/>
          <w:sz w:val="21"/>
          <w:szCs w:val="21"/>
          <w:highlight w:val="none"/>
        </w:rPr>
      </w:pPr>
      <w:r>
        <w:rPr>
          <w:rFonts w:hint="eastAsia" w:cs="宋体"/>
          <w:color w:val="auto"/>
          <w:sz w:val="21"/>
          <w:szCs w:val="21"/>
          <w:highlight w:val="none"/>
        </w:rPr>
        <w:t>工程质量保修书由发包人、承包人在工程竣工验收前共同签署，作为施工合同附件，其有效期限至保修期满。</w:t>
      </w:r>
    </w:p>
    <w:p w14:paraId="4BE105BE">
      <w:pPr>
        <w:adjustRightInd w:val="0"/>
        <w:snapToGrid w:val="0"/>
        <w:spacing w:line="360" w:lineRule="auto"/>
        <w:ind w:firstLine="420"/>
        <w:rPr>
          <w:rFonts w:cs="宋体"/>
          <w:color w:val="auto"/>
          <w:sz w:val="21"/>
          <w:szCs w:val="21"/>
          <w:highlight w:val="none"/>
        </w:rPr>
      </w:pPr>
    </w:p>
    <w:p w14:paraId="423E3061">
      <w:pPr>
        <w:adjustRightInd w:val="0"/>
        <w:snapToGrid w:val="0"/>
        <w:spacing w:line="360" w:lineRule="auto"/>
        <w:ind w:firstLine="420"/>
        <w:rPr>
          <w:rFonts w:cs="宋体"/>
          <w:color w:val="auto"/>
          <w:sz w:val="21"/>
          <w:szCs w:val="21"/>
          <w:highlight w:val="none"/>
        </w:rPr>
      </w:pPr>
    </w:p>
    <w:p w14:paraId="1C05E814">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w:t>
      </w:r>
    </w:p>
    <w:p w14:paraId="69810EE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208C4CC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0D562DBA">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7A8D614D">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6CE4F1A0">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3D2F20B8">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68E143F9">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0440850F">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w:t>
      </w:r>
    </w:p>
    <w:p w14:paraId="08E7B987">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583" w:name="_Toc128950238"/>
      <w:r>
        <w:rPr>
          <w:rFonts w:hint="eastAsia" w:ascii="Times New Roman" w:eastAsia="黑体"/>
          <w:color w:val="auto"/>
          <w:szCs w:val="24"/>
          <w:highlight w:val="none"/>
        </w:rPr>
        <w:t>附</w:t>
      </w:r>
      <w:bookmarkStart w:id="584" w:name="_Toc296503226"/>
      <w:bookmarkStart w:id="585" w:name="_Toc296347225"/>
      <w:bookmarkStart w:id="586" w:name="_Toc296891266"/>
      <w:bookmarkStart w:id="587" w:name="_Toc296944565"/>
      <w:bookmarkStart w:id="588" w:name="_Toc296346727"/>
      <w:bookmarkStart w:id="589" w:name="_Toc267261693"/>
      <w:bookmarkStart w:id="590" w:name="_Toc296891054"/>
      <w:r>
        <w:rPr>
          <w:rFonts w:hint="eastAsia" w:ascii="Times New Roman" w:eastAsia="黑体"/>
          <w:color w:val="auto"/>
          <w:szCs w:val="24"/>
          <w:highlight w:val="none"/>
        </w:rPr>
        <w:t>件</w:t>
      </w:r>
      <w:r>
        <w:rPr>
          <w:rFonts w:ascii="Times New Roman" w:eastAsia="黑体"/>
          <w:color w:val="auto"/>
          <w:szCs w:val="24"/>
          <w:highlight w:val="none"/>
        </w:rPr>
        <w:t>3</w:t>
      </w:r>
      <w:r>
        <w:rPr>
          <w:rFonts w:hint="eastAsia" w:ascii="Times New Roman" w:eastAsia="黑体"/>
          <w:color w:val="auto"/>
          <w:szCs w:val="24"/>
          <w:highlight w:val="none"/>
        </w:rPr>
        <w:t>：</w:t>
      </w:r>
      <w:bookmarkEnd w:id="584"/>
      <w:bookmarkEnd w:id="585"/>
      <w:bookmarkEnd w:id="586"/>
      <w:bookmarkEnd w:id="587"/>
      <w:bookmarkEnd w:id="588"/>
      <w:bookmarkEnd w:id="589"/>
      <w:bookmarkEnd w:id="590"/>
      <w:r>
        <w:rPr>
          <w:rFonts w:hint="eastAsia" w:ascii="Times New Roman" w:eastAsia="黑体"/>
          <w:color w:val="auto"/>
          <w:szCs w:val="24"/>
          <w:highlight w:val="none"/>
        </w:rPr>
        <w:t>工程质量保修书（市政公用工程）</w:t>
      </w:r>
      <w:bookmarkEnd w:id="583"/>
    </w:p>
    <w:p w14:paraId="0F899D44">
      <w:pPr>
        <w:adjustRightInd w:val="0"/>
        <w:snapToGrid w:val="0"/>
        <w:spacing w:line="360" w:lineRule="auto"/>
        <w:jc w:val="center"/>
        <w:rPr>
          <w:rFonts w:cs="宋体"/>
          <w:color w:val="auto"/>
          <w:sz w:val="28"/>
          <w:szCs w:val="28"/>
          <w:highlight w:val="none"/>
        </w:rPr>
      </w:pPr>
      <w:r>
        <w:rPr>
          <w:rFonts w:hint="eastAsia" w:cs="宋体"/>
          <w:color w:val="auto"/>
          <w:sz w:val="28"/>
          <w:szCs w:val="28"/>
          <w:highlight w:val="none"/>
        </w:rPr>
        <w:t>工程质量保修书</w:t>
      </w:r>
    </w:p>
    <w:p w14:paraId="52889C01">
      <w:pPr>
        <w:adjustRightInd w:val="0"/>
        <w:snapToGrid w:val="0"/>
        <w:spacing w:line="360" w:lineRule="auto"/>
        <w:ind w:firstLine="420" w:firstLineChars="200"/>
        <w:rPr>
          <w:rFonts w:cs="宋体"/>
          <w:color w:val="auto"/>
          <w:position w:val="14"/>
          <w:sz w:val="21"/>
          <w:szCs w:val="21"/>
          <w:highlight w:val="none"/>
        </w:rPr>
      </w:pPr>
      <w:r>
        <w:rPr>
          <w:rFonts w:hint="eastAsia" w:cs="宋体"/>
          <w:bCs/>
          <w:color w:val="auto"/>
          <w:position w:val="14"/>
          <w:sz w:val="21"/>
          <w:szCs w:val="21"/>
          <w:highlight w:val="none"/>
        </w:rPr>
        <w:t>发包人</w:t>
      </w:r>
      <w:r>
        <w:rPr>
          <w:rFonts w:hint="eastAsia" w:cs="宋体"/>
          <w:color w:val="auto"/>
          <w:position w:val="14"/>
          <w:sz w:val="21"/>
          <w:szCs w:val="21"/>
          <w:highlight w:val="none"/>
        </w:rPr>
        <w:t>：_______________________________</w:t>
      </w:r>
    </w:p>
    <w:p w14:paraId="44251118">
      <w:pPr>
        <w:widowControl/>
        <w:adjustRightInd w:val="0"/>
        <w:snapToGrid w:val="0"/>
        <w:spacing w:line="360" w:lineRule="auto"/>
        <w:ind w:firstLine="420" w:firstLineChars="200"/>
        <w:jc w:val="left"/>
        <w:rPr>
          <w:rFonts w:cs="宋体"/>
          <w:color w:val="auto"/>
          <w:position w:val="14"/>
          <w:sz w:val="21"/>
          <w:szCs w:val="21"/>
          <w:highlight w:val="none"/>
        </w:rPr>
      </w:pPr>
      <w:r>
        <w:rPr>
          <w:rFonts w:hint="eastAsia" w:cs="宋体"/>
          <w:bCs/>
          <w:color w:val="auto"/>
          <w:position w:val="14"/>
          <w:sz w:val="21"/>
          <w:szCs w:val="21"/>
          <w:highlight w:val="none"/>
        </w:rPr>
        <w:t>承包人</w:t>
      </w:r>
      <w:r>
        <w:rPr>
          <w:rFonts w:hint="eastAsia" w:cs="宋体"/>
          <w:color w:val="auto"/>
          <w:position w:val="14"/>
          <w:sz w:val="21"/>
          <w:szCs w:val="21"/>
          <w:highlight w:val="none"/>
        </w:rPr>
        <w:t>：_______________________________</w:t>
      </w:r>
    </w:p>
    <w:p w14:paraId="0165B44D">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发包人、承包人根据《中华人民共和国建筑法》《建设工程质量管理条例》，参照《房屋建筑工程质量保修办法》，经协商一致，对______________________工程签订工程质量保修书。</w:t>
      </w:r>
    </w:p>
    <w:p w14:paraId="324833E3">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一、工程质量保修范围和内容</w:t>
      </w:r>
    </w:p>
    <w:p w14:paraId="72C0D7A0">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按照《建设工程质量管理条例》及有关法律、法规、规章的管理规定，双方约定由施工单位在质量保修期内，承担本工程的质量保修责任。</w:t>
      </w:r>
    </w:p>
    <w:p w14:paraId="3C26BF39">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质量保修范围和内容：______________________。</w:t>
      </w:r>
      <w:r>
        <w:rPr>
          <w:rFonts w:hint="eastAsia" w:cs="宋体"/>
          <w:bCs/>
          <w:color w:val="auto"/>
          <w:position w:val="6"/>
          <w:sz w:val="21"/>
          <w:szCs w:val="21"/>
          <w:highlight w:val="none"/>
        </w:rPr>
        <w:t>因不可抗力或使用不当造成的质量缺陷，不属保修范围。</w:t>
      </w:r>
    </w:p>
    <w:p w14:paraId="62320BB9">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二、质量保修期</w:t>
      </w:r>
    </w:p>
    <w:p w14:paraId="17B4270B">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双方根据《建设工程质量管理条例》及有关规定，约定本工程的质量保修期如下：</w:t>
      </w:r>
    </w:p>
    <w:p w14:paraId="23341D48">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1. 主体结构和基础工程，为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146AA358">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2.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615F3676">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3.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22849353">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 xml:space="preserve">4. _____________工程，为 </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4DA18AAF">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质量保修期自工程竣工验收合格之日起计算。</w:t>
      </w:r>
    </w:p>
    <w:p w14:paraId="54C96707">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2B3489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634E2BC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缺陷责任期终止后，发包人应退还剩余的质量保证金。</w:t>
      </w:r>
    </w:p>
    <w:p w14:paraId="1594760C">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color w:val="auto"/>
          <w:sz w:val="21"/>
          <w:szCs w:val="21"/>
          <w:highlight w:val="none"/>
        </w:rPr>
        <w:t>四、质量保修责任</w:t>
      </w:r>
    </w:p>
    <w:p w14:paraId="14BE304F">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1. 属于保修范围、内容的项目，承包人应当在接到保修通知之日起7天内派人保修。承包人不在约定期限内派人保修的，发包人可以委托他人修理。</w:t>
      </w:r>
    </w:p>
    <w:p w14:paraId="45970965">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2. 发生紧急抢修事故的，承包人在接到事故通知后，应当立即到达事故现场抢修。</w:t>
      </w:r>
    </w:p>
    <w:p w14:paraId="480BDE33">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3D38DFB9">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4. 质量保修完成后，由发包人组织验收。</w:t>
      </w:r>
    </w:p>
    <w:p w14:paraId="07419FEB">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五、保修费用</w:t>
      </w:r>
    </w:p>
    <w:p w14:paraId="13943EC7">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保修费用由造成质量缺陷的责任方承担。</w:t>
      </w:r>
    </w:p>
    <w:p w14:paraId="678A4518">
      <w:pPr>
        <w:widowControl/>
        <w:adjustRightInd w:val="0"/>
        <w:snapToGrid w:val="0"/>
        <w:spacing w:line="360" w:lineRule="auto"/>
        <w:ind w:firstLine="420" w:firstLineChars="200"/>
        <w:jc w:val="left"/>
        <w:rPr>
          <w:rFonts w:cs="宋体"/>
          <w:b/>
          <w:color w:val="auto"/>
          <w:sz w:val="21"/>
          <w:szCs w:val="21"/>
          <w:highlight w:val="none"/>
        </w:rPr>
      </w:pPr>
      <w:r>
        <w:rPr>
          <w:rFonts w:hint="eastAsia" w:cs="宋体"/>
          <w:bCs/>
          <w:color w:val="auto"/>
          <w:position w:val="6"/>
          <w:sz w:val="21"/>
          <w:szCs w:val="21"/>
          <w:highlight w:val="none"/>
        </w:rPr>
        <w:t>六、</w:t>
      </w:r>
      <w:r>
        <w:rPr>
          <w:rFonts w:hint="eastAsia" w:cs="宋体"/>
          <w:b/>
          <w:color w:val="auto"/>
          <w:sz w:val="21"/>
          <w:szCs w:val="21"/>
          <w:highlight w:val="none"/>
        </w:rPr>
        <w:t>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2CF23B51">
      <w:pPr>
        <w:widowControl/>
        <w:adjustRightInd w:val="0"/>
        <w:snapToGrid w:val="0"/>
        <w:spacing w:line="360" w:lineRule="auto"/>
        <w:ind w:firstLine="420" w:firstLineChars="200"/>
        <w:jc w:val="left"/>
        <w:rPr>
          <w:rFonts w:cs="宋体"/>
          <w:bCs/>
          <w:color w:val="auto"/>
          <w:sz w:val="21"/>
          <w:szCs w:val="21"/>
          <w:highlight w:val="none"/>
        </w:rPr>
      </w:pPr>
      <w:r>
        <w:rPr>
          <w:rFonts w:hint="eastAsia" w:cs="宋体"/>
          <w:bCs/>
          <w:color w:val="auto"/>
          <w:position w:val="6"/>
          <w:sz w:val="21"/>
          <w:szCs w:val="21"/>
          <w:highlight w:val="none"/>
        </w:rPr>
        <w:t>本工程质量保修书，由施工合同发包人、承包人双方在竣工验收前共同签署，作为施工合同附件，其有效期限至保修期满。</w:t>
      </w:r>
    </w:p>
    <w:p w14:paraId="17ED0D01">
      <w:pPr>
        <w:adjustRightInd w:val="0"/>
        <w:snapToGrid w:val="0"/>
        <w:spacing w:line="360" w:lineRule="auto"/>
        <w:ind w:firstLine="420"/>
        <w:rPr>
          <w:rFonts w:cs="宋体"/>
          <w:color w:val="auto"/>
          <w:sz w:val="21"/>
          <w:szCs w:val="21"/>
          <w:highlight w:val="none"/>
        </w:rPr>
      </w:pPr>
    </w:p>
    <w:p w14:paraId="471147A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xml:space="preserve">        </w:t>
      </w:r>
    </w:p>
    <w:p w14:paraId="684C5F67">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5B7BE998">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63236AA5">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32436784">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413BCD3D">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2C842954">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78A4D13A">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7FA954BF">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009A9760">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591" w:name="_Toc128950239"/>
      <w:r>
        <w:rPr>
          <w:rFonts w:hint="eastAsia" w:ascii="Times New Roman" w:eastAsia="黑体"/>
          <w:color w:val="auto"/>
          <w:szCs w:val="24"/>
          <w:highlight w:val="none"/>
        </w:rPr>
        <w:t>附件</w:t>
      </w:r>
      <w:r>
        <w:rPr>
          <w:rFonts w:ascii="Times New Roman" w:eastAsia="黑体"/>
          <w:color w:val="auto"/>
          <w:szCs w:val="24"/>
          <w:highlight w:val="none"/>
        </w:rPr>
        <w:t>4</w:t>
      </w:r>
      <w:r>
        <w:rPr>
          <w:rFonts w:hint="eastAsia" w:ascii="Times New Roman" w:eastAsia="黑体"/>
          <w:color w:val="auto"/>
          <w:szCs w:val="24"/>
          <w:highlight w:val="none"/>
        </w:rPr>
        <w:t>：主要建设工程文件目录</w:t>
      </w:r>
      <w:bookmarkEnd w:id="591"/>
    </w:p>
    <w:p w14:paraId="5E9D6445">
      <w:pPr>
        <w:spacing w:before="156" w:beforeLines="50" w:after="156" w:afterLines="50"/>
        <w:jc w:val="center"/>
        <w:rPr>
          <w:rFonts w:cs="宋体"/>
          <w:color w:val="auto"/>
          <w:szCs w:val="21"/>
          <w:highlight w:val="none"/>
        </w:rPr>
      </w:pPr>
      <w:r>
        <w:rPr>
          <w:rFonts w:hint="eastAsia" w:cs="宋体"/>
          <w:color w:val="auto"/>
          <w:szCs w:val="21"/>
          <w:highlight w:val="none"/>
        </w:rPr>
        <w:t>主要建设工程文件目录</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2"/>
        <w:gridCol w:w="1149"/>
        <w:gridCol w:w="1342"/>
        <w:gridCol w:w="1542"/>
      </w:tblGrid>
      <w:tr w14:paraId="52EB3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6B5F6158">
            <w:pPr>
              <w:keepNext/>
              <w:jc w:val="center"/>
              <w:rPr>
                <w:rFonts w:cs="宋体"/>
                <w:color w:val="auto"/>
                <w:szCs w:val="21"/>
                <w:highlight w:val="none"/>
              </w:rPr>
            </w:pPr>
            <w:r>
              <w:rPr>
                <w:rFonts w:hint="eastAsia" w:cs="宋体"/>
                <w:color w:val="auto"/>
                <w:szCs w:val="21"/>
                <w:highlight w:val="none"/>
              </w:rPr>
              <w:t>文件名称</w:t>
            </w:r>
          </w:p>
        </w:tc>
        <w:tc>
          <w:tcPr>
            <w:tcW w:w="706" w:type="pct"/>
            <w:tcBorders>
              <w:top w:val="single" w:color="auto" w:sz="12" w:space="0"/>
              <w:bottom w:val="double" w:color="auto" w:sz="6" w:space="0"/>
            </w:tcBorders>
            <w:vAlign w:val="center"/>
          </w:tcPr>
          <w:p w14:paraId="2CC2FB76">
            <w:pPr>
              <w:keepNext/>
              <w:jc w:val="center"/>
              <w:rPr>
                <w:rFonts w:cs="宋体"/>
                <w:color w:val="auto"/>
                <w:szCs w:val="21"/>
                <w:highlight w:val="none"/>
              </w:rPr>
            </w:pPr>
            <w:r>
              <w:rPr>
                <w:rFonts w:hint="eastAsia" w:cs="宋体"/>
                <w:color w:val="auto"/>
                <w:szCs w:val="21"/>
                <w:highlight w:val="none"/>
              </w:rPr>
              <w:t>套数</w:t>
            </w:r>
          </w:p>
        </w:tc>
        <w:tc>
          <w:tcPr>
            <w:tcW w:w="802" w:type="pct"/>
            <w:tcBorders>
              <w:top w:val="single" w:color="auto" w:sz="12" w:space="0"/>
              <w:bottom w:val="double" w:color="auto" w:sz="6" w:space="0"/>
            </w:tcBorders>
            <w:vAlign w:val="center"/>
          </w:tcPr>
          <w:p w14:paraId="39C8166A">
            <w:pPr>
              <w:keepNext/>
              <w:jc w:val="center"/>
              <w:rPr>
                <w:rFonts w:cs="宋体"/>
                <w:color w:val="auto"/>
                <w:szCs w:val="21"/>
                <w:highlight w:val="none"/>
              </w:rPr>
            </w:pPr>
            <w:r>
              <w:rPr>
                <w:rFonts w:hint="eastAsia" w:cs="宋体"/>
                <w:color w:val="auto"/>
                <w:szCs w:val="21"/>
                <w:highlight w:val="none"/>
              </w:rPr>
              <w:t>费用（元）</w:t>
            </w:r>
          </w:p>
        </w:tc>
        <w:tc>
          <w:tcPr>
            <w:tcW w:w="687" w:type="pct"/>
            <w:tcBorders>
              <w:top w:val="single" w:color="auto" w:sz="12" w:space="0"/>
              <w:bottom w:val="double" w:color="auto" w:sz="6" w:space="0"/>
            </w:tcBorders>
            <w:vAlign w:val="center"/>
          </w:tcPr>
          <w:p w14:paraId="505C8AD6">
            <w:pPr>
              <w:keepNext/>
              <w:jc w:val="center"/>
              <w:rPr>
                <w:rFonts w:cs="宋体"/>
                <w:color w:val="auto"/>
                <w:szCs w:val="21"/>
                <w:highlight w:val="none"/>
              </w:rPr>
            </w:pPr>
            <w:r>
              <w:rPr>
                <w:rFonts w:hint="eastAsia" w:cs="宋体"/>
                <w:color w:val="auto"/>
                <w:szCs w:val="21"/>
                <w:highlight w:val="none"/>
              </w:rPr>
              <w:t>质量</w:t>
            </w:r>
          </w:p>
        </w:tc>
        <w:tc>
          <w:tcPr>
            <w:tcW w:w="802" w:type="pct"/>
            <w:tcBorders>
              <w:top w:val="single" w:color="auto" w:sz="12" w:space="0"/>
              <w:bottom w:val="double" w:color="auto" w:sz="6" w:space="0"/>
            </w:tcBorders>
            <w:vAlign w:val="center"/>
          </w:tcPr>
          <w:p w14:paraId="790E1F3A">
            <w:pPr>
              <w:jc w:val="center"/>
              <w:rPr>
                <w:rFonts w:cs="宋体"/>
                <w:color w:val="auto"/>
                <w:szCs w:val="21"/>
                <w:highlight w:val="none"/>
              </w:rPr>
            </w:pPr>
            <w:r>
              <w:rPr>
                <w:rFonts w:hint="eastAsia" w:cs="宋体"/>
                <w:color w:val="auto"/>
                <w:szCs w:val="21"/>
                <w:highlight w:val="none"/>
              </w:rPr>
              <w:t>移交时间</w:t>
            </w:r>
          </w:p>
        </w:tc>
        <w:tc>
          <w:tcPr>
            <w:tcW w:w="922" w:type="pct"/>
            <w:tcBorders>
              <w:top w:val="single" w:color="auto" w:sz="12" w:space="0"/>
              <w:bottom w:val="double" w:color="auto" w:sz="6" w:space="0"/>
            </w:tcBorders>
            <w:vAlign w:val="center"/>
          </w:tcPr>
          <w:p w14:paraId="76EDECAB">
            <w:pPr>
              <w:jc w:val="center"/>
              <w:rPr>
                <w:rFonts w:cs="宋体"/>
                <w:color w:val="auto"/>
                <w:szCs w:val="21"/>
                <w:highlight w:val="none"/>
              </w:rPr>
            </w:pPr>
            <w:r>
              <w:rPr>
                <w:rFonts w:hint="eastAsia" w:cs="宋体"/>
                <w:color w:val="auto"/>
                <w:szCs w:val="21"/>
                <w:highlight w:val="none"/>
              </w:rPr>
              <w:t>责任人</w:t>
            </w:r>
          </w:p>
        </w:tc>
      </w:tr>
      <w:tr w14:paraId="7FE0C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3C94D5F3">
            <w:pPr>
              <w:keepNext/>
              <w:jc w:val="center"/>
              <w:rPr>
                <w:rFonts w:cs="宋体"/>
                <w:color w:val="auto"/>
                <w:szCs w:val="21"/>
                <w:highlight w:val="none"/>
              </w:rPr>
            </w:pPr>
          </w:p>
        </w:tc>
        <w:tc>
          <w:tcPr>
            <w:tcW w:w="706" w:type="pct"/>
            <w:tcBorders>
              <w:top w:val="double" w:color="auto" w:sz="6" w:space="0"/>
            </w:tcBorders>
            <w:vAlign w:val="center"/>
          </w:tcPr>
          <w:p w14:paraId="70DAECCE">
            <w:pPr>
              <w:keepNext/>
              <w:jc w:val="center"/>
              <w:rPr>
                <w:rFonts w:cs="宋体"/>
                <w:color w:val="auto"/>
                <w:szCs w:val="21"/>
                <w:highlight w:val="none"/>
              </w:rPr>
            </w:pPr>
          </w:p>
        </w:tc>
        <w:tc>
          <w:tcPr>
            <w:tcW w:w="802" w:type="pct"/>
            <w:tcBorders>
              <w:top w:val="double" w:color="auto" w:sz="6" w:space="0"/>
            </w:tcBorders>
            <w:vAlign w:val="center"/>
          </w:tcPr>
          <w:p w14:paraId="1110A42D">
            <w:pPr>
              <w:keepNext/>
              <w:jc w:val="center"/>
              <w:rPr>
                <w:rFonts w:cs="宋体"/>
                <w:color w:val="auto"/>
                <w:szCs w:val="21"/>
                <w:highlight w:val="none"/>
              </w:rPr>
            </w:pPr>
          </w:p>
        </w:tc>
        <w:tc>
          <w:tcPr>
            <w:tcW w:w="687" w:type="pct"/>
            <w:tcBorders>
              <w:top w:val="double" w:color="auto" w:sz="6" w:space="0"/>
            </w:tcBorders>
            <w:vAlign w:val="center"/>
          </w:tcPr>
          <w:p w14:paraId="39797874">
            <w:pPr>
              <w:keepNext/>
              <w:jc w:val="center"/>
              <w:rPr>
                <w:rFonts w:cs="宋体"/>
                <w:color w:val="auto"/>
                <w:szCs w:val="21"/>
                <w:highlight w:val="none"/>
              </w:rPr>
            </w:pPr>
          </w:p>
        </w:tc>
        <w:tc>
          <w:tcPr>
            <w:tcW w:w="802" w:type="pct"/>
            <w:tcBorders>
              <w:top w:val="double" w:color="auto" w:sz="6" w:space="0"/>
            </w:tcBorders>
            <w:vAlign w:val="center"/>
          </w:tcPr>
          <w:p w14:paraId="6633BE27">
            <w:pPr>
              <w:keepNext/>
              <w:jc w:val="center"/>
              <w:rPr>
                <w:rFonts w:cs="宋体"/>
                <w:color w:val="auto"/>
                <w:szCs w:val="21"/>
                <w:highlight w:val="none"/>
              </w:rPr>
            </w:pPr>
          </w:p>
        </w:tc>
        <w:tc>
          <w:tcPr>
            <w:tcW w:w="922" w:type="pct"/>
            <w:tcBorders>
              <w:top w:val="double" w:color="auto" w:sz="6" w:space="0"/>
            </w:tcBorders>
            <w:vAlign w:val="center"/>
          </w:tcPr>
          <w:p w14:paraId="5FAA7B66">
            <w:pPr>
              <w:keepNext/>
              <w:jc w:val="center"/>
              <w:rPr>
                <w:rFonts w:cs="宋体"/>
                <w:color w:val="auto"/>
                <w:szCs w:val="21"/>
                <w:highlight w:val="none"/>
              </w:rPr>
            </w:pPr>
          </w:p>
        </w:tc>
      </w:tr>
      <w:tr w14:paraId="61102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379CA249">
            <w:pPr>
              <w:keepNext/>
              <w:jc w:val="center"/>
              <w:rPr>
                <w:rFonts w:cs="宋体"/>
                <w:color w:val="auto"/>
                <w:szCs w:val="21"/>
                <w:highlight w:val="none"/>
              </w:rPr>
            </w:pPr>
          </w:p>
        </w:tc>
        <w:tc>
          <w:tcPr>
            <w:tcW w:w="706" w:type="pct"/>
            <w:tcBorders>
              <w:top w:val="nil"/>
            </w:tcBorders>
            <w:vAlign w:val="center"/>
          </w:tcPr>
          <w:p w14:paraId="60EB2E7D">
            <w:pPr>
              <w:keepNext/>
              <w:jc w:val="center"/>
              <w:rPr>
                <w:rFonts w:cs="宋体"/>
                <w:color w:val="auto"/>
                <w:szCs w:val="21"/>
                <w:highlight w:val="none"/>
              </w:rPr>
            </w:pPr>
          </w:p>
        </w:tc>
        <w:tc>
          <w:tcPr>
            <w:tcW w:w="802" w:type="pct"/>
            <w:tcBorders>
              <w:top w:val="nil"/>
            </w:tcBorders>
            <w:vAlign w:val="center"/>
          </w:tcPr>
          <w:p w14:paraId="1B38062F">
            <w:pPr>
              <w:keepNext/>
              <w:jc w:val="center"/>
              <w:rPr>
                <w:rFonts w:cs="宋体"/>
                <w:color w:val="auto"/>
                <w:szCs w:val="21"/>
                <w:highlight w:val="none"/>
              </w:rPr>
            </w:pPr>
          </w:p>
        </w:tc>
        <w:tc>
          <w:tcPr>
            <w:tcW w:w="687" w:type="pct"/>
            <w:tcBorders>
              <w:top w:val="nil"/>
            </w:tcBorders>
            <w:vAlign w:val="center"/>
          </w:tcPr>
          <w:p w14:paraId="0940D773">
            <w:pPr>
              <w:keepNext/>
              <w:jc w:val="center"/>
              <w:rPr>
                <w:rFonts w:cs="宋体"/>
                <w:color w:val="auto"/>
                <w:szCs w:val="21"/>
                <w:highlight w:val="none"/>
              </w:rPr>
            </w:pPr>
          </w:p>
        </w:tc>
        <w:tc>
          <w:tcPr>
            <w:tcW w:w="802" w:type="pct"/>
            <w:tcBorders>
              <w:top w:val="nil"/>
            </w:tcBorders>
            <w:vAlign w:val="center"/>
          </w:tcPr>
          <w:p w14:paraId="77FE344D">
            <w:pPr>
              <w:keepNext/>
              <w:jc w:val="center"/>
              <w:rPr>
                <w:rFonts w:cs="宋体"/>
                <w:color w:val="auto"/>
                <w:szCs w:val="21"/>
                <w:highlight w:val="none"/>
              </w:rPr>
            </w:pPr>
          </w:p>
        </w:tc>
        <w:tc>
          <w:tcPr>
            <w:tcW w:w="922" w:type="pct"/>
            <w:tcBorders>
              <w:top w:val="nil"/>
            </w:tcBorders>
            <w:vAlign w:val="center"/>
          </w:tcPr>
          <w:p w14:paraId="41879AFA">
            <w:pPr>
              <w:keepNext/>
              <w:jc w:val="center"/>
              <w:rPr>
                <w:rFonts w:cs="宋体"/>
                <w:color w:val="auto"/>
                <w:szCs w:val="21"/>
                <w:highlight w:val="none"/>
              </w:rPr>
            </w:pPr>
          </w:p>
        </w:tc>
      </w:tr>
      <w:tr w14:paraId="042D1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33DCBAA1">
            <w:pPr>
              <w:jc w:val="center"/>
              <w:rPr>
                <w:rFonts w:cs="宋体"/>
                <w:color w:val="auto"/>
                <w:szCs w:val="21"/>
                <w:highlight w:val="none"/>
              </w:rPr>
            </w:pPr>
          </w:p>
        </w:tc>
        <w:tc>
          <w:tcPr>
            <w:tcW w:w="706" w:type="pct"/>
            <w:vAlign w:val="center"/>
          </w:tcPr>
          <w:p w14:paraId="2D66CBFC">
            <w:pPr>
              <w:jc w:val="center"/>
              <w:rPr>
                <w:rFonts w:cs="宋体"/>
                <w:color w:val="auto"/>
                <w:szCs w:val="21"/>
                <w:highlight w:val="none"/>
              </w:rPr>
            </w:pPr>
          </w:p>
        </w:tc>
        <w:tc>
          <w:tcPr>
            <w:tcW w:w="802" w:type="pct"/>
            <w:vAlign w:val="center"/>
          </w:tcPr>
          <w:p w14:paraId="55751855">
            <w:pPr>
              <w:jc w:val="center"/>
              <w:rPr>
                <w:rFonts w:cs="宋体"/>
                <w:color w:val="auto"/>
                <w:szCs w:val="21"/>
                <w:highlight w:val="none"/>
              </w:rPr>
            </w:pPr>
          </w:p>
        </w:tc>
        <w:tc>
          <w:tcPr>
            <w:tcW w:w="687" w:type="pct"/>
            <w:vAlign w:val="center"/>
          </w:tcPr>
          <w:p w14:paraId="076DC997">
            <w:pPr>
              <w:jc w:val="center"/>
              <w:rPr>
                <w:rFonts w:cs="宋体"/>
                <w:color w:val="auto"/>
                <w:szCs w:val="21"/>
                <w:highlight w:val="none"/>
              </w:rPr>
            </w:pPr>
          </w:p>
        </w:tc>
        <w:tc>
          <w:tcPr>
            <w:tcW w:w="802" w:type="pct"/>
            <w:vAlign w:val="center"/>
          </w:tcPr>
          <w:p w14:paraId="4FD28897">
            <w:pPr>
              <w:jc w:val="center"/>
              <w:rPr>
                <w:rFonts w:cs="宋体"/>
                <w:color w:val="auto"/>
                <w:szCs w:val="21"/>
                <w:highlight w:val="none"/>
              </w:rPr>
            </w:pPr>
          </w:p>
        </w:tc>
        <w:tc>
          <w:tcPr>
            <w:tcW w:w="922" w:type="pct"/>
            <w:vAlign w:val="center"/>
          </w:tcPr>
          <w:p w14:paraId="64E89AD6">
            <w:pPr>
              <w:jc w:val="center"/>
              <w:rPr>
                <w:rFonts w:cs="宋体"/>
                <w:color w:val="auto"/>
                <w:szCs w:val="21"/>
                <w:highlight w:val="none"/>
              </w:rPr>
            </w:pPr>
          </w:p>
        </w:tc>
      </w:tr>
      <w:tr w14:paraId="2E1EB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5B611FE9">
            <w:pPr>
              <w:jc w:val="center"/>
              <w:rPr>
                <w:rFonts w:cs="宋体"/>
                <w:color w:val="auto"/>
                <w:szCs w:val="21"/>
                <w:highlight w:val="none"/>
              </w:rPr>
            </w:pPr>
          </w:p>
        </w:tc>
        <w:tc>
          <w:tcPr>
            <w:tcW w:w="706" w:type="pct"/>
            <w:vAlign w:val="center"/>
          </w:tcPr>
          <w:p w14:paraId="2443CB80">
            <w:pPr>
              <w:jc w:val="center"/>
              <w:rPr>
                <w:rFonts w:cs="宋体"/>
                <w:color w:val="auto"/>
                <w:szCs w:val="21"/>
                <w:highlight w:val="none"/>
              </w:rPr>
            </w:pPr>
          </w:p>
        </w:tc>
        <w:tc>
          <w:tcPr>
            <w:tcW w:w="802" w:type="pct"/>
            <w:vAlign w:val="center"/>
          </w:tcPr>
          <w:p w14:paraId="0F10973F">
            <w:pPr>
              <w:jc w:val="center"/>
              <w:rPr>
                <w:rFonts w:cs="宋体"/>
                <w:color w:val="auto"/>
                <w:szCs w:val="21"/>
                <w:highlight w:val="none"/>
              </w:rPr>
            </w:pPr>
          </w:p>
        </w:tc>
        <w:tc>
          <w:tcPr>
            <w:tcW w:w="687" w:type="pct"/>
            <w:vAlign w:val="center"/>
          </w:tcPr>
          <w:p w14:paraId="00DD9983">
            <w:pPr>
              <w:jc w:val="center"/>
              <w:rPr>
                <w:rFonts w:cs="宋体"/>
                <w:color w:val="auto"/>
                <w:szCs w:val="21"/>
                <w:highlight w:val="none"/>
              </w:rPr>
            </w:pPr>
          </w:p>
        </w:tc>
        <w:tc>
          <w:tcPr>
            <w:tcW w:w="802" w:type="pct"/>
            <w:vAlign w:val="center"/>
          </w:tcPr>
          <w:p w14:paraId="1AEC2475">
            <w:pPr>
              <w:jc w:val="center"/>
              <w:rPr>
                <w:rFonts w:cs="宋体"/>
                <w:color w:val="auto"/>
                <w:szCs w:val="21"/>
                <w:highlight w:val="none"/>
              </w:rPr>
            </w:pPr>
          </w:p>
        </w:tc>
        <w:tc>
          <w:tcPr>
            <w:tcW w:w="922" w:type="pct"/>
            <w:vAlign w:val="center"/>
          </w:tcPr>
          <w:p w14:paraId="2D03D46C">
            <w:pPr>
              <w:jc w:val="center"/>
              <w:rPr>
                <w:rFonts w:cs="宋体"/>
                <w:color w:val="auto"/>
                <w:szCs w:val="21"/>
                <w:highlight w:val="none"/>
              </w:rPr>
            </w:pPr>
          </w:p>
        </w:tc>
      </w:tr>
      <w:tr w14:paraId="66BB8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vAlign w:val="center"/>
          </w:tcPr>
          <w:p w14:paraId="37BBE12E">
            <w:pPr>
              <w:jc w:val="center"/>
              <w:rPr>
                <w:rFonts w:cs="宋体"/>
                <w:color w:val="auto"/>
                <w:szCs w:val="21"/>
                <w:highlight w:val="none"/>
              </w:rPr>
            </w:pPr>
          </w:p>
        </w:tc>
        <w:tc>
          <w:tcPr>
            <w:tcW w:w="706" w:type="pct"/>
            <w:tcBorders>
              <w:bottom w:val="single" w:color="auto" w:sz="12" w:space="0"/>
            </w:tcBorders>
            <w:vAlign w:val="center"/>
          </w:tcPr>
          <w:p w14:paraId="3C364044">
            <w:pPr>
              <w:jc w:val="center"/>
              <w:rPr>
                <w:rFonts w:cs="宋体"/>
                <w:color w:val="auto"/>
                <w:szCs w:val="21"/>
                <w:highlight w:val="none"/>
              </w:rPr>
            </w:pPr>
          </w:p>
        </w:tc>
        <w:tc>
          <w:tcPr>
            <w:tcW w:w="802" w:type="pct"/>
            <w:tcBorders>
              <w:bottom w:val="single" w:color="auto" w:sz="12" w:space="0"/>
            </w:tcBorders>
            <w:vAlign w:val="center"/>
          </w:tcPr>
          <w:p w14:paraId="1905B4FA">
            <w:pPr>
              <w:jc w:val="center"/>
              <w:rPr>
                <w:rFonts w:cs="宋体"/>
                <w:color w:val="auto"/>
                <w:szCs w:val="21"/>
                <w:highlight w:val="none"/>
              </w:rPr>
            </w:pPr>
          </w:p>
        </w:tc>
        <w:tc>
          <w:tcPr>
            <w:tcW w:w="687" w:type="pct"/>
            <w:tcBorders>
              <w:bottom w:val="single" w:color="auto" w:sz="12" w:space="0"/>
            </w:tcBorders>
            <w:vAlign w:val="center"/>
          </w:tcPr>
          <w:p w14:paraId="1D7B8D1E">
            <w:pPr>
              <w:jc w:val="center"/>
              <w:rPr>
                <w:rFonts w:cs="宋体"/>
                <w:color w:val="auto"/>
                <w:szCs w:val="21"/>
                <w:highlight w:val="none"/>
              </w:rPr>
            </w:pPr>
          </w:p>
        </w:tc>
        <w:tc>
          <w:tcPr>
            <w:tcW w:w="802" w:type="pct"/>
            <w:tcBorders>
              <w:bottom w:val="single" w:color="auto" w:sz="12" w:space="0"/>
            </w:tcBorders>
            <w:vAlign w:val="center"/>
          </w:tcPr>
          <w:p w14:paraId="66319A94">
            <w:pPr>
              <w:jc w:val="center"/>
              <w:rPr>
                <w:rFonts w:cs="宋体"/>
                <w:color w:val="auto"/>
                <w:szCs w:val="21"/>
                <w:highlight w:val="none"/>
              </w:rPr>
            </w:pPr>
          </w:p>
        </w:tc>
        <w:tc>
          <w:tcPr>
            <w:tcW w:w="922" w:type="pct"/>
            <w:tcBorders>
              <w:bottom w:val="single" w:color="auto" w:sz="12" w:space="0"/>
            </w:tcBorders>
            <w:vAlign w:val="center"/>
          </w:tcPr>
          <w:p w14:paraId="5821108C">
            <w:pPr>
              <w:jc w:val="center"/>
              <w:rPr>
                <w:rFonts w:cs="宋体"/>
                <w:color w:val="auto"/>
                <w:szCs w:val="21"/>
                <w:highlight w:val="none"/>
              </w:rPr>
            </w:pPr>
          </w:p>
        </w:tc>
      </w:tr>
    </w:tbl>
    <w:p w14:paraId="46902590">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592" w:name="_Toc128950240"/>
      <w:r>
        <w:rPr>
          <w:rFonts w:hint="eastAsia" w:ascii="Times New Roman" w:eastAsia="黑体"/>
          <w:color w:val="auto"/>
          <w:szCs w:val="24"/>
          <w:highlight w:val="none"/>
        </w:rPr>
        <w:t>附</w:t>
      </w:r>
      <w:bookmarkStart w:id="593" w:name="_Toc296944566"/>
      <w:bookmarkStart w:id="594" w:name="_Toc296503227"/>
      <w:bookmarkStart w:id="595" w:name="_Toc296891055"/>
      <w:bookmarkStart w:id="596" w:name="_Toc267261698"/>
      <w:bookmarkStart w:id="597" w:name="_Toc296891267"/>
      <w:bookmarkStart w:id="598" w:name="_Toc296346728"/>
      <w:bookmarkStart w:id="599" w:name="_Toc296347226"/>
      <w:r>
        <w:rPr>
          <w:rFonts w:hint="eastAsia" w:ascii="Times New Roman" w:eastAsia="黑体"/>
          <w:color w:val="auto"/>
          <w:szCs w:val="24"/>
          <w:highlight w:val="none"/>
        </w:rPr>
        <w:t>件</w:t>
      </w:r>
      <w:r>
        <w:rPr>
          <w:rFonts w:ascii="Times New Roman" w:eastAsia="黑体"/>
          <w:color w:val="auto"/>
          <w:szCs w:val="24"/>
          <w:highlight w:val="none"/>
        </w:rPr>
        <w:t>5</w:t>
      </w:r>
      <w:r>
        <w:rPr>
          <w:rFonts w:hint="eastAsia" w:ascii="Times New Roman" w:eastAsia="黑体"/>
          <w:color w:val="auto"/>
          <w:szCs w:val="24"/>
          <w:highlight w:val="none"/>
        </w:rPr>
        <w:t>：承包人用于本工程施工的机械设备表</w:t>
      </w:r>
      <w:bookmarkEnd w:id="592"/>
    </w:p>
    <w:bookmarkEnd w:id="593"/>
    <w:bookmarkEnd w:id="594"/>
    <w:bookmarkEnd w:id="595"/>
    <w:bookmarkEnd w:id="596"/>
    <w:bookmarkEnd w:id="597"/>
    <w:bookmarkEnd w:id="598"/>
    <w:bookmarkEnd w:id="599"/>
    <w:p w14:paraId="281EF0FB">
      <w:pPr>
        <w:spacing w:before="156" w:beforeLines="50" w:after="156" w:afterLines="50"/>
        <w:jc w:val="center"/>
        <w:rPr>
          <w:rFonts w:cs="宋体"/>
          <w:color w:val="auto"/>
          <w:szCs w:val="21"/>
          <w:highlight w:val="none"/>
        </w:rPr>
      </w:pPr>
      <w:r>
        <w:rPr>
          <w:rFonts w:hint="eastAsia" w:cs="宋体"/>
          <w:color w:val="auto"/>
          <w:szCs w:val="21"/>
          <w:highlight w:val="none"/>
        </w:rPr>
        <w:t>承包人用于本工程施工的机械设备表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0C77A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35217834">
            <w:pPr>
              <w:keepNext/>
              <w:jc w:val="center"/>
              <w:rPr>
                <w:rFonts w:cs="宋体"/>
                <w:color w:val="auto"/>
                <w:szCs w:val="21"/>
                <w:highlight w:val="none"/>
              </w:rPr>
            </w:pPr>
            <w:r>
              <w:rPr>
                <w:rFonts w:hint="eastAsia" w:cs="宋体"/>
                <w:color w:val="auto"/>
                <w:szCs w:val="21"/>
                <w:highlight w:val="none"/>
              </w:rPr>
              <w:t>序号</w:t>
            </w:r>
          </w:p>
        </w:tc>
        <w:tc>
          <w:tcPr>
            <w:tcW w:w="792" w:type="pct"/>
            <w:tcBorders>
              <w:top w:val="single" w:color="auto" w:sz="12" w:space="0"/>
              <w:bottom w:val="double" w:color="auto" w:sz="6" w:space="0"/>
            </w:tcBorders>
            <w:vAlign w:val="center"/>
          </w:tcPr>
          <w:p w14:paraId="0C7B1978">
            <w:pPr>
              <w:keepNext/>
              <w:jc w:val="center"/>
              <w:rPr>
                <w:rFonts w:cs="宋体"/>
                <w:color w:val="auto"/>
                <w:szCs w:val="21"/>
                <w:highlight w:val="none"/>
              </w:rPr>
            </w:pPr>
            <w:r>
              <w:rPr>
                <w:rFonts w:hint="eastAsia" w:cs="宋体"/>
                <w:color w:val="auto"/>
                <w:szCs w:val="21"/>
                <w:highlight w:val="none"/>
              </w:rPr>
              <w:t>机械或设备名称</w:t>
            </w:r>
          </w:p>
        </w:tc>
        <w:tc>
          <w:tcPr>
            <w:tcW w:w="474" w:type="pct"/>
            <w:tcBorders>
              <w:top w:val="single" w:color="auto" w:sz="12" w:space="0"/>
              <w:bottom w:val="double" w:color="auto" w:sz="6" w:space="0"/>
            </w:tcBorders>
            <w:vAlign w:val="center"/>
          </w:tcPr>
          <w:p w14:paraId="56756377">
            <w:pPr>
              <w:keepNext/>
              <w:jc w:val="center"/>
              <w:rPr>
                <w:rFonts w:cs="宋体"/>
                <w:color w:val="auto"/>
                <w:szCs w:val="21"/>
                <w:highlight w:val="none"/>
              </w:rPr>
            </w:pPr>
            <w:r>
              <w:rPr>
                <w:rFonts w:hint="eastAsia" w:cs="宋体"/>
                <w:color w:val="auto"/>
                <w:szCs w:val="21"/>
                <w:highlight w:val="none"/>
              </w:rPr>
              <w:t>规格型号</w:t>
            </w:r>
          </w:p>
        </w:tc>
        <w:tc>
          <w:tcPr>
            <w:tcW w:w="396" w:type="pct"/>
            <w:tcBorders>
              <w:top w:val="single" w:color="auto" w:sz="12" w:space="0"/>
              <w:bottom w:val="double" w:color="auto" w:sz="6" w:space="0"/>
            </w:tcBorders>
            <w:vAlign w:val="center"/>
          </w:tcPr>
          <w:p w14:paraId="5D28195C">
            <w:pPr>
              <w:keepNext/>
              <w:jc w:val="center"/>
              <w:rPr>
                <w:rFonts w:cs="宋体"/>
                <w:color w:val="auto"/>
                <w:szCs w:val="21"/>
                <w:highlight w:val="none"/>
              </w:rPr>
            </w:pPr>
            <w:r>
              <w:rPr>
                <w:rFonts w:hint="eastAsia" w:cs="宋体"/>
                <w:color w:val="auto"/>
                <w:szCs w:val="21"/>
                <w:highlight w:val="none"/>
              </w:rPr>
              <w:t>数量</w:t>
            </w:r>
          </w:p>
        </w:tc>
        <w:tc>
          <w:tcPr>
            <w:tcW w:w="474" w:type="pct"/>
            <w:tcBorders>
              <w:top w:val="single" w:color="auto" w:sz="12" w:space="0"/>
              <w:bottom w:val="double" w:color="auto" w:sz="6" w:space="0"/>
            </w:tcBorders>
            <w:vAlign w:val="center"/>
          </w:tcPr>
          <w:p w14:paraId="734DF86A">
            <w:pPr>
              <w:keepNext/>
              <w:jc w:val="center"/>
              <w:rPr>
                <w:rFonts w:cs="宋体"/>
                <w:color w:val="auto"/>
                <w:szCs w:val="21"/>
                <w:highlight w:val="none"/>
              </w:rPr>
            </w:pPr>
            <w:r>
              <w:rPr>
                <w:rFonts w:hint="eastAsia" w:cs="宋体"/>
                <w:color w:val="auto"/>
                <w:szCs w:val="21"/>
                <w:highlight w:val="none"/>
              </w:rPr>
              <w:t>产地</w:t>
            </w:r>
          </w:p>
        </w:tc>
        <w:tc>
          <w:tcPr>
            <w:tcW w:w="537" w:type="pct"/>
            <w:tcBorders>
              <w:top w:val="single" w:color="auto" w:sz="12" w:space="0"/>
              <w:bottom w:val="double" w:color="auto" w:sz="6" w:space="0"/>
            </w:tcBorders>
            <w:vAlign w:val="center"/>
          </w:tcPr>
          <w:p w14:paraId="6B1241BB">
            <w:pPr>
              <w:keepNext/>
              <w:jc w:val="center"/>
              <w:rPr>
                <w:rFonts w:cs="宋体"/>
                <w:color w:val="auto"/>
                <w:szCs w:val="21"/>
                <w:highlight w:val="none"/>
              </w:rPr>
            </w:pPr>
            <w:r>
              <w:rPr>
                <w:rFonts w:hint="eastAsia" w:cs="宋体"/>
                <w:color w:val="auto"/>
                <w:szCs w:val="21"/>
                <w:highlight w:val="none"/>
              </w:rPr>
              <w:t>制造年份</w:t>
            </w:r>
          </w:p>
        </w:tc>
        <w:tc>
          <w:tcPr>
            <w:tcW w:w="827" w:type="pct"/>
            <w:tcBorders>
              <w:top w:val="single" w:color="auto" w:sz="12" w:space="0"/>
              <w:bottom w:val="double" w:color="auto" w:sz="6" w:space="0"/>
            </w:tcBorders>
            <w:vAlign w:val="center"/>
          </w:tcPr>
          <w:p w14:paraId="0AA4EB9F">
            <w:pPr>
              <w:keepNext/>
              <w:jc w:val="center"/>
              <w:rPr>
                <w:rFonts w:cs="宋体"/>
                <w:color w:val="auto"/>
                <w:szCs w:val="21"/>
                <w:highlight w:val="none"/>
              </w:rPr>
            </w:pPr>
            <w:r>
              <w:rPr>
                <w:rFonts w:hint="eastAsia" w:cs="宋体"/>
                <w:color w:val="auto"/>
                <w:szCs w:val="21"/>
                <w:highlight w:val="none"/>
              </w:rPr>
              <w:t>额定功率（kW)</w:t>
            </w:r>
          </w:p>
        </w:tc>
        <w:tc>
          <w:tcPr>
            <w:tcW w:w="569" w:type="pct"/>
            <w:tcBorders>
              <w:top w:val="single" w:color="auto" w:sz="12" w:space="0"/>
              <w:bottom w:val="double" w:color="auto" w:sz="6" w:space="0"/>
            </w:tcBorders>
            <w:vAlign w:val="center"/>
          </w:tcPr>
          <w:p w14:paraId="422679EA">
            <w:pPr>
              <w:keepNext/>
              <w:jc w:val="center"/>
              <w:rPr>
                <w:rFonts w:cs="宋体"/>
                <w:color w:val="auto"/>
                <w:szCs w:val="21"/>
                <w:highlight w:val="none"/>
              </w:rPr>
            </w:pPr>
            <w:r>
              <w:rPr>
                <w:rFonts w:hint="eastAsia" w:cs="宋体"/>
                <w:color w:val="auto"/>
                <w:szCs w:val="21"/>
                <w:highlight w:val="none"/>
              </w:rPr>
              <w:t>生产能力</w:t>
            </w:r>
          </w:p>
        </w:tc>
        <w:tc>
          <w:tcPr>
            <w:tcW w:w="519" w:type="pct"/>
            <w:tcBorders>
              <w:top w:val="single" w:color="auto" w:sz="12" w:space="0"/>
              <w:bottom w:val="double" w:color="auto" w:sz="6" w:space="0"/>
            </w:tcBorders>
            <w:vAlign w:val="center"/>
          </w:tcPr>
          <w:p w14:paraId="3BD55819">
            <w:pPr>
              <w:keepNext/>
              <w:jc w:val="center"/>
              <w:rPr>
                <w:rFonts w:cs="宋体"/>
                <w:color w:val="auto"/>
                <w:szCs w:val="21"/>
                <w:highlight w:val="none"/>
              </w:rPr>
            </w:pPr>
            <w:r>
              <w:rPr>
                <w:rFonts w:hint="eastAsia" w:cs="宋体"/>
                <w:color w:val="auto"/>
                <w:szCs w:val="21"/>
                <w:highlight w:val="none"/>
              </w:rPr>
              <w:t>备注</w:t>
            </w:r>
          </w:p>
        </w:tc>
      </w:tr>
      <w:tr w14:paraId="075AC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5D7A8F20">
            <w:pPr>
              <w:keepNext/>
              <w:jc w:val="center"/>
              <w:rPr>
                <w:rFonts w:cs="宋体"/>
                <w:color w:val="auto"/>
                <w:szCs w:val="21"/>
                <w:highlight w:val="none"/>
              </w:rPr>
            </w:pPr>
          </w:p>
        </w:tc>
        <w:tc>
          <w:tcPr>
            <w:tcW w:w="792" w:type="pct"/>
            <w:tcBorders>
              <w:top w:val="double" w:color="auto" w:sz="6" w:space="0"/>
            </w:tcBorders>
            <w:vAlign w:val="center"/>
          </w:tcPr>
          <w:p w14:paraId="20481A73">
            <w:pPr>
              <w:keepNext/>
              <w:jc w:val="center"/>
              <w:rPr>
                <w:rFonts w:cs="宋体"/>
                <w:color w:val="auto"/>
                <w:szCs w:val="21"/>
                <w:highlight w:val="none"/>
              </w:rPr>
            </w:pPr>
          </w:p>
        </w:tc>
        <w:tc>
          <w:tcPr>
            <w:tcW w:w="474" w:type="pct"/>
            <w:tcBorders>
              <w:top w:val="double" w:color="auto" w:sz="6" w:space="0"/>
            </w:tcBorders>
            <w:vAlign w:val="center"/>
          </w:tcPr>
          <w:p w14:paraId="3AF930B0">
            <w:pPr>
              <w:keepNext/>
              <w:jc w:val="center"/>
              <w:rPr>
                <w:rFonts w:cs="宋体"/>
                <w:color w:val="auto"/>
                <w:szCs w:val="21"/>
                <w:highlight w:val="none"/>
              </w:rPr>
            </w:pPr>
          </w:p>
        </w:tc>
        <w:tc>
          <w:tcPr>
            <w:tcW w:w="396" w:type="pct"/>
            <w:tcBorders>
              <w:top w:val="double" w:color="auto" w:sz="6" w:space="0"/>
            </w:tcBorders>
            <w:vAlign w:val="center"/>
          </w:tcPr>
          <w:p w14:paraId="3A058FBA">
            <w:pPr>
              <w:keepNext/>
              <w:jc w:val="center"/>
              <w:rPr>
                <w:rFonts w:cs="宋体"/>
                <w:color w:val="auto"/>
                <w:szCs w:val="21"/>
                <w:highlight w:val="none"/>
              </w:rPr>
            </w:pPr>
          </w:p>
        </w:tc>
        <w:tc>
          <w:tcPr>
            <w:tcW w:w="474" w:type="pct"/>
            <w:tcBorders>
              <w:top w:val="double" w:color="auto" w:sz="6" w:space="0"/>
            </w:tcBorders>
            <w:vAlign w:val="center"/>
          </w:tcPr>
          <w:p w14:paraId="5E14D776">
            <w:pPr>
              <w:keepNext/>
              <w:jc w:val="center"/>
              <w:rPr>
                <w:rFonts w:cs="宋体"/>
                <w:color w:val="auto"/>
                <w:szCs w:val="21"/>
                <w:highlight w:val="none"/>
              </w:rPr>
            </w:pPr>
          </w:p>
        </w:tc>
        <w:tc>
          <w:tcPr>
            <w:tcW w:w="537" w:type="pct"/>
            <w:tcBorders>
              <w:top w:val="double" w:color="auto" w:sz="6" w:space="0"/>
            </w:tcBorders>
            <w:vAlign w:val="center"/>
          </w:tcPr>
          <w:p w14:paraId="207DA7A4">
            <w:pPr>
              <w:keepNext/>
              <w:jc w:val="center"/>
              <w:rPr>
                <w:rFonts w:cs="宋体"/>
                <w:color w:val="auto"/>
                <w:szCs w:val="21"/>
                <w:highlight w:val="none"/>
              </w:rPr>
            </w:pPr>
          </w:p>
        </w:tc>
        <w:tc>
          <w:tcPr>
            <w:tcW w:w="827" w:type="pct"/>
            <w:tcBorders>
              <w:top w:val="double" w:color="auto" w:sz="6" w:space="0"/>
            </w:tcBorders>
            <w:vAlign w:val="center"/>
          </w:tcPr>
          <w:p w14:paraId="688741F5">
            <w:pPr>
              <w:keepNext/>
              <w:jc w:val="center"/>
              <w:rPr>
                <w:rFonts w:cs="宋体"/>
                <w:color w:val="auto"/>
                <w:szCs w:val="21"/>
                <w:highlight w:val="none"/>
              </w:rPr>
            </w:pPr>
          </w:p>
        </w:tc>
        <w:tc>
          <w:tcPr>
            <w:tcW w:w="569" w:type="pct"/>
            <w:tcBorders>
              <w:top w:val="double" w:color="auto" w:sz="6" w:space="0"/>
            </w:tcBorders>
            <w:vAlign w:val="center"/>
          </w:tcPr>
          <w:p w14:paraId="11B840E4">
            <w:pPr>
              <w:keepNext/>
              <w:jc w:val="center"/>
              <w:rPr>
                <w:rFonts w:cs="宋体"/>
                <w:color w:val="auto"/>
                <w:szCs w:val="21"/>
                <w:highlight w:val="none"/>
              </w:rPr>
            </w:pPr>
          </w:p>
        </w:tc>
        <w:tc>
          <w:tcPr>
            <w:tcW w:w="519" w:type="pct"/>
            <w:tcBorders>
              <w:top w:val="double" w:color="auto" w:sz="6" w:space="0"/>
            </w:tcBorders>
            <w:vAlign w:val="center"/>
          </w:tcPr>
          <w:p w14:paraId="1F6D7D24">
            <w:pPr>
              <w:keepNext/>
              <w:jc w:val="center"/>
              <w:rPr>
                <w:rFonts w:cs="宋体"/>
                <w:color w:val="auto"/>
                <w:szCs w:val="21"/>
                <w:highlight w:val="none"/>
              </w:rPr>
            </w:pPr>
          </w:p>
        </w:tc>
      </w:tr>
      <w:tr w14:paraId="1440C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1DCEBBBB">
            <w:pPr>
              <w:keepNext/>
              <w:jc w:val="center"/>
              <w:rPr>
                <w:rFonts w:cs="宋体"/>
                <w:color w:val="auto"/>
                <w:szCs w:val="21"/>
                <w:highlight w:val="none"/>
              </w:rPr>
            </w:pPr>
          </w:p>
        </w:tc>
        <w:tc>
          <w:tcPr>
            <w:tcW w:w="792" w:type="pct"/>
            <w:tcBorders>
              <w:top w:val="nil"/>
            </w:tcBorders>
            <w:vAlign w:val="center"/>
          </w:tcPr>
          <w:p w14:paraId="042C2E82">
            <w:pPr>
              <w:keepNext/>
              <w:jc w:val="center"/>
              <w:rPr>
                <w:rFonts w:cs="宋体"/>
                <w:color w:val="auto"/>
                <w:szCs w:val="21"/>
                <w:highlight w:val="none"/>
              </w:rPr>
            </w:pPr>
          </w:p>
        </w:tc>
        <w:tc>
          <w:tcPr>
            <w:tcW w:w="474" w:type="pct"/>
            <w:tcBorders>
              <w:top w:val="nil"/>
            </w:tcBorders>
            <w:vAlign w:val="center"/>
          </w:tcPr>
          <w:p w14:paraId="0EF1B0D4">
            <w:pPr>
              <w:keepNext/>
              <w:jc w:val="center"/>
              <w:rPr>
                <w:rFonts w:cs="宋体"/>
                <w:color w:val="auto"/>
                <w:szCs w:val="21"/>
                <w:highlight w:val="none"/>
              </w:rPr>
            </w:pPr>
          </w:p>
        </w:tc>
        <w:tc>
          <w:tcPr>
            <w:tcW w:w="396" w:type="pct"/>
            <w:tcBorders>
              <w:top w:val="nil"/>
            </w:tcBorders>
            <w:vAlign w:val="center"/>
          </w:tcPr>
          <w:p w14:paraId="10826426">
            <w:pPr>
              <w:keepNext/>
              <w:jc w:val="center"/>
              <w:rPr>
                <w:rFonts w:cs="宋体"/>
                <w:color w:val="auto"/>
                <w:szCs w:val="21"/>
                <w:highlight w:val="none"/>
              </w:rPr>
            </w:pPr>
          </w:p>
        </w:tc>
        <w:tc>
          <w:tcPr>
            <w:tcW w:w="474" w:type="pct"/>
            <w:tcBorders>
              <w:top w:val="nil"/>
            </w:tcBorders>
            <w:vAlign w:val="center"/>
          </w:tcPr>
          <w:p w14:paraId="190FDDE3">
            <w:pPr>
              <w:keepNext/>
              <w:jc w:val="center"/>
              <w:rPr>
                <w:rFonts w:cs="宋体"/>
                <w:color w:val="auto"/>
                <w:szCs w:val="21"/>
                <w:highlight w:val="none"/>
              </w:rPr>
            </w:pPr>
          </w:p>
        </w:tc>
        <w:tc>
          <w:tcPr>
            <w:tcW w:w="537" w:type="pct"/>
            <w:tcBorders>
              <w:top w:val="nil"/>
            </w:tcBorders>
            <w:vAlign w:val="center"/>
          </w:tcPr>
          <w:p w14:paraId="1C35110C">
            <w:pPr>
              <w:keepNext/>
              <w:jc w:val="center"/>
              <w:rPr>
                <w:rFonts w:cs="宋体"/>
                <w:color w:val="auto"/>
                <w:szCs w:val="21"/>
                <w:highlight w:val="none"/>
              </w:rPr>
            </w:pPr>
          </w:p>
        </w:tc>
        <w:tc>
          <w:tcPr>
            <w:tcW w:w="827" w:type="pct"/>
            <w:tcBorders>
              <w:top w:val="nil"/>
            </w:tcBorders>
            <w:vAlign w:val="center"/>
          </w:tcPr>
          <w:p w14:paraId="7CC923D5">
            <w:pPr>
              <w:keepNext/>
              <w:jc w:val="center"/>
              <w:rPr>
                <w:rFonts w:cs="宋体"/>
                <w:color w:val="auto"/>
                <w:szCs w:val="21"/>
                <w:highlight w:val="none"/>
              </w:rPr>
            </w:pPr>
          </w:p>
        </w:tc>
        <w:tc>
          <w:tcPr>
            <w:tcW w:w="569" w:type="pct"/>
            <w:tcBorders>
              <w:top w:val="nil"/>
            </w:tcBorders>
            <w:vAlign w:val="center"/>
          </w:tcPr>
          <w:p w14:paraId="613B9BE5">
            <w:pPr>
              <w:keepNext/>
              <w:jc w:val="center"/>
              <w:rPr>
                <w:rFonts w:cs="宋体"/>
                <w:color w:val="auto"/>
                <w:szCs w:val="21"/>
                <w:highlight w:val="none"/>
              </w:rPr>
            </w:pPr>
          </w:p>
        </w:tc>
        <w:tc>
          <w:tcPr>
            <w:tcW w:w="519" w:type="pct"/>
            <w:tcBorders>
              <w:top w:val="nil"/>
            </w:tcBorders>
            <w:vAlign w:val="center"/>
          </w:tcPr>
          <w:p w14:paraId="767EC3BF">
            <w:pPr>
              <w:keepNext/>
              <w:jc w:val="center"/>
              <w:rPr>
                <w:rFonts w:cs="宋体"/>
                <w:color w:val="auto"/>
                <w:szCs w:val="21"/>
                <w:highlight w:val="none"/>
              </w:rPr>
            </w:pPr>
          </w:p>
        </w:tc>
      </w:tr>
      <w:tr w14:paraId="5AC0D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7F19D5ED">
            <w:pPr>
              <w:jc w:val="center"/>
              <w:rPr>
                <w:rFonts w:cs="宋体"/>
                <w:color w:val="auto"/>
                <w:szCs w:val="21"/>
                <w:highlight w:val="none"/>
              </w:rPr>
            </w:pPr>
          </w:p>
        </w:tc>
        <w:tc>
          <w:tcPr>
            <w:tcW w:w="792" w:type="pct"/>
            <w:vAlign w:val="center"/>
          </w:tcPr>
          <w:p w14:paraId="54BBB7B4">
            <w:pPr>
              <w:jc w:val="center"/>
              <w:rPr>
                <w:rFonts w:cs="宋体"/>
                <w:color w:val="auto"/>
                <w:szCs w:val="21"/>
                <w:highlight w:val="none"/>
              </w:rPr>
            </w:pPr>
          </w:p>
        </w:tc>
        <w:tc>
          <w:tcPr>
            <w:tcW w:w="474" w:type="pct"/>
            <w:vAlign w:val="center"/>
          </w:tcPr>
          <w:p w14:paraId="5C134097">
            <w:pPr>
              <w:jc w:val="center"/>
              <w:rPr>
                <w:rFonts w:cs="宋体"/>
                <w:color w:val="auto"/>
                <w:szCs w:val="21"/>
                <w:highlight w:val="none"/>
              </w:rPr>
            </w:pPr>
          </w:p>
        </w:tc>
        <w:tc>
          <w:tcPr>
            <w:tcW w:w="396" w:type="pct"/>
            <w:vAlign w:val="center"/>
          </w:tcPr>
          <w:p w14:paraId="66929AB2">
            <w:pPr>
              <w:jc w:val="center"/>
              <w:rPr>
                <w:rFonts w:cs="宋体"/>
                <w:color w:val="auto"/>
                <w:szCs w:val="21"/>
                <w:highlight w:val="none"/>
              </w:rPr>
            </w:pPr>
          </w:p>
        </w:tc>
        <w:tc>
          <w:tcPr>
            <w:tcW w:w="474" w:type="pct"/>
            <w:vAlign w:val="center"/>
          </w:tcPr>
          <w:p w14:paraId="1BF8E46C">
            <w:pPr>
              <w:jc w:val="center"/>
              <w:rPr>
                <w:rFonts w:cs="宋体"/>
                <w:color w:val="auto"/>
                <w:szCs w:val="21"/>
                <w:highlight w:val="none"/>
              </w:rPr>
            </w:pPr>
          </w:p>
        </w:tc>
        <w:tc>
          <w:tcPr>
            <w:tcW w:w="537" w:type="pct"/>
            <w:vAlign w:val="center"/>
          </w:tcPr>
          <w:p w14:paraId="4988D191">
            <w:pPr>
              <w:jc w:val="center"/>
              <w:rPr>
                <w:rFonts w:cs="宋体"/>
                <w:color w:val="auto"/>
                <w:szCs w:val="21"/>
                <w:highlight w:val="none"/>
              </w:rPr>
            </w:pPr>
          </w:p>
        </w:tc>
        <w:tc>
          <w:tcPr>
            <w:tcW w:w="827" w:type="pct"/>
            <w:vAlign w:val="center"/>
          </w:tcPr>
          <w:p w14:paraId="6FC15C35">
            <w:pPr>
              <w:jc w:val="center"/>
              <w:rPr>
                <w:rFonts w:cs="宋体"/>
                <w:color w:val="auto"/>
                <w:szCs w:val="21"/>
                <w:highlight w:val="none"/>
              </w:rPr>
            </w:pPr>
          </w:p>
        </w:tc>
        <w:tc>
          <w:tcPr>
            <w:tcW w:w="569" w:type="pct"/>
            <w:vAlign w:val="center"/>
          </w:tcPr>
          <w:p w14:paraId="661E7AFC">
            <w:pPr>
              <w:jc w:val="center"/>
              <w:rPr>
                <w:rFonts w:cs="宋体"/>
                <w:color w:val="auto"/>
                <w:szCs w:val="21"/>
                <w:highlight w:val="none"/>
              </w:rPr>
            </w:pPr>
          </w:p>
        </w:tc>
        <w:tc>
          <w:tcPr>
            <w:tcW w:w="519" w:type="pct"/>
            <w:vAlign w:val="center"/>
          </w:tcPr>
          <w:p w14:paraId="2EF96365">
            <w:pPr>
              <w:jc w:val="center"/>
              <w:rPr>
                <w:rFonts w:cs="宋体"/>
                <w:color w:val="auto"/>
                <w:szCs w:val="21"/>
                <w:highlight w:val="none"/>
              </w:rPr>
            </w:pPr>
          </w:p>
        </w:tc>
      </w:tr>
      <w:tr w14:paraId="389B1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13A3A02D">
            <w:pPr>
              <w:jc w:val="center"/>
              <w:rPr>
                <w:rFonts w:cs="宋体"/>
                <w:color w:val="auto"/>
                <w:szCs w:val="21"/>
                <w:highlight w:val="none"/>
              </w:rPr>
            </w:pPr>
          </w:p>
        </w:tc>
        <w:tc>
          <w:tcPr>
            <w:tcW w:w="792" w:type="pct"/>
            <w:vAlign w:val="center"/>
          </w:tcPr>
          <w:p w14:paraId="4B95D18D">
            <w:pPr>
              <w:jc w:val="center"/>
              <w:rPr>
                <w:rFonts w:cs="宋体"/>
                <w:color w:val="auto"/>
                <w:szCs w:val="21"/>
                <w:highlight w:val="none"/>
              </w:rPr>
            </w:pPr>
          </w:p>
        </w:tc>
        <w:tc>
          <w:tcPr>
            <w:tcW w:w="474" w:type="pct"/>
            <w:vAlign w:val="center"/>
          </w:tcPr>
          <w:p w14:paraId="20965875">
            <w:pPr>
              <w:jc w:val="center"/>
              <w:rPr>
                <w:rFonts w:cs="宋体"/>
                <w:color w:val="auto"/>
                <w:szCs w:val="21"/>
                <w:highlight w:val="none"/>
              </w:rPr>
            </w:pPr>
          </w:p>
        </w:tc>
        <w:tc>
          <w:tcPr>
            <w:tcW w:w="396" w:type="pct"/>
            <w:vAlign w:val="center"/>
          </w:tcPr>
          <w:p w14:paraId="0C1EAA2A">
            <w:pPr>
              <w:jc w:val="center"/>
              <w:rPr>
                <w:rFonts w:cs="宋体"/>
                <w:color w:val="auto"/>
                <w:szCs w:val="21"/>
                <w:highlight w:val="none"/>
              </w:rPr>
            </w:pPr>
          </w:p>
        </w:tc>
        <w:tc>
          <w:tcPr>
            <w:tcW w:w="474" w:type="pct"/>
            <w:vAlign w:val="center"/>
          </w:tcPr>
          <w:p w14:paraId="1FD1BBF0">
            <w:pPr>
              <w:jc w:val="center"/>
              <w:rPr>
                <w:rFonts w:cs="宋体"/>
                <w:color w:val="auto"/>
                <w:szCs w:val="21"/>
                <w:highlight w:val="none"/>
              </w:rPr>
            </w:pPr>
          </w:p>
        </w:tc>
        <w:tc>
          <w:tcPr>
            <w:tcW w:w="537" w:type="pct"/>
            <w:vAlign w:val="center"/>
          </w:tcPr>
          <w:p w14:paraId="1DF5CB66">
            <w:pPr>
              <w:jc w:val="center"/>
              <w:rPr>
                <w:rFonts w:cs="宋体"/>
                <w:color w:val="auto"/>
                <w:szCs w:val="21"/>
                <w:highlight w:val="none"/>
              </w:rPr>
            </w:pPr>
          </w:p>
        </w:tc>
        <w:tc>
          <w:tcPr>
            <w:tcW w:w="827" w:type="pct"/>
            <w:vAlign w:val="center"/>
          </w:tcPr>
          <w:p w14:paraId="6492CE62">
            <w:pPr>
              <w:jc w:val="center"/>
              <w:rPr>
                <w:rFonts w:cs="宋体"/>
                <w:color w:val="auto"/>
                <w:szCs w:val="21"/>
                <w:highlight w:val="none"/>
              </w:rPr>
            </w:pPr>
          </w:p>
        </w:tc>
        <w:tc>
          <w:tcPr>
            <w:tcW w:w="569" w:type="pct"/>
            <w:vAlign w:val="center"/>
          </w:tcPr>
          <w:p w14:paraId="09805F93">
            <w:pPr>
              <w:jc w:val="center"/>
              <w:rPr>
                <w:rFonts w:cs="宋体"/>
                <w:color w:val="auto"/>
                <w:szCs w:val="21"/>
                <w:highlight w:val="none"/>
              </w:rPr>
            </w:pPr>
          </w:p>
        </w:tc>
        <w:tc>
          <w:tcPr>
            <w:tcW w:w="519" w:type="pct"/>
            <w:vAlign w:val="center"/>
          </w:tcPr>
          <w:p w14:paraId="42378160">
            <w:pPr>
              <w:jc w:val="center"/>
              <w:rPr>
                <w:rFonts w:cs="宋体"/>
                <w:color w:val="auto"/>
                <w:szCs w:val="21"/>
                <w:highlight w:val="none"/>
              </w:rPr>
            </w:pPr>
          </w:p>
        </w:tc>
      </w:tr>
      <w:tr w14:paraId="29A0E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754DD642">
            <w:pPr>
              <w:jc w:val="center"/>
              <w:rPr>
                <w:rFonts w:cs="宋体"/>
                <w:color w:val="auto"/>
                <w:szCs w:val="21"/>
                <w:highlight w:val="none"/>
              </w:rPr>
            </w:pPr>
          </w:p>
        </w:tc>
        <w:tc>
          <w:tcPr>
            <w:tcW w:w="792" w:type="pct"/>
            <w:tcBorders>
              <w:bottom w:val="single" w:color="auto" w:sz="12" w:space="0"/>
            </w:tcBorders>
            <w:vAlign w:val="center"/>
          </w:tcPr>
          <w:p w14:paraId="464EC5AB">
            <w:pPr>
              <w:jc w:val="center"/>
              <w:rPr>
                <w:rFonts w:cs="宋体"/>
                <w:color w:val="auto"/>
                <w:szCs w:val="21"/>
                <w:highlight w:val="none"/>
              </w:rPr>
            </w:pPr>
          </w:p>
        </w:tc>
        <w:tc>
          <w:tcPr>
            <w:tcW w:w="474" w:type="pct"/>
            <w:tcBorders>
              <w:bottom w:val="single" w:color="auto" w:sz="12" w:space="0"/>
            </w:tcBorders>
            <w:vAlign w:val="center"/>
          </w:tcPr>
          <w:p w14:paraId="4D2B0DC0">
            <w:pPr>
              <w:jc w:val="center"/>
              <w:rPr>
                <w:rFonts w:cs="宋体"/>
                <w:color w:val="auto"/>
                <w:szCs w:val="21"/>
                <w:highlight w:val="none"/>
              </w:rPr>
            </w:pPr>
          </w:p>
        </w:tc>
        <w:tc>
          <w:tcPr>
            <w:tcW w:w="396" w:type="pct"/>
            <w:tcBorders>
              <w:bottom w:val="single" w:color="auto" w:sz="12" w:space="0"/>
            </w:tcBorders>
            <w:vAlign w:val="center"/>
          </w:tcPr>
          <w:p w14:paraId="7A37BE94">
            <w:pPr>
              <w:jc w:val="center"/>
              <w:rPr>
                <w:rFonts w:cs="宋体"/>
                <w:color w:val="auto"/>
                <w:szCs w:val="21"/>
                <w:highlight w:val="none"/>
              </w:rPr>
            </w:pPr>
          </w:p>
        </w:tc>
        <w:tc>
          <w:tcPr>
            <w:tcW w:w="474" w:type="pct"/>
            <w:tcBorders>
              <w:bottom w:val="single" w:color="auto" w:sz="12" w:space="0"/>
            </w:tcBorders>
            <w:vAlign w:val="center"/>
          </w:tcPr>
          <w:p w14:paraId="4F732BF1">
            <w:pPr>
              <w:jc w:val="center"/>
              <w:rPr>
                <w:rFonts w:cs="宋体"/>
                <w:color w:val="auto"/>
                <w:szCs w:val="21"/>
                <w:highlight w:val="none"/>
              </w:rPr>
            </w:pPr>
          </w:p>
        </w:tc>
        <w:tc>
          <w:tcPr>
            <w:tcW w:w="537" w:type="pct"/>
            <w:tcBorders>
              <w:bottom w:val="single" w:color="auto" w:sz="12" w:space="0"/>
            </w:tcBorders>
            <w:vAlign w:val="center"/>
          </w:tcPr>
          <w:p w14:paraId="32B2184A">
            <w:pPr>
              <w:jc w:val="center"/>
              <w:rPr>
                <w:rFonts w:cs="宋体"/>
                <w:color w:val="auto"/>
                <w:szCs w:val="21"/>
                <w:highlight w:val="none"/>
              </w:rPr>
            </w:pPr>
          </w:p>
        </w:tc>
        <w:tc>
          <w:tcPr>
            <w:tcW w:w="827" w:type="pct"/>
            <w:tcBorders>
              <w:bottom w:val="single" w:color="auto" w:sz="12" w:space="0"/>
            </w:tcBorders>
            <w:vAlign w:val="center"/>
          </w:tcPr>
          <w:p w14:paraId="3954AD06">
            <w:pPr>
              <w:jc w:val="center"/>
              <w:rPr>
                <w:rFonts w:cs="宋体"/>
                <w:color w:val="auto"/>
                <w:szCs w:val="21"/>
                <w:highlight w:val="none"/>
              </w:rPr>
            </w:pPr>
          </w:p>
        </w:tc>
        <w:tc>
          <w:tcPr>
            <w:tcW w:w="569" w:type="pct"/>
            <w:tcBorders>
              <w:bottom w:val="single" w:color="auto" w:sz="12" w:space="0"/>
            </w:tcBorders>
            <w:vAlign w:val="center"/>
          </w:tcPr>
          <w:p w14:paraId="161D320A">
            <w:pPr>
              <w:jc w:val="center"/>
              <w:rPr>
                <w:rFonts w:cs="宋体"/>
                <w:color w:val="auto"/>
                <w:szCs w:val="21"/>
                <w:highlight w:val="none"/>
              </w:rPr>
            </w:pPr>
          </w:p>
        </w:tc>
        <w:tc>
          <w:tcPr>
            <w:tcW w:w="519" w:type="pct"/>
            <w:tcBorders>
              <w:bottom w:val="single" w:color="auto" w:sz="12" w:space="0"/>
            </w:tcBorders>
            <w:vAlign w:val="center"/>
          </w:tcPr>
          <w:p w14:paraId="4FE28A99">
            <w:pPr>
              <w:jc w:val="center"/>
              <w:rPr>
                <w:rFonts w:cs="宋体"/>
                <w:color w:val="auto"/>
                <w:szCs w:val="21"/>
                <w:highlight w:val="none"/>
              </w:rPr>
            </w:pPr>
          </w:p>
        </w:tc>
      </w:tr>
    </w:tbl>
    <w:p w14:paraId="2C376A9C">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00" w:name="_Toc128950241"/>
      <w:r>
        <w:rPr>
          <w:rFonts w:hint="eastAsia" w:ascii="Times New Roman" w:eastAsia="黑体"/>
          <w:color w:val="auto"/>
          <w:szCs w:val="24"/>
          <w:highlight w:val="none"/>
        </w:rPr>
        <w:t>附</w:t>
      </w:r>
      <w:bookmarkStart w:id="601" w:name="_Toc296891056"/>
      <w:bookmarkStart w:id="602" w:name="_Toc296503228"/>
      <w:bookmarkStart w:id="603" w:name="_Toc296944567"/>
      <w:bookmarkStart w:id="604" w:name="_Toc296346729"/>
      <w:bookmarkStart w:id="605" w:name="_Toc267261699"/>
      <w:bookmarkStart w:id="606" w:name="_Toc296891268"/>
      <w:bookmarkStart w:id="607" w:name="_Toc296347227"/>
      <w:r>
        <w:rPr>
          <w:rFonts w:hint="eastAsia" w:ascii="Times New Roman" w:eastAsia="黑体"/>
          <w:color w:val="auto"/>
          <w:szCs w:val="24"/>
          <w:highlight w:val="none"/>
        </w:rPr>
        <w:t>件</w:t>
      </w:r>
      <w:bookmarkEnd w:id="601"/>
      <w:bookmarkEnd w:id="602"/>
      <w:bookmarkEnd w:id="603"/>
      <w:bookmarkEnd w:id="604"/>
      <w:bookmarkEnd w:id="605"/>
      <w:bookmarkEnd w:id="606"/>
      <w:bookmarkEnd w:id="607"/>
      <w:r>
        <w:rPr>
          <w:rFonts w:ascii="Times New Roman" w:eastAsia="黑体"/>
          <w:color w:val="auto"/>
          <w:szCs w:val="24"/>
          <w:highlight w:val="none"/>
        </w:rPr>
        <w:t>6</w:t>
      </w:r>
      <w:r>
        <w:rPr>
          <w:rFonts w:hint="eastAsia" w:ascii="Times New Roman" w:eastAsia="黑体"/>
          <w:color w:val="auto"/>
          <w:szCs w:val="24"/>
          <w:highlight w:val="none"/>
        </w:rPr>
        <w:t>：承包人主要施工管理人员表</w:t>
      </w:r>
      <w:bookmarkEnd w:id="600"/>
    </w:p>
    <w:p w14:paraId="79AB893E">
      <w:pPr>
        <w:spacing w:line="360" w:lineRule="auto"/>
        <w:jc w:val="center"/>
        <w:rPr>
          <w:rFonts w:cs="宋体"/>
          <w:color w:val="auto"/>
          <w:highlight w:val="none"/>
        </w:rPr>
      </w:pPr>
      <w:r>
        <w:rPr>
          <w:rFonts w:hint="eastAsia" w:cs="宋体"/>
          <w:color w:val="auto"/>
          <w:highlight w:val="none"/>
        </w:rPr>
        <w:t>承包人主要施工管理人员表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483F2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600DFF61">
            <w:pPr>
              <w:keepNext/>
              <w:spacing w:line="360" w:lineRule="auto"/>
              <w:jc w:val="center"/>
              <w:rPr>
                <w:rFonts w:cs="宋体"/>
                <w:color w:val="auto"/>
                <w:szCs w:val="21"/>
                <w:highlight w:val="none"/>
              </w:rPr>
            </w:pPr>
            <w:r>
              <w:rPr>
                <w:rFonts w:hint="eastAsia" w:cs="宋体"/>
                <w:color w:val="auto"/>
                <w:szCs w:val="21"/>
                <w:highlight w:val="none"/>
              </w:rPr>
              <w:t>名称</w:t>
            </w:r>
          </w:p>
        </w:tc>
        <w:tc>
          <w:tcPr>
            <w:tcW w:w="627" w:type="pct"/>
            <w:tcBorders>
              <w:top w:val="single" w:color="auto" w:sz="12" w:space="0"/>
              <w:bottom w:val="double" w:color="auto" w:sz="6" w:space="0"/>
            </w:tcBorders>
            <w:vAlign w:val="center"/>
          </w:tcPr>
          <w:p w14:paraId="5D3F6993">
            <w:pPr>
              <w:keepNext/>
              <w:spacing w:line="360" w:lineRule="auto"/>
              <w:jc w:val="center"/>
              <w:rPr>
                <w:rFonts w:cs="宋体"/>
                <w:color w:val="auto"/>
                <w:szCs w:val="21"/>
                <w:highlight w:val="none"/>
              </w:rPr>
            </w:pPr>
            <w:r>
              <w:rPr>
                <w:rFonts w:hint="eastAsia" w:cs="宋体"/>
                <w:color w:val="auto"/>
                <w:szCs w:val="21"/>
                <w:highlight w:val="none"/>
              </w:rPr>
              <w:t>姓名</w:t>
            </w:r>
          </w:p>
        </w:tc>
        <w:tc>
          <w:tcPr>
            <w:tcW w:w="502" w:type="pct"/>
            <w:tcBorders>
              <w:top w:val="single" w:color="auto" w:sz="12" w:space="0"/>
              <w:bottom w:val="double" w:color="auto" w:sz="6" w:space="0"/>
            </w:tcBorders>
            <w:vAlign w:val="center"/>
          </w:tcPr>
          <w:p w14:paraId="0D5636DB">
            <w:pPr>
              <w:keepNext/>
              <w:spacing w:line="360" w:lineRule="auto"/>
              <w:jc w:val="center"/>
              <w:rPr>
                <w:rFonts w:cs="宋体"/>
                <w:color w:val="auto"/>
                <w:szCs w:val="21"/>
                <w:highlight w:val="none"/>
              </w:rPr>
            </w:pPr>
            <w:r>
              <w:rPr>
                <w:rFonts w:hint="eastAsia" w:cs="宋体"/>
                <w:color w:val="auto"/>
                <w:szCs w:val="21"/>
                <w:highlight w:val="none"/>
              </w:rPr>
              <w:t>职务</w:t>
            </w:r>
          </w:p>
        </w:tc>
        <w:tc>
          <w:tcPr>
            <w:tcW w:w="502" w:type="pct"/>
            <w:tcBorders>
              <w:top w:val="single" w:color="auto" w:sz="12" w:space="0"/>
              <w:bottom w:val="double" w:color="auto" w:sz="6" w:space="0"/>
            </w:tcBorders>
            <w:vAlign w:val="center"/>
          </w:tcPr>
          <w:p w14:paraId="1B562247">
            <w:pPr>
              <w:keepNext/>
              <w:spacing w:line="360" w:lineRule="auto"/>
              <w:jc w:val="center"/>
              <w:rPr>
                <w:rFonts w:cs="宋体"/>
                <w:color w:val="auto"/>
                <w:szCs w:val="21"/>
                <w:highlight w:val="none"/>
              </w:rPr>
            </w:pPr>
            <w:r>
              <w:rPr>
                <w:rFonts w:hint="eastAsia" w:cs="宋体"/>
                <w:color w:val="auto"/>
                <w:szCs w:val="21"/>
                <w:highlight w:val="none"/>
              </w:rPr>
              <w:t>职称</w:t>
            </w:r>
          </w:p>
        </w:tc>
        <w:tc>
          <w:tcPr>
            <w:tcW w:w="1281" w:type="pct"/>
            <w:tcBorders>
              <w:top w:val="single" w:color="auto" w:sz="12" w:space="0"/>
              <w:bottom w:val="double" w:color="auto" w:sz="6" w:space="0"/>
            </w:tcBorders>
            <w:vAlign w:val="center"/>
          </w:tcPr>
          <w:p w14:paraId="25224D21">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1151" w:type="pct"/>
            <w:tcBorders>
              <w:top w:val="single" w:color="auto" w:sz="12" w:space="0"/>
              <w:bottom w:val="double" w:color="auto" w:sz="6" w:space="0"/>
            </w:tcBorders>
            <w:vAlign w:val="center"/>
          </w:tcPr>
          <w:p w14:paraId="0FEF9089">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1DA05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5C1A6E18">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1151" w:type="pct"/>
            <w:tcBorders>
              <w:top w:val="double" w:color="auto" w:sz="6" w:space="0"/>
            </w:tcBorders>
            <w:vAlign w:val="center"/>
          </w:tcPr>
          <w:p w14:paraId="2E34C854">
            <w:pPr>
              <w:keepNext/>
              <w:spacing w:line="360" w:lineRule="auto"/>
              <w:jc w:val="center"/>
              <w:rPr>
                <w:rFonts w:cs="宋体"/>
                <w:color w:val="auto"/>
                <w:szCs w:val="21"/>
                <w:highlight w:val="none"/>
              </w:rPr>
            </w:pPr>
          </w:p>
        </w:tc>
      </w:tr>
      <w:tr w14:paraId="59C46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404AE1A2">
            <w:pPr>
              <w:spacing w:line="360" w:lineRule="auto"/>
              <w:jc w:val="center"/>
              <w:rPr>
                <w:rFonts w:cs="宋体"/>
                <w:color w:val="auto"/>
                <w:szCs w:val="21"/>
                <w:highlight w:val="none"/>
              </w:rPr>
            </w:pPr>
            <w:r>
              <w:rPr>
                <w:rFonts w:hint="eastAsia" w:cs="宋体"/>
                <w:color w:val="auto"/>
                <w:szCs w:val="21"/>
                <w:highlight w:val="none"/>
              </w:rPr>
              <w:t>项目主管</w:t>
            </w:r>
          </w:p>
        </w:tc>
        <w:tc>
          <w:tcPr>
            <w:tcW w:w="627" w:type="pct"/>
            <w:tcBorders>
              <w:top w:val="nil"/>
            </w:tcBorders>
            <w:vAlign w:val="center"/>
          </w:tcPr>
          <w:p w14:paraId="415FDBEC">
            <w:pPr>
              <w:keepNext/>
              <w:spacing w:line="360" w:lineRule="auto"/>
              <w:jc w:val="center"/>
              <w:rPr>
                <w:rFonts w:cs="宋体"/>
                <w:color w:val="auto"/>
                <w:szCs w:val="21"/>
                <w:highlight w:val="none"/>
              </w:rPr>
            </w:pPr>
          </w:p>
        </w:tc>
        <w:tc>
          <w:tcPr>
            <w:tcW w:w="502" w:type="pct"/>
            <w:tcBorders>
              <w:top w:val="nil"/>
            </w:tcBorders>
            <w:vAlign w:val="center"/>
          </w:tcPr>
          <w:p w14:paraId="24FD7573">
            <w:pPr>
              <w:keepNext/>
              <w:spacing w:line="360" w:lineRule="auto"/>
              <w:jc w:val="center"/>
              <w:rPr>
                <w:rFonts w:cs="宋体"/>
                <w:color w:val="auto"/>
                <w:szCs w:val="21"/>
                <w:highlight w:val="none"/>
              </w:rPr>
            </w:pPr>
          </w:p>
        </w:tc>
        <w:tc>
          <w:tcPr>
            <w:tcW w:w="502" w:type="pct"/>
            <w:tcBorders>
              <w:top w:val="nil"/>
            </w:tcBorders>
            <w:vAlign w:val="center"/>
          </w:tcPr>
          <w:p w14:paraId="3DC25A3E">
            <w:pPr>
              <w:keepNext/>
              <w:spacing w:line="360" w:lineRule="auto"/>
              <w:jc w:val="center"/>
              <w:rPr>
                <w:rFonts w:cs="宋体"/>
                <w:color w:val="auto"/>
                <w:szCs w:val="21"/>
                <w:highlight w:val="none"/>
              </w:rPr>
            </w:pPr>
          </w:p>
        </w:tc>
        <w:tc>
          <w:tcPr>
            <w:tcW w:w="1281" w:type="pct"/>
            <w:tcBorders>
              <w:top w:val="nil"/>
            </w:tcBorders>
            <w:vAlign w:val="center"/>
          </w:tcPr>
          <w:p w14:paraId="632C365A">
            <w:pPr>
              <w:keepNext/>
              <w:spacing w:line="360" w:lineRule="auto"/>
              <w:jc w:val="center"/>
              <w:rPr>
                <w:rFonts w:cs="宋体"/>
                <w:color w:val="auto"/>
                <w:szCs w:val="21"/>
                <w:highlight w:val="none"/>
              </w:rPr>
            </w:pPr>
          </w:p>
        </w:tc>
        <w:tc>
          <w:tcPr>
            <w:tcW w:w="1151" w:type="pct"/>
            <w:tcBorders>
              <w:top w:val="nil"/>
            </w:tcBorders>
            <w:vAlign w:val="center"/>
          </w:tcPr>
          <w:p w14:paraId="286545CD">
            <w:pPr>
              <w:keepNext/>
              <w:spacing w:line="360" w:lineRule="auto"/>
              <w:jc w:val="center"/>
              <w:rPr>
                <w:rFonts w:cs="宋体"/>
                <w:color w:val="auto"/>
                <w:szCs w:val="21"/>
                <w:highlight w:val="none"/>
              </w:rPr>
            </w:pPr>
          </w:p>
        </w:tc>
      </w:tr>
      <w:tr w14:paraId="04AC0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36D89E3E">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07C5BAA5">
            <w:pPr>
              <w:keepNext/>
              <w:spacing w:line="360" w:lineRule="auto"/>
              <w:jc w:val="center"/>
              <w:rPr>
                <w:rFonts w:cs="宋体"/>
                <w:color w:val="auto"/>
                <w:szCs w:val="21"/>
                <w:highlight w:val="none"/>
              </w:rPr>
            </w:pPr>
          </w:p>
        </w:tc>
        <w:tc>
          <w:tcPr>
            <w:tcW w:w="502" w:type="pct"/>
            <w:vAlign w:val="center"/>
          </w:tcPr>
          <w:p w14:paraId="262D8C9C">
            <w:pPr>
              <w:keepNext/>
              <w:spacing w:line="360" w:lineRule="auto"/>
              <w:jc w:val="center"/>
              <w:rPr>
                <w:rFonts w:cs="宋体"/>
                <w:color w:val="auto"/>
                <w:szCs w:val="21"/>
                <w:highlight w:val="none"/>
              </w:rPr>
            </w:pPr>
          </w:p>
        </w:tc>
        <w:tc>
          <w:tcPr>
            <w:tcW w:w="502" w:type="pct"/>
            <w:vAlign w:val="center"/>
          </w:tcPr>
          <w:p w14:paraId="4DAA18D0">
            <w:pPr>
              <w:keepNext/>
              <w:spacing w:line="360" w:lineRule="auto"/>
              <w:jc w:val="center"/>
              <w:rPr>
                <w:rFonts w:cs="宋体"/>
                <w:color w:val="auto"/>
                <w:szCs w:val="21"/>
                <w:highlight w:val="none"/>
              </w:rPr>
            </w:pPr>
          </w:p>
        </w:tc>
        <w:tc>
          <w:tcPr>
            <w:tcW w:w="1281" w:type="pct"/>
            <w:vAlign w:val="center"/>
          </w:tcPr>
          <w:p w14:paraId="2EC2FE8C">
            <w:pPr>
              <w:keepNext/>
              <w:spacing w:line="360" w:lineRule="auto"/>
              <w:jc w:val="center"/>
              <w:rPr>
                <w:rFonts w:cs="宋体"/>
                <w:color w:val="auto"/>
                <w:szCs w:val="21"/>
                <w:highlight w:val="none"/>
              </w:rPr>
            </w:pPr>
          </w:p>
        </w:tc>
        <w:tc>
          <w:tcPr>
            <w:tcW w:w="1151" w:type="pct"/>
            <w:vAlign w:val="center"/>
          </w:tcPr>
          <w:p w14:paraId="5CD64D0C">
            <w:pPr>
              <w:keepNext/>
              <w:spacing w:line="360" w:lineRule="auto"/>
              <w:jc w:val="center"/>
              <w:rPr>
                <w:rFonts w:cs="宋体"/>
                <w:color w:val="auto"/>
                <w:szCs w:val="21"/>
                <w:highlight w:val="none"/>
              </w:rPr>
            </w:pPr>
          </w:p>
        </w:tc>
      </w:tr>
      <w:tr w14:paraId="19BF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911432A">
            <w:pPr>
              <w:spacing w:line="360" w:lineRule="auto"/>
              <w:jc w:val="center"/>
              <w:rPr>
                <w:rFonts w:cs="宋体"/>
                <w:color w:val="auto"/>
                <w:szCs w:val="21"/>
                <w:highlight w:val="none"/>
              </w:rPr>
            </w:pPr>
          </w:p>
        </w:tc>
        <w:tc>
          <w:tcPr>
            <w:tcW w:w="627" w:type="pct"/>
            <w:vAlign w:val="center"/>
          </w:tcPr>
          <w:p w14:paraId="06A27F2F">
            <w:pPr>
              <w:keepNext/>
              <w:spacing w:line="360" w:lineRule="auto"/>
              <w:jc w:val="center"/>
              <w:rPr>
                <w:rFonts w:cs="宋体"/>
                <w:color w:val="auto"/>
                <w:szCs w:val="21"/>
                <w:highlight w:val="none"/>
              </w:rPr>
            </w:pPr>
          </w:p>
        </w:tc>
        <w:tc>
          <w:tcPr>
            <w:tcW w:w="502" w:type="pct"/>
            <w:vAlign w:val="center"/>
          </w:tcPr>
          <w:p w14:paraId="41605F13">
            <w:pPr>
              <w:keepNext/>
              <w:spacing w:line="360" w:lineRule="auto"/>
              <w:jc w:val="center"/>
              <w:rPr>
                <w:rFonts w:cs="宋体"/>
                <w:color w:val="auto"/>
                <w:szCs w:val="21"/>
                <w:highlight w:val="none"/>
              </w:rPr>
            </w:pPr>
          </w:p>
        </w:tc>
        <w:tc>
          <w:tcPr>
            <w:tcW w:w="502" w:type="pct"/>
            <w:vAlign w:val="center"/>
          </w:tcPr>
          <w:p w14:paraId="7D389C02">
            <w:pPr>
              <w:keepNext/>
              <w:spacing w:line="360" w:lineRule="auto"/>
              <w:jc w:val="center"/>
              <w:rPr>
                <w:rFonts w:cs="宋体"/>
                <w:color w:val="auto"/>
                <w:szCs w:val="21"/>
                <w:highlight w:val="none"/>
              </w:rPr>
            </w:pPr>
          </w:p>
        </w:tc>
        <w:tc>
          <w:tcPr>
            <w:tcW w:w="1281" w:type="pct"/>
            <w:vAlign w:val="center"/>
          </w:tcPr>
          <w:p w14:paraId="4C85C54E">
            <w:pPr>
              <w:keepNext/>
              <w:spacing w:line="360" w:lineRule="auto"/>
              <w:jc w:val="center"/>
              <w:rPr>
                <w:rFonts w:cs="宋体"/>
                <w:color w:val="auto"/>
                <w:szCs w:val="21"/>
                <w:highlight w:val="none"/>
              </w:rPr>
            </w:pPr>
          </w:p>
        </w:tc>
        <w:tc>
          <w:tcPr>
            <w:tcW w:w="1151" w:type="pct"/>
            <w:vAlign w:val="center"/>
          </w:tcPr>
          <w:p w14:paraId="53824455">
            <w:pPr>
              <w:keepNext/>
              <w:spacing w:line="360" w:lineRule="auto"/>
              <w:jc w:val="center"/>
              <w:rPr>
                <w:rFonts w:cs="宋体"/>
                <w:color w:val="auto"/>
                <w:szCs w:val="21"/>
                <w:highlight w:val="none"/>
              </w:rPr>
            </w:pPr>
          </w:p>
        </w:tc>
      </w:tr>
      <w:tr w14:paraId="3F055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29A11480">
            <w:pPr>
              <w:spacing w:line="360" w:lineRule="auto"/>
              <w:jc w:val="center"/>
              <w:rPr>
                <w:rFonts w:cs="宋体"/>
                <w:color w:val="auto"/>
                <w:szCs w:val="21"/>
                <w:highlight w:val="none"/>
              </w:rPr>
            </w:pPr>
          </w:p>
        </w:tc>
        <w:tc>
          <w:tcPr>
            <w:tcW w:w="627" w:type="pct"/>
            <w:vAlign w:val="center"/>
          </w:tcPr>
          <w:p w14:paraId="0E212A0B">
            <w:pPr>
              <w:keepNext/>
              <w:spacing w:line="360" w:lineRule="auto"/>
              <w:jc w:val="center"/>
              <w:rPr>
                <w:rFonts w:cs="宋体"/>
                <w:color w:val="auto"/>
                <w:szCs w:val="21"/>
                <w:highlight w:val="none"/>
              </w:rPr>
            </w:pPr>
          </w:p>
        </w:tc>
        <w:tc>
          <w:tcPr>
            <w:tcW w:w="502" w:type="pct"/>
            <w:vAlign w:val="center"/>
          </w:tcPr>
          <w:p w14:paraId="0F7451B6">
            <w:pPr>
              <w:keepNext/>
              <w:spacing w:line="360" w:lineRule="auto"/>
              <w:jc w:val="center"/>
              <w:rPr>
                <w:rFonts w:cs="宋体"/>
                <w:color w:val="auto"/>
                <w:szCs w:val="21"/>
                <w:highlight w:val="none"/>
              </w:rPr>
            </w:pPr>
          </w:p>
        </w:tc>
        <w:tc>
          <w:tcPr>
            <w:tcW w:w="502" w:type="pct"/>
            <w:vAlign w:val="center"/>
          </w:tcPr>
          <w:p w14:paraId="1392C4E7">
            <w:pPr>
              <w:keepNext/>
              <w:spacing w:line="360" w:lineRule="auto"/>
              <w:jc w:val="center"/>
              <w:rPr>
                <w:rFonts w:cs="宋体"/>
                <w:color w:val="auto"/>
                <w:szCs w:val="21"/>
                <w:highlight w:val="none"/>
              </w:rPr>
            </w:pPr>
          </w:p>
        </w:tc>
        <w:tc>
          <w:tcPr>
            <w:tcW w:w="1281" w:type="pct"/>
            <w:vAlign w:val="center"/>
          </w:tcPr>
          <w:p w14:paraId="5B4A9073">
            <w:pPr>
              <w:keepNext/>
              <w:spacing w:line="360" w:lineRule="auto"/>
              <w:jc w:val="center"/>
              <w:rPr>
                <w:rFonts w:cs="宋体"/>
                <w:color w:val="auto"/>
                <w:szCs w:val="21"/>
                <w:highlight w:val="none"/>
              </w:rPr>
            </w:pPr>
          </w:p>
        </w:tc>
        <w:tc>
          <w:tcPr>
            <w:tcW w:w="1151" w:type="pct"/>
            <w:vAlign w:val="center"/>
          </w:tcPr>
          <w:p w14:paraId="2E85CDB1">
            <w:pPr>
              <w:keepNext/>
              <w:spacing w:line="360" w:lineRule="auto"/>
              <w:jc w:val="center"/>
              <w:rPr>
                <w:rFonts w:cs="宋体"/>
                <w:color w:val="auto"/>
                <w:szCs w:val="21"/>
                <w:highlight w:val="none"/>
              </w:rPr>
            </w:pPr>
          </w:p>
        </w:tc>
      </w:tr>
      <w:tr w14:paraId="44465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5CC70AC5">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1151" w:type="pct"/>
            <w:vAlign w:val="center"/>
          </w:tcPr>
          <w:p w14:paraId="75AE934D">
            <w:pPr>
              <w:keepNext/>
              <w:spacing w:line="360" w:lineRule="auto"/>
              <w:jc w:val="center"/>
              <w:rPr>
                <w:rFonts w:cs="宋体"/>
                <w:color w:val="auto"/>
                <w:szCs w:val="21"/>
                <w:highlight w:val="none"/>
              </w:rPr>
            </w:pPr>
          </w:p>
        </w:tc>
      </w:tr>
      <w:tr w14:paraId="273AB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227C449">
            <w:pPr>
              <w:spacing w:line="360" w:lineRule="auto"/>
              <w:jc w:val="center"/>
              <w:rPr>
                <w:rFonts w:cs="宋体"/>
                <w:color w:val="auto"/>
                <w:szCs w:val="21"/>
                <w:highlight w:val="none"/>
              </w:rPr>
            </w:pPr>
            <w:r>
              <w:rPr>
                <w:rFonts w:hint="eastAsia" w:cs="宋体"/>
                <w:color w:val="auto"/>
                <w:szCs w:val="21"/>
                <w:highlight w:val="none"/>
              </w:rPr>
              <w:t>项目经理</w:t>
            </w:r>
          </w:p>
        </w:tc>
        <w:tc>
          <w:tcPr>
            <w:tcW w:w="627" w:type="pct"/>
            <w:vAlign w:val="center"/>
          </w:tcPr>
          <w:p w14:paraId="5D77DC6D">
            <w:pPr>
              <w:keepNext/>
              <w:spacing w:line="360" w:lineRule="auto"/>
              <w:jc w:val="center"/>
              <w:rPr>
                <w:rFonts w:cs="宋体"/>
                <w:color w:val="auto"/>
                <w:szCs w:val="21"/>
                <w:highlight w:val="none"/>
              </w:rPr>
            </w:pPr>
          </w:p>
        </w:tc>
        <w:tc>
          <w:tcPr>
            <w:tcW w:w="502" w:type="pct"/>
            <w:vAlign w:val="center"/>
          </w:tcPr>
          <w:p w14:paraId="4881413C">
            <w:pPr>
              <w:keepNext/>
              <w:spacing w:line="360" w:lineRule="auto"/>
              <w:jc w:val="center"/>
              <w:rPr>
                <w:rFonts w:cs="宋体"/>
                <w:color w:val="auto"/>
                <w:szCs w:val="21"/>
                <w:highlight w:val="none"/>
              </w:rPr>
            </w:pPr>
          </w:p>
        </w:tc>
        <w:tc>
          <w:tcPr>
            <w:tcW w:w="502" w:type="pct"/>
            <w:vAlign w:val="center"/>
          </w:tcPr>
          <w:p w14:paraId="25CA5AAB">
            <w:pPr>
              <w:keepNext/>
              <w:spacing w:line="360" w:lineRule="auto"/>
              <w:jc w:val="center"/>
              <w:rPr>
                <w:rFonts w:cs="宋体"/>
                <w:color w:val="auto"/>
                <w:szCs w:val="21"/>
                <w:highlight w:val="none"/>
              </w:rPr>
            </w:pPr>
          </w:p>
        </w:tc>
        <w:tc>
          <w:tcPr>
            <w:tcW w:w="1281" w:type="pct"/>
            <w:vAlign w:val="center"/>
          </w:tcPr>
          <w:p w14:paraId="07FA62B0">
            <w:pPr>
              <w:keepNext/>
              <w:spacing w:line="360" w:lineRule="auto"/>
              <w:jc w:val="center"/>
              <w:rPr>
                <w:rFonts w:cs="宋体"/>
                <w:color w:val="auto"/>
                <w:szCs w:val="21"/>
                <w:highlight w:val="none"/>
              </w:rPr>
            </w:pPr>
          </w:p>
        </w:tc>
        <w:tc>
          <w:tcPr>
            <w:tcW w:w="1151" w:type="pct"/>
            <w:vAlign w:val="center"/>
          </w:tcPr>
          <w:p w14:paraId="1A7C41CC">
            <w:pPr>
              <w:keepNext/>
              <w:spacing w:line="360" w:lineRule="auto"/>
              <w:jc w:val="center"/>
              <w:rPr>
                <w:rFonts w:cs="宋体"/>
                <w:color w:val="auto"/>
                <w:szCs w:val="21"/>
                <w:highlight w:val="none"/>
              </w:rPr>
            </w:pPr>
          </w:p>
        </w:tc>
      </w:tr>
      <w:tr w14:paraId="19E82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4592846">
            <w:pPr>
              <w:spacing w:line="360" w:lineRule="auto"/>
              <w:jc w:val="center"/>
              <w:rPr>
                <w:rFonts w:cs="宋体"/>
                <w:color w:val="auto"/>
                <w:szCs w:val="21"/>
                <w:highlight w:val="none"/>
              </w:rPr>
            </w:pPr>
            <w:r>
              <w:rPr>
                <w:rFonts w:hint="eastAsia" w:cs="宋体"/>
                <w:color w:val="auto"/>
                <w:szCs w:val="21"/>
                <w:highlight w:val="none"/>
              </w:rPr>
              <w:t>项目副经理</w:t>
            </w:r>
          </w:p>
        </w:tc>
        <w:tc>
          <w:tcPr>
            <w:tcW w:w="627" w:type="pct"/>
            <w:vAlign w:val="center"/>
          </w:tcPr>
          <w:p w14:paraId="423C73EB">
            <w:pPr>
              <w:keepNext/>
              <w:spacing w:line="360" w:lineRule="auto"/>
              <w:jc w:val="center"/>
              <w:rPr>
                <w:rFonts w:cs="宋体"/>
                <w:color w:val="auto"/>
                <w:szCs w:val="21"/>
                <w:highlight w:val="none"/>
              </w:rPr>
            </w:pPr>
          </w:p>
        </w:tc>
        <w:tc>
          <w:tcPr>
            <w:tcW w:w="502" w:type="pct"/>
            <w:vAlign w:val="center"/>
          </w:tcPr>
          <w:p w14:paraId="04A6CB2B">
            <w:pPr>
              <w:keepNext/>
              <w:spacing w:line="360" w:lineRule="auto"/>
              <w:jc w:val="center"/>
              <w:rPr>
                <w:rFonts w:cs="宋体"/>
                <w:color w:val="auto"/>
                <w:szCs w:val="21"/>
                <w:highlight w:val="none"/>
              </w:rPr>
            </w:pPr>
          </w:p>
        </w:tc>
        <w:tc>
          <w:tcPr>
            <w:tcW w:w="502" w:type="pct"/>
            <w:vAlign w:val="center"/>
          </w:tcPr>
          <w:p w14:paraId="6F90FD94">
            <w:pPr>
              <w:keepNext/>
              <w:spacing w:line="360" w:lineRule="auto"/>
              <w:jc w:val="center"/>
              <w:rPr>
                <w:rFonts w:cs="宋体"/>
                <w:color w:val="auto"/>
                <w:szCs w:val="21"/>
                <w:highlight w:val="none"/>
              </w:rPr>
            </w:pPr>
          </w:p>
        </w:tc>
        <w:tc>
          <w:tcPr>
            <w:tcW w:w="1281" w:type="pct"/>
            <w:vAlign w:val="center"/>
          </w:tcPr>
          <w:p w14:paraId="6FB8AFA5">
            <w:pPr>
              <w:keepNext/>
              <w:spacing w:line="360" w:lineRule="auto"/>
              <w:jc w:val="center"/>
              <w:rPr>
                <w:rFonts w:cs="宋体"/>
                <w:color w:val="auto"/>
                <w:szCs w:val="21"/>
                <w:highlight w:val="none"/>
              </w:rPr>
            </w:pPr>
          </w:p>
        </w:tc>
        <w:tc>
          <w:tcPr>
            <w:tcW w:w="1151" w:type="pct"/>
            <w:vAlign w:val="center"/>
          </w:tcPr>
          <w:p w14:paraId="65604C77">
            <w:pPr>
              <w:keepNext/>
              <w:spacing w:line="360" w:lineRule="auto"/>
              <w:jc w:val="center"/>
              <w:rPr>
                <w:rFonts w:cs="宋体"/>
                <w:color w:val="auto"/>
                <w:szCs w:val="21"/>
                <w:highlight w:val="none"/>
              </w:rPr>
            </w:pPr>
          </w:p>
        </w:tc>
      </w:tr>
      <w:tr w14:paraId="45267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A92EF06">
            <w:pPr>
              <w:spacing w:line="360" w:lineRule="auto"/>
              <w:jc w:val="center"/>
              <w:rPr>
                <w:rFonts w:cs="宋体"/>
                <w:color w:val="auto"/>
                <w:szCs w:val="21"/>
                <w:highlight w:val="none"/>
              </w:rPr>
            </w:pPr>
            <w:r>
              <w:rPr>
                <w:rFonts w:hint="eastAsia" w:cs="宋体"/>
                <w:color w:val="auto"/>
                <w:szCs w:val="21"/>
                <w:highlight w:val="none"/>
              </w:rPr>
              <w:t>项目技术负责人</w:t>
            </w:r>
          </w:p>
        </w:tc>
        <w:tc>
          <w:tcPr>
            <w:tcW w:w="627" w:type="pct"/>
            <w:vAlign w:val="center"/>
          </w:tcPr>
          <w:p w14:paraId="322EE4BD">
            <w:pPr>
              <w:keepNext/>
              <w:spacing w:line="360" w:lineRule="auto"/>
              <w:jc w:val="center"/>
              <w:rPr>
                <w:rFonts w:cs="宋体"/>
                <w:color w:val="auto"/>
                <w:szCs w:val="21"/>
                <w:highlight w:val="none"/>
              </w:rPr>
            </w:pPr>
          </w:p>
        </w:tc>
        <w:tc>
          <w:tcPr>
            <w:tcW w:w="502" w:type="pct"/>
            <w:vAlign w:val="center"/>
          </w:tcPr>
          <w:p w14:paraId="3CA4E195">
            <w:pPr>
              <w:keepNext/>
              <w:spacing w:line="360" w:lineRule="auto"/>
              <w:jc w:val="center"/>
              <w:rPr>
                <w:rFonts w:cs="宋体"/>
                <w:color w:val="auto"/>
                <w:szCs w:val="21"/>
                <w:highlight w:val="none"/>
              </w:rPr>
            </w:pPr>
          </w:p>
        </w:tc>
        <w:tc>
          <w:tcPr>
            <w:tcW w:w="502" w:type="pct"/>
            <w:vAlign w:val="center"/>
          </w:tcPr>
          <w:p w14:paraId="5428547F">
            <w:pPr>
              <w:keepNext/>
              <w:spacing w:line="360" w:lineRule="auto"/>
              <w:jc w:val="center"/>
              <w:rPr>
                <w:rFonts w:cs="宋体"/>
                <w:color w:val="auto"/>
                <w:szCs w:val="21"/>
                <w:highlight w:val="none"/>
              </w:rPr>
            </w:pPr>
          </w:p>
        </w:tc>
        <w:tc>
          <w:tcPr>
            <w:tcW w:w="1281" w:type="pct"/>
            <w:vAlign w:val="center"/>
          </w:tcPr>
          <w:p w14:paraId="7524DB89">
            <w:pPr>
              <w:keepNext/>
              <w:spacing w:line="360" w:lineRule="auto"/>
              <w:jc w:val="center"/>
              <w:rPr>
                <w:rFonts w:cs="宋体"/>
                <w:color w:val="auto"/>
                <w:szCs w:val="21"/>
                <w:highlight w:val="none"/>
              </w:rPr>
            </w:pPr>
          </w:p>
        </w:tc>
        <w:tc>
          <w:tcPr>
            <w:tcW w:w="1151" w:type="pct"/>
            <w:vAlign w:val="center"/>
          </w:tcPr>
          <w:p w14:paraId="27C32C92">
            <w:pPr>
              <w:keepNext/>
              <w:spacing w:line="360" w:lineRule="auto"/>
              <w:jc w:val="center"/>
              <w:rPr>
                <w:rFonts w:cs="宋体"/>
                <w:color w:val="auto"/>
                <w:szCs w:val="21"/>
                <w:highlight w:val="none"/>
              </w:rPr>
            </w:pPr>
          </w:p>
        </w:tc>
      </w:tr>
      <w:tr w14:paraId="62098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B5CA5DE">
            <w:pPr>
              <w:spacing w:line="360" w:lineRule="auto"/>
              <w:jc w:val="center"/>
              <w:rPr>
                <w:rFonts w:cs="宋体"/>
                <w:color w:val="auto"/>
                <w:szCs w:val="21"/>
                <w:highlight w:val="none"/>
              </w:rPr>
            </w:pPr>
            <w:r>
              <w:rPr>
                <w:rFonts w:hint="eastAsia" w:cs="宋体"/>
                <w:color w:val="auto"/>
                <w:szCs w:val="21"/>
                <w:highlight w:val="none"/>
              </w:rPr>
              <w:t>施工员</w:t>
            </w:r>
          </w:p>
        </w:tc>
        <w:tc>
          <w:tcPr>
            <w:tcW w:w="627" w:type="pct"/>
            <w:vAlign w:val="center"/>
          </w:tcPr>
          <w:p w14:paraId="16BE6B18">
            <w:pPr>
              <w:keepNext/>
              <w:spacing w:line="360" w:lineRule="auto"/>
              <w:jc w:val="center"/>
              <w:rPr>
                <w:rFonts w:cs="宋体"/>
                <w:color w:val="auto"/>
                <w:szCs w:val="21"/>
                <w:highlight w:val="none"/>
              </w:rPr>
            </w:pPr>
          </w:p>
        </w:tc>
        <w:tc>
          <w:tcPr>
            <w:tcW w:w="502" w:type="pct"/>
            <w:vAlign w:val="center"/>
          </w:tcPr>
          <w:p w14:paraId="0A766F2A">
            <w:pPr>
              <w:keepNext/>
              <w:spacing w:line="360" w:lineRule="auto"/>
              <w:jc w:val="center"/>
              <w:rPr>
                <w:rFonts w:cs="宋体"/>
                <w:color w:val="auto"/>
                <w:szCs w:val="21"/>
                <w:highlight w:val="none"/>
              </w:rPr>
            </w:pPr>
          </w:p>
        </w:tc>
        <w:tc>
          <w:tcPr>
            <w:tcW w:w="502" w:type="pct"/>
            <w:vAlign w:val="center"/>
          </w:tcPr>
          <w:p w14:paraId="0A180FAA">
            <w:pPr>
              <w:keepNext/>
              <w:spacing w:line="360" w:lineRule="auto"/>
              <w:jc w:val="center"/>
              <w:rPr>
                <w:rFonts w:cs="宋体"/>
                <w:color w:val="auto"/>
                <w:szCs w:val="21"/>
                <w:highlight w:val="none"/>
              </w:rPr>
            </w:pPr>
          </w:p>
        </w:tc>
        <w:tc>
          <w:tcPr>
            <w:tcW w:w="1281" w:type="pct"/>
            <w:vAlign w:val="center"/>
          </w:tcPr>
          <w:p w14:paraId="36E1B89F">
            <w:pPr>
              <w:keepNext/>
              <w:spacing w:line="360" w:lineRule="auto"/>
              <w:jc w:val="center"/>
              <w:rPr>
                <w:rFonts w:cs="宋体"/>
                <w:color w:val="auto"/>
                <w:szCs w:val="21"/>
                <w:highlight w:val="none"/>
              </w:rPr>
            </w:pPr>
          </w:p>
        </w:tc>
        <w:tc>
          <w:tcPr>
            <w:tcW w:w="1151" w:type="pct"/>
            <w:vAlign w:val="center"/>
          </w:tcPr>
          <w:p w14:paraId="3B05EF8B">
            <w:pPr>
              <w:keepNext/>
              <w:spacing w:line="360" w:lineRule="auto"/>
              <w:jc w:val="center"/>
              <w:rPr>
                <w:rFonts w:cs="宋体"/>
                <w:color w:val="auto"/>
                <w:szCs w:val="21"/>
                <w:highlight w:val="none"/>
              </w:rPr>
            </w:pPr>
          </w:p>
        </w:tc>
      </w:tr>
      <w:tr w14:paraId="288F6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142BED2">
            <w:pPr>
              <w:spacing w:line="360" w:lineRule="auto"/>
              <w:jc w:val="center"/>
              <w:rPr>
                <w:rFonts w:cs="宋体"/>
                <w:color w:val="auto"/>
                <w:szCs w:val="21"/>
                <w:highlight w:val="none"/>
              </w:rPr>
            </w:pPr>
            <w:r>
              <w:rPr>
                <w:rFonts w:hint="eastAsia" w:cs="宋体"/>
                <w:color w:val="auto"/>
                <w:szCs w:val="21"/>
                <w:highlight w:val="none"/>
              </w:rPr>
              <w:t>质检员（质量员）</w:t>
            </w:r>
          </w:p>
        </w:tc>
        <w:tc>
          <w:tcPr>
            <w:tcW w:w="627" w:type="pct"/>
            <w:vAlign w:val="center"/>
          </w:tcPr>
          <w:p w14:paraId="7B74755E">
            <w:pPr>
              <w:keepNext/>
              <w:spacing w:line="360" w:lineRule="auto"/>
              <w:jc w:val="center"/>
              <w:rPr>
                <w:rFonts w:cs="宋体"/>
                <w:color w:val="auto"/>
                <w:szCs w:val="21"/>
                <w:highlight w:val="none"/>
              </w:rPr>
            </w:pPr>
          </w:p>
        </w:tc>
        <w:tc>
          <w:tcPr>
            <w:tcW w:w="502" w:type="pct"/>
            <w:vAlign w:val="center"/>
          </w:tcPr>
          <w:p w14:paraId="7D795308">
            <w:pPr>
              <w:keepNext/>
              <w:spacing w:line="360" w:lineRule="auto"/>
              <w:jc w:val="center"/>
              <w:rPr>
                <w:rFonts w:cs="宋体"/>
                <w:color w:val="auto"/>
                <w:szCs w:val="21"/>
                <w:highlight w:val="none"/>
              </w:rPr>
            </w:pPr>
          </w:p>
        </w:tc>
        <w:tc>
          <w:tcPr>
            <w:tcW w:w="502" w:type="pct"/>
            <w:vAlign w:val="center"/>
          </w:tcPr>
          <w:p w14:paraId="7D1303BB">
            <w:pPr>
              <w:keepNext/>
              <w:spacing w:line="360" w:lineRule="auto"/>
              <w:jc w:val="center"/>
              <w:rPr>
                <w:rFonts w:cs="宋体"/>
                <w:color w:val="auto"/>
                <w:szCs w:val="21"/>
                <w:highlight w:val="none"/>
              </w:rPr>
            </w:pPr>
          </w:p>
        </w:tc>
        <w:tc>
          <w:tcPr>
            <w:tcW w:w="1281" w:type="pct"/>
            <w:vAlign w:val="center"/>
          </w:tcPr>
          <w:p w14:paraId="6CCC700D">
            <w:pPr>
              <w:keepNext/>
              <w:spacing w:line="360" w:lineRule="auto"/>
              <w:jc w:val="center"/>
              <w:rPr>
                <w:rFonts w:cs="宋体"/>
                <w:color w:val="auto"/>
                <w:szCs w:val="21"/>
                <w:highlight w:val="none"/>
              </w:rPr>
            </w:pPr>
          </w:p>
        </w:tc>
        <w:tc>
          <w:tcPr>
            <w:tcW w:w="1151" w:type="pct"/>
            <w:vAlign w:val="center"/>
          </w:tcPr>
          <w:p w14:paraId="613EBCFB">
            <w:pPr>
              <w:keepNext/>
              <w:spacing w:line="360" w:lineRule="auto"/>
              <w:jc w:val="center"/>
              <w:rPr>
                <w:rFonts w:cs="宋体"/>
                <w:color w:val="auto"/>
                <w:szCs w:val="21"/>
                <w:highlight w:val="none"/>
              </w:rPr>
            </w:pPr>
          </w:p>
        </w:tc>
      </w:tr>
      <w:tr w14:paraId="70769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DB222B8">
            <w:pPr>
              <w:spacing w:line="360" w:lineRule="auto"/>
              <w:jc w:val="center"/>
              <w:rPr>
                <w:rFonts w:cs="宋体"/>
                <w:color w:val="auto"/>
                <w:szCs w:val="21"/>
                <w:highlight w:val="none"/>
              </w:rPr>
            </w:pPr>
            <w:r>
              <w:rPr>
                <w:rFonts w:hint="eastAsia" w:cs="宋体"/>
                <w:color w:val="auto"/>
                <w:szCs w:val="21"/>
                <w:highlight w:val="none"/>
              </w:rPr>
              <w:t>安全员</w:t>
            </w:r>
          </w:p>
        </w:tc>
        <w:tc>
          <w:tcPr>
            <w:tcW w:w="627" w:type="pct"/>
            <w:vAlign w:val="center"/>
          </w:tcPr>
          <w:p w14:paraId="79AF9251">
            <w:pPr>
              <w:keepNext/>
              <w:spacing w:line="360" w:lineRule="auto"/>
              <w:jc w:val="center"/>
              <w:rPr>
                <w:rFonts w:cs="宋体"/>
                <w:color w:val="auto"/>
                <w:szCs w:val="21"/>
                <w:highlight w:val="none"/>
              </w:rPr>
            </w:pPr>
          </w:p>
        </w:tc>
        <w:tc>
          <w:tcPr>
            <w:tcW w:w="502" w:type="pct"/>
            <w:vAlign w:val="center"/>
          </w:tcPr>
          <w:p w14:paraId="1E2DFFC1">
            <w:pPr>
              <w:keepNext/>
              <w:spacing w:line="360" w:lineRule="auto"/>
              <w:jc w:val="center"/>
              <w:rPr>
                <w:rFonts w:cs="宋体"/>
                <w:color w:val="auto"/>
                <w:szCs w:val="21"/>
                <w:highlight w:val="none"/>
              </w:rPr>
            </w:pPr>
          </w:p>
        </w:tc>
        <w:tc>
          <w:tcPr>
            <w:tcW w:w="502" w:type="pct"/>
            <w:vAlign w:val="center"/>
          </w:tcPr>
          <w:p w14:paraId="6076DD47">
            <w:pPr>
              <w:keepNext/>
              <w:spacing w:line="360" w:lineRule="auto"/>
              <w:jc w:val="center"/>
              <w:rPr>
                <w:rFonts w:cs="宋体"/>
                <w:color w:val="auto"/>
                <w:szCs w:val="21"/>
                <w:highlight w:val="none"/>
              </w:rPr>
            </w:pPr>
          </w:p>
        </w:tc>
        <w:tc>
          <w:tcPr>
            <w:tcW w:w="1281" w:type="pct"/>
            <w:vAlign w:val="center"/>
          </w:tcPr>
          <w:p w14:paraId="1EA5DF51">
            <w:pPr>
              <w:keepNext/>
              <w:spacing w:line="360" w:lineRule="auto"/>
              <w:jc w:val="center"/>
              <w:rPr>
                <w:rFonts w:cs="宋体"/>
                <w:color w:val="auto"/>
                <w:szCs w:val="21"/>
                <w:highlight w:val="none"/>
              </w:rPr>
            </w:pPr>
          </w:p>
        </w:tc>
        <w:tc>
          <w:tcPr>
            <w:tcW w:w="1151" w:type="pct"/>
            <w:vAlign w:val="center"/>
          </w:tcPr>
          <w:p w14:paraId="41ED79A6">
            <w:pPr>
              <w:keepNext/>
              <w:spacing w:line="360" w:lineRule="auto"/>
              <w:jc w:val="center"/>
              <w:rPr>
                <w:rFonts w:cs="宋体"/>
                <w:color w:val="auto"/>
                <w:szCs w:val="21"/>
                <w:highlight w:val="none"/>
              </w:rPr>
            </w:pPr>
          </w:p>
        </w:tc>
      </w:tr>
      <w:tr w14:paraId="60705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E59231B">
            <w:pPr>
              <w:spacing w:line="360" w:lineRule="auto"/>
              <w:jc w:val="center"/>
              <w:rPr>
                <w:rFonts w:cs="宋体"/>
                <w:color w:val="auto"/>
                <w:szCs w:val="21"/>
                <w:highlight w:val="none"/>
              </w:rPr>
            </w:pPr>
            <w:r>
              <w:rPr>
                <w:rFonts w:hint="eastAsia" w:cs="宋体"/>
                <w:color w:val="auto"/>
                <w:szCs w:val="21"/>
                <w:highlight w:val="none"/>
              </w:rPr>
              <w:t>资料员</w:t>
            </w:r>
          </w:p>
        </w:tc>
        <w:tc>
          <w:tcPr>
            <w:tcW w:w="627" w:type="pct"/>
            <w:vAlign w:val="center"/>
          </w:tcPr>
          <w:p w14:paraId="35574179">
            <w:pPr>
              <w:keepNext/>
              <w:spacing w:line="360" w:lineRule="auto"/>
              <w:jc w:val="center"/>
              <w:rPr>
                <w:rFonts w:cs="宋体"/>
                <w:color w:val="auto"/>
                <w:szCs w:val="21"/>
                <w:highlight w:val="none"/>
              </w:rPr>
            </w:pPr>
          </w:p>
        </w:tc>
        <w:tc>
          <w:tcPr>
            <w:tcW w:w="502" w:type="pct"/>
            <w:vAlign w:val="center"/>
          </w:tcPr>
          <w:p w14:paraId="45AFAE91">
            <w:pPr>
              <w:keepNext/>
              <w:spacing w:line="360" w:lineRule="auto"/>
              <w:jc w:val="center"/>
              <w:rPr>
                <w:rFonts w:cs="宋体"/>
                <w:color w:val="auto"/>
                <w:szCs w:val="21"/>
                <w:highlight w:val="none"/>
              </w:rPr>
            </w:pPr>
          </w:p>
        </w:tc>
        <w:tc>
          <w:tcPr>
            <w:tcW w:w="502" w:type="pct"/>
            <w:vAlign w:val="center"/>
          </w:tcPr>
          <w:p w14:paraId="3604F53E">
            <w:pPr>
              <w:keepNext/>
              <w:spacing w:line="360" w:lineRule="auto"/>
              <w:jc w:val="center"/>
              <w:rPr>
                <w:rFonts w:cs="宋体"/>
                <w:color w:val="auto"/>
                <w:szCs w:val="21"/>
                <w:highlight w:val="none"/>
              </w:rPr>
            </w:pPr>
          </w:p>
        </w:tc>
        <w:tc>
          <w:tcPr>
            <w:tcW w:w="1281" w:type="pct"/>
            <w:vAlign w:val="center"/>
          </w:tcPr>
          <w:p w14:paraId="35955662">
            <w:pPr>
              <w:keepNext/>
              <w:spacing w:line="360" w:lineRule="auto"/>
              <w:jc w:val="center"/>
              <w:rPr>
                <w:rFonts w:cs="宋体"/>
                <w:color w:val="auto"/>
                <w:szCs w:val="21"/>
                <w:highlight w:val="none"/>
              </w:rPr>
            </w:pPr>
          </w:p>
        </w:tc>
        <w:tc>
          <w:tcPr>
            <w:tcW w:w="1151" w:type="pct"/>
            <w:vAlign w:val="center"/>
          </w:tcPr>
          <w:p w14:paraId="6CCD08A8">
            <w:pPr>
              <w:keepNext/>
              <w:spacing w:line="360" w:lineRule="auto"/>
              <w:jc w:val="center"/>
              <w:rPr>
                <w:rFonts w:cs="宋体"/>
                <w:color w:val="auto"/>
                <w:szCs w:val="21"/>
                <w:highlight w:val="none"/>
              </w:rPr>
            </w:pPr>
          </w:p>
        </w:tc>
      </w:tr>
      <w:tr w14:paraId="509D5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60AA24CF">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3B98EEB2">
            <w:pPr>
              <w:keepNext/>
              <w:spacing w:line="360" w:lineRule="auto"/>
              <w:jc w:val="center"/>
              <w:rPr>
                <w:rFonts w:cs="宋体"/>
                <w:color w:val="auto"/>
                <w:szCs w:val="21"/>
                <w:highlight w:val="none"/>
              </w:rPr>
            </w:pPr>
          </w:p>
        </w:tc>
        <w:tc>
          <w:tcPr>
            <w:tcW w:w="502" w:type="pct"/>
            <w:vAlign w:val="center"/>
          </w:tcPr>
          <w:p w14:paraId="35E9D66C">
            <w:pPr>
              <w:keepNext/>
              <w:spacing w:line="360" w:lineRule="auto"/>
              <w:jc w:val="center"/>
              <w:rPr>
                <w:rFonts w:cs="宋体"/>
                <w:color w:val="auto"/>
                <w:szCs w:val="21"/>
                <w:highlight w:val="none"/>
              </w:rPr>
            </w:pPr>
          </w:p>
        </w:tc>
        <w:tc>
          <w:tcPr>
            <w:tcW w:w="502" w:type="pct"/>
            <w:vAlign w:val="center"/>
          </w:tcPr>
          <w:p w14:paraId="7312B941">
            <w:pPr>
              <w:keepNext/>
              <w:spacing w:line="360" w:lineRule="auto"/>
              <w:jc w:val="center"/>
              <w:rPr>
                <w:rFonts w:cs="宋体"/>
                <w:color w:val="auto"/>
                <w:szCs w:val="21"/>
                <w:highlight w:val="none"/>
              </w:rPr>
            </w:pPr>
          </w:p>
        </w:tc>
        <w:tc>
          <w:tcPr>
            <w:tcW w:w="1281" w:type="pct"/>
            <w:vAlign w:val="center"/>
          </w:tcPr>
          <w:p w14:paraId="03A8B7F0">
            <w:pPr>
              <w:keepNext/>
              <w:spacing w:line="360" w:lineRule="auto"/>
              <w:jc w:val="center"/>
              <w:rPr>
                <w:rFonts w:cs="宋体"/>
                <w:color w:val="auto"/>
                <w:szCs w:val="21"/>
                <w:highlight w:val="none"/>
              </w:rPr>
            </w:pPr>
          </w:p>
        </w:tc>
        <w:tc>
          <w:tcPr>
            <w:tcW w:w="1151" w:type="pct"/>
            <w:vAlign w:val="center"/>
          </w:tcPr>
          <w:p w14:paraId="6CE5BF49">
            <w:pPr>
              <w:keepNext/>
              <w:spacing w:line="360" w:lineRule="auto"/>
              <w:jc w:val="center"/>
              <w:rPr>
                <w:rFonts w:cs="宋体"/>
                <w:color w:val="auto"/>
                <w:szCs w:val="21"/>
                <w:highlight w:val="none"/>
              </w:rPr>
            </w:pPr>
          </w:p>
        </w:tc>
      </w:tr>
      <w:tr w14:paraId="7196A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B61CBA8">
            <w:pPr>
              <w:keepNext/>
              <w:spacing w:line="360" w:lineRule="auto"/>
              <w:jc w:val="center"/>
              <w:rPr>
                <w:rFonts w:cs="宋体"/>
                <w:color w:val="auto"/>
                <w:szCs w:val="21"/>
                <w:highlight w:val="none"/>
              </w:rPr>
            </w:pPr>
          </w:p>
        </w:tc>
        <w:tc>
          <w:tcPr>
            <w:tcW w:w="627" w:type="pct"/>
            <w:tcBorders>
              <w:bottom w:val="nil"/>
            </w:tcBorders>
            <w:vAlign w:val="center"/>
          </w:tcPr>
          <w:p w14:paraId="629B064A">
            <w:pPr>
              <w:keepNext/>
              <w:spacing w:line="360" w:lineRule="auto"/>
              <w:jc w:val="center"/>
              <w:rPr>
                <w:rFonts w:cs="宋体"/>
                <w:color w:val="auto"/>
                <w:szCs w:val="21"/>
                <w:highlight w:val="none"/>
              </w:rPr>
            </w:pPr>
          </w:p>
        </w:tc>
        <w:tc>
          <w:tcPr>
            <w:tcW w:w="502" w:type="pct"/>
            <w:tcBorders>
              <w:bottom w:val="nil"/>
            </w:tcBorders>
            <w:vAlign w:val="center"/>
          </w:tcPr>
          <w:p w14:paraId="55D3C76B">
            <w:pPr>
              <w:keepNext/>
              <w:spacing w:line="360" w:lineRule="auto"/>
              <w:jc w:val="center"/>
              <w:rPr>
                <w:rFonts w:cs="宋体"/>
                <w:color w:val="auto"/>
                <w:szCs w:val="21"/>
                <w:highlight w:val="none"/>
              </w:rPr>
            </w:pPr>
          </w:p>
        </w:tc>
        <w:tc>
          <w:tcPr>
            <w:tcW w:w="502" w:type="pct"/>
            <w:tcBorders>
              <w:bottom w:val="nil"/>
            </w:tcBorders>
            <w:vAlign w:val="center"/>
          </w:tcPr>
          <w:p w14:paraId="4306AEBD">
            <w:pPr>
              <w:keepNext/>
              <w:spacing w:line="360" w:lineRule="auto"/>
              <w:jc w:val="center"/>
              <w:rPr>
                <w:rFonts w:cs="宋体"/>
                <w:color w:val="auto"/>
                <w:szCs w:val="21"/>
                <w:highlight w:val="none"/>
              </w:rPr>
            </w:pPr>
          </w:p>
        </w:tc>
        <w:tc>
          <w:tcPr>
            <w:tcW w:w="1281" w:type="pct"/>
            <w:tcBorders>
              <w:bottom w:val="nil"/>
            </w:tcBorders>
            <w:vAlign w:val="center"/>
          </w:tcPr>
          <w:p w14:paraId="4A5C92BE">
            <w:pPr>
              <w:keepNext/>
              <w:spacing w:line="360" w:lineRule="auto"/>
              <w:jc w:val="center"/>
              <w:rPr>
                <w:rFonts w:cs="宋体"/>
                <w:color w:val="auto"/>
                <w:szCs w:val="21"/>
                <w:highlight w:val="none"/>
              </w:rPr>
            </w:pPr>
          </w:p>
        </w:tc>
        <w:tc>
          <w:tcPr>
            <w:tcW w:w="1151" w:type="pct"/>
            <w:tcBorders>
              <w:bottom w:val="nil"/>
            </w:tcBorders>
            <w:vAlign w:val="center"/>
          </w:tcPr>
          <w:p w14:paraId="6CFFC2A2">
            <w:pPr>
              <w:keepNext/>
              <w:spacing w:line="360" w:lineRule="auto"/>
              <w:jc w:val="center"/>
              <w:rPr>
                <w:rFonts w:cs="宋体"/>
                <w:color w:val="auto"/>
                <w:szCs w:val="21"/>
                <w:highlight w:val="none"/>
              </w:rPr>
            </w:pPr>
          </w:p>
        </w:tc>
      </w:tr>
      <w:tr w14:paraId="68160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F2727B8">
            <w:pPr>
              <w:keepNext/>
              <w:spacing w:line="360" w:lineRule="auto"/>
              <w:jc w:val="center"/>
              <w:rPr>
                <w:rFonts w:cs="宋体"/>
                <w:color w:val="auto"/>
                <w:szCs w:val="21"/>
                <w:highlight w:val="none"/>
              </w:rPr>
            </w:pPr>
          </w:p>
        </w:tc>
        <w:tc>
          <w:tcPr>
            <w:tcW w:w="627" w:type="pct"/>
            <w:vAlign w:val="center"/>
          </w:tcPr>
          <w:p w14:paraId="1A4E3496">
            <w:pPr>
              <w:keepNext/>
              <w:spacing w:line="360" w:lineRule="auto"/>
              <w:jc w:val="center"/>
              <w:rPr>
                <w:rFonts w:cs="宋体"/>
                <w:color w:val="auto"/>
                <w:szCs w:val="21"/>
                <w:highlight w:val="none"/>
              </w:rPr>
            </w:pPr>
          </w:p>
        </w:tc>
        <w:tc>
          <w:tcPr>
            <w:tcW w:w="502" w:type="pct"/>
            <w:vAlign w:val="center"/>
          </w:tcPr>
          <w:p w14:paraId="7C353AD2">
            <w:pPr>
              <w:keepNext/>
              <w:spacing w:line="360" w:lineRule="auto"/>
              <w:jc w:val="center"/>
              <w:rPr>
                <w:rFonts w:cs="宋体"/>
                <w:color w:val="auto"/>
                <w:szCs w:val="21"/>
                <w:highlight w:val="none"/>
              </w:rPr>
            </w:pPr>
          </w:p>
        </w:tc>
        <w:tc>
          <w:tcPr>
            <w:tcW w:w="502" w:type="pct"/>
            <w:vAlign w:val="center"/>
          </w:tcPr>
          <w:p w14:paraId="5E5CFAE9">
            <w:pPr>
              <w:keepNext/>
              <w:spacing w:line="360" w:lineRule="auto"/>
              <w:jc w:val="center"/>
              <w:rPr>
                <w:rFonts w:cs="宋体"/>
                <w:color w:val="auto"/>
                <w:szCs w:val="21"/>
                <w:highlight w:val="none"/>
              </w:rPr>
            </w:pPr>
          </w:p>
        </w:tc>
        <w:tc>
          <w:tcPr>
            <w:tcW w:w="1281" w:type="pct"/>
            <w:vAlign w:val="center"/>
          </w:tcPr>
          <w:p w14:paraId="34416B4B">
            <w:pPr>
              <w:keepNext/>
              <w:spacing w:line="360" w:lineRule="auto"/>
              <w:jc w:val="center"/>
              <w:rPr>
                <w:rFonts w:cs="宋体"/>
                <w:color w:val="auto"/>
                <w:szCs w:val="21"/>
                <w:highlight w:val="none"/>
              </w:rPr>
            </w:pPr>
          </w:p>
        </w:tc>
        <w:tc>
          <w:tcPr>
            <w:tcW w:w="1151" w:type="pct"/>
            <w:vAlign w:val="center"/>
          </w:tcPr>
          <w:p w14:paraId="4733C28E">
            <w:pPr>
              <w:keepNext/>
              <w:spacing w:line="360" w:lineRule="auto"/>
              <w:jc w:val="center"/>
              <w:rPr>
                <w:rFonts w:cs="宋体"/>
                <w:color w:val="auto"/>
                <w:szCs w:val="21"/>
                <w:highlight w:val="none"/>
              </w:rPr>
            </w:pPr>
          </w:p>
        </w:tc>
      </w:tr>
      <w:tr w14:paraId="27CC0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006DDDA">
            <w:pPr>
              <w:keepNext/>
              <w:spacing w:line="360" w:lineRule="auto"/>
              <w:jc w:val="center"/>
              <w:rPr>
                <w:rFonts w:cs="宋体"/>
                <w:color w:val="auto"/>
                <w:szCs w:val="21"/>
                <w:highlight w:val="none"/>
              </w:rPr>
            </w:pPr>
          </w:p>
        </w:tc>
        <w:tc>
          <w:tcPr>
            <w:tcW w:w="627" w:type="pct"/>
            <w:vAlign w:val="center"/>
          </w:tcPr>
          <w:p w14:paraId="3DE0ED1B">
            <w:pPr>
              <w:keepNext/>
              <w:spacing w:line="360" w:lineRule="auto"/>
              <w:jc w:val="center"/>
              <w:rPr>
                <w:rFonts w:cs="宋体"/>
                <w:color w:val="auto"/>
                <w:szCs w:val="21"/>
                <w:highlight w:val="none"/>
              </w:rPr>
            </w:pPr>
          </w:p>
        </w:tc>
        <w:tc>
          <w:tcPr>
            <w:tcW w:w="502" w:type="pct"/>
            <w:vAlign w:val="center"/>
          </w:tcPr>
          <w:p w14:paraId="4A97C194">
            <w:pPr>
              <w:keepNext/>
              <w:spacing w:line="360" w:lineRule="auto"/>
              <w:jc w:val="center"/>
              <w:rPr>
                <w:rFonts w:cs="宋体"/>
                <w:color w:val="auto"/>
                <w:szCs w:val="21"/>
                <w:highlight w:val="none"/>
              </w:rPr>
            </w:pPr>
          </w:p>
        </w:tc>
        <w:tc>
          <w:tcPr>
            <w:tcW w:w="502" w:type="pct"/>
            <w:vAlign w:val="center"/>
          </w:tcPr>
          <w:p w14:paraId="30011F64">
            <w:pPr>
              <w:keepNext/>
              <w:spacing w:line="360" w:lineRule="auto"/>
              <w:jc w:val="center"/>
              <w:rPr>
                <w:rFonts w:cs="宋体"/>
                <w:color w:val="auto"/>
                <w:szCs w:val="21"/>
                <w:highlight w:val="none"/>
              </w:rPr>
            </w:pPr>
          </w:p>
        </w:tc>
        <w:tc>
          <w:tcPr>
            <w:tcW w:w="1281" w:type="pct"/>
            <w:vAlign w:val="center"/>
          </w:tcPr>
          <w:p w14:paraId="7F1D8340">
            <w:pPr>
              <w:keepNext/>
              <w:spacing w:line="360" w:lineRule="auto"/>
              <w:jc w:val="center"/>
              <w:rPr>
                <w:rFonts w:cs="宋体"/>
                <w:color w:val="auto"/>
                <w:szCs w:val="21"/>
                <w:highlight w:val="none"/>
              </w:rPr>
            </w:pPr>
          </w:p>
        </w:tc>
        <w:tc>
          <w:tcPr>
            <w:tcW w:w="1151" w:type="pct"/>
            <w:vAlign w:val="center"/>
          </w:tcPr>
          <w:p w14:paraId="42A9EC97">
            <w:pPr>
              <w:keepNext/>
              <w:spacing w:line="360" w:lineRule="auto"/>
              <w:jc w:val="center"/>
              <w:rPr>
                <w:rFonts w:cs="宋体"/>
                <w:color w:val="auto"/>
                <w:szCs w:val="21"/>
                <w:highlight w:val="none"/>
              </w:rPr>
            </w:pPr>
          </w:p>
        </w:tc>
      </w:tr>
      <w:tr w14:paraId="3D175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C842EE0">
            <w:pPr>
              <w:keepNext/>
              <w:spacing w:line="360" w:lineRule="auto"/>
              <w:jc w:val="center"/>
              <w:rPr>
                <w:rFonts w:cs="宋体"/>
                <w:color w:val="auto"/>
                <w:szCs w:val="21"/>
                <w:highlight w:val="none"/>
              </w:rPr>
            </w:pPr>
          </w:p>
        </w:tc>
        <w:tc>
          <w:tcPr>
            <w:tcW w:w="627" w:type="pct"/>
            <w:vAlign w:val="center"/>
          </w:tcPr>
          <w:p w14:paraId="02AC5ED5">
            <w:pPr>
              <w:keepNext/>
              <w:spacing w:line="360" w:lineRule="auto"/>
              <w:jc w:val="center"/>
              <w:rPr>
                <w:rFonts w:cs="宋体"/>
                <w:color w:val="auto"/>
                <w:szCs w:val="21"/>
                <w:highlight w:val="none"/>
              </w:rPr>
            </w:pPr>
          </w:p>
        </w:tc>
        <w:tc>
          <w:tcPr>
            <w:tcW w:w="502" w:type="pct"/>
            <w:vAlign w:val="center"/>
          </w:tcPr>
          <w:p w14:paraId="6E430F3A">
            <w:pPr>
              <w:keepNext/>
              <w:spacing w:line="360" w:lineRule="auto"/>
              <w:jc w:val="center"/>
              <w:rPr>
                <w:rFonts w:cs="宋体"/>
                <w:color w:val="auto"/>
                <w:szCs w:val="21"/>
                <w:highlight w:val="none"/>
              </w:rPr>
            </w:pPr>
          </w:p>
        </w:tc>
        <w:tc>
          <w:tcPr>
            <w:tcW w:w="502" w:type="pct"/>
            <w:vAlign w:val="center"/>
          </w:tcPr>
          <w:p w14:paraId="538250C9">
            <w:pPr>
              <w:keepNext/>
              <w:spacing w:line="360" w:lineRule="auto"/>
              <w:jc w:val="center"/>
              <w:rPr>
                <w:rFonts w:cs="宋体"/>
                <w:color w:val="auto"/>
                <w:szCs w:val="21"/>
                <w:highlight w:val="none"/>
              </w:rPr>
            </w:pPr>
          </w:p>
        </w:tc>
        <w:tc>
          <w:tcPr>
            <w:tcW w:w="1281" w:type="pct"/>
            <w:vAlign w:val="center"/>
          </w:tcPr>
          <w:p w14:paraId="6D2AF35A">
            <w:pPr>
              <w:keepNext/>
              <w:spacing w:line="360" w:lineRule="auto"/>
              <w:jc w:val="center"/>
              <w:rPr>
                <w:rFonts w:cs="宋体"/>
                <w:color w:val="auto"/>
                <w:szCs w:val="21"/>
                <w:highlight w:val="none"/>
              </w:rPr>
            </w:pPr>
          </w:p>
        </w:tc>
        <w:tc>
          <w:tcPr>
            <w:tcW w:w="1151" w:type="pct"/>
            <w:vAlign w:val="center"/>
          </w:tcPr>
          <w:p w14:paraId="64D5FD5E">
            <w:pPr>
              <w:keepNext/>
              <w:spacing w:line="360" w:lineRule="auto"/>
              <w:jc w:val="center"/>
              <w:rPr>
                <w:rFonts w:cs="宋体"/>
                <w:color w:val="auto"/>
                <w:szCs w:val="21"/>
                <w:highlight w:val="none"/>
              </w:rPr>
            </w:pPr>
          </w:p>
        </w:tc>
      </w:tr>
      <w:tr w14:paraId="20CD2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71463465">
            <w:pPr>
              <w:keepNext/>
              <w:spacing w:line="360" w:lineRule="auto"/>
              <w:jc w:val="center"/>
              <w:rPr>
                <w:rFonts w:cs="宋体"/>
                <w:color w:val="auto"/>
                <w:szCs w:val="21"/>
                <w:highlight w:val="none"/>
              </w:rPr>
            </w:pPr>
          </w:p>
        </w:tc>
        <w:tc>
          <w:tcPr>
            <w:tcW w:w="627" w:type="pct"/>
            <w:tcBorders>
              <w:bottom w:val="single" w:color="auto" w:sz="12" w:space="0"/>
            </w:tcBorders>
            <w:vAlign w:val="center"/>
          </w:tcPr>
          <w:p w14:paraId="064A306A">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00AA63B4">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6562F53C">
            <w:pPr>
              <w:keepNext/>
              <w:spacing w:line="360" w:lineRule="auto"/>
              <w:jc w:val="center"/>
              <w:rPr>
                <w:rFonts w:cs="宋体"/>
                <w:color w:val="auto"/>
                <w:szCs w:val="21"/>
                <w:highlight w:val="none"/>
              </w:rPr>
            </w:pPr>
          </w:p>
        </w:tc>
        <w:tc>
          <w:tcPr>
            <w:tcW w:w="1281" w:type="pct"/>
            <w:tcBorders>
              <w:bottom w:val="single" w:color="auto" w:sz="12" w:space="0"/>
            </w:tcBorders>
            <w:vAlign w:val="center"/>
          </w:tcPr>
          <w:p w14:paraId="7295FFD9">
            <w:pPr>
              <w:keepNext/>
              <w:spacing w:line="360" w:lineRule="auto"/>
              <w:jc w:val="center"/>
              <w:rPr>
                <w:rFonts w:cs="宋体"/>
                <w:color w:val="auto"/>
                <w:szCs w:val="21"/>
                <w:highlight w:val="none"/>
              </w:rPr>
            </w:pPr>
          </w:p>
        </w:tc>
        <w:tc>
          <w:tcPr>
            <w:tcW w:w="1151" w:type="pct"/>
            <w:tcBorders>
              <w:bottom w:val="single" w:color="auto" w:sz="12" w:space="0"/>
            </w:tcBorders>
            <w:vAlign w:val="center"/>
          </w:tcPr>
          <w:p w14:paraId="6830C343">
            <w:pPr>
              <w:keepNext/>
              <w:spacing w:line="360" w:lineRule="auto"/>
              <w:jc w:val="center"/>
              <w:rPr>
                <w:rFonts w:cs="宋体"/>
                <w:color w:val="auto"/>
                <w:szCs w:val="21"/>
                <w:highlight w:val="none"/>
              </w:rPr>
            </w:pPr>
          </w:p>
        </w:tc>
      </w:tr>
    </w:tbl>
    <w:p w14:paraId="12FC7F3B">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08" w:name="_Toc128950242"/>
      <w:r>
        <w:rPr>
          <w:rFonts w:hint="eastAsia" w:ascii="Times New Roman" w:eastAsia="黑体"/>
          <w:color w:val="auto"/>
          <w:szCs w:val="24"/>
          <w:highlight w:val="none"/>
        </w:rPr>
        <w:t>附</w:t>
      </w:r>
      <w:bookmarkStart w:id="609" w:name="_Toc296503229"/>
      <w:bookmarkStart w:id="610" w:name="_Toc296944568"/>
      <w:bookmarkStart w:id="611" w:name="_Toc296891057"/>
      <w:bookmarkStart w:id="612" w:name="_Toc296891269"/>
      <w:bookmarkStart w:id="613" w:name="_Toc296346730"/>
      <w:bookmarkStart w:id="614" w:name="_Toc296347228"/>
      <w:r>
        <w:rPr>
          <w:rFonts w:hint="eastAsia" w:ascii="Times New Roman" w:eastAsia="黑体"/>
          <w:color w:val="auto"/>
          <w:szCs w:val="24"/>
          <w:highlight w:val="none"/>
        </w:rPr>
        <w:t>件</w:t>
      </w:r>
      <w:r>
        <w:rPr>
          <w:rFonts w:ascii="Times New Roman" w:eastAsia="黑体"/>
          <w:color w:val="auto"/>
          <w:szCs w:val="24"/>
          <w:highlight w:val="none"/>
        </w:rPr>
        <w:t>7</w:t>
      </w:r>
      <w:r>
        <w:rPr>
          <w:rFonts w:hint="eastAsia" w:ascii="Times New Roman" w:eastAsia="黑体"/>
          <w:color w:val="auto"/>
          <w:szCs w:val="24"/>
          <w:highlight w:val="none"/>
        </w:rPr>
        <w:t>：分包人主要施工管理人员表</w:t>
      </w:r>
      <w:bookmarkEnd w:id="608"/>
    </w:p>
    <w:bookmarkEnd w:id="609"/>
    <w:bookmarkEnd w:id="610"/>
    <w:bookmarkEnd w:id="611"/>
    <w:bookmarkEnd w:id="612"/>
    <w:bookmarkEnd w:id="613"/>
    <w:bookmarkEnd w:id="614"/>
    <w:p w14:paraId="71201B7E">
      <w:pPr>
        <w:spacing w:before="156" w:beforeLines="50" w:after="156" w:afterLines="50" w:line="360" w:lineRule="auto"/>
        <w:jc w:val="center"/>
        <w:rPr>
          <w:rFonts w:cs="宋体"/>
          <w:b/>
          <w:color w:val="auto"/>
          <w:szCs w:val="21"/>
          <w:highlight w:val="none"/>
        </w:rPr>
      </w:pPr>
      <w:r>
        <w:rPr>
          <w:rFonts w:hint="eastAsia" w:cs="宋体"/>
          <w:b/>
          <w:color w:val="auto"/>
          <w:szCs w:val="21"/>
          <w:highlight w:val="none"/>
        </w:rPr>
        <w:t>分包人主要施工管理人员表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3"/>
        <w:gridCol w:w="1072"/>
        <w:gridCol w:w="858"/>
        <w:gridCol w:w="624"/>
        <w:gridCol w:w="3159"/>
        <w:gridCol w:w="1236"/>
      </w:tblGrid>
      <w:tr w14:paraId="7F8DD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single" w:color="auto" w:sz="12" w:space="0"/>
              <w:bottom w:val="double" w:color="auto" w:sz="6" w:space="0"/>
            </w:tcBorders>
            <w:vAlign w:val="center"/>
          </w:tcPr>
          <w:p w14:paraId="41568E47">
            <w:pPr>
              <w:keepNext/>
              <w:spacing w:line="360" w:lineRule="auto"/>
              <w:jc w:val="center"/>
              <w:rPr>
                <w:rFonts w:cs="宋体"/>
                <w:color w:val="auto"/>
                <w:szCs w:val="21"/>
                <w:highlight w:val="none"/>
              </w:rPr>
            </w:pPr>
            <w:r>
              <w:rPr>
                <w:rFonts w:hint="eastAsia" w:cs="宋体"/>
                <w:color w:val="auto"/>
                <w:szCs w:val="21"/>
                <w:highlight w:val="none"/>
              </w:rPr>
              <w:t>名称</w:t>
            </w:r>
          </w:p>
        </w:tc>
        <w:tc>
          <w:tcPr>
            <w:tcW w:w="641" w:type="pct"/>
            <w:tcBorders>
              <w:top w:val="single" w:color="auto" w:sz="12" w:space="0"/>
              <w:bottom w:val="double" w:color="auto" w:sz="6" w:space="0"/>
            </w:tcBorders>
            <w:vAlign w:val="center"/>
          </w:tcPr>
          <w:p w14:paraId="626E4894">
            <w:pPr>
              <w:keepNext/>
              <w:spacing w:line="360" w:lineRule="auto"/>
              <w:jc w:val="center"/>
              <w:rPr>
                <w:rFonts w:cs="宋体"/>
                <w:color w:val="auto"/>
                <w:szCs w:val="21"/>
                <w:highlight w:val="none"/>
              </w:rPr>
            </w:pPr>
            <w:r>
              <w:rPr>
                <w:rFonts w:hint="eastAsia" w:cs="宋体"/>
                <w:color w:val="auto"/>
                <w:szCs w:val="21"/>
                <w:highlight w:val="none"/>
              </w:rPr>
              <w:t>姓名</w:t>
            </w:r>
          </w:p>
        </w:tc>
        <w:tc>
          <w:tcPr>
            <w:tcW w:w="513" w:type="pct"/>
            <w:tcBorders>
              <w:top w:val="single" w:color="auto" w:sz="12" w:space="0"/>
              <w:bottom w:val="double" w:color="auto" w:sz="6" w:space="0"/>
            </w:tcBorders>
            <w:vAlign w:val="center"/>
          </w:tcPr>
          <w:p w14:paraId="656A2419">
            <w:pPr>
              <w:keepNext/>
              <w:spacing w:line="360" w:lineRule="auto"/>
              <w:jc w:val="center"/>
              <w:rPr>
                <w:rFonts w:cs="宋体"/>
                <w:color w:val="auto"/>
                <w:szCs w:val="21"/>
                <w:highlight w:val="none"/>
              </w:rPr>
            </w:pPr>
            <w:r>
              <w:rPr>
                <w:rFonts w:hint="eastAsia" w:cs="宋体"/>
                <w:color w:val="auto"/>
                <w:szCs w:val="21"/>
                <w:highlight w:val="none"/>
              </w:rPr>
              <w:t>职务</w:t>
            </w:r>
          </w:p>
        </w:tc>
        <w:tc>
          <w:tcPr>
            <w:tcW w:w="373" w:type="pct"/>
            <w:tcBorders>
              <w:top w:val="single" w:color="auto" w:sz="12" w:space="0"/>
              <w:bottom w:val="double" w:color="auto" w:sz="6" w:space="0"/>
            </w:tcBorders>
            <w:vAlign w:val="center"/>
          </w:tcPr>
          <w:p w14:paraId="6377F946">
            <w:pPr>
              <w:keepNext/>
              <w:spacing w:line="360" w:lineRule="auto"/>
              <w:jc w:val="center"/>
              <w:rPr>
                <w:rFonts w:cs="宋体"/>
                <w:color w:val="auto"/>
                <w:szCs w:val="21"/>
                <w:highlight w:val="none"/>
              </w:rPr>
            </w:pPr>
            <w:r>
              <w:rPr>
                <w:rFonts w:hint="eastAsia" w:cs="宋体"/>
                <w:color w:val="auto"/>
                <w:szCs w:val="21"/>
                <w:highlight w:val="none"/>
              </w:rPr>
              <w:t>职称</w:t>
            </w:r>
          </w:p>
        </w:tc>
        <w:tc>
          <w:tcPr>
            <w:tcW w:w="1889" w:type="pct"/>
            <w:tcBorders>
              <w:top w:val="single" w:color="auto" w:sz="12" w:space="0"/>
              <w:bottom w:val="double" w:color="auto" w:sz="6" w:space="0"/>
            </w:tcBorders>
            <w:vAlign w:val="center"/>
          </w:tcPr>
          <w:p w14:paraId="1F139FF3">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739" w:type="pct"/>
            <w:tcBorders>
              <w:top w:val="single" w:color="auto" w:sz="12" w:space="0"/>
              <w:bottom w:val="double" w:color="auto" w:sz="6" w:space="0"/>
            </w:tcBorders>
            <w:vAlign w:val="center"/>
          </w:tcPr>
          <w:p w14:paraId="6894A071">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18C3C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tcBorders>
              <w:top w:val="double" w:color="auto" w:sz="6" w:space="0"/>
            </w:tcBorders>
            <w:vAlign w:val="center"/>
          </w:tcPr>
          <w:p w14:paraId="68463CA0">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739" w:type="pct"/>
            <w:tcBorders>
              <w:top w:val="double" w:color="auto" w:sz="6" w:space="0"/>
            </w:tcBorders>
            <w:vAlign w:val="center"/>
          </w:tcPr>
          <w:p w14:paraId="750AE7D6">
            <w:pPr>
              <w:keepNext/>
              <w:spacing w:line="360" w:lineRule="auto"/>
              <w:jc w:val="center"/>
              <w:rPr>
                <w:rFonts w:cs="宋体"/>
                <w:color w:val="auto"/>
                <w:szCs w:val="21"/>
                <w:highlight w:val="none"/>
              </w:rPr>
            </w:pPr>
          </w:p>
        </w:tc>
      </w:tr>
      <w:tr w14:paraId="20215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nil"/>
              <w:bottom w:val="nil"/>
            </w:tcBorders>
            <w:vAlign w:val="center"/>
          </w:tcPr>
          <w:p w14:paraId="7D50ADBC">
            <w:pPr>
              <w:keepNext/>
              <w:spacing w:line="360" w:lineRule="auto"/>
              <w:jc w:val="center"/>
              <w:rPr>
                <w:rFonts w:cs="宋体"/>
                <w:color w:val="auto"/>
                <w:szCs w:val="21"/>
                <w:highlight w:val="none"/>
              </w:rPr>
            </w:pPr>
            <w:r>
              <w:rPr>
                <w:rFonts w:hint="eastAsia" w:cs="宋体"/>
                <w:color w:val="auto"/>
                <w:szCs w:val="21"/>
                <w:highlight w:val="none"/>
              </w:rPr>
              <w:t>项目主管</w:t>
            </w:r>
          </w:p>
        </w:tc>
        <w:tc>
          <w:tcPr>
            <w:tcW w:w="641" w:type="pct"/>
            <w:tcBorders>
              <w:top w:val="nil"/>
            </w:tcBorders>
            <w:vAlign w:val="center"/>
          </w:tcPr>
          <w:p w14:paraId="1B8F6B3D">
            <w:pPr>
              <w:keepNext/>
              <w:spacing w:line="360" w:lineRule="auto"/>
              <w:jc w:val="center"/>
              <w:rPr>
                <w:rFonts w:cs="宋体"/>
                <w:color w:val="auto"/>
                <w:szCs w:val="21"/>
                <w:highlight w:val="none"/>
              </w:rPr>
            </w:pPr>
          </w:p>
        </w:tc>
        <w:tc>
          <w:tcPr>
            <w:tcW w:w="513" w:type="pct"/>
            <w:tcBorders>
              <w:top w:val="nil"/>
            </w:tcBorders>
            <w:vAlign w:val="center"/>
          </w:tcPr>
          <w:p w14:paraId="4E080934">
            <w:pPr>
              <w:keepNext/>
              <w:spacing w:line="360" w:lineRule="auto"/>
              <w:jc w:val="center"/>
              <w:rPr>
                <w:rFonts w:cs="宋体"/>
                <w:color w:val="auto"/>
                <w:szCs w:val="21"/>
                <w:highlight w:val="none"/>
              </w:rPr>
            </w:pPr>
          </w:p>
        </w:tc>
        <w:tc>
          <w:tcPr>
            <w:tcW w:w="373" w:type="pct"/>
            <w:tcBorders>
              <w:top w:val="nil"/>
            </w:tcBorders>
            <w:vAlign w:val="center"/>
          </w:tcPr>
          <w:p w14:paraId="27DE80EC">
            <w:pPr>
              <w:keepNext/>
              <w:spacing w:line="360" w:lineRule="auto"/>
              <w:jc w:val="center"/>
              <w:rPr>
                <w:rFonts w:cs="宋体"/>
                <w:color w:val="auto"/>
                <w:szCs w:val="21"/>
                <w:highlight w:val="none"/>
              </w:rPr>
            </w:pPr>
          </w:p>
        </w:tc>
        <w:tc>
          <w:tcPr>
            <w:tcW w:w="1889" w:type="pct"/>
            <w:tcBorders>
              <w:top w:val="nil"/>
            </w:tcBorders>
            <w:vAlign w:val="center"/>
          </w:tcPr>
          <w:p w14:paraId="0FD88E14">
            <w:pPr>
              <w:keepNext/>
              <w:spacing w:line="360" w:lineRule="auto"/>
              <w:jc w:val="center"/>
              <w:rPr>
                <w:rFonts w:cs="宋体"/>
                <w:color w:val="auto"/>
                <w:szCs w:val="21"/>
                <w:highlight w:val="none"/>
              </w:rPr>
            </w:pPr>
          </w:p>
        </w:tc>
        <w:tc>
          <w:tcPr>
            <w:tcW w:w="739" w:type="pct"/>
            <w:tcBorders>
              <w:top w:val="nil"/>
            </w:tcBorders>
            <w:vAlign w:val="center"/>
          </w:tcPr>
          <w:p w14:paraId="4BD8D787">
            <w:pPr>
              <w:keepNext/>
              <w:spacing w:line="360" w:lineRule="auto"/>
              <w:jc w:val="center"/>
              <w:rPr>
                <w:rFonts w:cs="宋体"/>
                <w:color w:val="auto"/>
                <w:szCs w:val="21"/>
                <w:highlight w:val="none"/>
              </w:rPr>
            </w:pPr>
          </w:p>
        </w:tc>
      </w:tr>
      <w:tr w14:paraId="3CF18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0F6117DF">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3EC174E4">
            <w:pPr>
              <w:keepNext/>
              <w:spacing w:line="360" w:lineRule="auto"/>
              <w:jc w:val="center"/>
              <w:rPr>
                <w:rFonts w:cs="宋体"/>
                <w:color w:val="auto"/>
                <w:szCs w:val="21"/>
                <w:highlight w:val="none"/>
              </w:rPr>
            </w:pPr>
          </w:p>
        </w:tc>
        <w:tc>
          <w:tcPr>
            <w:tcW w:w="513" w:type="pct"/>
            <w:vAlign w:val="center"/>
          </w:tcPr>
          <w:p w14:paraId="04F23C32">
            <w:pPr>
              <w:keepNext/>
              <w:spacing w:line="360" w:lineRule="auto"/>
              <w:jc w:val="center"/>
              <w:rPr>
                <w:rFonts w:cs="宋体"/>
                <w:color w:val="auto"/>
                <w:szCs w:val="21"/>
                <w:highlight w:val="none"/>
              </w:rPr>
            </w:pPr>
          </w:p>
        </w:tc>
        <w:tc>
          <w:tcPr>
            <w:tcW w:w="373" w:type="pct"/>
            <w:vAlign w:val="center"/>
          </w:tcPr>
          <w:p w14:paraId="57065CD0">
            <w:pPr>
              <w:keepNext/>
              <w:spacing w:line="360" w:lineRule="auto"/>
              <w:jc w:val="center"/>
              <w:rPr>
                <w:rFonts w:cs="宋体"/>
                <w:color w:val="auto"/>
                <w:szCs w:val="21"/>
                <w:highlight w:val="none"/>
              </w:rPr>
            </w:pPr>
          </w:p>
        </w:tc>
        <w:tc>
          <w:tcPr>
            <w:tcW w:w="1889" w:type="pct"/>
            <w:vAlign w:val="center"/>
          </w:tcPr>
          <w:p w14:paraId="50009C7A">
            <w:pPr>
              <w:keepNext/>
              <w:spacing w:line="360" w:lineRule="auto"/>
              <w:jc w:val="center"/>
              <w:rPr>
                <w:rFonts w:cs="宋体"/>
                <w:color w:val="auto"/>
                <w:szCs w:val="21"/>
                <w:highlight w:val="none"/>
              </w:rPr>
            </w:pPr>
          </w:p>
        </w:tc>
        <w:tc>
          <w:tcPr>
            <w:tcW w:w="739" w:type="pct"/>
            <w:vAlign w:val="center"/>
          </w:tcPr>
          <w:p w14:paraId="592F5264">
            <w:pPr>
              <w:keepNext/>
              <w:spacing w:line="360" w:lineRule="auto"/>
              <w:jc w:val="center"/>
              <w:rPr>
                <w:rFonts w:cs="宋体"/>
                <w:color w:val="auto"/>
                <w:szCs w:val="21"/>
                <w:highlight w:val="none"/>
              </w:rPr>
            </w:pPr>
          </w:p>
        </w:tc>
      </w:tr>
      <w:tr w14:paraId="32450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0C78D04">
            <w:pPr>
              <w:keepNext/>
              <w:spacing w:line="360" w:lineRule="auto"/>
              <w:jc w:val="center"/>
              <w:rPr>
                <w:rFonts w:cs="宋体"/>
                <w:color w:val="auto"/>
                <w:szCs w:val="21"/>
                <w:highlight w:val="none"/>
              </w:rPr>
            </w:pPr>
          </w:p>
        </w:tc>
        <w:tc>
          <w:tcPr>
            <w:tcW w:w="641" w:type="pct"/>
            <w:vAlign w:val="center"/>
          </w:tcPr>
          <w:p w14:paraId="7E9827E0">
            <w:pPr>
              <w:keepNext/>
              <w:spacing w:line="360" w:lineRule="auto"/>
              <w:jc w:val="center"/>
              <w:rPr>
                <w:rFonts w:cs="宋体"/>
                <w:color w:val="auto"/>
                <w:szCs w:val="21"/>
                <w:highlight w:val="none"/>
              </w:rPr>
            </w:pPr>
          </w:p>
        </w:tc>
        <w:tc>
          <w:tcPr>
            <w:tcW w:w="513" w:type="pct"/>
            <w:vAlign w:val="center"/>
          </w:tcPr>
          <w:p w14:paraId="49E9B0A7">
            <w:pPr>
              <w:keepNext/>
              <w:spacing w:line="360" w:lineRule="auto"/>
              <w:jc w:val="center"/>
              <w:rPr>
                <w:rFonts w:cs="宋体"/>
                <w:color w:val="auto"/>
                <w:szCs w:val="21"/>
                <w:highlight w:val="none"/>
              </w:rPr>
            </w:pPr>
          </w:p>
        </w:tc>
        <w:tc>
          <w:tcPr>
            <w:tcW w:w="373" w:type="pct"/>
            <w:vAlign w:val="center"/>
          </w:tcPr>
          <w:p w14:paraId="31536D89">
            <w:pPr>
              <w:keepNext/>
              <w:spacing w:line="360" w:lineRule="auto"/>
              <w:jc w:val="center"/>
              <w:rPr>
                <w:rFonts w:cs="宋体"/>
                <w:color w:val="auto"/>
                <w:szCs w:val="21"/>
                <w:highlight w:val="none"/>
              </w:rPr>
            </w:pPr>
          </w:p>
        </w:tc>
        <w:tc>
          <w:tcPr>
            <w:tcW w:w="1889" w:type="pct"/>
            <w:vAlign w:val="center"/>
          </w:tcPr>
          <w:p w14:paraId="35ECBAC3">
            <w:pPr>
              <w:keepNext/>
              <w:spacing w:line="360" w:lineRule="auto"/>
              <w:jc w:val="center"/>
              <w:rPr>
                <w:rFonts w:cs="宋体"/>
                <w:color w:val="auto"/>
                <w:szCs w:val="21"/>
                <w:highlight w:val="none"/>
              </w:rPr>
            </w:pPr>
          </w:p>
        </w:tc>
        <w:tc>
          <w:tcPr>
            <w:tcW w:w="739" w:type="pct"/>
            <w:vAlign w:val="center"/>
          </w:tcPr>
          <w:p w14:paraId="22B1257D">
            <w:pPr>
              <w:keepNext/>
              <w:spacing w:line="360" w:lineRule="auto"/>
              <w:jc w:val="center"/>
              <w:rPr>
                <w:rFonts w:cs="宋体"/>
                <w:color w:val="auto"/>
                <w:szCs w:val="21"/>
                <w:highlight w:val="none"/>
              </w:rPr>
            </w:pPr>
          </w:p>
        </w:tc>
      </w:tr>
      <w:tr w14:paraId="49683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vAlign w:val="center"/>
          </w:tcPr>
          <w:p w14:paraId="2DA95C75">
            <w:pPr>
              <w:keepNext/>
              <w:spacing w:line="360" w:lineRule="auto"/>
              <w:jc w:val="center"/>
              <w:rPr>
                <w:rFonts w:cs="宋体"/>
                <w:color w:val="auto"/>
                <w:szCs w:val="21"/>
                <w:highlight w:val="none"/>
              </w:rPr>
            </w:pPr>
          </w:p>
        </w:tc>
        <w:tc>
          <w:tcPr>
            <w:tcW w:w="641" w:type="pct"/>
            <w:vAlign w:val="center"/>
          </w:tcPr>
          <w:p w14:paraId="3703C0DF">
            <w:pPr>
              <w:keepNext/>
              <w:spacing w:line="360" w:lineRule="auto"/>
              <w:jc w:val="center"/>
              <w:rPr>
                <w:rFonts w:cs="宋体"/>
                <w:color w:val="auto"/>
                <w:szCs w:val="21"/>
                <w:highlight w:val="none"/>
              </w:rPr>
            </w:pPr>
          </w:p>
        </w:tc>
        <w:tc>
          <w:tcPr>
            <w:tcW w:w="513" w:type="pct"/>
            <w:vAlign w:val="center"/>
          </w:tcPr>
          <w:p w14:paraId="2801A0E4">
            <w:pPr>
              <w:keepNext/>
              <w:spacing w:line="360" w:lineRule="auto"/>
              <w:jc w:val="center"/>
              <w:rPr>
                <w:rFonts w:cs="宋体"/>
                <w:color w:val="auto"/>
                <w:szCs w:val="21"/>
                <w:highlight w:val="none"/>
              </w:rPr>
            </w:pPr>
          </w:p>
        </w:tc>
        <w:tc>
          <w:tcPr>
            <w:tcW w:w="373" w:type="pct"/>
            <w:vAlign w:val="center"/>
          </w:tcPr>
          <w:p w14:paraId="5E8106BD">
            <w:pPr>
              <w:keepNext/>
              <w:spacing w:line="360" w:lineRule="auto"/>
              <w:jc w:val="center"/>
              <w:rPr>
                <w:rFonts w:cs="宋体"/>
                <w:color w:val="auto"/>
                <w:szCs w:val="21"/>
                <w:highlight w:val="none"/>
              </w:rPr>
            </w:pPr>
          </w:p>
        </w:tc>
        <w:tc>
          <w:tcPr>
            <w:tcW w:w="1889" w:type="pct"/>
            <w:vAlign w:val="center"/>
          </w:tcPr>
          <w:p w14:paraId="0B0E4AFE">
            <w:pPr>
              <w:keepNext/>
              <w:spacing w:line="360" w:lineRule="auto"/>
              <w:jc w:val="center"/>
              <w:rPr>
                <w:rFonts w:cs="宋体"/>
                <w:color w:val="auto"/>
                <w:szCs w:val="21"/>
                <w:highlight w:val="none"/>
              </w:rPr>
            </w:pPr>
          </w:p>
        </w:tc>
        <w:tc>
          <w:tcPr>
            <w:tcW w:w="739" w:type="pct"/>
            <w:vAlign w:val="center"/>
          </w:tcPr>
          <w:p w14:paraId="5FCE80B0">
            <w:pPr>
              <w:keepNext/>
              <w:spacing w:line="360" w:lineRule="auto"/>
              <w:jc w:val="center"/>
              <w:rPr>
                <w:rFonts w:cs="宋体"/>
                <w:color w:val="auto"/>
                <w:szCs w:val="21"/>
                <w:highlight w:val="none"/>
              </w:rPr>
            </w:pPr>
          </w:p>
        </w:tc>
      </w:tr>
      <w:tr w14:paraId="6659F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vAlign w:val="center"/>
          </w:tcPr>
          <w:p w14:paraId="5F787451">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739" w:type="pct"/>
            <w:vAlign w:val="center"/>
          </w:tcPr>
          <w:p w14:paraId="6AF3CE64">
            <w:pPr>
              <w:keepNext/>
              <w:spacing w:line="360" w:lineRule="auto"/>
              <w:jc w:val="center"/>
              <w:rPr>
                <w:rFonts w:cs="宋体"/>
                <w:color w:val="auto"/>
                <w:szCs w:val="21"/>
                <w:highlight w:val="none"/>
              </w:rPr>
            </w:pPr>
          </w:p>
        </w:tc>
      </w:tr>
      <w:tr w14:paraId="34B4F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FB1F66F">
            <w:pPr>
              <w:spacing w:line="360" w:lineRule="auto"/>
              <w:jc w:val="center"/>
              <w:rPr>
                <w:rFonts w:cs="宋体"/>
                <w:color w:val="auto"/>
                <w:szCs w:val="22"/>
                <w:highlight w:val="none"/>
              </w:rPr>
            </w:pPr>
            <w:r>
              <w:rPr>
                <w:rFonts w:hint="eastAsia" w:cs="宋体"/>
                <w:color w:val="auto"/>
                <w:szCs w:val="22"/>
                <w:highlight w:val="none"/>
              </w:rPr>
              <w:t>项目经理</w:t>
            </w:r>
          </w:p>
        </w:tc>
        <w:tc>
          <w:tcPr>
            <w:tcW w:w="641" w:type="pct"/>
            <w:vAlign w:val="center"/>
          </w:tcPr>
          <w:p w14:paraId="4F328485">
            <w:pPr>
              <w:keepNext/>
              <w:spacing w:line="360" w:lineRule="auto"/>
              <w:jc w:val="center"/>
              <w:rPr>
                <w:rFonts w:cs="宋体"/>
                <w:color w:val="auto"/>
                <w:szCs w:val="21"/>
                <w:highlight w:val="none"/>
              </w:rPr>
            </w:pPr>
          </w:p>
        </w:tc>
        <w:tc>
          <w:tcPr>
            <w:tcW w:w="513" w:type="pct"/>
            <w:vAlign w:val="center"/>
          </w:tcPr>
          <w:p w14:paraId="731C474F">
            <w:pPr>
              <w:keepNext/>
              <w:spacing w:line="360" w:lineRule="auto"/>
              <w:jc w:val="center"/>
              <w:rPr>
                <w:rFonts w:cs="宋体"/>
                <w:color w:val="auto"/>
                <w:szCs w:val="21"/>
                <w:highlight w:val="none"/>
              </w:rPr>
            </w:pPr>
          </w:p>
        </w:tc>
        <w:tc>
          <w:tcPr>
            <w:tcW w:w="373" w:type="pct"/>
            <w:vAlign w:val="center"/>
          </w:tcPr>
          <w:p w14:paraId="38739130">
            <w:pPr>
              <w:keepNext/>
              <w:spacing w:line="360" w:lineRule="auto"/>
              <w:jc w:val="center"/>
              <w:rPr>
                <w:rFonts w:cs="宋体"/>
                <w:color w:val="auto"/>
                <w:szCs w:val="21"/>
                <w:highlight w:val="none"/>
              </w:rPr>
            </w:pPr>
          </w:p>
        </w:tc>
        <w:tc>
          <w:tcPr>
            <w:tcW w:w="1889" w:type="pct"/>
            <w:vAlign w:val="center"/>
          </w:tcPr>
          <w:p w14:paraId="55154B0A">
            <w:pPr>
              <w:keepNext/>
              <w:spacing w:line="360" w:lineRule="auto"/>
              <w:jc w:val="center"/>
              <w:rPr>
                <w:rFonts w:cs="宋体"/>
                <w:color w:val="auto"/>
                <w:szCs w:val="21"/>
                <w:highlight w:val="none"/>
              </w:rPr>
            </w:pPr>
          </w:p>
        </w:tc>
        <w:tc>
          <w:tcPr>
            <w:tcW w:w="739" w:type="pct"/>
            <w:vAlign w:val="center"/>
          </w:tcPr>
          <w:p w14:paraId="2E9B37F5">
            <w:pPr>
              <w:keepNext/>
              <w:spacing w:line="360" w:lineRule="auto"/>
              <w:jc w:val="center"/>
              <w:rPr>
                <w:rFonts w:cs="宋体"/>
                <w:color w:val="auto"/>
                <w:szCs w:val="21"/>
                <w:highlight w:val="none"/>
              </w:rPr>
            </w:pPr>
          </w:p>
        </w:tc>
      </w:tr>
      <w:tr w14:paraId="4F3FB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03246643">
            <w:pPr>
              <w:spacing w:line="360" w:lineRule="auto"/>
              <w:jc w:val="center"/>
              <w:rPr>
                <w:rFonts w:cs="宋体"/>
                <w:color w:val="auto"/>
                <w:szCs w:val="22"/>
                <w:highlight w:val="none"/>
              </w:rPr>
            </w:pPr>
            <w:r>
              <w:rPr>
                <w:rFonts w:hint="eastAsia" w:cs="宋体"/>
                <w:color w:val="auto"/>
                <w:szCs w:val="22"/>
                <w:highlight w:val="none"/>
              </w:rPr>
              <w:t>项目副经理</w:t>
            </w:r>
          </w:p>
        </w:tc>
        <w:tc>
          <w:tcPr>
            <w:tcW w:w="641" w:type="pct"/>
            <w:vAlign w:val="center"/>
          </w:tcPr>
          <w:p w14:paraId="44401445">
            <w:pPr>
              <w:keepNext/>
              <w:spacing w:line="360" w:lineRule="auto"/>
              <w:jc w:val="center"/>
              <w:rPr>
                <w:rFonts w:cs="宋体"/>
                <w:color w:val="auto"/>
                <w:szCs w:val="21"/>
                <w:highlight w:val="none"/>
              </w:rPr>
            </w:pPr>
          </w:p>
        </w:tc>
        <w:tc>
          <w:tcPr>
            <w:tcW w:w="513" w:type="pct"/>
            <w:vAlign w:val="center"/>
          </w:tcPr>
          <w:p w14:paraId="38631FDB">
            <w:pPr>
              <w:keepNext/>
              <w:spacing w:line="360" w:lineRule="auto"/>
              <w:jc w:val="center"/>
              <w:rPr>
                <w:rFonts w:cs="宋体"/>
                <w:color w:val="auto"/>
                <w:szCs w:val="21"/>
                <w:highlight w:val="none"/>
              </w:rPr>
            </w:pPr>
          </w:p>
        </w:tc>
        <w:tc>
          <w:tcPr>
            <w:tcW w:w="373" w:type="pct"/>
            <w:vAlign w:val="center"/>
          </w:tcPr>
          <w:p w14:paraId="2EFDBFBF">
            <w:pPr>
              <w:keepNext/>
              <w:spacing w:line="360" w:lineRule="auto"/>
              <w:jc w:val="center"/>
              <w:rPr>
                <w:rFonts w:cs="宋体"/>
                <w:color w:val="auto"/>
                <w:szCs w:val="21"/>
                <w:highlight w:val="none"/>
              </w:rPr>
            </w:pPr>
          </w:p>
        </w:tc>
        <w:tc>
          <w:tcPr>
            <w:tcW w:w="1889" w:type="pct"/>
            <w:vAlign w:val="center"/>
          </w:tcPr>
          <w:p w14:paraId="609BEFB2">
            <w:pPr>
              <w:keepNext/>
              <w:spacing w:line="360" w:lineRule="auto"/>
              <w:jc w:val="center"/>
              <w:rPr>
                <w:rFonts w:cs="宋体"/>
                <w:color w:val="auto"/>
                <w:szCs w:val="21"/>
                <w:highlight w:val="none"/>
              </w:rPr>
            </w:pPr>
          </w:p>
        </w:tc>
        <w:tc>
          <w:tcPr>
            <w:tcW w:w="739" w:type="pct"/>
            <w:vAlign w:val="center"/>
          </w:tcPr>
          <w:p w14:paraId="1D4CBAD7">
            <w:pPr>
              <w:keepNext/>
              <w:spacing w:line="360" w:lineRule="auto"/>
              <w:jc w:val="center"/>
              <w:rPr>
                <w:rFonts w:cs="宋体"/>
                <w:color w:val="auto"/>
                <w:szCs w:val="21"/>
                <w:highlight w:val="none"/>
              </w:rPr>
            </w:pPr>
          </w:p>
        </w:tc>
      </w:tr>
      <w:tr w14:paraId="65A55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55B9576">
            <w:pPr>
              <w:spacing w:line="360" w:lineRule="auto"/>
              <w:jc w:val="center"/>
              <w:rPr>
                <w:rFonts w:cs="宋体"/>
                <w:color w:val="auto"/>
                <w:szCs w:val="22"/>
                <w:highlight w:val="none"/>
              </w:rPr>
            </w:pPr>
            <w:r>
              <w:rPr>
                <w:rFonts w:hint="eastAsia" w:cs="宋体"/>
                <w:color w:val="auto"/>
                <w:szCs w:val="22"/>
                <w:highlight w:val="none"/>
              </w:rPr>
              <w:t>项目技术负责人</w:t>
            </w:r>
          </w:p>
        </w:tc>
        <w:tc>
          <w:tcPr>
            <w:tcW w:w="641" w:type="pct"/>
            <w:vAlign w:val="center"/>
          </w:tcPr>
          <w:p w14:paraId="59D9CE81">
            <w:pPr>
              <w:keepNext/>
              <w:spacing w:line="360" w:lineRule="auto"/>
              <w:jc w:val="center"/>
              <w:rPr>
                <w:rFonts w:cs="宋体"/>
                <w:color w:val="auto"/>
                <w:szCs w:val="21"/>
                <w:highlight w:val="none"/>
              </w:rPr>
            </w:pPr>
          </w:p>
        </w:tc>
        <w:tc>
          <w:tcPr>
            <w:tcW w:w="513" w:type="pct"/>
            <w:vAlign w:val="center"/>
          </w:tcPr>
          <w:p w14:paraId="2024D12E">
            <w:pPr>
              <w:keepNext/>
              <w:spacing w:line="360" w:lineRule="auto"/>
              <w:jc w:val="center"/>
              <w:rPr>
                <w:rFonts w:cs="宋体"/>
                <w:color w:val="auto"/>
                <w:szCs w:val="21"/>
                <w:highlight w:val="none"/>
              </w:rPr>
            </w:pPr>
          </w:p>
        </w:tc>
        <w:tc>
          <w:tcPr>
            <w:tcW w:w="373" w:type="pct"/>
            <w:vAlign w:val="center"/>
          </w:tcPr>
          <w:p w14:paraId="5E55A1AF">
            <w:pPr>
              <w:keepNext/>
              <w:spacing w:line="360" w:lineRule="auto"/>
              <w:jc w:val="center"/>
              <w:rPr>
                <w:rFonts w:cs="宋体"/>
                <w:color w:val="auto"/>
                <w:szCs w:val="21"/>
                <w:highlight w:val="none"/>
              </w:rPr>
            </w:pPr>
          </w:p>
        </w:tc>
        <w:tc>
          <w:tcPr>
            <w:tcW w:w="1889" w:type="pct"/>
            <w:vAlign w:val="center"/>
          </w:tcPr>
          <w:p w14:paraId="316083D3">
            <w:pPr>
              <w:keepNext/>
              <w:spacing w:line="360" w:lineRule="auto"/>
              <w:jc w:val="center"/>
              <w:rPr>
                <w:rFonts w:cs="宋体"/>
                <w:color w:val="auto"/>
                <w:szCs w:val="21"/>
                <w:highlight w:val="none"/>
              </w:rPr>
            </w:pPr>
          </w:p>
        </w:tc>
        <w:tc>
          <w:tcPr>
            <w:tcW w:w="739" w:type="pct"/>
            <w:vAlign w:val="center"/>
          </w:tcPr>
          <w:p w14:paraId="15101DC5">
            <w:pPr>
              <w:keepNext/>
              <w:spacing w:line="360" w:lineRule="auto"/>
              <w:jc w:val="center"/>
              <w:rPr>
                <w:rFonts w:cs="宋体"/>
                <w:color w:val="auto"/>
                <w:szCs w:val="21"/>
                <w:highlight w:val="none"/>
              </w:rPr>
            </w:pPr>
          </w:p>
        </w:tc>
      </w:tr>
      <w:tr w14:paraId="2EF8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214FE00">
            <w:pPr>
              <w:spacing w:line="360" w:lineRule="auto"/>
              <w:jc w:val="center"/>
              <w:rPr>
                <w:rFonts w:cs="宋体"/>
                <w:color w:val="auto"/>
                <w:szCs w:val="22"/>
                <w:highlight w:val="none"/>
              </w:rPr>
            </w:pPr>
            <w:r>
              <w:rPr>
                <w:rFonts w:hint="eastAsia" w:cs="宋体"/>
                <w:color w:val="auto"/>
                <w:szCs w:val="22"/>
                <w:highlight w:val="none"/>
              </w:rPr>
              <w:t>施工员</w:t>
            </w:r>
          </w:p>
        </w:tc>
        <w:tc>
          <w:tcPr>
            <w:tcW w:w="641" w:type="pct"/>
            <w:vAlign w:val="center"/>
          </w:tcPr>
          <w:p w14:paraId="41DC4E1D">
            <w:pPr>
              <w:keepNext/>
              <w:spacing w:line="360" w:lineRule="auto"/>
              <w:jc w:val="center"/>
              <w:rPr>
                <w:rFonts w:cs="宋体"/>
                <w:color w:val="auto"/>
                <w:szCs w:val="21"/>
                <w:highlight w:val="none"/>
              </w:rPr>
            </w:pPr>
          </w:p>
        </w:tc>
        <w:tc>
          <w:tcPr>
            <w:tcW w:w="513" w:type="pct"/>
            <w:vAlign w:val="center"/>
          </w:tcPr>
          <w:p w14:paraId="1275983A">
            <w:pPr>
              <w:keepNext/>
              <w:spacing w:line="360" w:lineRule="auto"/>
              <w:jc w:val="center"/>
              <w:rPr>
                <w:rFonts w:cs="宋体"/>
                <w:color w:val="auto"/>
                <w:szCs w:val="21"/>
                <w:highlight w:val="none"/>
              </w:rPr>
            </w:pPr>
          </w:p>
        </w:tc>
        <w:tc>
          <w:tcPr>
            <w:tcW w:w="373" w:type="pct"/>
            <w:vAlign w:val="center"/>
          </w:tcPr>
          <w:p w14:paraId="3456FEBC">
            <w:pPr>
              <w:keepNext/>
              <w:spacing w:line="360" w:lineRule="auto"/>
              <w:jc w:val="center"/>
              <w:rPr>
                <w:rFonts w:cs="宋体"/>
                <w:color w:val="auto"/>
                <w:szCs w:val="21"/>
                <w:highlight w:val="none"/>
              </w:rPr>
            </w:pPr>
          </w:p>
        </w:tc>
        <w:tc>
          <w:tcPr>
            <w:tcW w:w="1889" w:type="pct"/>
            <w:vAlign w:val="center"/>
          </w:tcPr>
          <w:p w14:paraId="0E0236B2">
            <w:pPr>
              <w:keepNext/>
              <w:spacing w:line="360" w:lineRule="auto"/>
              <w:jc w:val="center"/>
              <w:rPr>
                <w:rFonts w:cs="宋体"/>
                <w:color w:val="auto"/>
                <w:szCs w:val="21"/>
                <w:highlight w:val="none"/>
              </w:rPr>
            </w:pPr>
          </w:p>
        </w:tc>
        <w:tc>
          <w:tcPr>
            <w:tcW w:w="739" w:type="pct"/>
            <w:vAlign w:val="center"/>
          </w:tcPr>
          <w:p w14:paraId="5A5BD009">
            <w:pPr>
              <w:keepNext/>
              <w:spacing w:line="360" w:lineRule="auto"/>
              <w:jc w:val="center"/>
              <w:rPr>
                <w:rFonts w:cs="宋体"/>
                <w:color w:val="auto"/>
                <w:szCs w:val="21"/>
                <w:highlight w:val="none"/>
              </w:rPr>
            </w:pPr>
          </w:p>
        </w:tc>
      </w:tr>
      <w:tr w14:paraId="3643B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7E193B1">
            <w:pPr>
              <w:spacing w:line="360" w:lineRule="auto"/>
              <w:jc w:val="center"/>
              <w:rPr>
                <w:rFonts w:cs="宋体"/>
                <w:color w:val="auto"/>
                <w:szCs w:val="22"/>
                <w:highlight w:val="none"/>
              </w:rPr>
            </w:pPr>
            <w:r>
              <w:rPr>
                <w:rFonts w:hint="eastAsia" w:cs="宋体"/>
                <w:color w:val="auto"/>
                <w:szCs w:val="22"/>
                <w:highlight w:val="none"/>
              </w:rPr>
              <w:t>质检员（质量员）</w:t>
            </w:r>
          </w:p>
        </w:tc>
        <w:tc>
          <w:tcPr>
            <w:tcW w:w="641" w:type="pct"/>
            <w:vAlign w:val="center"/>
          </w:tcPr>
          <w:p w14:paraId="74988033">
            <w:pPr>
              <w:keepNext/>
              <w:spacing w:line="360" w:lineRule="auto"/>
              <w:jc w:val="center"/>
              <w:rPr>
                <w:rFonts w:cs="宋体"/>
                <w:color w:val="auto"/>
                <w:szCs w:val="21"/>
                <w:highlight w:val="none"/>
              </w:rPr>
            </w:pPr>
          </w:p>
        </w:tc>
        <w:tc>
          <w:tcPr>
            <w:tcW w:w="513" w:type="pct"/>
            <w:vAlign w:val="center"/>
          </w:tcPr>
          <w:p w14:paraId="49A94CD4">
            <w:pPr>
              <w:keepNext/>
              <w:spacing w:line="360" w:lineRule="auto"/>
              <w:jc w:val="center"/>
              <w:rPr>
                <w:rFonts w:cs="宋体"/>
                <w:color w:val="auto"/>
                <w:szCs w:val="21"/>
                <w:highlight w:val="none"/>
              </w:rPr>
            </w:pPr>
          </w:p>
        </w:tc>
        <w:tc>
          <w:tcPr>
            <w:tcW w:w="373" w:type="pct"/>
            <w:vAlign w:val="center"/>
          </w:tcPr>
          <w:p w14:paraId="3DE6C624">
            <w:pPr>
              <w:keepNext/>
              <w:spacing w:line="360" w:lineRule="auto"/>
              <w:jc w:val="center"/>
              <w:rPr>
                <w:rFonts w:cs="宋体"/>
                <w:color w:val="auto"/>
                <w:szCs w:val="21"/>
                <w:highlight w:val="none"/>
              </w:rPr>
            </w:pPr>
          </w:p>
        </w:tc>
        <w:tc>
          <w:tcPr>
            <w:tcW w:w="1889" w:type="pct"/>
            <w:vAlign w:val="center"/>
          </w:tcPr>
          <w:p w14:paraId="39607259">
            <w:pPr>
              <w:keepNext/>
              <w:spacing w:line="360" w:lineRule="auto"/>
              <w:jc w:val="center"/>
              <w:rPr>
                <w:rFonts w:cs="宋体"/>
                <w:color w:val="auto"/>
                <w:szCs w:val="21"/>
                <w:highlight w:val="none"/>
              </w:rPr>
            </w:pPr>
          </w:p>
        </w:tc>
        <w:tc>
          <w:tcPr>
            <w:tcW w:w="739" w:type="pct"/>
            <w:vAlign w:val="center"/>
          </w:tcPr>
          <w:p w14:paraId="34944FBF">
            <w:pPr>
              <w:keepNext/>
              <w:spacing w:line="360" w:lineRule="auto"/>
              <w:jc w:val="center"/>
              <w:rPr>
                <w:rFonts w:cs="宋体"/>
                <w:color w:val="auto"/>
                <w:szCs w:val="21"/>
                <w:highlight w:val="none"/>
              </w:rPr>
            </w:pPr>
          </w:p>
        </w:tc>
      </w:tr>
      <w:tr w14:paraId="5ABFB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57226AD">
            <w:pPr>
              <w:spacing w:line="360" w:lineRule="auto"/>
              <w:jc w:val="center"/>
              <w:rPr>
                <w:rFonts w:cs="宋体"/>
                <w:color w:val="auto"/>
                <w:szCs w:val="22"/>
                <w:highlight w:val="none"/>
              </w:rPr>
            </w:pPr>
            <w:r>
              <w:rPr>
                <w:rFonts w:hint="eastAsia" w:cs="宋体"/>
                <w:color w:val="auto"/>
                <w:szCs w:val="22"/>
                <w:highlight w:val="none"/>
              </w:rPr>
              <w:t>安全员</w:t>
            </w:r>
          </w:p>
        </w:tc>
        <w:tc>
          <w:tcPr>
            <w:tcW w:w="641" w:type="pct"/>
            <w:vAlign w:val="center"/>
          </w:tcPr>
          <w:p w14:paraId="183B5CFB">
            <w:pPr>
              <w:keepNext/>
              <w:spacing w:line="360" w:lineRule="auto"/>
              <w:jc w:val="center"/>
              <w:rPr>
                <w:rFonts w:cs="宋体"/>
                <w:color w:val="auto"/>
                <w:szCs w:val="21"/>
                <w:highlight w:val="none"/>
              </w:rPr>
            </w:pPr>
          </w:p>
        </w:tc>
        <w:tc>
          <w:tcPr>
            <w:tcW w:w="513" w:type="pct"/>
            <w:vAlign w:val="center"/>
          </w:tcPr>
          <w:p w14:paraId="330B4C07">
            <w:pPr>
              <w:keepNext/>
              <w:spacing w:line="360" w:lineRule="auto"/>
              <w:jc w:val="center"/>
              <w:rPr>
                <w:rFonts w:cs="宋体"/>
                <w:color w:val="auto"/>
                <w:szCs w:val="21"/>
                <w:highlight w:val="none"/>
              </w:rPr>
            </w:pPr>
          </w:p>
        </w:tc>
        <w:tc>
          <w:tcPr>
            <w:tcW w:w="373" w:type="pct"/>
            <w:vAlign w:val="center"/>
          </w:tcPr>
          <w:p w14:paraId="7D35A5AA">
            <w:pPr>
              <w:keepNext/>
              <w:spacing w:line="360" w:lineRule="auto"/>
              <w:jc w:val="center"/>
              <w:rPr>
                <w:rFonts w:cs="宋体"/>
                <w:color w:val="auto"/>
                <w:szCs w:val="21"/>
                <w:highlight w:val="none"/>
              </w:rPr>
            </w:pPr>
          </w:p>
        </w:tc>
        <w:tc>
          <w:tcPr>
            <w:tcW w:w="1889" w:type="pct"/>
            <w:vAlign w:val="center"/>
          </w:tcPr>
          <w:p w14:paraId="3DFD2F6B">
            <w:pPr>
              <w:keepNext/>
              <w:spacing w:line="360" w:lineRule="auto"/>
              <w:jc w:val="center"/>
              <w:rPr>
                <w:rFonts w:cs="宋体"/>
                <w:color w:val="auto"/>
                <w:szCs w:val="21"/>
                <w:highlight w:val="none"/>
              </w:rPr>
            </w:pPr>
          </w:p>
        </w:tc>
        <w:tc>
          <w:tcPr>
            <w:tcW w:w="739" w:type="pct"/>
            <w:vAlign w:val="center"/>
          </w:tcPr>
          <w:p w14:paraId="3100F6D2">
            <w:pPr>
              <w:keepNext/>
              <w:spacing w:line="360" w:lineRule="auto"/>
              <w:jc w:val="center"/>
              <w:rPr>
                <w:rFonts w:cs="宋体"/>
                <w:color w:val="auto"/>
                <w:szCs w:val="21"/>
                <w:highlight w:val="none"/>
              </w:rPr>
            </w:pPr>
          </w:p>
        </w:tc>
      </w:tr>
      <w:tr w14:paraId="4916A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4852CB3C">
            <w:pPr>
              <w:spacing w:line="360" w:lineRule="auto"/>
              <w:jc w:val="center"/>
              <w:rPr>
                <w:rFonts w:cs="宋体"/>
                <w:color w:val="auto"/>
                <w:szCs w:val="22"/>
                <w:highlight w:val="none"/>
              </w:rPr>
            </w:pPr>
            <w:r>
              <w:rPr>
                <w:rFonts w:hint="eastAsia" w:cs="宋体"/>
                <w:color w:val="auto"/>
                <w:szCs w:val="22"/>
                <w:highlight w:val="none"/>
              </w:rPr>
              <w:t>资料员</w:t>
            </w:r>
          </w:p>
        </w:tc>
        <w:tc>
          <w:tcPr>
            <w:tcW w:w="641" w:type="pct"/>
            <w:vAlign w:val="center"/>
          </w:tcPr>
          <w:p w14:paraId="0D127A58">
            <w:pPr>
              <w:keepNext/>
              <w:spacing w:line="360" w:lineRule="auto"/>
              <w:jc w:val="center"/>
              <w:rPr>
                <w:rFonts w:cs="宋体"/>
                <w:color w:val="auto"/>
                <w:szCs w:val="21"/>
                <w:highlight w:val="none"/>
              </w:rPr>
            </w:pPr>
          </w:p>
        </w:tc>
        <w:tc>
          <w:tcPr>
            <w:tcW w:w="513" w:type="pct"/>
            <w:vAlign w:val="center"/>
          </w:tcPr>
          <w:p w14:paraId="7B6D62D5">
            <w:pPr>
              <w:keepNext/>
              <w:spacing w:line="360" w:lineRule="auto"/>
              <w:jc w:val="center"/>
              <w:rPr>
                <w:rFonts w:cs="宋体"/>
                <w:color w:val="auto"/>
                <w:szCs w:val="21"/>
                <w:highlight w:val="none"/>
              </w:rPr>
            </w:pPr>
          </w:p>
        </w:tc>
        <w:tc>
          <w:tcPr>
            <w:tcW w:w="373" w:type="pct"/>
            <w:vAlign w:val="center"/>
          </w:tcPr>
          <w:p w14:paraId="03CFEAFF">
            <w:pPr>
              <w:keepNext/>
              <w:spacing w:line="360" w:lineRule="auto"/>
              <w:jc w:val="center"/>
              <w:rPr>
                <w:rFonts w:cs="宋体"/>
                <w:color w:val="auto"/>
                <w:szCs w:val="21"/>
                <w:highlight w:val="none"/>
              </w:rPr>
            </w:pPr>
          </w:p>
        </w:tc>
        <w:tc>
          <w:tcPr>
            <w:tcW w:w="1889" w:type="pct"/>
            <w:vAlign w:val="center"/>
          </w:tcPr>
          <w:p w14:paraId="581DC5EF">
            <w:pPr>
              <w:keepNext/>
              <w:spacing w:line="360" w:lineRule="auto"/>
              <w:jc w:val="center"/>
              <w:rPr>
                <w:rFonts w:cs="宋体"/>
                <w:color w:val="auto"/>
                <w:szCs w:val="21"/>
                <w:highlight w:val="none"/>
              </w:rPr>
            </w:pPr>
          </w:p>
        </w:tc>
        <w:tc>
          <w:tcPr>
            <w:tcW w:w="739" w:type="pct"/>
            <w:vAlign w:val="center"/>
          </w:tcPr>
          <w:p w14:paraId="085F7C8C">
            <w:pPr>
              <w:keepNext/>
              <w:spacing w:line="360" w:lineRule="auto"/>
              <w:jc w:val="center"/>
              <w:rPr>
                <w:rFonts w:cs="宋体"/>
                <w:color w:val="auto"/>
                <w:szCs w:val="21"/>
                <w:highlight w:val="none"/>
              </w:rPr>
            </w:pPr>
          </w:p>
        </w:tc>
      </w:tr>
      <w:tr w14:paraId="34634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043631E6">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202D6E9F">
            <w:pPr>
              <w:keepNext/>
              <w:spacing w:line="360" w:lineRule="auto"/>
              <w:jc w:val="center"/>
              <w:rPr>
                <w:rFonts w:cs="宋体"/>
                <w:color w:val="auto"/>
                <w:szCs w:val="21"/>
                <w:highlight w:val="none"/>
              </w:rPr>
            </w:pPr>
          </w:p>
        </w:tc>
        <w:tc>
          <w:tcPr>
            <w:tcW w:w="513" w:type="pct"/>
            <w:vAlign w:val="center"/>
          </w:tcPr>
          <w:p w14:paraId="45FE1674">
            <w:pPr>
              <w:keepNext/>
              <w:spacing w:line="360" w:lineRule="auto"/>
              <w:jc w:val="center"/>
              <w:rPr>
                <w:rFonts w:cs="宋体"/>
                <w:color w:val="auto"/>
                <w:szCs w:val="21"/>
                <w:highlight w:val="none"/>
              </w:rPr>
            </w:pPr>
          </w:p>
        </w:tc>
        <w:tc>
          <w:tcPr>
            <w:tcW w:w="373" w:type="pct"/>
            <w:vAlign w:val="center"/>
          </w:tcPr>
          <w:p w14:paraId="251E5E0E">
            <w:pPr>
              <w:keepNext/>
              <w:spacing w:line="360" w:lineRule="auto"/>
              <w:jc w:val="center"/>
              <w:rPr>
                <w:rFonts w:cs="宋体"/>
                <w:color w:val="auto"/>
                <w:szCs w:val="21"/>
                <w:highlight w:val="none"/>
              </w:rPr>
            </w:pPr>
          </w:p>
        </w:tc>
        <w:tc>
          <w:tcPr>
            <w:tcW w:w="1889" w:type="pct"/>
            <w:vAlign w:val="center"/>
          </w:tcPr>
          <w:p w14:paraId="35AFD87B">
            <w:pPr>
              <w:keepNext/>
              <w:spacing w:line="360" w:lineRule="auto"/>
              <w:jc w:val="center"/>
              <w:rPr>
                <w:rFonts w:cs="宋体"/>
                <w:color w:val="auto"/>
                <w:szCs w:val="21"/>
                <w:highlight w:val="none"/>
              </w:rPr>
            </w:pPr>
          </w:p>
        </w:tc>
        <w:tc>
          <w:tcPr>
            <w:tcW w:w="739" w:type="pct"/>
            <w:vAlign w:val="center"/>
          </w:tcPr>
          <w:p w14:paraId="458B64F5">
            <w:pPr>
              <w:keepNext/>
              <w:spacing w:line="360" w:lineRule="auto"/>
              <w:jc w:val="center"/>
              <w:rPr>
                <w:rFonts w:cs="宋体"/>
                <w:color w:val="auto"/>
                <w:szCs w:val="21"/>
                <w:highlight w:val="none"/>
              </w:rPr>
            </w:pPr>
          </w:p>
        </w:tc>
      </w:tr>
      <w:tr w14:paraId="33F53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731EFD1E">
            <w:pPr>
              <w:keepNext/>
              <w:spacing w:line="360" w:lineRule="auto"/>
              <w:jc w:val="center"/>
              <w:rPr>
                <w:rFonts w:cs="宋体"/>
                <w:color w:val="auto"/>
                <w:szCs w:val="21"/>
                <w:highlight w:val="none"/>
              </w:rPr>
            </w:pPr>
          </w:p>
        </w:tc>
        <w:tc>
          <w:tcPr>
            <w:tcW w:w="641" w:type="pct"/>
            <w:tcBorders>
              <w:bottom w:val="nil"/>
            </w:tcBorders>
            <w:vAlign w:val="center"/>
          </w:tcPr>
          <w:p w14:paraId="5E0EEA30">
            <w:pPr>
              <w:keepNext/>
              <w:spacing w:line="360" w:lineRule="auto"/>
              <w:jc w:val="center"/>
              <w:rPr>
                <w:rFonts w:cs="宋体"/>
                <w:color w:val="auto"/>
                <w:szCs w:val="21"/>
                <w:highlight w:val="none"/>
              </w:rPr>
            </w:pPr>
          </w:p>
        </w:tc>
        <w:tc>
          <w:tcPr>
            <w:tcW w:w="513" w:type="pct"/>
            <w:tcBorders>
              <w:bottom w:val="nil"/>
            </w:tcBorders>
            <w:vAlign w:val="center"/>
          </w:tcPr>
          <w:p w14:paraId="662E68E1">
            <w:pPr>
              <w:keepNext/>
              <w:spacing w:line="360" w:lineRule="auto"/>
              <w:jc w:val="center"/>
              <w:rPr>
                <w:rFonts w:cs="宋体"/>
                <w:color w:val="auto"/>
                <w:szCs w:val="21"/>
                <w:highlight w:val="none"/>
              </w:rPr>
            </w:pPr>
          </w:p>
        </w:tc>
        <w:tc>
          <w:tcPr>
            <w:tcW w:w="373" w:type="pct"/>
            <w:tcBorders>
              <w:bottom w:val="nil"/>
            </w:tcBorders>
            <w:vAlign w:val="center"/>
          </w:tcPr>
          <w:p w14:paraId="42762C53">
            <w:pPr>
              <w:keepNext/>
              <w:spacing w:line="360" w:lineRule="auto"/>
              <w:jc w:val="center"/>
              <w:rPr>
                <w:rFonts w:cs="宋体"/>
                <w:color w:val="auto"/>
                <w:szCs w:val="21"/>
                <w:highlight w:val="none"/>
              </w:rPr>
            </w:pPr>
          </w:p>
        </w:tc>
        <w:tc>
          <w:tcPr>
            <w:tcW w:w="1889" w:type="pct"/>
            <w:tcBorders>
              <w:bottom w:val="nil"/>
            </w:tcBorders>
            <w:vAlign w:val="center"/>
          </w:tcPr>
          <w:p w14:paraId="08947B53">
            <w:pPr>
              <w:keepNext/>
              <w:spacing w:line="360" w:lineRule="auto"/>
              <w:jc w:val="center"/>
              <w:rPr>
                <w:rFonts w:cs="宋体"/>
                <w:color w:val="auto"/>
                <w:szCs w:val="21"/>
                <w:highlight w:val="none"/>
              </w:rPr>
            </w:pPr>
          </w:p>
        </w:tc>
        <w:tc>
          <w:tcPr>
            <w:tcW w:w="739" w:type="pct"/>
            <w:tcBorders>
              <w:bottom w:val="nil"/>
            </w:tcBorders>
            <w:vAlign w:val="center"/>
          </w:tcPr>
          <w:p w14:paraId="69E7A108">
            <w:pPr>
              <w:keepNext/>
              <w:spacing w:line="360" w:lineRule="auto"/>
              <w:jc w:val="center"/>
              <w:rPr>
                <w:rFonts w:cs="宋体"/>
                <w:color w:val="auto"/>
                <w:szCs w:val="21"/>
                <w:highlight w:val="none"/>
              </w:rPr>
            </w:pPr>
          </w:p>
        </w:tc>
      </w:tr>
      <w:tr w14:paraId="1040D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364C0161">
            <w:pPr>
              <w:keepNext/>
              <w:spacing w:line="360" w:lineRule="auto"/>
              <w:jc w:val="center"/>
              <w:rPr>
                <w:rFonts w:cs="宋体"/>
                <w:color w:val="auto"/>
                <w:szCs w:val="21"/>
                <w:highlight w:val="none"/>
              </w:rPr>
            </w:pPr>
          </w:p>
        </w:tc>
        <w:tc>
          <w:tcPr>
            <w:tcW w:w="641" w:type="pct"/>
            <w:vAlign w:val="center"/>
          </w:tcPr>
          <w:p w14:paraId="31515A8D">
            <w:pPr>
              <w:keepNext/>
              <w:spacing w:line="360" w:lineRule="auto"/>
              <w:jc w:val="center"/>
              <w:rPr>
                <w:rFonts w:cs="宋体"/>
                <w:color w:val="auto"/>
                <w:szCs w:val="21"/>
                <w:highlight w:val="none"/>
              </w:rPr>
            </w:pPr>
          </w:p>
        </w:tc>
        <w:tc>
          <w:tcPr>
            <w:tcW w:w="513" w:type="pct"/>
            <w:vAlign w:val="center"/>
          </w:tcPr>
          <w:p w14:paraId="3046A645">
            <w:pPr>
              <w:keepNext/>
              <w:spacing w:line="360" w:lineRule="auto"/>
              <w:jc w:val="center"/>
              <w:rPr>
                <w:rFonts w:cs="宋体"/>
                <w:color w:val="auto"/>
                <w:szCs w:val="21"/>
                <w:highlight w:val="none"/>
              </w:rPr>
            </w:pPr>
          </w:p>
        </w:tc>
        <w:tc>
          <w:tcPr>
            <w:tcW w:w="373" w:type="pct"/>
            <w:vAlign w:val="center"/>
          </w:tcPr>
          <w:p w14:paraId="741725B2">
            <w:pPr>
              <w:keepNext/>
              <w:spacing w:line="360" w:lineRule="auto"/>
              <w:jc w:val="center"/>
              <w:rPr>
                <w:rFonts w:cs="宋体"/>
                <w:color w:val="auto"/>
                <w:szCs w:val="21"/>
                <w:highlight w:val="none"/>
              </w:rPr>
            </w:pPr>
          </w:p>
        </w:tc>
        <w:tc>
          <w:tcPr>
            <w:tcW w:w="1889" w:type="pct"/>
            <w:vAlign w:val="center"/>
          </w:tcPr>
          <w:p w14:paraId="578CD5E7">
            <w:pPr>
              <w:keepNext/>
              <w:spacing w:line="360" w:lineRule="auto"/>
              <w:jc w:val="center"/>
              <w:rPr>
                <w:rFonts w:cs="宋体"/>
                <w:color w:val="auto"/>
                <w:szCs w:val="21"/>
                <w:highlight w:val="none"/>
              </w:rPr>
            </w:pPr>
          </w:p>
        </w:tc>
        <w:tc>
          <w:tcPr>
            <w:tcW w:w="739" w:type="pct"/>
            <w:vAlign w:val="center"/>
          </w:tcPr>
          <w:p w14:paraId="0B6383E8">
            <w:pPr>
              <w:keepNext/>
              <w:spacing w:line="360" w:lineRule="auto"/>
              <w:jc w:val="center"/>
              <w:rPr>
                <w:rFonts w:cs="宋体"/>
                <w:color w:val="auto"/>
                <w:szCs w:val="21"/>
                <w:highlight w:val="none"/>
              </w:rPr>
            </w:pPr>
          </w:p>
        </w:tc>
      </w:tr>
      <w:tr w14:paraId="0B211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BB38795">
            <w:pPr>
              <w:keepNext/>
              <w:spacing w:line="360" w:lineRule="auto"/>
              <w:jc w:val="center"/>
              <w:rPr>
                <w:rFonts w:cs="宋体"/>
                <w:color w:val="auto"/>
                <w:szCs w:val="21"/>
                <w:highlight w:val="none"/>
              </w:rPr>
            </w:pPr>
          </w:p>
        </w:tc>
        <w:tc>
          <w:tcPr>
            <w:tcW w:w="641" w:type="pct"/>
            <w:vAlign w:val="center"/>
          </w:tcPr>
          <w:p w14:paraId="598DF039">
            <w:pPr>
              <w:keepNext/>
              <w:spacing w:line="360" w:lineRule="auto"/>
              <w:jc w:val="center"/>
              <w:rPr>
                <w:rFonts w:cs="宋体"/>
                <w:color w:val="auto"/>
                <w:szCs w:val="21"/>
                <w:highlight w:val="none"/>
              </w:rPr>
            </w:pPr>
          </w:p>
        </w:tc>
        <w:tc>
          <w:tcPr>
            <w:tcW w:w="513" w:type="pct"/>
            <w:vAlign w:val="center"/>
          </w:tcPr>
          <w:p w14:paraId="0ECAA262">
            <w:pPr>
              <w:keepNext/>
              <w:spacing w:line="360" w:lineRule="auto"/>
              <w:jc w:val="center"/>
              <w:rPr>
                <w:rFonts w:cs="宋体"/>
                <w:color w:val="auto"/>
                <w:szCs w:val="21"/>
                <w:highlight w:val="none"/>
              </w:rPr>
            </w:pPr>
          </w:p>
        </w:tc>
        <w:tc>
          <w:tcPr>
            <w:tcW w:w="373" w:type="pct"/>
            <w:vAlign w:val="center"/>
          </w:tcPr>
          <w:p w14:paraId="200D1998">
            <w:pPr>
              <w:keepNext/>
              <w:spacing w:line="360" w:lineRule="auto"/>
              <w:jc w:val="center"/>
              <w:rPr>
                <w:rFonts w:cs="宋体"/>
                <w:color w:val="auto"/>
                <w:szCs w:val="21"/>
                <w:highlight w:val="none"/>
              </w:rPr>
            </w:pPr>
          </w:p>
        </w:tc>
        <w:tc>
          <w:tcPr>
            <w:tcW w:w="1889" w:type="pct"/>
            <w:vAlign w:val="center"/>
          </w:tcPr>
          <w:p w14:paraId="490AC313">
            <w:pPr>
              <w:keepNext/>
              <w:spacing w:line="360" w:lineRule="auto"/>
              <w:jc w:val="center"/>
              <w:rPr>
                <w:rFonts w:cs="宋体"/>
                <w:color w:val="auto"/>
                <w:szCs w:val="21"/>
                <w:highlight w:val="none"/>
              </w:rPr>
            </w:pPr>
          </w:p>
        </w:tc>
        <w:tc>
          <w:tcPr>
            <w:tcW w:w="739" w:type="pct"/>
            <w:vAlign w:val="center"/>
          </w:tcPr>
          <w:p w14:paraId="533ED897">
            <w:pPr>
              <w:keepNext/>
              <w:spacing w:line="360" w:lineRule="auto"/>
              <w:jc w:val="center"/>
              <w:rPr>
                <w:rFonts w:cs="宋体"/>
                <w:color w:val="auto"/>
                <w:szCs w:val="21"/>
                <w:highlight w:val="none"/>
              </w:rPr>
            </w:pPr>
          </w:p>
        </w:tc>
      </w:tr>
      <w:tr w14:paraId="7711D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2D25024E">
            <w:pPr>
              <w:keepNext/>
              <w:spacing w:line="360" w:lineRule="auto"/>
              <w:jc w:val="center"/>
              <w:rPr>
                <w:rFonts w:cs="宋体"/>
                <w:color w:val="auto"/>
                <w:szCs w:val="21"/>
                <w:highlight w:val="none"/>
              </w:rPr>
            </w:pPr>
          </w:p>
        </w:tc>
        <w:tc>
          <w:tcPr>
            <w:tcW w:w="641" w:type="pct"/>
            <w:vAlign w:val="center"/>
          </w:tcPr>
          <w:p w14:paraId="7049610C">
            <w:pPr>
              <w:keepNext/>
              <w:spacing w:line="360" w:lineRule="auto"/>
              <w:jc w:val="center"/>
              <w:rPr>
                <w:rFonts w:cs="宋体"/>
                <w:color w:val="auto"/>
                <w:szCs w:val="21"/>
                <w:highlight w:val="none"/>
              </w:rPr>
            </w:pPr>
          </w:p>
        </w:tc>
        <w:tc>
          <w:tcPr>
            <w:tcW w:w="513" w:type="pct"/>
            <w:vAlign w:val="center"/>
          </w:tcPr>
          <w:p w14:paraId="679D8971">
            <w:pPr>
              <w:keepNext/>
              <w:spacing w:line="360" w:lineRule="auto"/>
              <w:jc w:val="center"/>
              <w:rPr>
                <w:rFonts w:cs="宋体"/>
                <w:color w:val="auto"/>
                <w:szCs w:val="21"/>
                <w:highlight w:val="none"/>
              </w:rPr>
            </w:pPr>
          </w:p>
        </w:tc>
        <w:tc>
          <w:tcPr>
            <w:tcW w:w="373" w:type="pct"/>
            <w:vAlign w:val="center"/>
          </w:tcPr>
          <w:p w14:paraId="0582EE5E">
            <w:pPr>
              <w:keepNext/>
              <w:spacing w:line="360" w:lineRule="auto"/>
              <w:jc w:val="center"/>
              <w:rPr>
                <w:rFonts w:cs="宋体"/>
                <w:color w:val="auto"/>
                <w:szCs w:val="21"/>
                <w:highlight w:val="none"/>
              </w:rPr>
            </w:pPr>
          </w:p>
        </w:tc>
        <w:tc>
          <w:tcPr>
            <w:tcW w:w="1889" w:type="pct"/>
            <w:vAlign w:val="center"/>
          </w:tcPr>
          <w:p w14:paraId="40F4E839">
            <w:pPr>
              <w:keepNext/>
              <w:spacing w:line="360" w:lineRule="auto"/>
              <w:jc w:val="center"/>
              <w:rPr>
                <w:rFonts w:cs="宋体"/>
                <w:color w:val="auto"/>
                <w:szCs w:val="21"/>
                <w:highlight w:val="none"/>
              </w:rPr>
            </w:pPr>
          </w:p>
        </w:tc>
        <w:tc>
          <w:tcPr>
            <w:tcW w:w="739" w:type="pct"/>
            <w:vAlign w:val="center"/>
          </w:tcPr>
          <w:p w14:paraId="5B36EEA5">
            <w:pPr>
              <w:keepNext/>
              <w:spacing w:line="360" w:lineRule="auto"/>
              <w:jc w:val="center"/>
              <w:rPr>
                <w:rFonts w:cs="宋体"/>
                <w:color w:val="auto"/>
                <w:szCs w:val="21"/>
                <w:highlight w:val="none"/>
              </w:rPr>
            </w:pPr>
          </w:p>
        </w:tc>
      </w:tr>
      <w:tr w14:paraId="2C325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single" w:color="auto" w:sz="12" w:space="0"/>
            </w:tcBorders>
            <w:vAlign w:val="center"/>
          </w:tcPr>
          <w:p w14:paraId="6D188CFD">
            <w:pPr>
              <w:keepNext/>
              <w:spacing w:line="360" w:lineRule="auto"/>
              <w:jc w:val="center"/>
              <w:rPr>
                <w:rFonts w:cs="宋体"/>
                <w:color w:val="auto"/>
                <w:szCs w:val="21"/>
                <w:highlight w:val="none"/>
              </w:rPr>
            </w:pPr>
          </w:p>
        </w:tc>
        <w:tc>
          <w:tcPr>
            <w:tcW w:w="641" w:type="pct"/>
            <w:tcBorders>
              <w:bottom w:val="single" w:color="auto" w:sz="12" w:space="0"/>
            </w:tcBorders>
            <w:vAlign w:val="center"/>
          </w:tcPr>
          <w:p w14:paraId="74E41795">
            <w:pPr>
              <w:keepNext/>
              <w:spacing w:line="360" w:lineRule="auto"/>
              <w:jc w:val="center"/>
              <w:rPr>
                <w:rFonts w:cs="宋体"/>
                <w:color w:val="auto"/>
                <w:szCs w:val="21"/>
                <w:highlight w:val="none"/>
              </w:rPr>
            </w:pPr>
          </w:p>
        </w:tc>
        <w:tc>
          <w:tcPr>
            <w:tcW w:w="513" w:type="pct"/>
            <w:tcBorders>
              <w:bottom w:val="single" w:color="auto" w:sz="12" w:space="0"/>
            </w:tcBorders>
            <w:vAlign w:val="center"/>
          </w:tcPr>
          <w:p w14:paraId="5BB9F4C8">
            <w:pPr>
              <w:keepNext/>
              <w:spacing w:line="360" w:lineRule="auto"/>
              <w:jc w:val="center"/>
              <w:rPr>
                <w:rFonts w:cs="宋体"/>
                <w:color w:val="auto"/>
                <w:szCs w:val="21"/>
                <w:highlight w:val="none"/>
              </w:rPr>
            </w:pPr>
          </w:p>
        </w:tc>
        <w:tc>
          <w:tcPr>
            <w:tcW w:w="373" w:type="pct"/>
            <w:tcBorders>
              <w:bottom w:val="single" w:color="auto" w:sz="12" w:space="0"/>
            </w:tcBorders>
            <w:vAlign w:val="center"/>
          </w:tcPr>
          <w:p w14:paraId="21F86BCF">
            <w:pPr>
              <w:keepNext/>
              <w:spacing w:line="360" w:lineRule="auto"/>
              <w:jc w:val="center"/>
              <w:rPr>
                <w:rFonts w:cs="宋体"/>
                <w:color w:val="auto"/>
                <w:szCs w:val="21"/>
                <w:highlight w:val="none"/>
              </w:rPr>
            </w:pPr>
          </w:p>
        </w:tc>
        <w:tc>
          <w:tcPr>
            <w:tcW w:w="1889" w:type="pct"/>
            <w:tcBorders>
              <w:bottom w:val="single" w:color="auto" w:sz="12" w:space="0"/>
            </w:tcBorders>
            <w:vAlign w:val="center"/>
          </w:tcPr>
          <w:p w14:paraId="6AD0AA6F">
            <w:pPr>
              <w:keepNext/>
              <w:spacing w:line="360" w:lineRule="auto"/>
              <w:jc w:val="center"/>
              <w:rPr>
                <w:rFonts w:cs="宋体"/>
                <w:color w:val="auto"/>
                <w:szCs w:val="21"/>
                <w:highlight w:val="none"/>
              </w:rPr>
            </w:pPr>
          </w:p>
        </w:tc>
        <w:tc>
          <w:tcPr>
            <w:tcW w:w="739" w:type="pct"/>
            <w:tcBorders>
              <w:bottom w:val="single" w:color="auto" w:sz="12" w:space="0"/>
            </w:tcBorders>
            <w:vAlign w:val="center"/>
          </w:tcPr>
          <w:p w14:paraId="36657CC9">
            <w:pPr>
              <w:keepNext/>
              <w:spacing w:line="360" w:lineRule="auto"/>
              <w:jc w:val="center"/>
              <w:rPr>
                <w:rFonts w:cs="宋体"/>
                <w:color w:val="auto"/>
                <w:szCs w:val="21"/>
                <w:highlight w:val="none"/>
              </w:rPr>
            </w:pPr>
          </w:p>
        </w:tc>
      </w:tr>
    </w:tbl>
    <w:p w14:paraId="3373EC61">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15" w:name="_Toc128950243"/>
      <w:r>
        <w:rPr>
          <w:rFonts w:hint="eastAsia" w:ascii="Times New Roman" w:eastAsia="黑体"/>
          <w:color w:val="auto"/>
          <w:szCs w:val="24"/>
          <w:highlight w:val="none"/>
        </w:rPr>
        <w:t>附</w:t>
      </w:r>
      <w:bookmarkStart w:id="616" w:name="_Toc296503231"/>
      <w:bookmarkStart w:id="617" w:name="_Toc296891059"/>
      <w:bookmarkStart w:id="618" w:name="_Toc296891271"/>
      <w:bookmarkStart w:id="619" w:name="_Toc296346732"/>
      <w:bookmarkStart w:id="620" w:name="_Toc296944570"/>
      <w:bookmarkStart w:id="621" w:name="_Toc296347230"/>
      <w:r>
        <w:rPr>
          <w:rFonts w:hint="eastAsia" w:ascii="Times New Roman" w:eastAsia="黑体"/>
          <w:color w:val="auto"/>
          <w:szCs w:val="24"/>
          <w:highlight w:val="none"/>
        </w:rPr>
        <w:t>件</w:t>
      </w:r>
      <w:r>
        <w:rPr>
          <w:rFonts w:ascii="Times New Roman" w:eastAsia="黑体"/>
          <w:color w:val="auto"/>
          <w:szCs w:val="24"/>
          <w:highlight w:val="none"/>
        </w:rPr>
        <w:t>8</w:t>
      </w:r>
      <w:r>
        <w:rPr>
          <w:rFonts w:hint="eastAsia" w:ascii="Times New Roman" w:eastAsia="黑体"/>
          <w:color w:val="auto"/>
          <w:szCs w:val="24"/>
          <w:highlight w:val="none"/>
        </w:rPr>
        <w:t>：廉政协议</w:t>
      </w:r>
      <w:bookmarkEnd w:id="615"/>
    </w:p>
    <w:bookmarkEnd w:id="616"/>
    <w:bookmarkEnd w:id="617"/>
    <w:bookmarkEnd w:id="618"/>
    <w:bookmarkEnd w:id="619"/>
    <w:bookmarkEnd w:id="620"/>
    <w:bookmarkEnd w:id="621"/>
    <w:p w14:paraId="14F1F0BC">
      <w:pPr>
        <w:widowControl/>
        <w:spacing w:line="360" w:lineRule="auto"/>
        <w:ind w:firstLine="643"/>
        <w:jc w:val="center"/>
        <w:rPr>
          <w:rFonts w:cs="宋体"/>
          <w:b/>
          <w:bCs/>
          <w:color w:val="auto"/>
          <w:sz w:val="32"/>
          <w:szCs w:val="32"/>
          <w:highlight w:val="none"/>
        </w:rPr>
      </w:pPr>
      <w:r>
        <w:rPr>
          <w:rFonts w:hint="eastAsia" w:cs="宋体"/>
          <w:b/>
          <w:bCs/>
          <w:color w:val="auto"/>
          <w:sz w:val="32"/>
          <w:szCs w:val="32"/>
          <w:highlight w:val="none"/>
        </w:rPr>
        <w:t>廉政协议</w:t>
      </w:r>
    </w:p>
    <w:p w14:paraId="1366FF8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为促进双方诚信经营、廉洁从业，防范商业贿赂，保护国家、集体和当事人的合法权益，根据国家有关法律法规和安徽省廉政建设的规定，</w:t>
      </w:r>
      <w:r>
        <w:rPr>
          <w:rFonts w:hint="eastAsia" w:cs="宋体"/>
          <w:color w:val="auto"/>
          <w:sz w:val="21"/>
          <w:szCs w:val="21"/>
          <w:highlight w:val="none"/>
          <w:u w:val="single"/>
        </w:rPr>
        <w:t xml:space="preserve">     </w:t>
      </w:r>
      <w:r>
        <w:rPr>
          <w:rFonts w:hint="eastAsia" w:cs="宋体"/>
          <w:color w:val="auto"/>
          <w:sz w:val="21"/>
          <w:szCs w:val="21"/>
          <w:highlight w:val="none"/>
        </w:rPr>
        <w:t>（以下称甲方）与</w:t>
      </w:r>
      <w:r>
        <w:rPr>
          <w:rFonts w:hint="eastAsia" w:cs="宋体"/>
          <w:color w:val="auto"/>
          <w:sz w:val="21"/>
          <w:szCs w:val="21"/>
          <w:highlight w:val="none"/>
          <w:u w:val="single"/>
        </w:rPr>
        <w:t xml:space="preserve">             （</w:t>
      </w:r>
      <w:r>
        <w:rPr>
          <w:rFonts w:hint="eastAsia" w:cs="宋体"/>
          <w:color w:val="auto"/>
          <w:sz w:val="21"/>
          <w:szCs w:val="21"/>
          <w:highlight w:val="none"/>
        </w:rPr>
        <w:t>以下称乙方），特此订立本协议共同遵照执行。</w:t>
      </w:r>
    </w:p>
    <w:p w14:paraId="1B3C436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第一条 甲乙双方的权利和义务</w:t>
      </w:r>
    </w:p>
    <w:p w14:paraId="5EB2F40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12EC1E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（二）严格执行</w:t>
      </w:r>
      <w:r>
        <w:rPr>
          <w:rFonts w:hint="eastAsia" w:cs="宋体"/>
          <w:color w:val="auto"/>
          <w:sz w:val="21"/>
          <w:szCs w:val="21"/>
          <w:highlight w:val="none"/>
          <w:u w:val="single"/>
        </w:rPr>
        <w:t xml:space="preserve">                                </w:t>
      </w:r>
      <w:r>
        <w:rPr>
          <w:rFonts w:hint="eastAsia" w:cs="宋体"/>
          <w:color w:val="auto"/>
          <w:sz w:val="21"/>
          <w:szCs w:val="21"/>
          <w:highlight w:val="none"/>
        </w:rPr>
        <w:t>的合同要求，自觉履行合同约定的相关义务。</w:t>
      </w:r>
    </w:p>
    <w:p w14:paraId="523E626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（三）在业务活动中坚持公开、公正、诚信、透明的原则，不得损害国家、集体利益。</w:t>
      </w:r>
    </w:p>
    <w:p w14:paraId="3D2839C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（四）建立健全廉政制度，开展廉政教育，公布举报电话，监督并认真查处违法违纪行为。</w:t>
      </w:r>
    </w:p>
    <w:p w14:paraId="520CB4C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（五）发现对方在业务活动中有违反廉政规定的行为，应及时提醒对方纠正。情节严重的，应向其上级有关部门举报、建议给予处理，并有权要求告知处理结果。</w:t>
      </w:r>
    </w:p>
    <w:p w14:paraId="6A14BC1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第二条 甲方的义务</w:t>
      </w:r>
    </w:p>
    <w:p w14:paraId="36664E19">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（一）甲方及其工作人员不得索要或接受乙方的礼金、有价证券和贵重物品，不得在乙方报销任何应由甲方单位或个人支付的费用等。</w:t>
      </w:r>
    </w:p>
    <w:p w14:paraId="03D672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F168DA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 甲方及其工作人员不得要求或者接受乙方为其住房装修、婚丧嫁娶活动、配偶子女工作安排以及出国出境、旅游等提供方便等。</w:t>
      </w:r>
    </w:p>
    <w:p w14:paraId="7723B74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 甲方工作人员不得在乙方有股权关联的企业兼职，不得向乙方介绍家属或者亲友从事与甲方业务有关的经济活动。</w:t>
      </w:r>
    </w:p>
    <w:p w14:paraId="4441762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469C7F2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（六）甲方工作人员不得利用职务之便收受乙方以回扣、手续费、加班费、咨询费、劳务费、协调费、辛苦费等各种名义给予或赠送的钱物。</w:t>
      </w:r>
    </w:p>
    <w:p w14:paraId="664CB41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（七）甲方工作人员不得接受乙方给予或赠送的干股或红利。</w:t>
      </w:r>
    </w:p>
    <w:p w14:paraId="07F0884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（八）甲方任何人不得以个人的名义向乙方推荐设备、部件等供货商以及其他合作单位。</w:t>
      </w:r>
    </w:p>
    <w:p w14:paraId="41736B7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第三条 乙方的义务</w:t>
      </w:r>
    </w:p>
    <w:p w14:paraId="1C507E48">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（一）乙方不得以任何理由向甲方及其工作人员行贿或馈赠礼金、有价证券、贵重礼品。</w:t>
      </w:r>
    </w:p>
    <w:p w14:paraId="4432638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（二）乙方不得以任何名义为甲方及其工作人员报销应由甲方单位或个人支付的任何费用。</w:t>
      </w:r>
    </w:p>
    <w:p w14:paraId="3A7BC5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（三）乙方不得以任何理由安排甲方工作人员参加可能影响相关业务公开、公正、公平性的宴请及娱乐活动。</w:t>
      </w:r>
    </w:p>
    <w:p w14:paraId="53D6E17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（四）乙方不得为甲方单位和个人购置或提供通讯工具和高档办公用品等物品，也不得为甲方提供与工作无关的房屋、汽车等。</w:t>
      </w:r>
    </w:p>
    <w:p w14:paraId="6AA6795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（五）乙方不得与甲方工作人员就合同中的质量、数量、价格、工程量、验收等条款进行私下商谈或者达成默契。</w:t>
      </w:r>
    </w:p>
    <w:p w14:paraId="340E87A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（六）乙方不得以回扣、手续费、加班费、咨询费、劳务费、协调费、辛苦费等各种名义向甲方工作人员给予或赠送钱物。</w:t>
      </w:r>
    </w:p>
    <w:p w14:paraId="054E292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（七）乙方不得向甲方工作人员提供干股或红利。</w:t>
      </w:r>
    </w:p>
    <w:p w14:paraId="09764B1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（八）乙方须按</w:t>
      </w:r>
      <w:r>
        <w:rPr>
          <w:rFonts w:hint="eastAsia" w:cs="宋体"/>
          <w:color w:val="auto"/>
          <w:sz w:val="21"/>
          <w:szCs w:val="21"/>
          <w:highlight w:val="none"/>
          <w:u w:val="single"/>
        </w:rPr>
        <w:t xml:space="preserve">         </w:t>
      </w:r>
      <w:r>
        <w:rPr>
          <w:rFonts w:hint="eastAsia" w:cs="宋体"/>
          <w:color w:val="auto"/>
          <w:sz w:val="21"/>
          <w:szCs w:val="21"/>
          <w:highlight w:val="none"/>
        </w:rPr>
        <w:t>专项纪检监察工作组（如有）要求开展相关工作。</w:t>
      </w:r>
    </w:p>
    <w:p w14:paraId="1EA848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第四条 违约责任</w:t>
      </w:r>
    </w:p>
    <w:p w14:paraId="53FA988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2B364D8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甲方投诉联系部门：</w:t>
      </w:r>
      <w:r>
        <w:rPr>
          <w:rFonts w:hint="eastAsia" w:cs="宋体"/>
          <w:color w:val="auto"/>
          <w:sz w:val="21"/>
          <w:szCs w:val="21"/>
          <w:highlight w:val="none"/>
          <w:u w:val="single"/>
        </w:rPr>
        <w:t xml:space="preserve">           </w:t>
      </w: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B0EF1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（二）乙方及其工作人员违反本协议第一、三条规定。根据具体情节和造成的后果，甲方有权对乙方采取以下一种或多种处理办法：</w:t>
      </w:r>
    </w:p>
    <w:p w14:paraId="51816C9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1. 全额收取乙方合同履约保证金不予退还； </w:t>
      </w:r>
    </w:p>
    <w:p w14:paraId="52E7B78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 追究乙方其他违约责任；</w:t>
      </w:r>
    </w:p>
    <w:p w14:paraId="6E8BACF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 终止或解除双方已签订的包括本合同在内的所有合同；</w:t>
      </w:r>
    </w:p>
    <w:p w14:paraId="6A61CE4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 乙方一定期限内（6个月至3年，具体由甲方根据情况而定）不得参与甲方作为发包人（业主）的工程项目投标。</w:t>
      </w:r>
    </w:p>
    <w:p w14:paraId="4C7ECF0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甲方作出的处理意见，乙方应无条件接受并承担给甲方造成的损失，全额返还通过不正当手段从甲方获取的非法所得，并承担相应的法律责任。</w:t>
      </w:r>
    </w:p>
    <w:p w14:paraId="1549DF3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第五条 双方约定</w:t>
      </w:r>
    </w:p>
    <w:p w14:paraId="33BB319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25EC537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第六条  本协议有效期为甲乙双方签署之日起至合同终止。  </w:t>
      </w:r>
    </w:p>
    <w:p w14:paraId="7DBE18A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第七条  本协议作为合同的附件，与本合同具有同等法律效力。</w:t>
      </w:r>
    </w:p>
    <w:p w14:paraId="6272B3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 </w:t>
      </w:r>
    </w:p>
    <w:p w14:paraId="4729E6F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甲方（盖章）： </w:t>
      </w:r>
      <w:r>
        <w:rPr>
          <w:rFonts w:hint="eastAsia" w:cs="宋体"/>
          <w:color w:val="auto"/>
          <w:sz w:val="21"/>
          <w:szCs w:val="21"/>
          <w:highlight w:val="none"/>
          <w:u w:val="single"/>
        </w:rPr>
        <w:t xml:space="preserve">                  </w:t>
      </w:r>
      <w:r>
        <w:rPr>
          <w:rFonts w:hint="eastAsia" w:cs="宋体"/>
          <w:color w:val="auto"/>
          <w:sz w:val="21"/>
          <w:szCs w:val="21"/>
          <w:highlight w:val="none"/>
        </w:rPr>
        <w:t xml:space="preserve">     乙方（盖章）：</w:t>
      </w:r>
      <w:r>
        <w:rPr>
          <w:rFonts w:hint="eastAsia" w:cs="宋体"/>
          <w:color w:val="auto"/>
          <w:sz w:val="21"/>
          <w:szCs w:val="21"/>
          <w:highlight w:val="none"/>
          <w:u w:val="single"/>
        </w:rPr>
        <w:t xml:space="preserve">             </w:t>
      </w:r>
    </w:p>
    <w:p w14:paraId="4E4F957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法定代表人或                          法定代表人或</w:t>
      </w:r>
    </w:p>
    <w:p w14:paraId="0D3D5B3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授权代表：</w:t>
      </w:r>
      <w:r>
        <w:rPr>
          <w:rFonts w:hint="eastAsia" w:cs="宋体"/>
          <w:color w:val="auto"/>
          <w:sz w:val="21"/>
          <w:szCs w:val="21"/>
          <w:highlight w:val="none"/>
          <w:u w:val="single"/>
        </w:rPr>
        <w:t xml:space="preserve">              </w:t>
      </w:r>
      <w:r>
        <w:rPr>
          <w:rFonts w:hint="eastAsia" w:cs="宋体"/>
          <w:color w:val="auto"/>
          <w:sz w:val="21"/>
          <w:szCs w:val="21"/>
          <w:highlight w:val="none"/>
        </w:rPr>
        <w:t>(职务)         授权代表：</w:t>
      </w:r>
      <w:r>
        <w:rPr>
          <w:rFonts w:hint="eastAsia" w:cs="宋体"/>
          <w:color w:val="auto"/>
          <w:sz w:val="21"/>
          <w:szCs w:val="21"/>
          <w:highlight w:val="none"/>
          <w:u w:val="single"/>
        </w:rPr>
        <w:t xml:space="preserve">             </w:t>
      </w:r>
      <w:r>
        <w:rPr>
          <w:rFonts w:hint="eastAsia" w:cs="宋体"/>
          <w:color w:val="auto"/>
          <w:sz w:val="21"/>
          <w:szCs w:val="21"/>
          <w:highlight w:val="none"/>
        </w:rPr>
        <w:t>(职务)</w:t>
      </w:r>
    </w:p>
    <w:p w14:paraId="62C7422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3B80AF7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6005C95">
      <w:pPr>
        <w:widowControl/>
        <w:spacing w:line="360" w:lineRule="auto"/>
        <w:ind w:firstLine="420" w:firstLineChars="200"/>
        <w:jc w:val="left"/>
        <w:rPr>
          <w:rFonts w:cs="宋体"/>
          <w:color w:val="auto"/>
          <w:sz w:val="21"/>
          <w:szCs w:val="21"/>
          <w:highlight w:val="none"/>
        </w:rPr>
      </w:pPr>
    </w:p>
    <w:p w14:paraId="64615C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廉政监督联系人                        廉政监督联系人</w:t>
      </w:r>
    </w:p>
    <w:p w14:paraId="5224F1B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7A10C84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6A51FF2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电话：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电话：</w:t>
      </w:r>
      <w:r>
        <w:rPr>
          <w:rFonts w:hint="eastAsia" w:cs="宋体"/>
          <w:color w:val="auto"/>
          <w:sz w:val="21"/>
          <w:szCs w:val="21"/>
          <w:highlight w:val="none"/>
          <w:u w:val="single"/>
        </w:rPr>
        <w:t xml:space="preserve">                     </w:t>
      </w:r>
    </w:p>
    <w:p w14:paraId="7442793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地址：</w:t>
      </w:r>
      <w:r>
        <w:rPr>
          <w:rFonts w:hint="eastAsia" w:cs="宋体"/>
          <w:color w:val="auto"/>
          <w:sz w:val="21"/>
          <w:szCs w:val="21"/>
          <w:highlight w:val="none"/>
          <w:u w:val="single"/>
        </w:rPr>
        <w:t xml:space="preserve">                       </w:t>
      </w:r>
      <w:r>
        <w:rPr>
          <w:rFonts w:hint="eastAsia" w:cs="宋体"/>
          <w:color w:val="auto"/>
          <w:sz w:val="21"/>
          <w:szCs w:val="21"/>
          <w:highlight w:val="none"/>
        </w:rPr>
        <w:t xml:space="preserve">         地址：</w:t>
      </w:r>
      <w:r>
        <w:rPr>
          <w:rFonts w:hint="eastAsia" w:cs="宋体"/>
          <w:color w:val="auto"/>
          <w:sz w:val="21"/>
          <w:szCs w:val="21"/>
          <w:highlight w:val="none"/>
          <w:u w:val="single"/>
        </w:rPr>
        <w:t xml:space="preserve">                     </w:t>
      </w:r>
    </w:p>
    <w:p w14:paraId="52A3CBF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日期：</w:t>
      </w:r>
      <w:r>
        <w:rPr>
          <w:rFonts w:hint="eastAsia" w:cs="宋体"/>
          <w:color w:val="auto"/>
          <w:sz w:val="21"/>
          <w:szCs w:val="21"/>
          <w:highlight w:val="none"/>
          <w:u w:val="single"/>
        </w:rPr>
        <w:t xml:space="preserve">                       </w:t>
      </w:r>
      <w:r>
        <w:rPr>
          <w:rFonts w:hint="eastAsia" w:cs="宋体"/>
          <w:color w:val="auto"/>
          <w:sz w:val="21"/>
          <w:szCs w:val="21"/>
          <w:highlight w:val="none"/>
        </w:rPr>
        <w:t xml:space="preserve">         日期：</w:t>
      </w:r>
      <w:r>
        <w:rPr>
          <w:rFonts w:hint="eastAsia" w:cs="宋体"/>
          <w:color w:val="auto"/>
          <w:sz w:val="21"/>
          <w:szCs w:val="21"/>
          <w:highlight w:val="none"/>
          <w:u w:val="single"/>
        </w:rPr>
        <w:t xml:space="preserve">                     </w:t>
      </w:r>
    </w:p>
    <w:p w14:paraId="44FA8F94">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szCs w:val="21"/>
          <w:highlight w:val="none"/>
        </w:rPr>
        <w:br w:type="page"/>
      </w:r>
      <w:bookmarkStart w:id="622" w:name="_Toc128950244"/>
      <w:r>
        <w:rPr>
          <w:rFonts w:hint="eastAsia" w:ascii="Times New Roman" w:eastAsia="黑体"/>
          <w:color w:val="auto"/>
          <w:szCs w:val="24"/>
          <w:highlight w:val="none"/>
        </w:rPr>
        <w:t>附件9：履约保证金</w:t>
      </w:r>
      <w:bookmarkEnd w:id="622"/>
    </w:p>
    <w:p w14:paraId="2F363983">
      <w:pPr>
        <w:spacing w:line="360" w:lineRule="auto"/>
        <w:jc w:val="center"/>
        <w:rPr>
          <w:rFonts w:cs="宋体"/>
          <w:b/>
          <w:bCs/>
          <w:color w:val="auto"/>
          <w:sz w:val="32"/>
          <w:szCs w:val="32"/>
          <w:highlight w:val="none"/>
        </w:rPr>
      </w:pPr>
      <w:r>
        <w:rPr>
          <w:rFonts w:hint="eastAsia" w:cs="宋体"/>
          <w:b/>
          <w:bCs/>
          <w:color w:val="auto"/>
          <w:sz w:val="32"/>
          <w:szCs w:val="32"/>
          <w:highlight w:val="none"/>
        </w:rPr>
        <w:t>履约保函示范文本</w:t>
      </w:r>
    </w:p>
    <w:p w14:paraId="5A0F420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669CBCCA">
      <w:pPr>
        <w:spacing w:line="360" w:lineRule="auto"/>
        <w:rPr>
          <w:rFonts w:ascii="Times New Roman"/>
          <w:color w:val="auto"/>
          <w:szCs w:val="21"/>
          <w:highlight w:val="none"/>
        </w:rPr>
      </w:pPr>
    </w:p>
    <w:p w14:paraId="4748E686">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45CAAD56">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23B0117">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一、本保函担保范围：承包人未按照基础合同的约定履行义务，应当向受益人承担的违约责任和赔偿因此造成的损失、利息、律师费、诉讼费用等实现债权的费用。</w:t>
      </w:r>
    </w:p>
    <w:p w14:paraId="68B761A0">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58B9851">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三、本保函有效期自开立之日起至基础合同约定的缺陷责任期满之日止。 </w:t>
      </w:r>
    </w:p>
    <w:p w14:paraId="7F276B4C">
      <w:pPr>
        <w:spacing w:line="360" w:lineRule="auto"/>
        <w:ind w:firstLine="480"/>
        <w:rPr>
          <w:rFonts w:cs="宋体"/>
          <w:color w:val="auto"/>
          <w:sz w:val="21"/>
          <w:szCs w:val="21"/>
          <w:highlight w:val="none"/>
        </w:rPr>
      </w:pPr>
      <w:bookmarkStart w:id="623" w:name="_Hlk40302764"/>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bookmarkEnd w:id="623"/>
    <w:p w14:paraId="627F35C1">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65FD0B14">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4F9C3712">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5F03BAA5">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29F0DBAD">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3CEB33">
      <w:pPr>
        <w:spacing w:line="360" w:lineRule="auto"/>
        <w:ind w:firstLine="420" w:firstLineChars="200"/>
        <w:rPr>
          <w:rFonts w:cs="宋体"/>
          <w:color w:val="auto"/>
          <w:sz w:val="21"/>
          <w:szCs w:val="21"/>
          <w:highlight w:val="none"/>
        </w:rPr>
      </w:pPr>
      <w:bookmarkStart w:id="624" w:name="_Hlk40303486"/>
      <w:r>
        <w:rPr>
          <w:rFonts w:hint="eastAsia" w:cs="宋体"/>
          <w:color w:val="auto"/>
          <w:sz w:val="21"/>
          <w:szCs w:val="21"/>
          <w:highlight w:val="none"/>
        </w:rPr>
        <w:t>受益人发出的书面付款通知应由其法定代表人（负责人）或授权代理人签字并加盖公章。</w:t>
      </w:r>
      <w:bookmarkEnd w:id="624"/>
    </w:p>
    <w:p w14:paraId="0ED0A00E">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五、本保函项下的权利不得转让，不得设定担保。受益人未经我方书面同意转 让本保函或其项下任何权利，对我方不发生法律效力。 </w:t>
      </w:r>
    </w:p>
    <w:p w14:paraId="45E1DC00">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六、与本保函有关的基础合同不成立、不生效、无效、被撤销、被解除，不影响本保函的独立有效。 </w:t>
      </w:r>
    </w:p>
    <w:p w14:paraId="59DAB969">
      <w:pPr>
        <w:spacing w:line="360" w:lineRule="auto"/>
        <w:ind w:firstLine="420" w:firstLineChars="200"/>
        <w:rPr>
          <w:rFonts w:cs="宋体"/>
          <w:color w:val="auto"/>
          <w:sz w:val="21"/>
          <w:szCs w:val="21"/>
          <w:highlight w:val="none"/>
        </w:rPr>
      </w:pPr>
      <w:bookmarkStart w:id="625" w:name="_Hlk40303383"/>
      <w:bookmarkStart w:id="626" w:name="_Hlk40354981"/>
      <w:r>
        <w:rPr>
          <w:rFonts w:hint="eastAsia" w:cs="宋体"/>
          <w:color w:val="auto"/>
          <w:sz w:val="21"/>
          <w:szCs w:val="21"/>
          <w:highlight w:val="none"/>
        </w:rPr>
        <w:t xml:space="preserve">七、本保函项下的义务和责任均在保函有效期到期后自动消灭。 </w:t>
      </w:r>
    </w:p>
    <w:p w14:paraId="074AB58C">
      <w:pPr>
        <w:spacing w:line="360" w:lineRule="auto"/>
        <w:ind w:firstLine="420" w:firstLineChars="200"/>
        <w:rPr>
          <w:rFonts w:cs="宋体"/>
          <w:color w:val="auto"/>
          <w:sz w:val="21"/>
          <w:szCs w:val="21"/>
          <w:highlight w:val="none"/>
        </w:rPr>
      </w:pPr>
      <w:r>
        <w:rPr>
          <w:rFonts w:hint="eastAsia" w:cs="宋体"/>
          <w:color w:val="auto"/>
          <w:sz w:val="21"/>
          <w:szCs w:val="21"/>
          <w:highlight w:val="none"/>
        </w:rPr>
        <w:t>八、本保函适用的法律为中华人民共和国法律，因本保函产生的纠纷案件，</w:t>
      </w:r>
      <w:bookmarkEnd w:id="625"/>
      <w:r>
        <w:rPr>
          <w:rFonts w:hint="eastAsia" w:cs="宋体"/>
          <w:color w:val="auto"/>
          <w:sz w:val="21"/>
          <w:szCs w:val="21"/>
          <w:highlight w:val="none"/>
        </w:rPr>
        <w:t xml:space="preserve">由受益人所在地人民法院管辖。 </w:t>
      </w:r>
    </w:p>
    <w:bookmarkEnd w:id="626"/>
    <w:p w14:paraId="4921EE98">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EBAE895">
      <w:pPr>
        <w:spacing w:line="360" w:lineRule="auto"/>
        <w:ind w:firstLine="420" w:firstLineChars="200"/>
        <w:rPr>
          <w:rFonts w:cs="宋体"/>
          <w:color w:val="auto"/>
          <w:sz w:val="21"/>
          <w:szCs w:val="21"/>
          <w:highlight w:val="none"/>
        </w:rPr>
      </w:pPr>
    </w:p>
    <w:p w14:paraId="1F9B452B">
      <w:pPr>
        <w:spacing w:line="360" w:lineRule="auto"/>
        <w:ind w:firstLine="420" w:firstLineChars="200"/>
        <w:rPr>
          <w:rFonts w:cs="宋体"/>
          <w:color w:val="auto"/>
          <w:sz w:val="21"/>
          <w:szCs w:val="21"/>
          <w:highlight w:val="none"/>
        </w:rPr>
      </w:pPr>
    </w:p>
    <w:p w14:paraId="157EFDAB">
      <w:pPr>
        <w:spacing w:line="360" w:lineRule="auto"/>
        <w:ind w:firstLine="420" w:firstLineChars="200"/>
        <w:rPr>
          <w:rFonts w:cs="宋体"/>
          <w:color w:val="auto"/>
          <w:sz w:val="21"/>
          <w:szCs w:val="21"/>
          <w:highlight w:val="none"/>
        </w:rPr>
      </w:pPr>
    </w:p>
    <w:p w14:paraId="63F1AF0D">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472B6B5C">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7F351623">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0E28C764">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78155D1A">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550D0B33">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051578F0">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5043E052">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27" w:name="_Toc128950245"/>
      <w:r>
        <w:rPr>
          <w:rFonts w:hint="eastAsia" w:ascii="Times New Roman" w:eastAsia="黑体"/>
          <w:color w:val="auto"/>
          <w:szCs w:val="24"/>
          <w:highlight w:val="none"/>
        </w:rPr>
        <w:t>附</w:t>
      </w:r>
      <w:bookmarkStart w:id="628" w:name="_Toc296503232"/>
      <w:bookmarkStart w:id="629" w:name="_Toc267261702"/>
      <w:bookmarkStart w:id="630" w:name="_Toc296347231"/>
      <w:bookmarkStart w:id="631" w:name="_Toc296891060"/>
      <w:bookmarkStart w:id="632" w:name="_Toc296944571"/>
      <w:bookmarkStart w:id="633" w:name="_Toc296891272"/>
      <w:bookmarkStart w:id="634" w:name="_Toc296346733"/>
      <w:r>
        <w:rPr>
          <w:rFonts w:hint="eastAsia" w:ascii="Times New Roman" w:eastAsia="黑体"/>
          <w:color w:val="auto"/>
          <w:szCs w:val="24"/>
          <w:highlight w:val="none"/>
        </w:rPr>
        <w:t>件10：预付款担保</w:t>
      </w:r>
      <w:bookmarkEnd w:id="627"/>
    </w:p>
    <w:bookmarkEnd w:id="628"/>
    <w:bookmarkEnd w:id="629"/>
    <w:bookmarkEnd w:id="630"/>
    <w:bookmarkEnd w:id="631"/>
    <w:bookmarkEnd w:id="632"/>
    <w:bookmarkEnd w:id="633"/>
    <w:bookmarkEnd w:id="634"/>
    <w:p w14:paraId="704E0FD2">
      <w:pPr>
        <w:spacing w:line="360" w:lineRule="auto"/>
        <w:jc w:val="center"/>
        <w:rPr>
          <w:rFonts w:cs="宋体"/>
          <w:b/>
          <w:bCs/>
          <w:color w:val="auto"/>
          <w:sz w:val="32"/>
          <w:szCs w:val="32"/>
          <w:highlight w:val="none"/>
        </w:rPr>
      </w:pPr>
      <w:r>
        <w:rPr>
          <w:rFonts w:hint="eastAsia" w:cs="宋体"/>
          <w:b/>
          <w:bCs/>
          <w:color w:val="auto"/>
          <w:sz w:val="32"/>
          <w:szCs w:val="32"/>
          <w:highlight w:val="none"/>
        </w:rPr>
        <w:t>预付款保函示范文本</w:t>
      </w:r>
    </w:p>
    <w:p w14:paraId="5107531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61DA3EF1">
      <w:pPr>
        <w:spacing w:line="360" w:lineRule="auto"/>
        <w:rPr>
          <w:rFonts w:ascii="Times New Roman"/>
          <w:color w:val="auto"/>
          <w:szCs w:val="21"/>
          <w:highlight w:val="none"/>
        </w:rPr>
      </w:pPr>
    </w:p>
    <w:p w14:paraId="48E24AB6">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3ED11425">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373E946A">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07FBCBCF">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ED32A4A">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三、本保函有效期自开立之日起至发包人全额扣回预付款之日止。</w:t>
      </w:r>
    </w:p>
    <w:p w14:paraId="359C006A">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483545FF">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441CE4A6">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72502D26">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68FFBD47">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25C91FC5">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3F9C26">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7DB10614">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76530BC">
      <w:pPr>
        <w:spacing w:line="400" w:lineRule="exact"/>
        <w:ind w:firstLine="420" w:firstLineChars="200"/>
        <w:rPr>
          <w:rStyle w:val="68"/>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7FE8B346">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0081BDB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626CCA69">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B1F8799">
      <w:pPr>
        <w:spacing w:line="360" w:lineRule="auto"/>
        <w:ind w:firstLine="420" w:firstLineChars="200"/>
        <w:rPr>
          <w:rFonts w:cs="宋体"/>
          <w:color w:val="auto"/>
          <w:sz w:val="21"/>
          <w:szCs w:val="21"/>
          <w:highlight w:val="none"/>
        </w:rPr>
      </w:pPr>
    </w:p>
    <w:p w14:paraId="70034F81">
      <w:pPr>
        <w:spacing w:line="360" w:lineRule="auto"/>
        <w:ind w:firstLine="420" w:firstLineChars="200"/>
        <w:rPr>
          <w:rFonts w:cs="宋体"/>
          <w:color w:val="auto"/>
          <w:sz w:val="21"/>
          <w:szCs w:val="21"/>
          <w:highlight w:val="none"/>
        </w:rPr>
      </w:pPr>
    </w:p>
    <w:p w14:paraId="1E739C22">
      <w:pPr>
        <w:spacing w:line="360" w:lineRule="auto"/>
        <w:ind w:firstLine="420" w:firstLineChars="200"/>
        <w:rPr>
          <w:rFonts w:cs="宋体"/>
          <w:color w:val="auto"/>
          <w:sz w:val="21"/>
          <w:szCs w:val="21"/>
          <w:highlight w:val="none"/>
        </w:rPr>
      </w:pPr>
    </w:p>
    <w:p w14:paraId="5D2507C6">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0C15DCE9">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292AFB80">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7987E5B8">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422D4CB6">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41DEF854">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5202475B">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051F3605">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635" w:name="_Toc128950246"/>
      <w:r>
        <w:rPr>
          <w:rFonts w:hint="eastAsia" w:ascii="Times New Roman" w:eastAsia="黑体"/>
          <w:color w:val="auto"/>
          <w:szCs w:val="24"/>
          <w:highlight w:val="none"/>
        </w:rPr>
        <w:t>附</w:t>
      </w:r>
      <w:bookmarkStart w:id="636" w:name="_Toc296891061"/>
      <w:bookmarkStart w:id="637" w:name="_Toc296347232"/>
      <w:bookmarkStart w:id="638" w:name="_Toc296891273"/>
      <w:bookmarkStart w:id="639" w:name="_Toc296944572"/>
      <w:bookmarkStart w:id="640" w:name="_Toc296503233"/>
      <w:bookmarkStart w:id="641" w:name="_Toc296346734"/>
      <w:r>
        <w:rPr>
          <w:rFonts w:hint="eastAsia" w:ascii="Times New Roman" w:eastAsia="黑体"/>
          <w:color w:val="auto"/>
          <w:szCs w:val="24"/>
          <w:highlight w:val="none"/>
        </w:rPr>
        <w:t>件</w:t>
      </w:r>
      <w:r>
        <w:rPr>
          <w:rFonts w:ascii="Times New Roman" w:eastAsia="黑体"/>
          <w:color w:val="auto"/>
          <w:szCs w:val="24"/>
          <w:highlight w:val="none"/>
        </w:rPr>
        <w:t>1</w:t>
      </w:r>
      <w:r>
        <w:rPr>
          <w:rFonts w:hint="eastAsia" w:ascii="Times New Roman" w:eastAsia="黑体"/>
          <w:color w:val="auto"/>
          <w:szCs w:val="24"/>
          <w:highlight w:val="none"/>
        </w:rPr>
        <w:t>1：支付担保</w:t>
      </w:r>
      <w:bookmarkEnd w:id="635"/>
      <w:bookmarkEnd w:id="636"/>
      <w:bookmarkEnd w:id="637"/>
      <w:bookmarkEnd w:id="638"/>
      <w:bookmarkEnd w:id="639"/>
      <w:bookmarkEnd w:id="640"/>
      <w:bookmarkEnd w:id="641"/>
    </w:p>
    <w:p w14:paraId="74474E2F">
      <w:pPr>
        <w:spacing w:line="360" w:lineRule="auto"/>
        <w:jc w:val="center"/>
        <w:rPr>
          <w:rFonts w:cs="宋体"/>
          <w:b/>
          <w:bCs/>
          <w:color w:val="auto"/>
          <w:sz w:val="32"/>
          <w:szCs w:val="32"/>
          <w:highlight w:val="none"/>
        </w:rPr>
      </w:pPr>
      <w:r>
        <w:rPr>
          <w:rFonts w:hint="eastAsia" w:cs="宋体"/>
          <w:b/>
          <w:bCs/>
          <w:color w:val="auto"/>
          <w:sz w:val="32"/>
          <w:szCs w:val="32"/>
          <w:highlight w:val="none"/>
        </w:rPr>
        <w:t>支付保函示范文本</w:t>
      </w:r>
    </w:p>
    <w:p w14:paraId="08A4CC86">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73C2E1CC">
      <w:pPr>
        <w:spacing w:line="360" w:lineRule="auto"/>
        <w:rPr>
          <w:rFonts w:ascii="Times New Roman"/>
          <w:color w:val="auto"/>
          <w:szCs w:val="21"/>
          <w:highlight w:val="none"/>
        </w:rPr>
      </w:pPr>
    </w:p>
    <w:p w14:paraId="7AE47C68">
      <w:pPr>
        <w:spacing w:line="360" w:lineRule="auto"/>
        <w:rPr>
          <w:rFonts w:cs="宋体"/>
          <w:color w:val="auto"/>
          <w:sz w:val="21"/>
          <w:szCs w:val="21"/>
          <w:highlight w:val="none"/>
        </w:rPr>
      </w:pPr>
      <w:bookmarkStart w:id="642" w:name="_Hlk40355074"/>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bookmarkEnd w:id="642"/>
    <w:p w14:paraId="42C38403">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10680DE7">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一、本保函担保范围：申请人未履行基础合同约定的工程款支付义务，应当向受益人承担的违约责任和赔偿因此造成的损失、利息、律师费、诉讼费用等实现债权的费用。</w:t>
      </w:r>
    </w:p>
    <w:p w14:paraId="5E9B0187">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7605F3A9">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三、本保函有效期自开立之日起至基础合同约定的除工程质量保修金以外的全部工程结算款项支付之日后</w:t>
      </w:r>
      <w:r>
        <w:rPr>
          <w:rFonts w:hint="eastAsia" w:cs="宋体"/>
          <w:color w:val="auto"/>
          <w:sz w:val="21"/>
          <w:szCs w:val="21"/>
          <w:highlight w:val="none"/>
          <w:u w:val="single"/>
        </w:rPr>
        <w:t xml:space="preserve">    </w:t>
      </w:r>
      <w:r>
        <w:rPr>
          <w:rFonts w:hint="eastAsia" w:cs="宋体"/>
          <w:color w:val="auto"/>
          <w:sz w:val="21"/>
          <w:szCs w:val="21"/>
          <w:highlight w:val="none"/>
        </w:rPr>
        <w:t xml:space="preserve">日止。 </w:t>
      </w:r>
    </w:p>
    <w:p w14:paraId="3D595E79">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14053616">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661B6D1D">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56D200CB">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0AFED0C9">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103432B8">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0AE2B71">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67ABB10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A5AF081">
      <w:pPr>
        <w:spacing w:line="400" w:lineRule="exact"/>
        <w:ind w:firstLine="420" w:firstLineChars="200"/>
        <w:rPr>
          <w:rStyle w:val="68"/>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15482CF2">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3EA7BA52">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八、本保函适用的法律为中华人民共和国法律，因本保函产生的纠纷案件，由申请人所在地人民法院管辖。 </w:t>
      </w:r>
    </w:p>
    <w:p w14:paraId="4C9B4531">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43AE75D8">
      <w:pPr>
        <w:spacing w:line="360" w:lineRule="auto"/>
        <w:ind w:firstLine="420" w:firstLineChars="200"/>
        <w:rPr>
          <w:rFonts w:cs="宋体"/>
          <w:color w:val="auto"/>
          <w:sz w:val="21"/>
          <w:szCs w:val="21"/>
          <w:highlight w:val="none"/>
        </w:rPr>
      </w:pPr>
    </w:p>
    <w:p w14:paraId="2BB74ADC">
      <w:pPr>
        <w:spacing w:line="360" w:lineRule="auto"/>
        <w:ind w:firstLine="420" w:firstLineChars="200"/>
        <w:rPr>
          <w:rFonts w:cs="宋体"/>
          <w:color w:val="auto"/>
          <w:sz w:val="21"/>
          <w:szCs w:val="21"/>
          <w:highlight w:val="none"/>
        </w:rPr>
      </w:pPr>
    </w:p>
    <w:p w14:paraId="14CDF7BF">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284FEA22">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3E0C6A72">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010DDAEB">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2CC9FA64">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6755D91A">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6ECDAD18">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7FBEB578">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43" w:name="_Toc128950247"/>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2：暂估价一览表</w:t>
      </w:r>
      <w:bookmarkEnd w:id="643"/>
    </w:p>
    <w:p w14:paraId="45FA0443">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12-1：材料暂估价表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262A6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557E715D">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2244E1A3">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2349C27C">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7C3BADBB">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442A4CF6">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4B66BC9D">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4CF2CE05">
            <w:pPr>
              <w:keepNext/>
              <w:spacing w:line="440" w:lineRule="exact"/>
              <w:jc w:val="center"/>
              <w:rPr>
                <w:rFonts w:cs="宋体"/>
                <w:color w:val="auto"/>
                <w:szCs w:val="21"/>
                <w:highlight w:val="none"/>
              </w:rPr>
            </w:pPr>
            <w:r>
              <w:rPr>
                <w:rFonts w:hint="eastAsia" w:cs="宋体"/>
                <w:color w:val="auto"/>
                <w:szCs w:val="21"/>
                <w:highlight w:val="none"/>
              </w:rPr>
              <w:t>备注</w:t>
            </w:r>
          </w:p>
        </w:tc>
      </w:tr>
      <w:tr w14:paraId="5FC8A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231FA03A">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317CA79D">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7285B71E">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7F828397">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0F400568">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7E916A4F">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3F4D3672">
            <w:pPr>
              <w:keepNext/>
              <w:spacing w:line="440" w:lineRule="exact"/>
              <w:jc w:val="center"/>
              <w:rPr>
                <w:rFonts w:cs="宋体"/>
                <w:color w:val="auto"/>
                <w:szCs w:val="21"/>
                <w:highlight w:val="none"/>
              </w:rPr>
            </w:pPr>
          </w:p>
        </w:tc>
      </w:tr>
      <w:tr w14:paraId="6CE0E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22E49313">
            <w:pPr>
              <w:keepNext/>
              <w:spacing w:line="440" w:lineRule="exact"/>
              <w:jc w:val="center"/>
              <w:rPr>
                <w:rFonts w:cs="宋体"/>
                <w:color w:val="auto"/>
                <w:szCs w:val="21"/>
                <w:highlight w:val="none"/>
              </w:rPr>
            </w:pPr>
          </w:p>
        </w:tc>
        <w:tc>
          <w:tcPr>
            <w:tcW w:w="1094" w:type="pct"/>
            <w:tcBorders>
              <w:top w:val="nil"/>
            </w:tcBorders>
            <w:vAlign w:val="center"/>
          </w:tcPr>
          <w:p w14:paraId="18BD1879">
            <w:pPr>
              <w:keepNext/>
              <w:spacing w:line="440" w:lineRule="exact"/>
              <w:jc w:val="center"/>
              <w:rPr>
                <w:rFonts w:cs="宋体"/>
                <w:color w:val="auto"/>
                <w:szCs w:val="21"/>
                <w:highlight w:val="none"/>
              </w:rPr>
            </w:pPr>
          </w:p>
        </w:tc>
        <w:tc>
          <w:tcPr>
            <w:tcW w:w="468" w:type="pct"/>
            <w:tcBorders>
              <w:top w:val="nil"/>
            </w:tcBorders>
            <w:vAlign w:val="center"/>
          </w:tcPr>
          <w:p w14:paraId="1670921C">
            <w:pPr>
              <w:keepNext/>
              <w:spacing w:line="440" w:lineRule="exact"/>
              <w:jc w:val="center"/>
              <w:rPr>
                <w:rFonts w:cs="宋体"/>
                <w:color w:val="auto"/>
                <w:szCs w:val="21"/>
                <w:highlight w:val="none"/>
              </w:rPr>
            </w:pPr>
          </w:p>
        </w:tc>
        <w:tc>
          <w:tcPr>
            <w:tcW w:w="426" w:type="pct"/>
            <w:tcBorders>
              <w:top w:val="nil"/>
            </w:tcBorders>
            <w:vAlign w:val="center"/>
          </w:tcPr>
          <w:p w14:paraId="5990C587">
            <w:pPr>
              <w:keepNext/>
              <w:spacing w:line="440" w:lineRule="exact"/>
              <w:jc w:val="center"/>
              <w:rPr>
                <w:rFonts w:cs="宋体"/>
                <w:color w:val="auto"/>
                <w:szCs w:val="21"/>
                <w:highlight w:val="none"/>
              </w:rPr>
            </w:pPr>
          </w:p>
        </w:tc>
        <w:tc>
          <w:tcPr>
            <w:tcW w:w="745" w:type="pct"/>
            <w:tcBorders>
              <w:top w:val="nil"/>
            </w:tcBorders>
            <w:vAlign w:val="center"/>
          </w:tcPr>
          <w:p w14:paraId="4DE48E3D">
            <w:pPr>
              <w:keepNext/>
              <w:spacing w:line="440" w:lineRule="exact"/>
              <w:jc w:val="center"/>
              <w:rPr>
                <w:rFonts w:cs="宋体"/>
                <w:color w:val="auto"/>
                <w:szCs w:val="21"/>
                <w:highlight w:val="none"/>
              </w:rPr>
            </w:pPr>
          </w:p>
        </w:tc>
        <w:tc>
          <w:tcPr>
            <w:tcW w:w="781" w:type="pct"/>
            <w:tcBorders>
              <w:top w:val="nil"/>
            </w:tcBorders>
            <w:vAlign w:val="center"/>
          </w:tcPr>
          <w:p w14:paraId="1B129D15">
            <w:pPr>
              <w:keepNext/>
              <w:spacing w:line="440" w:lineRule="exact"/>
              <w:jc w:val="center"/>
              <w:rPr>
                <w:rFonts w:cs="宋体"/>
                <w:color w:val="auto"/>
                <w:szCs w:val="21"/>
                <w:highlight w:val="none"/>
              </w:rPr>
            </w:pPr>
          </w:p>
        </w:tc>
        <w:tc>
          <w:tcPr>
            <w:tcW w:w="938" w:type="pct"/>
            <w:tcBorders>
              <w:top w:val="nil"/>
            </w:tcBorders>
            <w:vAlign w:val="center"/>
          </w:tcPr>
          <w:p w14:paraId="39AFBFAC">
            <w:pPr>
              <w:keepNext/>
              <w:spacing w:line="440" w:lineRule="exact"/>
              <w:jc w:val="center"/>
              <w:rPr>
                <w:rFonts w:cs="宋体"/>
                <w:color w:val="auto"/>
                <w:szCs w:val="21"/>
                <w:highlight w:val="none"/>
              </w:rPr>
            </w:pPr>
          </w:p>
        </w:tc>
      </w:tr>
      <w:tr w14:paraId="46649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2BBD16BE">
            <w:pPr>
              <w:keepNext/>
              <w:spacing w:line="440" w:lineRule="exact"/>
              <w:jc w:val="center"/>
              <w:rPr>
                <w:rFonts w:cs="宋体"/>
                <w:color w:val="auto"/>
                <w:szCs w:val="21"/>
                <w:highlight w:val="none"/>
              </w:rPr>
            </w:pPr>
          </w:p>
        </w:tc>
        <w:tc>
          <w:tcPr>
            <w:tcW w:w="1094" w:type="pct"/>
            <w:vAlign w:val="center"/>
          </w:tcPr>
          <w:p w14:paraId="55A1BEB2">
            <w:pPr>
              <w:keepNext/>
              <w:spacing w:line="440" w:lineRule="exact"/>
              <w:jc w:val="center"/>
              <w:rPr>
                <w:rFonts w:cs="宋体"/>
                <w:color w:val="auto"/>
                <w:szCs w:val="21"/>
                <w:highlight w:val="none"/>
              </w:rPr>
            </w:pPr>
          </w:p>
        </w:tc>
        <w:tc>
          <w:tcPr>
            <w:tcW w:w="468" w:type="pct"/>
            <w:vAlign w:val="center"/>
          </w:tcPr>
          <w:p w14:paraId="5DFE33BB">
            <w:pPr>
              <w:keepNext/>
              <w:spacing w:line="440" w:lineRule="exact"/>
              <w:jc w:val="center"/>
              <w:rPr>
                <w:rFonts w:cs="宋体"/>
                <w:color w:val="auto"/>
                <w:szCs w:val="21"/>
                <w:highlight w:val="none"/>
              </w:rPr>
            </w:pPr>
          </w:p>
        </w:tc>
        <w:tc>
          <w:tcPr>
            <w:tcW w:w="426" w:type="pct"/>
            <w:vAlign w:val="center"/>
          </w:tcPr>
          <w:p w14:paraId="02DA4928">
            <w:pPr>
              <w:keepNext/>
              <w:spacing w:line="440" w:lineRule="exact"/>
              <w:jc w:val="center"/>
              <w:rPr>
                <w:rFonts w:cs="宋体"/>
                <w:color w:val="auto"/>
                <w:szCs w:val="21"/>
                <w:highlight w:val="none"/>
              </w:rPr>
            </w:pPr>
          </w:p>
        </w:tc>
        <w:tc>
          <w:tcPr>
            <w:tcW w:w="745" w:type="pct"/>
            <w:vAlign w:val="center"/>
          </w:tcPr>
          <w:p w14:paraId="5E1441D4">
            <w:pPr>
              <w:keepNext/>
              <w:spacing w:line="440" w:lineRule="exact"/>
              <w:jc w:val="center"/>
              <w:rPr>
                <w:rFonts w:cs="宋体"/>
                <w:color w:val="auto"/>
                <w:szCs w:val="21"/>
                <w:highlight w:val="none"/>
              </w:rPr>
            </w:pPr>
          </w:p>
        </w:tc>
        <w:tc>
          <w:tcPr>
            <w:tcW w:w="781" w:type="pct"/>
            <w:vAlign w:val="center"/>
          </w:tcPr>
          <w:p w14:paraId="2047ACDD">
            <w:pPr>
              <w:keepNext/>
              <w:spacing w:line="440" w:lineRule="exact"/>
              <w:jc w:val="center"/>
              <w:rPr>
                <w:rFonts w:cs="宋体"/>
                <w:color w:val="auto"/>
                <w:szCs w:val="21"/>
                <w:highlight w:val="none"/>
              </w:rPr>
            </w:pPr>
          </w:p>
        </w:tc>
        <w:tc>
          <w:tcPr>
            <w:tcW w:w="938" w:type="pct"/>
            <w:vAlign w:val="center"/>
          </w:tcPr>
          <w:p w14:paraId="60F8FFD9">
            <w:pPr>
              <w:keepNext/>
              <w:spacing w:line="440" w:lineRule="exact"/>
              <w:jc w:val="center"/>
              <w:rPr>
                <w:rFonts w:cs="宋体"/>
                <w:color w:val="auto"/>
                <w:szCs w:val="21"/>
                <w:highlight w:val="none"/>
              </w:rPr>
            </w:pPr>
          </w:p>
        </w:tc>
      </w:tr>
      <w:tr w14:paraId="77238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1F82D1F0">
            <w:pPr>
              <w:keepNext/>
              <w:spacing w:line="440" w:lineRule="exact"/>
              <w:jc w:val="center"/>
              <w:rPr>
                <w:rFonts w:cs="宋体"/>
                <w:color w:val="auto"/>
                <w:szCs w:val="21"/>
                <w:highlight w:val="none"/>
              </w:rPr>
            </w:pPr>
          </w:p>
        </w:tc>
        <w:tc>
          <w:tcPr>
            <w:tcW w:w="1094" w:type="pct"/>
            <w:vAlign w:val="center"/>
          </w:tcPr>
          <w:p w14:paraId="63D27D10">
            <w:pPr>
              <w:keepNext/>
              <w:spacing w:line="440" w:lineRule="exact"/>
              <w:jc w:val="center"/>
              <w:rPr>
                <w:rFonts w:cs="宋体"/>
                <w:color w:val="auto"/>
                <w:szCs w:val="21"/>
                <w:highlight w:val="none"/>
              </w:rPr>
            </w:pPr>
          </w:p>
        </w:tc>
        <w:tc>
          <w:tcPr>
            <w:tcW w:w="468" w:type="pct"/>
            <w:vAlign w:val="center"/>
          </w:tcPr>
          <w:p w14:paraId="7403F44E">
            <w:pPr>
              <w:keepNext/>
              <w:spacing w:line="440" w:lineRule="exact"/>
              <w:jc w:val="center"/>
              <w:rPr>
                <w:rFonts w:cs="宋体"/>
                <w:color w:val="auto"/>
                <w:szCs w:val="21"/>
                <w:highlight w:val="none"/>
              </w:rPr>
            </w:pPr>
          </w:p>
        </w:tc>
        <w:tc>
          <w:tcPr>
            <w:tcW w:w="426" w:type="pct"/>
            <w:vAlign w:val="center"/>
          </w:tcPr>
          <w:p w14:paraId="4283CE6E">
            <w:pPr>
              <w:keepNext/>
              <w:spacing w:line="440" w:lineRule="exact"/>
              <w:jc w:val="center"/>
              <w:rPr>
                <w:rFonts w:cs="宋体"/>
                <w:color w:val="auto"/>
                <w:szCs w:val="21"/>
                <w:highlight w:val="none"/>
              </w:rPr>
            </w:pPr>
          </w:p>
        </w:tc>
        <w:tc>
          <w:tcPr>
            <w:tcW w:w="745" w:type="pct"/>
            <w:vAlign w:val="center"/>
          </w:tcPr>
          <w:p w14:paraId="7AAAA01D">
            <w:pPr>
              <w:keepNext/>
              <w:spacing w:line="440" w:lineRule="exact"/>
              <w:jc w:val="center"/>
              <w:rPr>
                <w:rFonts w:cs="宋体"/>
                <w:color w:val="auto"/>
                <w:szCs w:val="21"/>
                <w:highlight w:val="none"/>
              </w:rPr>
            </w:pPr>
          </w:p>
        </w:tc>
        <w:tc>
          <w:tcPr>
            <w:tcW w:w="781" w:type="pct"/>
            <w:vAlign w:val="center"/>
          </w:tcPr>
          <w:p w14:paraId="5D51479E">
            <w:pPr>
              <w:keepNext/>
              <w:spacing w:line="440" w:lineRule="exact"/>
              <w:jc w:val="center"/>
              <w:rPr>
                <w:rFonts w:cs="宋体"/>
                <w:color w:val="auto"/>
                <w:szCs w:val="21"/>
                <w:highlight w:val="none"/>
              </w:rPr>
            </w:pPr>
          </w:p>
        </w:tc>
        <w:tc>
          <w:tcPr>
            <w:tcW w:w="938" w:type="pct"/>
            <w:vAlign w:val="center"/>
          </w:tcPr>
          <w:p w14:paraId="50090645">
            <w:pPr>
              <w:keepNext/>
              <w:spacing w:line="440" w:lineRule="exact"/>
              <w:jc w:val="center"/>
              <w:rPr>
                <w:rFonts w:cs="宋体"/>
                <w:color w:val="auto"/>
                <w:szCs w:val="21"/>
                <w:highlight w:val="none"/>
              </w:rPr>
            </w:pPr>
          </w:p>
        </w:tc>
      </w:tr>
      <w:tr w14:paraId="436EA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7B7AEC33">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19C14961">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3488D719">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66895FBB">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11C90E5C">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65CCD3C1">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535EB796">
            <w:pPr>
              <w:keepNext/>
              <w:spacing w:line="440" w:lineRule="exact"/>
              <w:jc w:val="center"/>
              <w:rPr>
                <w:rFonts w:cs="宋体"/>
                <w:color w:val="auto"/>
                <w:szCs w:val="21"/>
                <w:highlight w:val="none"/>
              </w:rPr>
            </w:pPr>
          </w:p>
        </w:tc>
      </w:tr>
    </w:tbl>
    <w:p w14:paraId="5B10964B">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12-2：工程设备暂估价表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3A509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16F019C6">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346F9C51">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569FAB79">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3C2FEE42">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05191942">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5191EB68">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29609C7F">
            <w:pPr>
              <w:keepNext/>
              <w:spacing w:line="440" w:lineRule="exact"/>
              <w:jc w:val="center"/>
              <w:rPr>
                <w:rFonts w:cs="宋体"/>
                <w:color w:val="auto"/>
                <w:szCs w:val="21"/>
                <w:highlight w:val="none"/>
              </w:rPr>
            </w:pPr>
            <w:r>
              <w:rPr>
                <w:rFonts w:hint="eastAsia" w:cs="宋体"/>
                <w:color w:val="auto"/>
                <w:szCs w:val="21"/>
                <w:highlight w:val="none"/>
              </w:rPr>
              <w:t>备注</w:t>
            </w:r>
          </w:p>
        </w:tc>
      </w:tr>
      <w:tr w14:paraId="11D20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47CC3FD5">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738776D8">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0CD5FF3F">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3350F567">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607DB2E8">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5CDC4CF2">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1E657198">
            <w:pPr>
              <w:keepNext/>
              <w:spacing w:line="440" w:lineRule="exact"/>
              <w:jc w:val="center"/>
              <w:rPr>
                <w:rFonts w:cs="宋体"/>
                <w:color w:val="auto"/>
                <w:szCs w:val="21"/>
                <w:highlight w:val="none"/>
              </w:rPr>
            </w:pPr>
          </w:p>
        </w:tc>
      </w:tr>
      <w:tr w14:paraId="2AF7B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6C989B8E">
            <w:pPr>
              <w:keepNext/>
              <w:spacing w:line="440" w:lineRule="exact"/>
              <w:jc w:val="center"/>
              <w:rPr>
                <w:rFonts w:cs="宋体"/>
                <w:color w:val="auto"/>
                <w:szCs w:val="21"/>
                <w:highlight w:val="none"/>
              </w:rPr>
            </w:pPr>
          </w:p>
        </w:tc>
        <w:tc>
          <w:tcPr>
            <w:tcW w:w="1094" w:type="pct"/>
            <w:tcBorders>
              <w:top w:val="nil"/>
            </w:tcBorders>
            <w:vAlign w:val="center"/>
          </w:tcPr>
          <w:p w14:paraId="1E5F2BDA">
            <w:pPr>
              <w:keepNext/>
              <w:spacing w:line="440" w:lineRule="exact"/>
              <w:jc w:val="center"/>
              <w:rPr>
                <w:rFonts w:cs="宋体"/>
                <w:color w:val="auto"/>
                <w:szCs w:val="21"/>
                <w:highlight w:val="none"/>
              </w:rPr>
            </w:pPr>
          </w:p>
        </w:tc>
        <w:tc>
          <w:tcPr>
            <w:tcW w:w="468" w:type="pct"/>
            <w:tcBorders>
              <w:top w:val="nil"/>
            </w:tcBorders>
            <w:vAlign w:val="center"/>
          </w:tcPr>
          <w:p w14:paraId="39A3847A">
            <w:pPr>
              <w:keepNext/>
              <w:spacing w:line="440" w:lineRule="exact"/>
              <w:jc w:val="center"/>
              <w:rPr>
                <w:rFonts w:cs="宋体"/>
                <w:color w:val="auto"/>
                <w:szCs w:val="21"/>
                <w:highlight w:val="none"/>
              </w:rPr>
            </w:pPr>
          </w:p>
        </w:tc>
        <w:tc>
          <w:tcPr>
            <w:tcW w:w="426" w:type="pct"/>
            <w:tcBorders>
              <w:top w:val="nil"/>
            </w:tcBorders>
            <w:vAlign w:val="center"/>
          </w:tcPr>
          <w:p w14:paraId="6638E132">
            <w:pPr>
              <w:keepNext/>
              <w:spacing w:line="440" w:lineRule="exact"/>
              <w:jc w:val="center"/>
              <w:rPr>
                <w:rFonts w:cs="宋体"/>
                <w:color w:val="auto"/>
                <w:szCs w:val="21"/>
                <w:highlight w:val="none"/>
              </w:rPr>
            </w:pPr>
          </w:p>
        </w:tc>
        <w:tc>
          <w:tcPr>
            <w:tcW w:w="745" w:type="pct"/>
            <w:tcBorders>
              <w:top w:val="nil"/>
            </w:tcBorders>
            <w:vAlign w:val="center"/>
          </w:tcPr>
          <w:p w14:paraId="09008ECC">
            <w:pPr>
              <w:keepNext/>
              <w:spacing w:line="440" w:lineRule="exact"/>
              <w:jc w:val="center"/>
              <w:rPr>
                <w:rFonts w:cs="宋体"/>
                <w:color w:val="auto"/>
                <w:szCs w:val="21"/>
                <w:highlight w:val="none"/>
              </w:rPr>
            </w:pPr>
          </w:p>
        </w:tc>
        <w:tc>
          <w:tcPr>
            <w:tcW w:w="781" w:type="pct"/>
            <w:tcBorders>
              <w:top w:val="nil"/>
            </w:tcBorders>
            <w:vAlign w:val="center"/>
          </w:tcPr>
          <w:p w14:paraId="3AA9E1E8">
            <w:pPr>
              <w:keepNext/>
              <w:spacing w:line="440" w:lineRule="exact"/>
              <w:jc w:val="center"/>
              <w:rPr>
                <w:rFonts w:cs="宋体"/>
                <w:color w:val="auto"/>
                <w:szCs w:val="21"/>
                <w:highlight w:val="none"/>
              </w:rPr>
            </w:pPr>
          </w:p>
        </w:tc>
        <w:tc>
          <w:tcPr>
            <w:tcW w:w="938" w:type="pct"/>
            <w:tcBorders>
              <w:top w:val="nil"/>
            </w:tcBorders>
            <w:vAlign w:val="center"/>
          </w:tcPr>
          <w:p w14:paraId="56311791">
            <w:pPr>
              <w:keepNext/>
              <w:spacing w:line="440" w:lineRule="exact"/>
              <w:jc w:val="center"/>
              <w:rPr>
                <w:rFonts w:cs="宋体"/>
                <w:color w:val="auto"/>
                <w:szCs w:val="21"/>
                <w:highlight w:val="none"/>
              </w:rPr>
            </w:pPr>
          </w:p>
        </w:tc>
      </w:tr>
      <w:tr w14:paraId="1E405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07EE54D6">
            <w:pPr>
              <w:keepNext/>
              <w:spacing w:line="440" w:lineRule="exact"/>
              <w:jc w:val="center"/>
              <w:rPr>
                <w:rFonts w:cs="宋体"/>
                <w:color w:val="auto"/>
                <w:szCs w:val="21"/>
                <w:highlight w:val="none"/>
              </w:rPr>
            </w:pPr>
          </w:p>
        </w:tc>
        <w:tc>
          <w:tcPr>
            <w:tcW w:w="1094" w:type="pct"/>
            <w:vAlign w:val="center"/>
          </w:tcPr>
          <w:p w14:paraId="51BDE60A">
            <w:pPr>
              <w:keepNext/>
              <w:spacing w:line="440" w:lineRule="exact"/>
              <w:jc w:val="center"/>
              <w:rPr>
                <w:rFonts w:cs="宋体"/>
                <w:color w:val="auto"/>
                <w:szCs w:val="21"/>
                <w:highlight w:val="none"/>
              </w:rPr>
            </w:pPr>
          </w:p>
        </w:tc>
        <w:tc>
          <w:tcPr>
            <w:tcW w:w="468" w:type="pct"/>
            <w:vAlign w:val="center"/>
          </w:tcPr>
          <w:p w14:paraId="2C954AA6">
            <w:pPr>
              <w:keepNext/>
              <w:spacing w:line="440" w:lineRule="exact"/>
              <w:jc w:val="center"/>
              <w:rPr>
                <w:rFonts w:cs="宋体"/>
                <w:color w:val="auto"/>
                <w:szCs w:val="21"/>
                <w:highlight w:val="none"/>
              </w:rPr>
            </w:pPr>
          </w:p>
        </w:tc>
        <w:tc>
          <w:tcPr>
            <w:tcW w:w="426" w:type="pct"/>
            <w:vAlign w:val="center"/>
          </w:tcPr>
          <w:p w14:paraId="63746952">
            <w:pPr>
              <w:keepNext/>
              <w:spacing w:line="440" w:lineRule="exact"/>
              <w:jc w:val="center"/>
              <w:rPr>
                <w:rFonts w:cs="宋体"/>
                <w:color w:val="auto"/>
                <w:szCs w:val="21"/>
                <w:highlight w:val="none"/>
              </w:rPr>
            </w:pPr>
          </w:p>
        </w:tc>
        <w:tc>
          <w:tcPr>
            <w:tcW w:w="745" w:type="pct"/>
            <w:vAlign w:val="center"/>
          </w:tcPr>
          <w:p w14:paraId="645335F5">
            <w:pPr>
              <w:keepNext/>
              <w:spacing w:line="440" w:lineRule="exact"/>
              <w:jc w:val="center"/>
              <w:rPr>
                <w:rFonts w:cs="宋体"/>
                <w:color w:val="auto"/>
                <w:szCs w:val="21"/>
                <w:highlight w:val="none"/>
              </w:rPr>
            </w:pPr>
          </w:p>
        </w:tc>
        <w:tc>
          <w:tcPr>
            <w:tcW w:w="781" w:type="pct"/>
            <w:vAlign w:val="center"/>
          </w:tcPr>
          <w:p w14:paraId="109D4B72">
            <w:pPr>
              <w:keepNext/>
              <w:spacing w:line="440" w:lineRule="exact"/>
              <w:jc w:val="center"/>
              <w:rPr>
                <w:rFonts w:cs="宋体"/>
                <w:color w:val="auto"/>
                <w:szCs w:val="21"/>
                <w:highlight w:val="none"/>
              </w:rPr>
            </w:pPr>
          </w:p>
        </w:tc>
        <w:tc>
          <w:tcPr>
            <w:tcW w:w="938" w:type="pct"/>
            <w:vAlign w:val="center"/>
          </w:tcPr>
          <w:p w14:paraId="796D50CE">
            <w:pPr>
              <w:keepNext/>
              <w:spacing w:line="440" w:lineRule="exact"/>
              <w:jc w:val="center"/>
              <w:rPr>
                <w:rFonts w:cs="宋体"/>
                <w:color w:val="auto"/>
                <w:szCs w:val="21"/>
                <w:highlight w:val="none"/>
              </w:rPr>
            </w:pPr>
          </w:p>
        </w:tc>
      </w:tr>
      <w:tr w14:paraId="39A1C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5AA5E002">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08C1276E">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0B35E469">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6C1D7CEE">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295003BF">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130E725A">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117B1F61">
            <w:pPr>
              <w:keepNext/>
              <w:spacing w:line="440" w:lineRule="exact"/>
              <w:jc w:val="center"/>
              <w:rPr>
                <w:rFonts w:cs="宋体"/>
                <w:color w:val="auto"/>
                <w:szCs w:val="21"/>
                <w:highlight w:val="none"/>
              </w:rPr>
            </w:pPr>
          </w:p>
        </w:tc>
      </w:tr>
    </w:tbl>
    <w:p w14:paraId="0415E6DC">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12-3：专业工程暂估价表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6B395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45A132EF">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7D82C600">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7A6CBB91">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1C6453A2">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2525DDDA">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5CEE16A9">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34379226">
            <w:pPr>
              <w:keepNext/>
              <w:spacing w:line="440" w:lineRule="exact"/>
              <w:jc w:val="center"/>
              <w:rPr>
                <w:rFonts w:cs="宋体"/>
                <w:color w:val="auto"/>
                <w:szCs w:val="21"/>
                <w:highlight w:val="none"/>
              </w:rPr>
            </w:pPr>
            <w:r>
              <w:rPr>
                <w:rFonts w:hint="eastAsia" w:cs="宋体"/>
                <w:color w:val="auto"/>
                <w:szCs w:val="21"/>
                <w:highlight w:val="none"/>
              </w:rPr>
              <w:t>备注</w:t>
            </w:r>
          </w:p>
        </w:tc>
      </w:tr>
      <w:tr w14:paraId="36111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6F8BB345">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169EE924">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559EADC1">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7E14B389">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3330B3BA">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0973A063">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000903A0">
            <w:pPr>
              <w:keepNext/>
              <w:spacing w:line="440" w:lineRule="exact"/>
              <w:jc w:val="center"/>
              <w:rPr>
                <w:rFonts w:cs="宋体"/>
                <w:color w:val="auto"/>
                <w:szCs w:val="21"/>
                <w:highlight w:val="none"/>
              </w:rPr>
            </w:pPr>
          </w:p>
        </w:tc>
      </w:tr>
      <w:tr w14:paraId="1135B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27AD21FF">
            <w:pPr>
              <w:keepNext/>
              <w:spacing w:line="440" w:lineRule="exact"/>
              <w:jc w:val="center"/>
              <w:rPr>
                <w:rFonts w:cs="宋体"/>
                <w:color w:val="auto"/>
                <w:szCs w:val="21"/>
                <w:highlight w:val="none"/>
              </w:rPr>
            </w:pPr>
          </w:p>
        </w:tc>
        <w:tc>
          <w:tcPr>
            <w:tcW w:w="1094" w:type="pct"/>
            <w:tcBorders>
              <w:top w:val="nil"/>
            </w:tcBorders>
            <w:vAlign w:val="center"/>
          </w:tcPr>
          <w:p w14:paraId="3EFFB536">
            <w:pPr>
              <w:keepNext/>
              <w:spacing w:line="440" w:lineRule="exact"/>
              <w:jc w:val="center"/>
              <w:rPr>
                <w:rFonts w:cs="宋体"/>
                <w:color w:val="auto"/>
                <w:szCs w:val="21"/>
                <w:highlight w:val="none"/>
              </w:rPr>
            </w:pPr>
          </w:p>
        </w:tc>
        <w:tc>
          <w:tcPr>
            <w:tcW w:w="468" w:type="pct"/>
            <w:tcBorders>
              <w:top w:val="nil"/>
            </w:tcBorders>
            <w:vAlign w:val="center"/>
          </w:tcPr>
          <w:p w14:paraId="6ABFA5F4">
            <w:pPr>
              <w:keepNext/>
              <w:spacing w:line="440" w:lineRule="exact"/>
              <w:jc w:val="center"/>
              <w:rPr>
                <w:rFonts w:cs="宋体"/>
                <w:color w:val="auto"/>
                <w:szCs w:val="21"/>
                <w:highlight w:val="none"/>
              </w:rPr>
            </w:pPr>
          </w:p>
        </w:tc>
        <w:tc>
          <w:tcPr>
            <w:tcW w:w="426" w:type="pct"/>
            <w:tcBorders>
              <w:top w:val="nil"/>
            </w:tcBorders>
            <w:vAlign w:val="center"/>
          </w:tcPr>
          <w:p w14:paraId="00428110">
            <w:pPr>
              <w:keepNext/>
              <w:spacing w:line="440" w:lineRule="exact"/>
              <w:jc w:val="center"/>
              <w:rPr>
                <w:rFonts w:cs="宋体"/>
                <w:color w:val="auto"/>
                <w:szCs w:val="21"/>
                <w:highlight w:val="none"/>
              </w:rPr>
            </w:pPr>
          </w:p>
        </w:tc>
        <w:tc>
          <w:tcPr>
            <w:tcW w:w="745" w:type="pct"/>
            <w:tcBorders>
              <w:top w:val="nil"/>
            </w:tcBorders>
            <w:vAlign w:val="center"/>
          </w:tcPr>
          <w:p w14:paraId="2BD91C9C">
            <w:pPr>
              <w:keepNext/>
              <w:spacing w:line="440" w:lineRule="exact"/>
              <w:jc w:val="center"/>
              <w:rPr>
                <w:rFonts w:cs="宋体"/>
                <w:color w:val="auto"/>
                <w:szCs w:val="21"/>
                <w:highlight w:val="none"/>
              </w:rPr>
            </w:pPr>
          </w:p>
        </w:tc>
        <w:tc>
          <w:tcPr>
            <w:tcW w:w="781" w:type="pct"/>
            <w:tcBorders>
              <w:top w:val="nil"/>
            </w:tcBorders>
            <w:vAlign w:val="center"/>
          </w:tcPr>
          <w:p w14:paraId="0EAAF22D">
            <w:pPr>
              <w:keepNext/>
              <w:spacing w:line="440" w:lineRule="exact"/>
              <w:jc w:val="center"/>
              <w:rPr>
                <w:rFonts w:cs="宋体"/>
                <w:color w:val="auto"/>
                <w:szCs w:val="21"/>
                <w:highlight w:val="none"/>
              </w:rPr>
            </w:pPr>
          </w:p>
        </w:tc>
        <w:tc>
          <w:tcPr>
            <w:tcW w:w="938" w:type="pct"/>
            <w:tcBorders>
              <w:top w:val="nil"/>
            </w:tcBorders>
            <w:vAlign w:val="center"/>
          </w:tcPr>
          <w:p w14:paraId="1CCC70BC">
            <w:pPr>
              <w:keepNext/>
              <w:spacing w:line="440" w:lineRule="exact"/>
              <w:jc w:val="center"/>
              <w:rPr>
                <w:rFonts w:cs="宋体"/>
                <w:color w:val="auto"/>
                <w:szCs w:val="21"/>
                <w:highlight w:val="none"/>
              </w:rPr>
            </w:pPr>
          </w:p>
        </w:tc>
      </w:tr>
      <w:tr w14:paraId="55F3D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41AE547E">
            <w:pPr>
              <w:keepNext/>
              <w:spacing w:line="440" w:lineRule="exact"/>
              <w:jc w:val="center"/>
              <w:rPr>
                <w:rFonts w:cs="宋体"/>
                <w:color w:val="auto"/>
                <w:szCs w:val="21"/>
                <w:highlight w:val="none"/>
              </w:rPr>
            </w:pPr>
          </w:p>
        </w:tc>
        <w:tc>
          <w:tcPr>
            <w:tcW w:w="1094" w:type="pct"/>
            <w:vAlign w:val="center"/>
          </w:tcPr>
          <w:p w14:paraId="29AB2999">
            <w:pPr>
              <w:keepNext/>
              <w:spacing w:line="440" w:lineRule="exact"/>
              <w:jc w:val="center"/>
              <w:rPr>
                <w:rFonts w:cs="宋体"/>
                <w:color w:val="auto"/>
                <w:szCs w:val="21"/>
                <w:highlight w:val="none"/>
              </w:rPr>
            </w:pPr>
          </w:p>
        </w:tc>
        <w:tc>
          <w:tcPr>
            <w:tcW w:w="468" w:type="pct"/>
            <w:vAlign w:val="center"/>
          </w:tcPr>
          <w:p w14:paraId="4F1F84F4">
            <w:pPr>
              <w:keepNext/>
              <w:spacing w:line="440" w:lineRule="exact"/>
              <w:jc w:val="center"/>
              <w:rPr>
                <w:rFonts w:cs="宋体"/>
                <w:color w:val="auto"/>
                <w:szCs w:val="21"/>
                <w:highlight w:val="none"/>
              </w:rPr>
            </w:pPr>
          </w:p>
        </w:tc>
        <w:tc>
          <w:tcPr>
            <w:tcW w:w="426" w:type="pct"/>
            <w:vAlign w:val="center"/>
          </w:tcPr>
          <w:p w14:paraId="620A55C0">
            <w:pPr>
              <w:keepNext/>
              <w:spacing w:line="440" w:lineRule="exact"/>
              <w:jc w:val="center"/>
              <w:rPr>
                <w:rFonts w:cs="宋体"/>
                <w:color w:val="auto"/>
                <w:szCs w:val="21"/>
                <w:highlight w:val="none"/>
              </w:rPr>
            </w:pPr>
          </w:p>
        </w:tc>
        <w:tc>
          <w:tcPr>
            <w:tcW w:w="745" w:type="pct"/>
            <w:vAlign w:val="center"/>
          </w:tcPr>
          <w:p w14:paraId="647FD0D9">
            <w:pPr>
              <w:keepNext/>
              <w:spacing w:line="440" w:lineRule="exact"/>
              <w:jc w:val="center"/>
              <w:rPr>
                <w:rFonts w:cs="宋体"/>
                <w:color w:val="auto"/>
                <w:szCs w:val="21"/>
                <w:highlight w:val="none"/>
              </w:rPr>
            </w:pPr>
          </w:p>
        </w:tc>
        <w:tc>
          <w:tcPr>
            <w:tcW w:w="781" w:type="pct"/>
            <w:vAlign w:val="center"/>
          </w:tcPr>
          <w:p w14:paraId="601CBF85">
            <w:pPr>
              <w:keepNext/>
              <w:spacing w:line="440" w:lineRule="exact"/>
              <w:jc w:val="center"/>
              <w:rPr>
                <w:rFonts w:cs="宋体"/>
                <w:color w:val="auto"/>
                <w:szCs w:val="21"/>
                <w:highlight w:val="none"/>
              </w:rPr>
            </w:pPr>
          </w:p>
        </w:tc>
        <w:tc>
          <w:tcPr>
            <w:tcW w:w="938" w:type="pct"/>
            <w:vAlign w:val="center"/>
          </w:tcPr>
          <w:p w14:paraId="2F6FFD52">
            <w:pPr>
              <w:keepNext/>
              <w:spacing w:line="440" w:lineRule="exact"/>
              <w:jc w:val="center"/>
              <w:rPr>
                <w:rFonts w:cs="宋体"/>
                <w:color w:val="auto"/>
                <w:szCs w:val="21"/>
                <w:highlight w:val="none"/>
              </w:rPr>
            </w:pPr>
          </w:p>
        </w:tc>
      </w:tr>
      <w:tr w14:paraId="6C418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8" w:type="pct"/>
            <w:tcBorders>
              <w:bottom w:val="single" w:color="auto" w:sz="12" w:space="0"/>
            </w:tcBorders>
            <w:vAlign w:val="center"/>
          </w:tcPr>
          <w:p w14:paraId="02D81134">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7562919A">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6F46E411">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161A7B4B">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50405C40">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00F58B5C">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32016D8A">
            <w:pPr>
              <w:keepNext/>
              <w:spacing w:line="440" w:lineRule="exact"/>
              <w:jc w:val="center"/>
              <w:rPr>
                <w:rFonts w:cs="宋体"/>
                <w:color w:val="auto"/>
                <w:szCs w:val="21"/>
                <w:highlight w:val="none"/>
              </w:rPr>
            </w:pPr>
          </w:p>
        </w:tc>
      </w:tr>
    </w:tbl>
    <w:p w14:paraId="57E27BF7">
      <w:pPr>
        <w:rPr>
          <w:rFonts w:cs="宋体"/>
          <w:color w:val="auto"/>
          <w:szCs w:val="21"/>
          <w:highlight w:val="none"/>
        </w:rPr>
      </w:pPr>
    </w:p>
    <w:p w14:paraId="10798F5A">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44" w:name="_Toc128950248"/>
      <w:r>
        <w:rPr>
          <w:rFonts w:hint="eastAsia" w:ascii="Times New Roman" w:eastAsia="黑体"/>
          <w:color w:val="auto"/>
          <w:szCs w:val="24"/>
          <w:highlight w:val="none"/>
        </w:rPr>
        <w:t>附件13：安全生产合同</w:t>
      </w:r>
      <w:bookmarkEnd w:id="644"/>
    </w:p>
    <w:p w14:paraId="48073097">
      <w:pPr>
        <w:spacing w:before="156" w:beforeLines="50" w:after="156" w:afterLines="50" w:line="360" w:lineRule="auto"/>
        <w:jc w:val="center"/>
        <w:rPr>
          <w:rFonts w:cs="宋体"/>
          <w:b/>
          <w:color w:val="auto"/>
          <w:sz w:val="32"/>
          <w:szCs w:val="32"/>
          <w:highlight w:val="none"/>
        </w:rPr>
      </w:pPr>
      <w:bookmarkStart w:id="645" w:name="_Toc11475"/>
      <w:bookmarkStart w:id="646" w:name="_Toc23792"/>
      <w:r>
        <w:rPr>
          <w:rFonts w:hint="eastAsia" w:cs="宋体"/>
          <w:b/>
          <w:color w:val="auto"/>
          <w:sz w:val="32"/>
          <w:szCs w:val="32"/>
          <w:highlight w:val="none"/>
        </w:rPr>
        <w:t>安全生产合同</w:t>
      </w:r>
      <w:bookmarkEnd w:id="645"/>
      <w:bookmarkEnd w:id="646"/>
    </w:p>
    <w:p w14:paraId="54747FBE">
      <w:pPr>
        <w:spacing w:line="360" w:lineRule="auto"/>
        <w:ind w:firstLine="420" w:firstLineChars="200"/>
        <w:rPr>
          <w:rFonts w:cs="宋体"/>
          <w:color w:val="auto"/>
          <w:sz w:val="21"/>
          <w:szCs w:val="21"/>
          <w:highlight w:val="none"/>
        </w:rPr>
      </w:pPr>
      <w:r>
        <w:rPr>
          <w:rFonts w:hint="eastAsia" w:cs="宋体"/>
          <w:color w:val="auto"/>
          <w:sz w:val="21"/>
          <w:szCs w:val="21"/>
          <w:highlight w:val="none"/>
        </w:rPr>
        <w:t>为在</w:t>
      </w:r>
      <w:r>
        <w:rPr>
          <w:rFonts w:hint="eastAsia" w:cs="宋体"/>
          <w:color w:val="auto"/>
          <w:sz w:val="21"/>
          <w:szCs w:val="21"/>
          <w:highlight w:val="none"/>
          <w:u w:val="single"/>
        </w:rPr>
        <w:t xml:space="preserve">            </w:t>
      </w:r>
      <w:r>
        <w:rPr>
          <w:rFonts w:hint="eastAsia" w:cs="宋体"/>
          <w:color w:val="auto"/>
          <w:sz w:val="21"/>
          <w:szCs w:val="21"/>
          <w:highlight w:val="none"/>
        </w:rPr>
        <w:t>（项目名称）施工合同的实施过程中创造安全、高效的施工环境，切实搞好本项目的安全管理工作，本项目发包人</w:t>
      </w:r>
      <w:r>
        <w:rPr>
          <w:rFonts w:hint="eastAsia" w:cs="宋体"/>
          <w:color w:val="auto"/>
          <w:sz w:val="21"/>
          <w:szCs w:val="21"/>
          <w:highlight w:val="none"/>
          <w:u w:val="single"/>
        </w:rPr>
        <w:t xml:space="preserve">       </w:t>
      </w:r>
      <w:r>
        <w:rPr>
          <w:rFonts w:hint="eastAsia" w:cs="宋体"/>
          <w:color w:val="auto"/>
          <w:sz w:val="21"/>
          <w:szCs w:val="21"/>
          <w:highlight w:val="none"/>
        </w:rPr>
        <w:t>（发包人名称，以下简称“发包人”）与承包人</w:t>
      </w:r>
      <w:r>
        <w:rPr>
          <w:rFonts w:hint="eastAsia" w:cs="宋体"/>
          <w:color w:val="auto"/>
          <w:sz w:val="21"/>
          <w:szCs w:val="21"/>
          <w:highlight w:val="none"/>
          <w:u w:val="single"/>
        </w:rPr>
        <w:t xml:space="preserve">         </w:t>
      </w:r>
      <w:r>
        <w:rPr>
          <w:rFonts w:hint="eastAsia" w:cs="宋体"/>
          <w:color w:val="auto"/>
          <w:sz w:val="21"/>
          <w:szCs w:val="21"/>
          <w:highlight w:val="none"/>
        </w:rPr>
        <w:t>（承包人名称，以下简称“承包人”）特此签订安全生产合同：</w:t>
      </w:r>
    </w:p>
    <w:p w14:paraId="49A407BA">
      <w:pPr>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1.发包人职责</w:t>
      </w:r>
    </w:p>
    <w:p w14:paraId="379286BA">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（1）严格遵守国家有关安全生产的法律法规，认真执行工程承包合同中的有关安全要求。</w:t>
      </w:r>
    </w:p>
    <w:p w14:paraId="7C858D2C">
      <w:pPr>
        <w:spacing w:line="360" w:lineRule="auto"/>
        <w:ind w:firstLine="420" w:firstLineChars="200"/>
        <w:rPr>
          <w:rFonts w:cs="宋体"/>
          <w:color w:val="auto"/>
          <w:sz w:val="21"/>
          <w:szCs w:val="21"/>
          <w:highlight w:val="none"/>
        </w:rPr>
      </w:pPr>
      <w:r>
        <w:rPr>
          <w:rFonts w:hint="eastAsia" w:cs="宋体"/>
          <w:color w:val="auto"/>
          <w:sz w:val="21"/>
          <w:szCs w:val="21"/>
          <w:highlight w:val="none"/>
        </w:rPr>
        <w:t>（2）按照“安全第一、预防为主”和坚持“管生产必须管安全”的原则进行安全生产管理，做到生产与安全工作同时计划、布置、检查、总结和评比。</w:t>
      </w:r>
    </w:p>
    <w:p w14:paraId="443670DC">
      <w:pPr>
        <w:spacing w:line="360" w:lineRule="auto"/>
        <w:ind w:firstLine="420" w:firstLineChars="200"/>
        <w:rPr>
          <w:rFonts w:cs="宋体"/>
          <w:color w:val="auto"/>
          <w:sz w:val="21"/>
          <w:szCs w:val="21"/>
          <w:highlight w:val="none"/>
        </w:rPr>
      </w:pPr>
      <w:r>
        <w:rPr>
          <w:rFonts w:hint="eastAsia" w:cs="宋体"/>
          <w:color w:val="auto"/>
          <w:sz w:val="21"/>
          <w:szCs w:val="21"/>
          <w:highlight w:val="none"/>
        </w:rPr>
        <w:t>（3）重要的安全设施必须坚持与主体工程“三同时”的原则，即：同时设计、审批，同时施工，同时验收，投入使用。</w:t>
      </w:r>
    </w:p>
    <w:p w14:paraId="64A0A0E3">
      <w:pPr>
        <w:spacing w:line="360" w:lineRule="auto"/>
        <w:ind w:firstLine="420" w:firstLineChars="200"/>
        <w:rPr>
          <w:rFonts w:cs="宋体"/>
          <w:color w:val="auto"/>
          <w:sz w:val="21"/>
          <w:szCs w:val="21"/>
          <w:highlight w:val="none"/>
        </w:rPr>
      </w:pPr>
      <w:r>
        <w:rPr>
          <w:rFonts w:hint="eastAsia" w:cs="宋体"/>
          <w:color w:val="auto"/>
          <w:sz w:val="21"/>
          <w:szCs w:val="21"/>
          <w:highlight w:val="none"/>
        </w:rPr>
        <w:t>（4）定期召开安全生产调度会，及时传达中央及地方有关安全生产的精神。</w:t>
      </w:r>
    </w:p>
    <w:p w14:paraId="1112927D">
      <w:pPr>
        <w:spacing w:line="360" w:lineRule="auto"/>
        <w:ind w:firstLine="420" w:firstLineChars="200"/>
        <w:rPr>
          <w:rFonts w:cs="宋体"/>
          <w:color w:val="auto"/>
          <w:sz w:val="21"/>
          <w:szCs w:val="21"/>
          <w:highlight w:val="none"/>
        </w:rPr>
      </w:pPr>
      <w:r>
        <w:rPr>
          <w:rFonts w:hint="eastAsia" w:cs="宋体"/>
          <w:color w:val="auto"/>
          <w:sz w:val="21"/>
          <w:szCs w:val="21"/>
          <w:highlight w:val="none"/>
        </w:rPr>
        <w:t>（5）组织对承包人施工现场安全生产检查，监督承包人及时处理发现的各种安全隐患。</w:t>
      </w:r>
    </w:p>
    <w:p w14:paraId="3F43EE03">
      <w:pPr>
        <w:spacing w:line="360" w:lineRule="auto"/>
        <w:ind w:firstLine="420" w:firstLineChars="200"/>
        <w:rPr>
          <w:rFonts w:cs="宋体"/>
          <w:color w:val="auto"/>
          <w:sz w:val="21"/>
          <w:szCs w:val="21"/>
          <w:highlight w:val="none"/>
        </w:rPr>
      </w:pPr>
      <w:r>
        <w:rPr>
          <w:rFonts w:hint="eastAsia" w:cs="宋体"/>
          <w:color w:val="auto"/>
          <w:sz w:val="21"/>
          <w:szCs w:val="21"/>
          <w:highlight w:val="none"/>
        </w:rPr>
        <w:t>2.承包人职责</w:t>
      </w:r>
    </w:p>
    <w:p w14:paraId="7142A3B4">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6399985C">
      <w:pPr>
        <w:spacing w:line="360" w:lineRule="auto"/>
        <w:ind w:firstLine="420" w:firstLineChars="200"/>
        <w:rPr>
          <w:rFonts w:cs="宋体"/>
          <w:color w:val="auto"/>
          <w:sz w:val="21"/>
          <w:szCs w:val="21"/>
          <w:highlight w:val="none"/>
        </w:rPr>
      </w:pPr>
      <w:r>
        <w:rPr>
          <w:rFonts w:hint="eastAsia"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C51F830">
      <w:pPr>
        <w:spacing w:line="360" w:lineRule="auto"/>
        <w:ind w:firstLine="420" w:firstLineChars="200"/>
        <w:rPr>
          <w:rFonts w:cs="宋体"/>
          <w:color w:val="auto"/>
          <w:sz w:val="21"/>
          <w:szCs w:val="21"/>
          <w:highlight w:val="none"/>
        </w:rPr>
      </w:pPr>
      <w:r>
        <w:rPr>
          <w:rFonts w:hint="eastAsia"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36227972">
      <w:pPr>
        <w:spacing w:line="360" w:lineRule="auto"/>
        <w:ind w:firstLine="420" w:firstLineChars="200"/>
        <w:rPr>
          <w:rFonts w:cs="宋体"/>
          <w:color w:val="auto"/>
          <w:sz w:val="21"/>
          <w:szCs w:val="21"/>
          <w:highlight w:val="none"/>
        </w:rPr>
      </w:pPr>
      <w:r>
        <w:rPr>
          <w:rFonts w:hint="eastAsia" w:cs="宋体"/>
          <w:color w:val="auto"/>
          <w:sz w:val="21"/>
          <w:szCs w:val="21"/>
          <w:highlight w:val="none"/>
        </w:rPr>
        <w:t>（4）承包人在任何时候都应采取各种合理的预防措施，防止其员工发生任何违法、违禁、暴力或妨碍治安的行为。</w:t>
      </w:r>
    </w:p>
    <w:p w14:paraId="7D3A0890">
      <w:pPr>
        <w:spacing w:line="360" w:lineRule="auto"/>
        <w:ind w:firstLine="420" w:firstLineChars="200"/>
        <w:rPr>
          <w:rFonts w:cs="宋体"/>
          <w:color w:val="auto"/>
          <w:sz w:val="21"/>
          <w:szCs w:val="21"/>
          <w:highlight w:val="none"/>
        </w:rPr>
      </w:pPr>
      <w:r>
        <w:rPr>
          <w:rFonts w:hint="eastAsia"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9119B71">
      <w:pPr>
        <w:spacing w:line="360" w:lineRule="auto"/>
        <w:ind w:firstLine="420" w:firstLineChars="200"/>
        <w:rPr>
          <w:rFonts w:cs="宋体"/>
          <w:color w:val="auto"/>
          <w:sz w:val="21"/>
          <w:szCs w:val="21"/>
          <w:highlight w:val="none"/>
        </w:rPr>
      </w:pPr>
      <w:r>
        <w:rPr>
          <w:rFonts w:hint="eastAsia"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DA08AEC">
      <w:pPr>
        <w:spacing w:line="360" w:lineRule="auto"/>
        <w:ind w:firstLine="420" w:firstLineChars="200"/>
        <w:rPr>
          <w:rFonts w:cs="宋体"/>
          <w:color w:val="auto"/>
          <w:sz w:val="21"/>
          <w:szCs w:val="21"/>
          <w:highlight w:val="none"/>
        </w:rPr>
      </w:pPr>
      <w:r>
        <w:rPr>
          <w:rFonts w:hint="eastAsia"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24A6042C">
      <w:pPr>
        <w:spacing w:line="360" w:lineRule="auto"/>
        <w:ind w:firstLine="420" w:firstLineChars="200"/>
        <w:rPr>
          <w:rFonts w:cs="宋体"/>
          <w:color w:val="auto"/>
          <w:sz w:val="21"/>
          <w:szCs w:val="21"/>
          <w:highlight w:val="none"/>
        </w:rPr>
      </w:pPr>
      <w:r>
        <w:rPr>
          <w:rFonts w:hint="eastAsia"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7A0F0977">
      <w:pPr>
        <w:spacing w:line="360" w:lineRule="auto"/>
        <w:ind w:firstLine="420" w:firstLineChars="200"/>
        <w:rPr>
          <w:rFonts w:cs="宋体"/>
          <w:color w:val="auto"/>
          <w:sz w:val="21"/>
          <w:szCs w:val="21"/>
          <w:highlight w:val="none"/>
        </w:rPr>
      </w:pPr>
      <w:r>
        <w:rPr>
          <w:rFonts w:hint="eastAsia" w:cs="宋体"/>
          <w:color w:val="auto"/>
          <w:sz w:val="21"/>
          <w:szCs w:val="21"/>
          <w:highlight w:val="none"/>
        </w:rPr>
        <w:t>（9）施工中采用新技术、新工艺、新设备、新材料时，必须制定相应的安全技术措施，施工现场必须具有相关的安全标志牌。</w:t>
      </w:r>
    </w:p>
    <w:p w14:paraId="00ED9EDB">
      <w:pPr>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89008DC">
      <w:pPr>
        <w:spacing w:line="360" w:lineRule="auto"/>
        <w:ind w:firstLine="420" w:firstLineChars="200"/>
        <w:rPr>
          <w:rFonts w:cs="宋体"/>
          <w:color w:val="auto"/>
          <w:sz w:val="21"/>
          <w:szCs w:val="21"/>
          <w:highlight w:val="none"/>
        </w:rPr>
      </w:pPr>
      <w:r>
        <w:rPr>
          <w:rFonts w:hint="eastAsia" w:cs="宋体"/>
          <w:color w:val="auto"/>
          <w:sz w:val="21"/>
          <w:szCs w:val="21"/>
          <w:highlight w:val="none"/>
        </w:rPr>
        <w:t>（11）安全生产费用按照《建设工程安全生产管理条例》的相关规定使用和管理。</w:t>
      </w:r>
    </w:p>
    <w:p w14:paraId="003CC033">
      <w:pPr>
        <w:spacing w:line="360" w:lineRule="auto"/>
        <w:ind w:firstLine="420" w:firstLineChars="200"/>
        <w:rPr>
          <w:rFonts w:cs="宋体"/>
          <w:color w:val="auto"/>
          <w:sz w:val="21"/>
          <w:szCs w:val="21"/>
          <w:highlight w:val="none"/>
        </w:rPr>
      </w:pPr>
      <w:r>
        <w:rPr>
          <w:rFonts w:hint="eastAsia" w:cs="宋体"/>
          <w:color w:val="auto"/>
          <w:sz w:val="21"/>
          <w:szCs w:val="21"/>
          <w:highlight w:val="none"/>
        </w:rPr>
        <w:t>3.违约责任</w:t>
      </w:r>
    </w:p>
    <w:p w14:paraId="1310266B">
      <w:pPr>
        <w:spacing w:line="360" w:lineRule="auto"/>
        <w:ind w:firstLine="420" w:firstLineChars="200"/>
        <w:rPr>
          <w:rFonts w:cs="宋体"/>
          <w:color w:val="auto"/>
          <w:sz w:val="21"/>
          <w:szCs w:val="21"/>
          <w:highlight w:val="none"/>
        </w:rPr>
      </w:pPr>
      <w:r>
        <w:rPr>
          <w:rFonts w:hint="eastAsia" w:cs="宋体"/>
          <w:color w:val="auto"/>
          <w:sz w:val="21"/>
          <w:szCs w:val="21"/>
          <w:highlight w:val="none"/>
        </w:rPr>
        <w:t>如因发包人或承包人违约造成安全事故，将依法追究责任。</w:t>
      </w:r>
    </w:p>
    <w:p w14:paraId="5728F004">
      <w:pPr>
        <w:spacing w:line="360" w:lineRule="auto"/>
        <w:ind w:firstLine="420" w:firstLineChars="200"/>
        <w:rPr>
          <w:rFonts w:cs="宋体"/>
          <w:color w:val="auto"/>
          <w:sz w:val="21"/>
          <w:szCs w:val="21"/>
          <w:highlight w:val="none"/>
        </w:rPr>
      </w:pPr>
      <w:r>
        <w:rPr>
          <w:rFonts w:hint="eastAsia" w:cs="宋体"/>
          <w:color w:val="auto"/>
          <w:sz w:val="21"/>
          <w:szCs w:val="21"/>
          <w:highlight w:val="none"/>
        </w:rPr>
        <w:t>4.本合同由双方法定代表人或其授权的代理人签署并加盖单位章后生效，全部工程竣工验收后失效。</w:t>
      </w:r>
    </w:p>
    <w:p w14:paraId="45EC1BB4">
      <w:pPr>
        <w:spacing w:line="360" w:lineRule="auto"/>
        <w:ind w:firstLine="420" w:firstLineChars="200"/>
        <w:rPr>
          <w:rFonts w:cs="宋体"/>
          <w:color w:val="auto"/>
          <w:sz w:val="21"/>
          <w:szCs w:val="21"/>
          <w:highlight w:val="none"/>
        </w:rPr>
      </w:pPr>
      <w:r>
        <w:rPr>
          <w:rFonts w:hint="eastAsia" w:cs="宋体"/>
          <w:color w:val="auto"/>
          <w:sz w:val="21"/>
          <w:szCs w:val="21"/>
          <w:highlight w:val="none"/>
        </w:rPr>
        <w:t>5.本合同正本—式</w:t>
      </w:r>
      <w:r>
        <w:rPr>
          <w:rFonts w:hint="eastAsia" w:cs="宋体"/>
          <w:color w:val="auto"/>
          <w:sz w:val="21"/>
          <w:szCs w:val="21"/>
          <w:highlight w:val="none"/>
          <w:u w:val="single"/>
        </w:rPr>
        <w:t xml:space="preserve">   </w:t>
      </w:r>
      <w:r>
        <w:rPr>
          <w:rFonts w:hint="eastAsia" w:cs="宋体"/>
          <w:color w:val="auto"/>
          <w:sz w:val="21"/>
          <w:szCs w:val="21"/>
          <w:highlight w:val="none"/>
        </w:rPr>
        <w:t>份，副本</w:t>
      </w:r>
      <w:r>
        <w:rPr>
          <w:rFonts w:hint="eastAsia" w:cs="宋体"/>
          <w:color w:val="auto"/>
          <w:sz w:val="21"/>
          <w:szCs w:val="21"/>
          <w:highlight w:val="none"/>
          <w:u w:val="single"/>
        </w:rPr>
        <w:t xml:space="preserve">  </w:t>
      </w:r>
      <w:r>
        <w:rPr>
          <w:rFonts w:hint="eastAsia" w:cs="宋体"/>
          <w:color w:val="auto"/>
          <w:sz w:val="21"/>
          <w:szCs w:val="21"/>
          <w:highlight w:val="none"/>
        </w:rPr>
        <w:t>份，合同双方各执正本—份，副本</w:t>
      </w:r>
      <w:r>
        <w:rPr>
          <w:rFonts w:hint="eastAsia" w:cs="宋体"/>
          <w:color w:val="auto"/>
          <w:sz w:val="21"/>
          <w:szCs w:val="21"/>
          <w:highlight w:val="none"/>
          <w:u w:val="single"/>
        </w:rPr>
        <w:t xml:space="preserve">  </w:t>
      </w:r>
      <w:r>
        <w:rPr>
          <w:rFonts w:hint="eastAsia" w:cs="宋体"/>
          <w:color w:val="auto"/>
          <w:sz w:val="21"/>
          <w:szCs w:val="21"/>
          <w:highlight w:val="none"/>
        </w:rPr>
        <w:t>份，当正本与副本的内容不一致时，以正本为准。</w:t>
      </w:r>
    </w:p>
    <w:p w14:paraId="0693E976">
      <w:pPr>
        <w:spacing w:line="360" w:lineRule="auto"/>
        <w:rPr>
          <w:rFonts w:cs="宋体"/>
          <w:color w:val="auto"/>
          <w:sz w:val="21"/>
          <w:szCs w:val="21"/>
          <w:highlight w:val="none"/>
        </w:rPr>
      </w:pPr>
    </w:p>
    <w:p w14:paraId="07C1AFFA">
      <w:pPr>
        <w:spacing w:line="360" w:lineRule="auto"/>
        <w:rPr>
          <w:rFonts w:cs="宋体"/>
          <w:color w:val="auto"/>
          <w:sz w:val="21"/>
          <w:szCs w:val="21"/>
          <w:highlight w:val="none"/>
        </w:rPr>
      </w:pPr>
    </w:p>
    <w:p w14:paraId="3CAD722D">
      <w:pPr>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xml:space="preserve">            </w:t>
      </w:r>
      <w:r>
        <w:rPr>
          <w:rFonts w:hint="eastAsia" w:cs="宋体"/>
          <w:color w:val="auto"/>
          <w:sz w:val="21"/>
          <w:szCs w:val="21"/>
          <w:highlight w:val="none"/>
        </w:rPr>
        <w:t>（盖单位章）          承包人：</w:t>
      </w:r>
      <w:r>
        <w:rPr>
          <w:rFonts w:hint="eastAsia" w:cs="宋体"/>
          <w:color w:val="auto"/>
          <w:sz w:val="21"/>
          <w:szCs w:val="21"/>
          <w:highlight w:val="none"/>
          <w:u w:val="single"/>
        </w:rPr>
        <w:t xml:space="preserve">        </w:t>
      </w:r>
      <w:r>
        <w:rPr>
          <w:rFonts w:hint="eastAsia" w:cs="宋体"/>
          <w:color w:val="auto"/>
          <w:sz w:val="21"/>
          <w:szCs w:val="21"/>
          <w:highlight w:val="none"/>
        </w:rPr>
        <w:t>（盖单位章）</w:t>
      </w:r>
    </w:p>
    <w:p w14:paraId="21E0C466">
      <w:pPr>
        <w:spacing w:line="360" w:lineRule="auto"/>
        <w:rPr>
          <w:rFonts w:cs="宋体"/>
          <w:color w:val="auto"/>
          <w:sz w:val="21"/>
          <w:szCs w:val="21"/>
          <w:highlight w:val="none"/>
        </w:rPr>
      </w:pPr>
    </w:p>
    <w:p w14:paraId="29D3CCA3">
      <w:pPr>
        <w:spacing w:line="360" w:lineRule="auto"/>
        <w:rPr>
          <w:rFonts w:cs="宋体"/>
          <w:color w:val="auto"/>
          <w:sz w:val="21"/>
          <w:szCs w:val="21"/>
          <w:highlight w:val="none"/>
        </w:rPr>
      </w:pPr>
      <w:r>
        <w:rPr>
          <w:rFonts w:hint="eastAsia" w:cs="宋体"/>
          <w:color w:val="auto"/>
          <w:sz w:val="21"/>
          <w:szCs w:val="21"/>
          <w:highlight w:val="none"/>
        </w:rPr>
        <w:t>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     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w:t>
      </w:r>
    </w:p>
    <w:p w14:paraId="243A6F92">
      <w:pPr>
        <w:spacing w:line="360" w:lineRule="auto"/>
        <w:rPr>
          <w:rFonts w:cs="宋体"/>
          <w:color w:val="auto"/>
          <w:sz w:val="21"/>
          <w:szCs w:val="21"/>
          <w:highlight w:val="none"/>
        </w:rPr>
      </w:pPr>
    </w:p>
    <w:p w14:paraId="0BA97D6A">
      <w:pPr>
        <w:spacing w:line="360" w:lineRule="auto"/>
        <w:ind w:firstLine="84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 xml:space="preserve">日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7CEE39DB">
      <w:pPr>
        <w:spacing w:before="312" w:beforeLines="100" w:after="312" w:afterLines="100"/>
        <w:outlineLvl w:val="2"/>
        <w:rPr>
          <w:rFonts w:ascii="Times New Roman" w:eastAsia="黑体"/>
          <w:color w:val="auto"/>
          <w:szCs w:val="24"/>
          <w:highlight w:val="none"/>
        </w:rPr>
      </w:pPr>
      <w:r>
        <w:rPr>
          <w:rFonts w:hint="eastAsia" w:cs="宋体"/>
          <w:bCs/>
          <w:color w:val="auto"/>
          <w:kern w:val="44"/>
          <w:sz w:val="21"/>
          <w:szCs w:val="21"/>
          <w:highlight w:val="none"/>
        </w:rPr>
        <w:br w:type="page"/>
      </w:r>
      <w:bookmarkStart w:id="647" w:name="_Toc128950249"/>
      <w:r>
        <w:rPr>
          <w:rFonts w:hint="eastAsia" w:ascii="Times New Roman" w:eastAsia="黑体"/>
          <w:color w:val="auto"/>
          <w:szCs w:val="24"/>
          <w:highlight w:val="none"/>
        </w:rPr>
        <w:t>附件14：项目经理质量终身责任制承诺</w:t>
      </w:r>
      <w:bookmarkEnd w:id="647"/>
    </w:p>
    <w:p w14:paraId="0839DB50">
      <w:pPr>
        <w:spacing w:before="156" w:beforeLines="50" w:after="156" w:afterLines="50" w:line="360" w:lineRule="auto"/>
        <w:jc w:val="center"/>
        <w:rPr>
          <w:rFonts w:cs="宋体"/>
          <w:b/>
          <w:color w:val="auto"/>
          <w:sz w:val="32"/>
          <w:szCs w:val="32"/>
          <w:highlight w:val="none"/>
        </w:rPr>
      </w:pPr>
      <w:bookmarkStart w:id="648" w:name="_Toc128950250"/>
      <w:bookmarkStart w:id="649" w:name="_Toc14540"/>
      <w:bookmarkStart w:id="650" w:name="_Toc19417"/>
      <w:r>
        <w:rPr>
          <w:rFonts w:hint="eastAsia" w:cs="宋体"/>
          <w:b/>
          <w:color w:val="auto"/>
          <w:sz w:val="32"/>
          <w:szCs w:val="32"/>
          <w:highlight w:val="none"/>
        </w:rPr>
        <w:t>项目经理质量终身责任制承诺</w:t>
      </w:r>
      <w:bookmarkEnd w:id="648"/>
      <w:bookmarkEnd w:id="649"/>
      <w:bookmarkEnd w:id="650"/>
    </w:p>
    <w:p w14:paraId="6D18411C">
      <w:pPr>
        <w:spacing w:line="360" w:lineRule="auto"/>
        <w:rPr>
          <w:rFonts w:cs="宋体"/>
          <w:bCs/>
          <w:color w:val="auto"/>
          <w:sz w:val="21"/>
          <w:szCs w:val="21"/>
          <w:highlight w:val="none"/>
        </w:rPr>
      </w:pPr>
      <w:r>
        <w:rPr>
          <w:rFonts w:hint="eastAsia" w:cs="宋体"/>
          <w:bCs/>
          <w:color w:val="auto"/>
          <w:sz w:val="21"/>
          <w:szCs w:val="21"/>
          <w:highlight w:val="none"/>
        </w:rPr>
        <w:t>致：</w:t>
      </w:r>
      <w:r>
        <w:rPr>
          <w:rFonts w:hint="eastAsia" w:cs="宋体"/>
          <w:bCs/>
          <w:color w:val="auto"/>
          <w:sz w:val="21"/>
          <w:szCs w:val="21"/>
          <w:highlight w:val="none"/>
          <w:u w:val="single"/>
        </w:rPr>
        <w:t>（采购人）</w:t>
      </w:r>
    </w:p>
    <w:p w14:paraId="030651F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本人作为施工项目经理，承担相关质量终身责任，现郑重承诺如下：</w:t>
      </w:r>
    </w:p>
    <w:p w14:paraId="000DC663">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一、在取得施工许可证后进行施工。</w:t>
      </w:r>
    </w:p>
    <w:p w14:paraId="19A29E5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二、严格执行施工规范及标准。</w:t>
      </w:r>
    </w:p>
    <w:p w14:paraId="469B5A08">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三、严格按规定配备施工项目部关键岗位人员，并确保所有人员到岗履职。</w:t>
      </w:r>
    </w:p>
    <w:p w14:paraId="11A1088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四、严格按照经施工图审查机构审查合格的工程设计文件及合同约定的质量标准精心组织施工。</w:t>
      </w:r>
    </w:p>
    <w:p w14:paraId="06A6E35B">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五、施工中采用合格的建筑材料、建筑构配件和设备等，并严格按规定执行见证取样制度。</w:t>
      </w:r>
    </w:p>
    <w:p w14:paraId="49AE45B4">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六、建立、健全质量检查、验收制度，严格工序管理，做好隐蔽工程质量的检查和记录。</w:t>
      </w:r>
    </w:p>
    <w:p w14:paraId="382DC5B2">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七、对施工中出现的质量问题，及时进行整改。严格依法依规履行义务。</w:t>
      </w:r>
    </w:p>
    <w:p w14:paraId="753CBB6E">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八、履行相关工程质量检查、验收及事故处理等职责。</w:t>
      </w:r>
    </w:p>
    <w:p w14:paraId="3ACA9FEC">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九、履行其他法律法规规定的职责。</w:t>
      </w:r>
    </w:p>
    <w:p w14:paraId="6954BF42">
      <w:pPr>
        <w:spacing w:line="360" w:lineRule="auto"/>
        <w:ind w:left="342" w:leftChars="171" w:firstLine="630" w:firstLineChars="300"/>
        <w:rPr>
          <w:rFonts w:cs="宋体"/>
          <w:bCs/>
          <w:color w:val="auto"/>
          <w:sz w:val="21"/>
          <w:szCs w:val="21"/>
          <w:highlight w:val="none"/>
        </w:rPr>
      </w:pPr>
    </w:p>
    <w:p w14:paraId="1FBB4B4C">
      <w:pPr>
        <w:spacing w:line="360" w:lineRule="auto"/>
        <w:ind w:left="342" w:leftChars="171" w:firstLine="630" w:firstLineChars="300"/>
        <w:rPr>
          <w:rFonts w:cs="宋体"/>
          <w:bCs/>
          <w:color w:val="auto"/>
          <w:sz w:val="21"/>
          <w:szCs w:val="21"/>
          <w:highlight w:val="none"/>
        </w:rPr>
      </w:pPr>
    </w:p>
    <w:p w14:paraId="32EFA0B5">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项目经理：</w:t>
      </w:r>
      <w:r>
        <w:rPr>
          <w:rFonts w:hint="eastAsia" w:cs="宋体"/>
          <w:bCs/>
          <w:color w:val="auto"/>
          <w:sz w:val="21"/>
          <w:szCs w:val="21"/>
          <w:highlight w:val="none"/>
          <w:u w:val="single"/>
        </w:rPr>
        <w:t xml:space="preserve">                   </w:t>
      </w:r>
      <w:r>
        <w:rPr>
          <w:rFonts w:hint="eastAsia" w:cs="宋体"/>
          <w:bCs/>
          <w:color w:val="auto"/>
          <w:sz w:val="21"/>
          <w:szCs w:val="21"/>
          <w:highlight w:val="none"/>
        </w:rPr>
        <w:t>（签字）</w:t>
      </w:r>
    </w:p>
    <w:p w14:paraId="32C7E9A7">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日期：_____年____月____日</w:t>
      </w:r>
    </w:p>
    <w:p w14:paraId="676ECC27">
      <w:pPr>
        <w:pStyle w:val="20"/>
        <w:rPr>
          <w:rFonts w:ascii="宋体" w:hAnsi="宋体" w:eastAsia="宋体" w:cs="宋体"/>
          <w:bCs/>
          <w:color w:val="auto"/>
          <w:sz w:val="21"/>
          <w:szCs w:val="21"/>
          <w:highlight w:val="none"/>
        </w:rPr>
      </w:pPr>
    </w:p>
    <w:p w14:paraId="420F9BC8">
      <w:pPr>
        <w:widowControl/>
        <w:jc w:val="left"/>
        <w:rPr>
          <w:b/>
          <w:color w:val="auto"/>
          <w:sz w:val="24"/>
          <w:highlight w:val="none"/>
        </w:rPr>
      </w:pPr>
      <w:r>
        <w:rPr>
          <w:b/>
          <w:color w:val="auto"/>
          <w:sz w:val="24"/>
          <w:highlight w:val="none"/>
        </w:rPr>
        <w:br w:type="page"/>
      </w:r>
    </w:p>
    <w:p w14:paraId="6BFF4EEC">
      <w:pPr>
        <w:spacing w:line="360" w:lineRule="auto"/>
        <w:jc w:val="center"/>
        <w:outlineLvl w:val="0"/>
        <w:rPr>
          <w:rFonts w:asciiTheme="minorEastAsia" w:hAnsiTheme="minorEastAsia" w:eastAsiaTheme="minorEastAsia"/>
          <w:b/>
          <w:color w:val="auto"/>
          <w:sz w:val="28"/>
          <w:highlight w:val="none"/>
        </w:rPr>
      </w:pPr>
      <w:bookmarkStart w:id="651" w:name="_Toc22734"/>
      <w:r>
        <w:rPr>
          <w:rFonts w:hint="eastAsia" w:asciiTheme="minorEastAsia" w:hAnsiTheme="minorEastAsia" w:eastAsiaTheme="minorEastAsia"/>
          <w:b/>
          <w:color w:val="auto"/>
          <w:sz w:val="28"/>
          <w:highlight w:val="none"/>
        </w:rPr>
        <w:t>第六章  响应文件格式</w:t>
      </w:r>
      <w:bookmarkEnd w:id="651"/>
    </w:p>
    <w:p w14:paraId="117FC587">
      <w:pPr>
        <w:spacing w:line="900" w:lineRule="exact"/>
        <w:jc w:val="center"/>
        <w:rPr>
          <w:rFonts w:asciiTheme="minorEastAsia" w:hAnsiTheme="minorEastAsia" w:eastAsiaTheme="minorEastAsia"/>
          <w:b/>
          <w:color w:val="auto"/>
          <w:sz w:val="72"/>
          <w:highlight w:val="none"/>
        </w:rPr>
      </w:pPr>
    </w:p>
    <w:p w14:paraId="2C258CC6">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6DACC3C5">
      <w:pPr>
        <w:spacing w:line="900" w:lineRule="exact"/>
        <w:jc w:val="center"/>
        <w:rPr>
          <w:rFonts w:asciiTheme="minorEastAsia" w:hAnsiTheme="minorEastAsia" w:eastAsiaTheme="minorEastAsia"/>
          <w:b/>
          <w:color w:val="auto"/>
          <w:sz w:val="72"/>
          <w:highlight w:val="none"/>
        </w:rPr>
      </w:pPr>
    </w:p>
    <w:p w14:paraId="5D1CD7E2">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EA1D0EC">
      <w:pPr>
        <w:spacing w:line="900" w:lineRule="exact"/>
        <w:jc w:val="center"/>
        <w:rPr>
          <w:rFonts w:asciiTheme="minorEastAsia" w:hAnsiTheme="minorEastAsia" w:eastAsiaTheme="minorEastAsia"/>
          <w:b/>
          <w:color w:val="auto"/>
          <w:sz w:val="72"/>
          <w:highlight w:val="none"/>
        </w:rPr>
      </w:pPr>
    </w:p>
    <w:p w14:paraId="40EB8D80">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7523DBC">
      <w:pPr>
        <w:spacing w:line="900" w:lineRule="exact"/>
        <w:jc w:val="center"/>
        <w:rPr>
          <w:rFonts w:asciiTheme="minorEastAsia" w:hAnsiTheme="minorEastAsia" w:eastAsiaTheme="minorEastAsia"/>
          <w:b/>
          <w:color w:val="auto"/>
          <w:sz w:val="72"/>
          <w:highlight w:val="none"/>
        </w:rPr>
      </w:pPr>
    </w:p>
    <w:p w14:paraId="6B1A2927">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99D998B">
      <w:pPr>
        <w:spacing w:after="156" w:afterLines="50"/>
        <w:jc w:val="center"/>
        <w:rPr>
          <w:rFonts w:asciiTheme="minorEastAsia" w:hAnsiTheme="minorEastAsia" w:eastAsiaTheme="minorEastAsia"/>
          <w:b/>
          <w:color w:val="auto"/>
          <w:sz w:val="72"/>
          <w:highlight w:val="none"/>
        </w:rPr>
      </w:pPr>
    </w:p>
    <w:p w14:paraId="32C6A32F">
      <w:pPr>
        <w:spacing w:after="156" w:afterLines="50" w:line="500" w:lineRule="exact"/>
        <w:jc w:val="center"/>
        <w:rPr>
          <w:rFonts w:asciiTheme="minorEastAsia" w:hAnsiTheme="minorEastAsia" w:eastAsiaTheme="minorEastAsia"/>
          <w:b/>
          <w:color w:val="auto"/>
          <w:sz w:val="28"/>
          <w:szCs w:val="28"/>
          <w:highlight w:val="none"/>
        </w:rPr>
      </w:pPr>
    </w:p>
    <w:p w14:paraId="25C5484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B05845E">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CF330BF">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D612FDD">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52" w:name="_Toc24911"/>
      <w:bookmarkStart w:id="653" w:name="_Toc1989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52"/>
      <w:bookmarkEnd w:id="653"/>
    </w:p>
    <w:p w14:paraId="334EC9B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84081C1">
      <w:pPr>
        <w:spacing w:line="360" w:lineRule="auto"/>
        <w:jc w:val="center"/>
        <w:outlineLvl w:val="1"/>
        <w:rPr>
          <w:rFonts w:asciiTheme="minorEastAsia" w:hAnsiTheme="minorEastAsia" w:eastAsiaTheme="minorEastAsia"/>
          <w:b/>
          <w:color w:val="auto"/>
          <w:sz w:val="24"/>
          <w:highlight w:val="none"/>
        </w:rPr>
      </w:pPr>
      <w:bookmarkStart w:id="654" w:name="_Toc461056631"/>
      <w:bookmarkStart w:id="655" w:name="_Toc461053086"/>
      <w:bookmarkStart w:id="656" w:name="_Toc520983587"/>
      <w:bookmarkStart w:id="657" w:name="_Toc28280"/>
      <w:bookmarkStart w:id="658" w:name="_Toc21496"/>
      <w:r>
        <w:rPr>
          <w:rFonts w:hint="eastAsia" w:asciiTheme="minorEastAsia" w:hAnsiTheme="minorEastAsia" w:eastAsiaTheme="minorEastAsia"/>
          <w:b/>
          <w:color w:val="auto"/>
          <w:sz w:val="24"/>
          <w:highlight w:val="none"/>
        </w:rPr>
        <w:t>一</w:t>
      </w:r>
      <w:bookmarkEnd w:id="654"/>
      <w:bookmarkEnd w:id="655"/>
      <w:r>
        <w:rPr>
          <w:rFonts w:hint="eastAsia" w:asciiTheme="minorEastAsia" w:hAnsiTheme="minorEastAsia" w:eastAsiaTheme="minorEastAsia"/>
          <w:b/>
          <w:color w:val="auto"/>
          <w:sz w:val="24"/>
          <w:highlight w:val="none"/>
        </w:rPr>
        <w:t>、报价表格式</w:t>
      </w:r>
      <w:bookmarkEnd w:id="656"/>
      <w:bookmarkEnd w:id="657"/>
      <w:bookmarkEnd w:id="658"/>
    </w:p>
    <w:p w14:paraId="6B6205C4">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425D42CD">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某项目    </w:t>
      </w:r>
    </w:p>
    <w:p w14:paraId="171E0A94">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某编号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09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A3BDCA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0AC238FF">
            <w:pPr>
              <w:rPr>
                <w:rFonts w:cs="宋体" w:asciiTheme="minorEastAsia" w:hAnsiTheme="minorEastAsia" w:eastAsiaTheme="minorEastAsia"/>
                <w:b/>
                <w:color w:val="auto"/>
                <w:kern w:val="2"/>
                <w:sz w:val="24"/>
                <w:szCs w:val="24"/>
                <w:highlight w:val="none"/>
              </w:rPr>
            </w:pPr>
          </w:p>
        </w:tc>
      </w:tr>
      <w:tr w14:paraId="25A2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18B706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2F3471C5">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w:t>
            </w:r>
          </w:p>
        </w:tc>
      </w:tr>
      <w:tr w14:paraId="143C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BA6DBA8">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29ABAF9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01D8E24C">
            <w:pPr>
              <w:snapToGrid w:val="0"/>
              <w:rPr>
                <w:rFonts w:cs="宋体" w:asciiTheme="minorEastAsia" w:hAnsiTheme="minorEastAsia" w:eastAsiaTheme="minorEastAsia"/>
                <w:color w:val="auto"/>
                <w:kern w:val="2"/>
                <w:sz w:val="24"/>
                <w:szCs w:val="24"/>
                <w:highlight w:val="none"/>
              </w:rPr>
            </w:pPr>
          </w:p>
          <w:p w14:paraId="0FEA24E4">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28FE264">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52573D8A">
            <w:pPr>
              <w:snapToGrid w:val="0"/>
              <w:rPr>
                <w:rFonts w:cs="宋体" w:asciiTheme="minorEastAsia" w:hAnsiTheme="minorEastAsia" w:eastAsiaTheme="minorEastAsia"/>
                <w:b/>
                <w:color w:val="auto"/>
                <w:kern w:val="2"/>
                <w:sz w:val="24"/>
                <w:szCs w:val="24"/>
                <w:highlight w:val="none"/>
              </w:rPr>
            </w:pPr>
          </w:p>
        </w:tc>
      </w:tr>
      <w:tr w14:paraId="0508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3F4D087">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183DF8C7">
            <w:pPr>
              <w:snapToGrid w:val="0"/>
              <w:rPr>
                <w:rFonts w:cs="宋体" w:asciiTheme="minorEastAsia" w:hAnsiTheme="minorEastAsia" w:eastAsiaTheme="minorEastAsia"/>
                <w:b/>
                <w:color w:val="auto"/>
                <w:kern w:val="2"/>
                <w:sz w:val="24"/>
                <w:szCs w:val="24"/>
                <w:highlight w:val="none"/>
              </w:rPr>
            </w:pPr>
          </w:p>
        </w:tc>
      </w:tr>
      <w:tr w14:paraId="1F7D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2E3FF6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5B4C9615">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w:t>
            </w:r>
            <w:r>
              <w:rPr>
                <w:rFonts w:hint="eastAsia" w:cs="宋体" w:asciiTheme="minorEastAsia" w:hAnsiTheme="minorEastAsia" w:eastAsiaTheme="minorEastAsia"/>
                <w:bCs/>
                <w:color w:val="auto"/>
                <w:kern w:val="2"/>
                <w:sz w:val="24"/>
                <w:szCs w:val="24"/>
                <w:highlight w:val="none"/>
                <w:lang w:val="en-US" w:eastAsia="zh-CN"/>
              </w:rPr>
              <w:t>采购人通知</w:t>
            </w:r>
            <w:r>
              <w:rPr>
                <w:rFonts w:hint="eastAsia" w:cs="宋体" w:asciiTheme="minorEastAsia" w:hAnsiTheme="minorEastAsia" w:eastAsiaTheme="minorEastAsia"/>
                <w:bCs/>
                <w:color w:val="auto"/>
                <w:kern w:val="2"/>
                <w:sz w:val="24"/>
                <w:szCs w:val="24"/>
                <w:highlight w:val="none"/>
              </w:rPr>
              <w:t>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5B9C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AFE23DC">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0F24FFC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4B0F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0012682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7178747C">
            <w:pPr>
              <w:rPr>
                <w:rFonts w:cs="宋体" w:asciiTheme="minorEastAsia" w:hAnsiTheme="minorEastAsia" w:eastAsiaTheme="minorEastAsia"/>
                <w:b/>
                <w:color w:val="auto"/>
                <w:kern w:val="2"/>
                <w:sz w:val="24"/>
                <w:szCs w:val="24"/>
                <w:highlight w:val="none"/>
              </w:rPr>
            </w:pPr>
          </w:p>
        </w:tc>
      </w:tr>
    </w:tbl>
    <w:p w14:paraId="48174BD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0943C51">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44A03A5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09EBEECC">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5087F8E9">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290073E4">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78FE7BB3">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2F39C5AF">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6430A31D">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19879222">
      <w:pPr>
        <w:autoSpaceDE w:val="0"/>
        <w:autoSpaceDN w:val="0"/>
        <w:adjustRightInd w:val="0"/>
        <w:spacing w:before="20" w:after="20" w:line="360" w:lineRule="auto"/>
        <w:jc w:val="center"/>
        <w:outlineLvl w:val="1"/>
        <w:rPr>
          <w:rFonts w:cs="宋体" w:asciiTheme="minorEastAsia" w:hAnsiTheme="minorEastAsia" w:eastAsiaTheme="minorEastAsia"/>
          <w:b/>
          <w:color w:val="auto"/>
          <w:sz w:val="24"/>
          <w:szCs w:val="24"/>
          <w:highlight w:val="none"/>
        </w:rPr>
      </w:pPr>
      <w:bookmarkStart w:id="659" w:name="_Toc1874"/>
      <w:bookmarkStart w:id="660" w:name="_Toc26702"/>
      <w:r>
        <w:rPr>
          <w:rFonts w:hint="eastAsia" w:cs="宋体" w:asciiTheme="minorEastAsia" w:hAnsiTheme="minorEastAsia" w:eastAsiaTheme="minorEastAsia"/>
          <w:b/>
          <w:color w:val="auto"/>
          <w:sz w:val="24"/>
          <w:szCs w:val="24"/>
          <w:highlight w:val="none"/>
        </w:rPr>
        <w:t>工程量清单报价书</w:t>
      </w:r>
      <w:bookmarkEnd w:id="659"/>
      <w:bookmarkEnd w:id="660"/>
    </w:p>
    <w:p w14:paraId="4974DA1D">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727FBB66">
      <w:pPr>
        <w:rPr>
          <w:b/>
          <w:bCs/>
          <w:color w:val="auto"/>
          <w:sz w:val="24"/>
          <w:szCs w:val="28"/>
          <w:highlight w:val="none"/>
        </w:rPr>
      </w:pPr>
      <w:r>
        <w:rPr>
          <w:b/>
          <w:bCs/>
          <w:color w:val="auto"/>
          <w:sz w:val="24"/>
          <w:szCs w:val="28"/>
          <w:highlight w:val="none"/>
        </w:rPr>
        <w:br w:type="page"/>
      </w:r>
    </w:p>
    <w:p w14:paraId="15FC90A4">
      <w:pPr>
        <w:jc w:val="center"/>
        <w:rPr>
          <w:rFonts w:ascii="Calibri" w:hAnsi="Calibri"/>
          <w:b/>
          <w:color w:val="auto"/>
          <w:sz w:val="24"/>
          <w:szCs w:val="24"/>
          <w:highlight w:val="none"/>
        </w:rPr>
      </w:pPr>
      <w:r>
        <w:rPr>
          <w:rFonts w:hint="eastAsia" w:ascii="FangSong_GB2312" w:hAnsi="Calibri" w:eastAsia="FangSong_GB2312"/>
          <w:b/>
          <w:color w:val="auto"/>
          <w:sz w:val="24"/>
          <w:szCs w:val="24"/>
          <w:highlight w:val="none"/>
        </w:rPr>
        <w:t>①</w:t>
      </w:r>
      <w:r>
        <w:rPr>
          <w:rFonts w:hint="eastAsia" w:ascii="Calibri" w:hAnsi="Calibri"/>
          <w:b/>
          <w:color w:val="auto"/>
          <w:sz w:val="24"/>
          <w:szCs w:val="24"/>
          <w:highlight w:val="none"/>
        </w:rPr>
        <w:t>工程量清单报价书（封面）</w:t>
      </w:r>
    </w:p>
    <w:p w14:paraId="169695BD">
      <w:pPr>
        <w:ind w:firstLine="482" w:firstLineChars="200"/>
        <w:jc w:val="center"/>
        <w:rPr>
          <w:rFonts w:hint="default" w:ascii="Calibri" w:hAnsi="Calibri"/>
          <w:b/>
          <w:color w:val="auto"/>
          <w:sz w:val="24"/>
          <w:szCs w:val="24"/>
          <w:highlight w:val="none"/>
        </w:rPr>
      </w:pPr>
    </w:p>
    <w:p w14:paraId="62ABBBAC">
      <w:pPr>
        <w:ind w:firstLine="482" w:firstLineChars="200"/>
        <w:jc w:val="center"/>
        <w:rPr>
          <w:rFonts w:ascii="Calibri" w:hAnsi="Calibri"/>
          <w:b/>
          <w:color w:val="auto"/>
          <w:sz w:val="24"/>
          <w:szCs w:val="24"/>
          <w:highlight w:val="none"/>
        </w:rPr>
      </w:pPr>
      <w:r>
        <w:rPr>
          <w:rFonts w:hint="default" w:ascii="Calibri" w:hAnsi="Calibri"/>
          <w:b/>
          <w:color w:val="auto"/>
          <w:sz w:val="24"/>
          <w:szCs w:val="24"/>
          <w:highlight w:val="none"/>
        </w:rPr>
        <w:t>响应</w:t>
      </w:r>
      <w:r>
        <w:rPr>
          <w:rFonts w:hint="eastAsia" w:ascii="Calibri" w:hAnsi="Calibri"/>
          <w:b/>
          <w:color w:val="auto"/>
          <w:sz w:val="24"/>
          <w:szCs w:val="24"/>
          <w:highlight w:val="none"/>
        </w:rPr>
        <w:t>总价</w:t>
      </w:r>
    </w:p>
    <w:p w14:paraId="4EC41306">
      <w:pPr>
        <w:spacing w:line="800" w:lineRule="exact"/>
        <w:ind w:firstLine="480" w:firstLineChars="200"/>
        <w:rPr>
          <w:rFonts w:ascii="Calibri" w:hAnsi="Calibri"/>
          <w:color w:val="auto"/>
          <w:sz w:val="24"/>
          <w:szCs w:val="24"/>
          <w:highlight w:val="none"/>
          <w:u w:val="single"/>
        </w:rPr>
      </w:pPr>
      <w:r>
        <w:rPr>
          <w:rFonts w:hint="default" w:ascii="Calibri" w:hAnsi="Calibri"/>
          <w:color w:val="auto"/>
          <w:sz w:val="24"/>
          <w:szCs w:val="24"/>
          <w:highlight w:val="none"/>
        </w:rPr>
        <w:t>采购人</w:t>
      </w:r>
      <w:r>
        <w:rPr>
          <w:rFonts w:hint="eastAsia" w:ascii="Calibri" w:hAnsi="Calibri"/>
          <w:color w:val="auto"/>
          <w:sz w:val="24"/>
          <w:szCs w:val="24"/>
          <w:highlight w:val="none"/>
        </w:rPr>
        <w:t>：</w:t>
      </w:r>
      <w:r>
        <w:rPr>
          <w:rFonts w:hint="eastAsia" w:ascii="Calibri" w:hAnsi="Calibri"/>
          <w:color w:val="auto"/>
          <w:sz w:val="24"/>
          <w:szCs w:val="24"/>
          <w:highlight w:val="none"/>
          <w:u w:val="single"/>
        </w:rPr>
        <w:t xml:space="preserve">                                                 </w:t>
      </w:r>
    </w:p>
    <w:p w14:paraId="709D2A6E">
      <w:pPr>
        <w:spacing w:line="800" w:lineRule="exact"/>
        <w:ind w:firstLine="480" w:firstLineChars="200"/>
        <w:rPr>
          <w:rFonts w:ascii="Calibri" w:hAnsi="Calibri"/>
          <w:color w:val="auto"/>
          <w:sz w:val="24"/>
          <w:szCs w:val="24"/>
          <w:highlight w:val="none"/>
        </w:rPr>
      </w:pPr>
      <w:r>
        <w:rPr>
          <w:rFonts w:hint="eastAsia" w:ascii="Calibri" w:hAnsi="Calibri"/>
          <w:color w:val="auto"/>
          <w:sz w:val="24"/>
          <w:szCs w:val="24"/>
          <w:highlight w:val="none"/>
        </w:rPr>
        <w:t>工程名称：</w:t>
      </w:r>
      <w:r>
        <w:rPr>
          <w:rFonts w:hint="eastAsia" w:ascii="Calibri" w:hAnsi="Calibri"/>
          <w:color w:val="auto"/>
          <w:sz w:val="24"/>
          <w:szCs w:val="24"/>
          <w:highlight w:val="none"/>
          <w:u w:val="single"/>
        </w:rPr>
        <w:t xml:space="preserve">                                               </w:t>
      </w:r>
    </w:p>
    <w:p w14:paraId="469DE71D">
      <w:pPr>
        <w:spacing w:line="800" w:lineRule="exact"/>
        <w:ind w:firstLine="480" w:firstLineChars="200"/>
        <w:rPr>
          <w:rFonts w:ascii="Calibri" w:hAnsi="Calibri"/>
          <w:color w:val="auto"/>
          <w:sz w:val="24"/>
          <w:szCs w:val="24"/>
          <w:highlight w:val="none"/>
          <w:u w:val="single"/>
        </w:rPr>
      </w:pPr>
      <w:r>
        <w:rPr>
          <w:rFonts w:hint="default" w:ascii="Calibri" w:hAnsi="Calibri"/>
          <w:color w:val="auto"/>
          <w:sz w:val="24"/>
          <w:szCs w:val="24"/>
          <w:highlight w:val="none"/>
        </w:rPr>
        <w:t>响应</w:t>
      </w:r>
      <w:r>
        <w:rPr>
          <w:rFonts w:hint="eastAsia" w:ascii="Calibri" w:hAnsi="Calibri"/>
          <w:color w:val="auto"/>
          <w:sz w:val="24"/>
          <w:szCs w:val="24"/>
          <w:highlight w:val="none"/>
        </w:rPr>
        <w:t>总价（小写）：</w:t>
      </w:r>
      <w:r>
        <w:rPr>
          <w:rFonts w:hint="eastAsia" w:ascii="Calibri" w:hAnsi="Calibri"/>
          <w:color w:val="auto"/>
          <w:sz w:val="24"/>
          <w:szCs w:val="24"/>
          <w:highlight w:val="none"/>
          <w:u w:val="single"/>
        </w:rPr>
        <w:t xml:space="preserve">                                       </w:t>
      </w:r>
    </w:p>
    <w:p w14:paraId="52A00231">
      <w:pPr>
        <w:spacing w:line="800" w:lineRule="exact"/>
        <w:ind w:firstLine="1440" w:firstLineChars="600"/>
        <w:rPr>
          <w:rFonts w:ascii="Calibri" w:hAnsi="Calibri"/>
          <w:color w:val="auto"/>
          <w:sz w:val="24"/>
          <w:szCs w:val="24"/>
          <w:highlight w:val="none"/>
        </w:rPr>
      </w:pPr>
      <w:r>
        <w:rPr>
          <w:rFonts w:hint="eastAsia" w:ascii="Calibri" w:hAnsi="Calibri"/>
          <w:color w:val="auto"/>
          <w:sz w:val="24"/>
          <w:szCs w:val="24"/>
          <w:highlight w:val="none"/>
        </w:rPr>
        <w:t>（大写）：</w:t>
      </w:r>
      <w:r>
        <w:rPr>
          <w:rFonts w:hint="eastAsia" w:ascii="Calibri" w:hAnsi="Calibri"/>
          <w:color w:val="auto"/>
          <w:sz w:val="24"/>
          <w:szCs w:val="24"/>
          <w:highlight w:val="none"/>
          <w:u w:val="single"/>
        </w:rPr>
        <w:t xml:space="preserve">                                       </w:t>
      </w:r>
    </w:p>
    <w:p w14:paraId="2199B43E">
      <w:pPr>
        <w:spacing w:line="800" w:lineRule="exact"/>
        <w:ind w:firstLine="480" w:firstLineChars="200"/>
        <w:rPr>
          <w:rFonts w:ascii="Calibri" w:hAnsi="Calibri"/>
          <w:color w:val="auto"/>
          <w:sz w:val="24"/>
          <w:szCs w:val="24"/>
          <w:highlight w:val="none"/>
        </w:rPr>
      </w:pPr>
    </w:p>
    <w:p w14:paraId="1F275674">
      <w:pPr>
        <w:spacing w:line="800" w:lineRule="exact"/>
        <w:ind w:firstLine="480" w:firstLineChars="200"/>
        <w:rPr>
          <w:rFonts w:ascii="Calibri" w:hAnsi="Calibri"/>
          <w:color w:val="auto"/>
          <w:sz w:val="24"/>
          <w:szCs w:val="24"/>
          <w:highlight w:val="none"/>
        </w:rPr>
      </w:pPr>
      <w:r>
        <w:rPr>
          <w:rFonts w:hint="default" w:ascii="Calibri" w:hAnsi="Calibri"/>
          <w:color w:val="auto"/>
          <w:sz w:val="24"/>
          <w:szCs w:val="24"/>
          <w:highlight w:val="none"/>
        </w:rPr>
        <w:t>供应商</w:t>
      </w:r>
      <w:r>
        <w:rPr>
          <w:rFonts w:hint="eastAsia" w:ascii="Calibri" w:hAnsi="Calibri"/>
          <w:color w:val="auto"/>
          <w:sz w:val="24"/>
          <w:szCs w:val="24"/>
          <w:highlight w:val="none"/>
        </w:rPr>
        <w:t>：</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 xml:space="preserve"> (单位盖章)</w:t>
      </w:r>
    </w:p>
    <w:p w14:paraId="325B5BC2">
      <w:pPr>
        <w:spacing w:line="800" w:lineRule="exact"/>
        <w:ind w:firstLine="480" w:firstLineChars="200"/>
        <w:rPr>
          <w:rFonts w:ascii="Calibri" w:hAnsi="Calibri"/>
          <w:color w:val="auto"/>
          <w:sz w:val="24"/>
          <w:szCs w:val="24"/>
          <w:highlight w:val="none"/>
        </w:rPr>
      </w:pPr>
      <w:r>
        <w:rPr>
          <w:rFonts w:hint="eastAsia" w:ascii="Calibri" w:hAnsi="Calibri"/>
          <w:color w:val="auto"/>
          <w:sz w:val="24"/>
          <w:szCs w:val="24"/>
          <w:highlight w:val="none"/>
        </w:rPr>
        <w:t>法定代表人：</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 xml:space="preserve"> (签字或盖章)</w:t>
      </w:r>
    </w:p>
    <w:p w14:paraId="0AD5B94B">
      <w:pPr>
        <w:spacing w:line="800" w:lineRule="exact"/>
        <w:ind w:firstLine="480" w:firstLineChars="200"/>
        <w:rPr>
          <w:rFonts w:ascii="Calibri" w:hAnsi="Calibri"/>
          <w:color w:val="auto"/>
          <w:sz w:val="24"/>
          <w:szCs w:val="24"/>
          <w:highlight w:val="none"/>
          <w:u w:val="single"/>
        </w:rPr>
      </w:pPr>
      <w:r>
        <w:rPr>
          <w:rFonts w:hint="eastAsia" w:ascii="Calibri" w:hAnsi="Calibri"/>
          <w:color w:val="auto"/>
          <w:sz w:val="24"/>
          <w:szCs w:val="24"/>
          <w:highlight w:val="none"/>
        </w:rPr>
        <w:t>编制人：</w:t>
      </w:r>
      <w:r>
        <w:rPr>
          <w:rFonts w:hint="eastAsia" w:ascii="Calibri" w:hAnsi="Calibri"/>
          <w:color w:val="auto"/>
          <w:sz w:val="24"/>
          <w:szCs w:val="24"/>
          <w:highlight w:val="none"/>
          <w:u w:val="single"/>
        </w:rPr>
        <w:t xml:space="preserve">                                                 </w:t>
      </w:r>
    </w:p>
    <w:p w14:paraId="5247EF19">
      <w:pPr>
        <w:spacing w:line="800" w:lineRule="exact"/>
        <w:ind w:firstLine="2040" w:firstLineChars="850"/>
        <w:rPr>
          <w:rFonts w:ascii="Calibri" w:hAnsi="Calibri"/>
          <w:color w:val="auto"/>
          <w:sz w:val="24"/>
          <w:szCs w:val="24"/>
          <w:highlight w:val="none"/>
        </w:rPr>
      </w:pPr>
      <w:r>
        <w:rPr>
          <w:rFonts w:hint="eastAsia" w:ascii="Calibri" w:hAnsi="Calibri"/>
          <w:color w:val="auto"/>
          <w:sz w:val="24"/>
          <w:szCs w:val="24"/>
          <w:highlight w:val="none"/>
        </w:rPr>
        <w:t xml:space="preserve"> (注册造价工程师签字并盖执业专用章)</w:t>
      </w:r>
    </w:p>
    <w:p w14:paraId="2823A556">
      <w:pPr>
        <w:spacing w:line="800" w:lineRule="exact"/>
        <w:ind w:firstLine="480" w:firstLineChars="200"/>
        <w:rPr>
          <w:rFonts w:ascii="Calibri" w:hAnsi="Calibri"/>
          <w:color w:val="auto"/>
          <w:sz w:val="24"/>
          <w:szCs w:val="24"/>
          <w:highlight w:val="none"/>
        </w:rPr>
      </w:pPr>
      <w:r>
        <w:rPr>
          <w:rFonts w:hint="eastAsia" w:ascii="Calibri" w:hAnsi="Calibri"/>
          <w:color w:val="auto"/>
          <w:sz w:val="24"/>
          <w:szCs w:val="24"/>
          <w:highlight w:val="none"/>
        </w:rPr>
        <w:t>编制时间：</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年</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月</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日</w:t>
      </w:r>
    </w:p>
    <w:p w14:paraId="349CE487">
      <w:pPr>
        <w:rPr>
          <w:color w:val="auto"/>
        </w:rPr>
      </w:pPr>
      <w:r>
        <w:rPr>
          <w:color w:val="auto"/>
        </w:rPr>
        <w:br w:type="page"/>
      </w:r>
    </w:p>
    <w:p w14:paraId="6103BAE5">
      <w:pPr>
        <w:spacing w:line="360" w:lineRule="auto"/>
        <w:jc w:val="center"/>
        <w:outlineLvl w:val="1"/>
        <w:rPr>
          <w:rFonts w:asciiTheme="minorEastAsia" w:hAnsiTheme="minorEastAsia" w:eastAsiaTheme="minorEastAsia"/>
          <w:b/>
          <w:color w:val="auto"/>
          <w:sz w:val="24"/>
          <w:highlight w:val="none"/>
        </w:rPr>
      </w:pPr>
      <w:bookmarkStart w:id="661" w:name="_Toc461056632"/>
      <w:bookmarkStart w:id="662" w:name="_Toc461053087"/>
      <w:bookmarkStart w:id="663" w:name="_Toc22341"/>
      <w:bookmarkStart w:id="664" w:name="_Toc520983588"/>
      <w:bookmarkStart w:id="665" w:name="_Toc20879"/>
      <w:r>
        <w:rPr>
          <w:rFonts w:hint="eastAsia" w:asciiTheme="minorEastAsia" w:hAnsiTheme="minorEastAsia" w:eastAsiaTheme="minorEastAsia"/>
          <w:b/>
          <w:color w:val="auto"/>
          <w:sz w:val="24"/>
          <w:highlight w:val="none"/>
        </w:rPr>
        <w:t>二</w:t>
      </w:r>
      <w:bookmarkEnd w:id="661"/>
      <w:bookmarkEnd w:id="662"/>
      <w:r>
        <w:rPr>
          <w:rFonts w:hint="eastAsia" w:asciiTheme="minorEastAsia" w:hAnsiTheme="minorEastAsia" w:eastAsiaTheme="minorEastAsia"/>
          <w:b/>
          <w:color w:val="auto"/>
          <w:sz w:val="24"/>
          <w:highlight w:val="none"/>
        </w:rPr>
        <w:t>、最后承诺报价表</w:t>
      </w:r>
      <w:bookmarkEnd w:id="663"/>
      <w:bookmarkEnd w:id="664"/>
      <w:bookmarkEnd w:id="665"/>
    </w:p>
    <w:p w14:paraId="0EE7A619">
      <w:pPr>
        <w:spacing w:before="156" w:beforeLines="50" w:after="156" w:afterLines="50" w:line="360" w:lineRule="auto"/>
        <w:ind w:firstLine="236" w:firstLineChars="98"/>
        <w:jc w:val="center"/>
        <w:outlineLvl w:val="1"/>
        <w:rPr>
          <w:b/>
          <w:color w:val="auto"/>
          <w:sz w:val="24"/>
          <w:szCs w:val="28"/>
          <w:highlight w:val="none"/>
        </w:rPr>
      </w:pPr>
      <w:bookmarkStart w:id="666" w:name="_Toc13333"/>
      <w:bookmarkStart w:id="667" w:name="_Toc8562"/>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666"/>
      <w:bookmarkEnd w:id="667"/>
    </w:p>
    <w:p w14:paraId="19A7588B">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07F9BBE7">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9C0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8AC938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5335C941">
            <w:pPr>
              <w:rPr>
                <w:rFonts w:cs="宋体" w:asciiTheme="minorEastAsia" w:hAnsiTheme="minorEastAsia" w:eastAsiaTheme="minorEastAsia"/>
                <w:b/>
                <w:color w:val="auto"/>
                <w:kern w:val="2"/>
                <w:sz w:val="24"/>
                <w:szCs w:val="24"/>
                <w:highlight w:val="none"/>
              </w:rPr>
            </w:pPr>
          </w:p>
        </w:tc>
      </w:tr>
      <w:tr w14:paraId="4AE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15C86F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5C3A4C10">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0839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180F5ACD">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5BAFDDC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59DB2F23">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2FD5607">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B9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B0F8036">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2779F8BC">
            <w:pPr>
              <w:snapToGrid w:val="0"/>
              <w:rPr>
                <w:rFonts w:cs="宋体" w:asciiTheme="minorEastAsia" w:hAnsiTheme="minorEastAsia" w:eastAsiaTheme="minorEastAsia"/>
                <w:b/>
                <w:color w:val="auto"/>
                <w:kern w:val="2"/>
                <w:sz w:val="24"/>
                <w:szCs w:val="24"/>
                <w:highlight w:val="none"/>
              </w:rPr>
            </w:pPr>
          </w:p>
        </w:tc>
      </w:tr>
      <w:tr w14:paraId="278F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A43C16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09AA531B">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w:t>
            </w:r>
            <w:r>
              <w:rPr>
                <w:rFonts w:hint="eastAsia" w:cs="宋体" w:asciiTheme="minorEastAsia" w:hAnsiTheme="minorEastAsia" w:eastAsiaTheme="minorEastAsia"/>
                <w:bCs/>
                <w:color w:val="auto"/>
                <w:kern w:val="2"/>
                <w:sz w:val="24"/>
                <w:szCs w:val="24"/>
                <w:highlight w:val="none"/>
                <w:lang w:val="en-US" w:eastAsia="zh-CN"/>
              </w:rPr>
              <w:t>采购人通知</w:t>
            </w:r>
            <w:r>
              <w:rPr>
                <w:rFonts w:hint="eastAsia" w:cs="宋体" w:asciiTheme="minorEastAsia" w:hAnsiTheme="minorEastAsia" w:eastAsiaTheme="minorEastAsia"/>
                <w:bCs/>
                <w:color w:val="auto"/>
                <w:kern w:val="2"/>
                <w:sz w:val="24"/>
                <w:szCs w:val="24"/>
                <w:highlight w:val="none"/>
              </w:rPr>
              <w:t>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0CF3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948B7D1">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29174693">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19E4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3AEFF9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48D4D0CF">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6296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2B86C9F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34694F7">
            <w:pPr>
              <w:rPr>
                <w:rFonts w:cs="宋体" w:asciiTheme="minorEastAsia" w:hAnsiTheme="minorEastAsia" w:eastAsiaTheme="minorEastAsia"/>
                <w:b/>
                <w:color w:val="auto"/>
                <w:kern w:val="2"/>
                <w:sz w:val="24"/>
                <w:szCs w:val="24"/>
                <w:highlight w:val="none"/>
              </w:rPr>
            </w:pPr>
          </w:p>
        </w:tc>
      </w:tr>
    </w:tbl>
    <w:p w14:paraId="43EE5FCB">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1DCF8F9">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7B3CFF91">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15EFA4F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bCs/>
          <w:color w:val="auto"/>
          <w:sz w:val="24"/>
          <w:highlight w:val="none"/>
        </w:rPr>
      </w:pP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本页《报价表》由供应商在接到报价通知后依据磋商情况填写,并在规定时间内提交。</w:t>
      </w:r>
      <w:r>
        <w:rPr>
          <w:rFonts w:hint="eastAsia" w:cs="宋体" w:asciiTheme="minorEastAsia" w:hAnsiTheme="minorEastAsia" w:eastAsiaTheme="minorEastAsia"/>
          <w:color w:val="auto"/>
          <w:kern w:val="2"/>
          <w:sz w:val="24"/>
          <w:szCs w:val="24"/>
          <w:highlight w:val="none"/>
        </w:rPr>
        <w:t>考虑磋商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19643858">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8BBD8D6">
      <w:pPr>
        <w:widowControl/>
        <w:jc w:val="left"/>
        <w:rPr>
          <w:bCs/>
          <w:color w:val="auto"/>
          <w:sz w:val="24"/>
          <w:highlight w:val="none"/>
        </w:rPr>
      </w:pPr>
      <w:r>
        <w:rPr>
          <w:bCs/>
          <w:color w:val="auto"/>
          <w:sz w:val="24"/>
          <w:highlight w:val="none"/>
        </w:rPr>
        <w:br w:type="page"/>
      </w:r>
    </w:p>
    <w:p w14:paraId="1E4501B7">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68" w:name="_Toc22429"/>
      <w:bookmarkStart w:id="669" w:name="_Toc7943"/>
      <w:bookmarkStart w:id="670"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668"/>
      <w:bookmarkEnd w:id="669"/>
    </w:p>
    <w:p w14:paraId="4F032F06">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78731CBB">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9E0A720">
      <w:pPr>
        <w:spacing w:line="360" w:lineRule="auto"/>
        <w:jc w:val="center"/>
        <w:outlineLvl w:val="1"/>
        <w:rPr>
          <w:rFonts w:asciiTheme="minorEastAsia" w:hAnsiTheme="minorEastAsia" w:eastAsiaTheme="minorEastAsia"/>
          <w:b/>
          <w:color w:val="auto"/>
          <w:sz w:val="24"/>
          <w:highlight w:val="none"/>
        </w:rPr>
      </w:pPr>
      <w:bookmarkStart w:id="671" w:name="_Toc8006"/>
      <w:bookmarkStart w:id="672" w:name="_Toc28160"/>
      <w:r>
        <w:rPr>
          <w:rFonts w:hint="eastAsia" w:asciiTheme="minorEastAsia" w:hAnsiTheme="minorEastAsia" w:eastAsiaTheme="minorEastAsia"/>
          <w:b/>
          <w:color w:val="auto"/>
          <w:sz w:val="24"/>
          <w:highlight w:val="none"/>
        </w:rPr>
        <w:t>四、磋商响应函</w:t>
      </w:r>
      <w:bookmarkEnd w:id="670"/>
      <w:bookmarkEnd w:id="671"/>
      <w:bookmarkEnd w:id="672"/>
    </w:p>
    <w:p w14:paraId="182AF00A">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采购人</w:t>
      </w:r>
    </w:p>
    <w:p w14:paraId="5BEA3385">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16AA8E16">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2B498C7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4A3CA3B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6A7AD88E">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220BCFC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10C7CF3">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3FF44EF5">
      <w:pPr>
        <w:pStyle w:val="53"/>
        <w:ind w:firstLine="200"/>
        <w:rPr>
          <w:color w:val="auto"/>
          <w:highlight w:val="none"/>
          <w:lang w:val="en-US"/>
        </w:rPr>
      </w:pPr>
    </w:p>
    <w:p w14:paraId="205849E8">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46225DF5">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2F5DAE4C">
      <w:pPr>
        <w:widowControl/>
        <w:jc w:val="left"/>
        <w:rPr>
          <w:color w:val="auto"/>
          <w:sz w:val="24"/>
          <w:highlight w:val="none"/>
        </w:rPr>
      </w:pPr>
      <w:r>
        <w:rPr>
          <w:color w:val="auto"/>
          <w:sz w:val="24"/>
          <w:highlight w:val="none"/>
        </w:rPr>
        <w:br w:type="page"/>
      </w:r>
    </w:p>
    <w:p w14:paraId="41391272">
      <w:pPr>
        <w:spacing w:line="360" w:lineRule="auto"/>
        <w:jc w:val="center"/>
        <w:outlineLvl w:val="1"/>
        <w:rPr>
          <w:b/>
          <w:i/>
          <w:color w:val="auto"/>
          <w:sz w:val="24"/>
          <w:highlight w:val="none"/>
        </w:rPr>
      </w:pPr>
      <w:bookmarkStart w:id="673" w:name="_Toc2947"/>
      <w:bookmarkStart w:id="674" w:name="_Toc20728"/>
      <w:r>
        <w:rPr>
          <w:rFonts w:hint="eastAsia" w:asciiTheme="minorEastAsia" w:hAnsiTheme="minorEastAsia" w:eastAsiaTheme="minorEastAsia"/>
          <w:b/>
          <w:color w:val="auto"/>
          <w:sz w:val="24"/>
          <w:highlight w:val="none"/>
        </w:rPr>
        <w:t>五、</w:t>
      </w:r>
      <w:bookmarkEnd w:id="673"/>
      <w:bookmarkStart w:id="675" w:name="_Toc8658"/>
      <w:r>
        <w:rPr>
          <w:rFonts w:hint="eastAsia" w:asciiTheme="minorEastAsia" w:hAnsiTheme="minorEastAsia" w:eastAsiaTheme="minorEastAsia"/>
          <w:b/>
          <w:color w:val="auto"/>
          <w:sz w:val="24"/>
          <w:highlight w:val="none"/>
          <w:lang w:val="en-US" w:eastAsia="zh-CN"/>
        </w:rPr>
        <w:t>供应商资格声明书</w:t>
      </w:r>
      <w:bookmarkEnd w:id="674"/>
      <w:r>
        <w:rPr>
          <w:rFonts w:hint="eastAsia" w:asciiTheme="minorEastAsia" w:hAnsiTheme="minorEastAsia" w:eastAsiaTheme="minorEastAsia"/>
          <w:b/>
          <w:color w:val="auto"/>
          <w:sz w:val="24"/>
          <w:highlight w:val="none"/>
          <w:lang w:val="en-US" w:eastAsia="zh-CN"/>
        </w:rPr>
        <w:t xml:space="preserve"> </w:t>
      </w:r>
    </w:p>
    <w:p w14:paraId="7B0B3723">
      <w:pPr>
        <w:pStyle w:val="30"/>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250220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14:paraId="215F1E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5E3E90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227B19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67773F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0D6EC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1A71663">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62A8166A">
      <w:pPr>
        <w:spacing w:line="360" w:lineRule="auto"/>
        <w:rPr>
          <w:rFonts w:hint="eastAsia"/>
          <w:color w:val="auto"/>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525193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547E3A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1B6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E1155C">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6F02C71C">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767000FB">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2498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8FAC8C">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422727E1">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7FBA3A38">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3520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65036A">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3A5E8281">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4666905">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404ECA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BDBC288">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8CE4BDA">
      <w:pPr>
        <w:spacing w:line="360" w:lineRule="auto"/>
        <w:jc w:val="center"/>
        <w:outlineLvl w:val="9"/>
        <w:rPr>
          <w:rFonts w:hint="eastAsia" w:asciiTheme="minorEastAsia" w:hAnsiTheme="minorEastAsia" w:eastAsiaTheme="minorEastAsia"/>
          <w:b/>
          <w:color w:val="auto"/>
          <w:sz w:val="24"/>
          <w:highlight w:val="none"/>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675"/>
    </w:p>
    <w:p w14:paraId="7C50D398">
      <w:pPr>
        <w:widowControl/>
        <w:jc w:val="center"/>
        <w:outlineLvl w:val="1"/>
        <w:rPr>
          <w:rFonts w:asciiTheme="minorEastAsia" w:hAnsiTheme="minorEastAsia" w:eastAsiaTheme="minorEastAsia"/>
          <w:b/>
          <w:color w:val="auto"/>
          <w:sz w:val="24"/>
          <w:highlight w:val="none"/>
          <w:u w:val="none"/>
        </w:rPr>
      </w:pPr>
      <w:bookmarkStart w:id="676" w:name="_Toc204594911"/>
      <w:bookmarkStart w:id="677" w:name="_Toc520983594"/>
      <w:bookmarkStart w:id="678" w:name="_Toc909"/>
      <w:bookmarkStart w:id="679" w:name="_Toc25503"/>
      <w:bookmarkStart w:id="680" w:name="_Toc516969106"/>
      <w:bookmarkStart w:id="681" w:name="_Toc121626298"/>
      <w:r>
        <w:rPr>
          <w:rFonts w:hint="eastAsia" w:asciiTheme="minorEastAsia" w:hAnsiTheme="minorEastAsia" w:eastAsiaTheme="minorEastAsia"/>
          <w:b/>
          <w:color w:val="auto"/>
          <w:sz w:val="24"/>
          <w:highlight w:val="none"/>
          <w:u w:val="none"/>
        </w:rPr>
        <w:t>六、授权书</w:t>
      </w:r>
      <w:bookmarkEnd w:id="676"/>
      <w:bookmarkEnd w:id="677"/>
      <w:bookmarkEnd w:id="678"/>
      <w:bookmarkEnd w:id="679"/>
      <w:bookmarkEnd w:id="680"/>
      <w:bookmarkEnd w:id="681"/>
    </w:p>
    <w:p w14:paraId="10E3BC2A">
      <w:pPr>
        <w:spacing w:line="360" w:lineRule="auto"/>
        <w:jc w:val="center"/>
        <w:rPr>
          <w:rFonts w:asciiTheme="minorEastAsia" w:hAnsiTheme="minorEastAsia" w:eastAsiaTheme="minorEastAsia"/>
          <w:b/>
          <w:color w:val="auto"/>
          <w:sz w:val="24"/>
          <w:highlight w:val="none"/>
        </w:rPr>
      </w:pPr>
    </w:p>
    <w:p w14:paraId="18B209B0">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00437CD">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4455960">
      <w:pPr>
        <w:pStyle w:val="2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EE95971">
      <w:pPr>
        <w:pStyle w:val="28"/>
        <w:snapToGrid w:val="0"/>
        <w:spacing w:line="360" w:lineRule="auto"/>
        <w:ind w:firstLine="480" w:firstLineChars="200"/>
        <w:jc w:val="left"/>
        <w:rPr>
          <w:rFonts w:hAnsi="宋体" w:eastAsia="宋体"/>
          <w:color w:val="auto"/>
          <w:sz w:val="24"/>
          <w:highlight w:val="none"/>
        </w:rPr>
      </w:pPr>
    </w:p>
    <w:p w14:paraId="4B586E3B">
      <w:pPr>
        <w:pStyle w:val="28"/>
        <w:snapToGrid w:val="0"/>
        <w:spacing w:line="360" w:lineRule="auto"/>
        <w:ind w:firstLine="480" w:firstLineChars="200"/>
        <w:jc w:val="left"/>
        <w:rPr>
          <w:rFonts w:hAnsi="宋体" w:eastAsia="宋体"/>
          <w:color w:val="auto"/>
          <w:sz w:val="24"/>
          <w:highlight w:val="none"/>
        </w:rPr>
      </w:pPr>
    </w:p>
    <w:p w14:paraId="7ED81DEA">
      <w:pPr>
        <w:pStyle w:val="28"/>
        <w:snapToGrid w:val="0"/>
        <w:spacing w:line="360" w:lineRule="auto"/>
        <w:ind w:firstLine="480" w:firstLineChars="200"/>
        <w:jc w:val="left"/>
        <w:rPr>
          <w:rFonts w:hAnsi="宋体" w:eastAsia="宋体"/>
          <w:color w:val="auto"/>
          <w:sz w:val="24"/>
          <w:highlight w:val="none"/>
        </w:rPr>
      </w:pPr>
    </w:p>
    <w:p w14:paraId="38559ABF">
      <w:pPr>
        <w:pStyle w:val="28"/>
        <w:snapToGrid w:val="0"/>
        <w:spacing w:line="360" w:lineRule="auto"/>
        <w:ind w:firstLine="480" w:firstLineChars="200"/>
        <w:jc w:val="left"/>
        <w:rPr>
          <w:rFonts w:hAnsi="宋体" w:eastAsia="宋体"/>
          <w:color w:val="auto"/>
          <w:sz w:val="24"/>
          <w:highlight w:val="none"/>
        </w:rPr>
      </w:pPr>
    </w:p>
    <w:p w14:paraId="141D8383">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5E21542">
      <w:pPr>
        <w:pStyle w:val="28"/>
        <w:snapToGrid w:val="0"/>
        <w:spacing w:line="360" w:lineRule="auto"/>
        <w:ind w:firstLine="480" w:firstLineChars="200"/>
        <w:jc w:val="left"/>
        <w:rPr>
          <w:rFonts w:hAnsi="宋体" w:eastAsia="宋体"/>
          <w:color w:val="auto"/>
          <w:sz w:val="24"/>
          <w:szCs w:val="28"/>
          <w:highlight w:val="none"/>
        </w:rPr>
      </w:pPr>
    </w:p>
    <w:p w14:paraId="17391C52">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207B3C1">
      <w:pPr>
        <w:spacing w:line="360" w:lineRule="auto"/>
        <w:rPr>
          <w:color w:val="auto"/>
          <w:sz w:val="24"/>
          <w:szCs w:val="28"/>
          <w:highlight w:val="none"/>
        </w:rPr>
      </w:pPr>
    </w:p>
    <w:p w14:paraId="32CCDD06">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27C1FE9B">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708598DB">
      <w:pPr>
        <w:spacing w:line="360" w:lineRule="auto"/>
        <w:rPr>
          <w:color w:val="auto"/>
          <w:sz w:val="24"/>
          <w:szCs w:val="28"/>
          <w:highlight w:val="none"/>
        </w:rPr>
      </w:pPr>
    </w:p>
    <w:p w14:paraId="55949376">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248710A5">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137C5668">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61AE74CB">
      <w:pPr>
        <w:widowControl/>
        <w:jc w:val="left"/>
        <w:rPr>
          <w:color w:val="auto"/>
          <w:sz w:val="24"/>
          <w:highlight w:val="none"/>
        </w:rPr>
      </w:pPr>
      <w:r>
        <w:rPr>
          <w:color w:val="auto"/>
          <w:sz w:val="24"/>
          <w:highlight w:val="none"/>
        </w:rPr>
        <w:br w:type="page"/>
      </w:r>
    </w:p>
    <w:p w14:paraId="0F90EB7A">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82" w:name="_Toc32351"/>
      <w:bookmarkStart w:id="683" w:name="_Toc12223"/>
      <w:r>
        <w:rPr>
          <w:rFonts w:hint="eastAsia" w:cs="@仿宋_GB2312" w:asciiTheme="minorEastAsia" w:hAnsiTheme="minorEastAsia" w:eastAsiaTheme="minorEastAsia"/>
          <w:b/>
          <w:bCs/>
          <w:color w:val="auto"/>
          <w:kern w:val="2"/>
          <w:sz w:val="24"/>
          <w:szCs w:val="24"/>
          <w:highlight w:val="none"/>
        </w:rPr>
        <w:t>七、法定代表人身份证明书</w:t>
      </w:r>
      <w:bookmarkEnd w:id="682"/>
      <w:bookmarkEnd w:id="683"/>
    </w:p>
    <w:p w14:paraId="358E8E73">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094D3B4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33A42C7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57484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B42312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38CBD7F">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2C64DE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6F6689F">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9095E8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3507F6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76680251">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30615F6E">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4DB08E61">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44DE0FB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30CAB6A7">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105A589B">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2108502">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E352CF7">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164BBABD">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684" w:name="_Toc4373"/>
      <w:bookmarkStart w:id="685" w:name="_Toc20099"/>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、项目经理承诺书</w:t>
      </w:r>
      <w:bookmarkEnd w:id="684"/>
      <w:bookmarkEnd w:id="685"/>
    </w:p>
    <w:p w14:paraId="6AC8B780">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eastAsia="zh-CN"/>
        </w:rPr>
        <w:t>采购人</w:t>
      </w:r>
    </w:p>
    <w:p w14:paraId="6FDD71E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0F8CB0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5D99E5C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346EAAE6">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59B4E7FD">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58DA26E3">
      <w:pPr>
        <w:spacing w:line="360" w:lineRule="auto"/>
        <w:ind w:firstLine="480" w:firstLineChars="200"/>
        <w:rPr>
          <w:rFonts w:cs="宋体"/>
          <w:color w:val="auto"/>
          <w:kern w:val="2"/>
          <w:sz w:val="24"/>
          <w:szCs w:val="24"/>
          <w:highlight w:val="none"/>
        </w:rPr>
      </w:pPr>
    </w:p>
    <w:p w14:paraId="7F3B0F58">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67EB025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68E7DF33">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744CB598">
      <w:pPr>
        <w:spacing w:line="360" w:lineRule="auto"/>
        <w:ind w:firstLine="480" w:firstLineChars="200"/>
        <w:rPr>
          <w:rFonts w:cs="宋体"/>
          <w:color w:val="auto"/>
          <w:kern w:val="2"/>
          <w:sz w:val="24"/>
          <w:szCs w:val="24"/>
          <w:highlight w:val="none"/>
        </w:rPr>
      </w:pPr>
    </w:p>
    <w:p w14:paraId="62781F4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545A20D6">
      <w:pPr>
        <w:autoSpaceDE w:val="0"/>
        <w:autoSpaceDN w:val="0"/>
        <w:adjustRightInd w:val="0"/>
        <w:spacing w:line="360" w:lineRule="auto"/>
        <w:jc w:val="center"/>
        <w:rPr>
          <w:rFonts w:asciiTheme="minorEastAsia" w:hAnsiTheme="minorEastAsia" w:eastAsiaTheme="minorEastAsia"/>
          <w:color w:val="auto"/>
          <w:sz w:val="24"/>
          <w:highlight w:val="none"/>
        </w:rPr>
      </w:pPr>
      <w:bookmarkStart w:id="686" w:name="_Toc438648628"/>
      <w:r>
        <w:rPr>
          <w:rFonts w:hint="eastAsia" w:ascii="@仿宋_GB2312" w:eastAsia="@仿宋_GB2312" w:cs="宋体"/>
          <w:b/>
          <w:color w:val="auto"/>
          <w:kern w:val="2"/>
          <w:sz w:val="24"/>
          <w:szCs w:val="24"/>
          <w:highlight w:val="none"/>
        </w:rPr>
        <w:br w:type="page"/>
      </w:r>
      <w:bookmarkEnd w:id="686"/>
    </w:p>
    <w:p w14:paraId="23E4189E">
      <w:pPr>
        <w:spacing w:line="360" w:lineRule="auto"/>
        <w:jc w:val="center"/>
        <w:outlineLvl w:val="1"/>
        <w:rPr>
          <w:rFonts w:asciiTheme="minorEastAsia" w:hAnsiTheme="minorEastAsia" w:eastAsiaTheme="minorEastAsia"/>
          <w:b/>
          <w:color w:val="auto"/>
          <w:sz w:val="24"/>
          <w:highlight w:val="none"/>
        </w:rPr>
      </w:pPr>
      <w:bookmarkStart w:id="687" w:name="_Toc31589"/>
      <w:bookmarkStart w:id="688" w:name="_Toc28359"/>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、中小企业声明函</w:t>
      </w:r>
      <w:bookmarkEnd w:id="687"/>
      <w:bookmarkEnd w:id="688"/>
    </w:p>
    <w:p w14:paraId="1CC42BD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zh-CN"/>
        </w:rPr>
        <w:t>（项目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67AD8C0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26283759">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6504AEFD">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79490320">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7F230423">
      <w:pPr>
        <w:spacing w:line="360" w:lineRule="auto"/>
        <w:ind w:firstLine="435"/>
        <w:rPr>
          <w:rFonts w:cs="@仿宋_GB2312" w:asciiTheme="minorEastAsia" w:hAnsiTheme="minorEastAsia" w:eastAsiaTheme="minorEastAsia"/>
          <w:color w:val="auto"/>
          <w:kern w:val="2"/>
          <w:sz w:val="24"/>
          <w:szCs w:val="24"/>
          <w:highlight w:val="none"/>
        </w:rPr>
      </w:pPr>
      <w:r>
        <w:rPr>
          <w:rFonts w:hint="eastAsia" w:cs="@仿宋_GB2312"/>
          <w:color w:val="auto"/>
          <w:kern w:val="2"/>
          <w:sz w:val="24"/>
          <w:szCs w:val="24"/>
          <w:highlight w:val="none"/>
          <w:lang w:val="zh-CN"/>
        </w:rPr>
        <w:t xml:space="preserve">本企业对上述声明内容的真实性负责。如有虚假，将依法承担相应责任。 </w:t>
      </w:r>
    </w:p>
    <w:p w14:paraId="36652A2E">
      <w:pPr>
        <w:spacing w:line="360" w:lineRule="auto"/>
        <w:ind w:firstLine="435"/>
        <w:rPr>
          <w:rFonts w:cs="@仿宋_GB2312" w:asciiTheme="minorEastAsia" w:hAnsiTheme="minorEastAsia" w:eastAsiaTheme="minorEastAsia"/>
          <w:color w:val="auto"/>
          <w:kern w:val="2"/>
          <w:sz w:val="24"/>
          <w:szCs w:val="24"/>
          <w:highlight w:val="none"/>
        </w:rPr>
      </w:pPr>
    </w:p>
    <w:p w14:paraId="4EB6E4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35851756">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36A25496">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25ED1E3A">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22FD5DC5">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3453B4B6">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2F71DE7E">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0490C347">
      <w:pPr>
        <w:tabs>
          <w:tab w:val="left" w:pos="4620"/>
        </w:tabs>
        <w:spacing w:line="360" w:lineRule="auto"/>
        <w:jc w:val="left"/>
        <w:rPr>
          <w:rFonts w:asciiTheme="minorEastAsia" w:hAnsiTheme="minorEastAsia" w:eastAsiaTheme="minorEastAsia"/>
          <w:color w:val="auto"/>
          <w:sz w:val="24"/>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w:t>
      </w:r>
      <w:r>
        <w:rPr>
          <w:rFonts w:hint="eastAsia" w:cs="宋体"/>
          <w:b/>
          <w:bCs/>
          <w:color w:val="auto"/>
          <w:szCs w:val="21"/>
          <w:highlight w:val="none"/>
          <w:lang w:eastAsia="zh-CN"/>
        </w:rPr>
        <w:t>承建</w:t>
      </w:r>
      <w:r>
        <w:rPr>
          <w:rFonts w:hint="eastAsia" w:cs="宋体"/>
          <w:b/>
          <w:bCs/>
          <w:color w:val="auto"/>
          <w:szCs w:val="21"/>
          <w:highlight w:val="none"/>
        </w:rPr>
        <w:t>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r>
        <w:rPr>
          <w:rFonts w:asciiTheme="minorEastAsia" w:hAnsiTheme="minorEastAsia" w:eastAsiaTheme="minorEastAsia"/>
          <w:color w:val="auto"/>
          <w:sz w:val="24"/>
          <w:highlight w:val="none"/>
        </w:rPr>
        <w:br w:type="page"/>
      </w:r>
    </w:p>
    <w:p w14:paraId="030EA11A">
      <w:pPr>
        <w:spacing w:line="360" w:lineRule="auto"/>
        <w:jc w:val="center"/>
        <w:outlineLvl w:val="1"/>
        <w:rPr>
          <w:rFonts w:asciiTheme="minorEastAsia" w:hAnsiTheme="minorEastAsia" w:eastAsiaTheme="minorEastAsia"/>
          <w:b/>
          <w:color w:val="auto"/>
          <w:sz w:val="24"/>
          <w:highlight w:val="none"/>
        </w:rPr>
      </w:pPr>
      <w:bookmarkStart w:id="689" w:name="_Toc17154"/>
      <w:bookmarkStart w:id="690" w:name="_Toc17813"/>
      <w:r>
        <w:rPr>
          <w:rFonts w:hint="eastAsia" w:asciiTheme="minorEastAsia" w:hAnsiTheme="minorEastAsia" w:eastAsiaTheme="minorEastAsia"/>
          <w:b/>
          <w:color w:val="auto"/>
          <w:sz w:val="24"/>
          <w:highlight w:val="none"/>
        </w:rPr>
        <w:t>十、残疾人福利性单位声明函</w:t>
      </w:r>
      <w:bookmarkEnd w:id="689"/>
      <w:bookmarkEnd w:id="690"/>
    </w:p>
    <w:p w14:paraId="2640A097">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712A481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836386A">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3B58BAF2">
      <w:pPr>
        <w:spacing w:line="360" w:lineRule="auto"/>
        <w:ind w:firstLine="4228" w:firstLineChars="1762"/>
        <w:rPr>
          <w:rFonts w:cs="Times New Roman"/>
          <w:color w:val="auto"/>
          <w:kern w:val="2"/>
          <w:sz w:val="24"/>
          <w:szCs w:val="24"/>
          <w:highlight w:val="none"/>
        </w:rPr>
      </w:pPr>
    </w:p>
    <w:p w14:paraId="2871079A">
      <w:pPr>
        <w:spacing w:line="360" w:lineRule="auto"/>
        <w:ind w:firstLine="4228" w:firstLineChars="1762"/>
        <w:rPr>
          <w:rFonts w:cs="Times New Roman"/>
          <w:color w:val="auto"/>
          <w:kern w:val="2"/>
          <w:sz w:val="24"/>
          <w:szCs w:val="24"/>
          <w:highlight w:val="none"/>
        </w:rPr>
      </w:pPr>
    </w:p>
    <w:p w14:paraId="0CE0DB17">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1D74EB3E">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6C31B8F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4B11BFD">
      <w:pPr>
        <w:spacing w:line="360" w:lineRule="auto"/>
        <w:jc w:val="center"/>
        <w:outlineLvl w:val="1"/>
        <w:rPr>
          <w:rFonts w:asciiTheme="minorEastAsia" w:hAnsiTheme="minorEastAsia" w:eastAsiaTheme="minorEastAsia"/>
          <w:b/>
          <w:color w:val="auto"/>
          <w:sz w:val="24"/>
          <w:highlight w:val="none"/>
        </w:rPr>
      </w:pPr>
      <w:bookmarkStart w:id="691" w:name="_Toc17768"/>
      <w:bookmarkStart w:id="692" w:name="_Toc26894"/>
      <w:bookmarkStart w:id="693"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、诚信履约承诺函</w:t>
      </w:r>
      <w:bookmarkEnd w:id="691"/>
      <w:bookmarkEnd w:id="692"/>
    </w:p>
    <w:p w14:paraId="371FF6A0">
      <w:pPr>
        <w:spacing w:line="360" w:lineRule="auto"/>
        <w:rPr>
          <w:rFonts w:cs="@仿宋_GB2312" w:asciiTheme="minorEastAsia" w:hAnsiTheme="minorEastAsia" w:eastAsiaTheme="minorEastAsia"/>
          <w:b/>
          <w:bCs/>
          <w:color w:val="auto"/>
          <w:kern w:val="2"/>
          <w:sz w:val="24"/>
          <w:highlight w:val="none"/>
        </w:rPr>
      </w:pPr>
    </w:p>
    <w:p w14:paraId="6BAA9A86">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cs="@仿宋_GB2312" w:asciiTheme="minorEastAsia" w:hAnsiTheme="minorEastAsia" w:eastAsiaTheme="minorEastAsia"/>
          <w:b/>
          <w:bCs/>
          <w:color w:val="auto"/>
          <w:kern w:val="2"/>
          <w:sz w:val="24"/>
          <w:highlight w:val="none"/>
          <w:u w:val="none"/>
          <w:lang w:eastAsia="zh-CN"/>
        </w:rPr>
        <w:t>采购人</w:t>
      </w:r>
    </w:p>
    <w:p w14:paraId="61C295CE">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3143220">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7577DCA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3B1F75D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1F1EBDE1">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65CDBBC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6B7F418B">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C9DB0B">
      <w:pPr>
        <w:spacing w:line="360" w:lineRule="auto"/>
        <w:rPr>
          <w:rFonts w:cs="@仿宋_GB2312" w:asciiTheme="minorEastAsia" w:hAnsiTheme="minorEastAsia" w:eastAsiaTheme="minorEastAsia"/>
          <w:bCs/>
          <w:color w:val="auto"/>
          <w:kern w:val="2"/>
          <w:sz w:val="24"/>
          <w:highlight w:val="none"/>
        </w:rPr>
      </w:pPr>
    </w:p>
    <w:p w14:paraId="1B3AB3CE">
      <w:pPr>
        <w:spacing w:line="360" w:lineRule="auto"/>
        <w:rPr>
          <w:rFonts w:cs="@仿宋_GB2312" w:asciiTheme="minorEastAsia" w:hAnsiTheme="minorEastAsia" w:eastAsiaTheme="minorEastAsia"/>
          <w:bCs/>
          <w:color w:val="auto"/>
          <w:kern w:val="2"/>
          <w:sz w:val="24"/>
          <w:highlight w:val="none"/>
        </w:rPr>
      </w:pPr>
    </w:p>
    <w:p w14:paraId="389D941F">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460D8131">
      <w:pPr>
        <w:spacing w:line="360" w:lineRule="auto"/>
        <w:ind w:firstLine="4320" w:firstLineChars="18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655E42E8">
      <w:pP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3EF7B7D4">
      <w:pPr>
        <w:spacing w:line="360" w:lineRule="auto"/>
        <w:jc w:val="center"/>
        <w:outlineLvl w:val="1"/>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、诚信</w:t>
      </w:r>
      <w:r>
        <w:rPr>
          <w:rFonts w:hint="eastAsia" w:asciiTheme="minorEastAsia" w:hAnsiTheme="minorEastAsia" w:eastAsiaTheme="minorEastAsia"/>
          <w:b/>
          <w:color w:val="auto"/>
          <w:sz w:val="24"/>
          <w:highlight w:val="none"/>
          <w:lang w:val="en-US" w:eastAsia="zh-CN"/>
        </w:rPr>
        <w:t>响应</w:t>
      </w:r>
      <w:r>
        <w:rPr>
          <w:rFonts w:hint="eastAsia" w:asciiTheme="minorEastAsia" w:hAnsiTheme="minorEastAsia" w:eastAsiaTheme="minorEastAsia"/>
          <w:b/>
          <w:color w:val="auto"/>
          <w:sz w:val="24"/>
          <w:highlight w:val="none"/>
        </w:rPr>
        <w:t>承诺</w:t>
      </w:r>
      <w:r>
        <w:rPr>
          <w:rFonts w:hint="eastAsia" w:asciiTheme="minorEastAsia" w:hAnsiTheme="minorEastAsia" w:eastAsiaTheme="minorEastAsia"/>
          <w:b/>
          <w:color w:val="auto"/>
          <w:sz w:val="24"/>
          <w:highlight w:val="none"/>
          <w:lang w:val="en-US" w:eastAsia="zh-CN"/>
        </w:rPr>
        <w:t>书</w:t>
      </w:r>
    </w:p>
    <w:p w14:paraId="5F6AB5FB">
      <w:pPr>
        <w:spacing w:line="500" w:lineRule="exact"/>
        <w:rPr>
          <w:rFonts w:cs="宋体"/>
          <w:color w:val="auto"/>
          <w:sz w:val="21"/>
          <w:szCs w:val="21"/>
        </w:rPr>
      </w:pPr>
      <w:r>
        <w:rPr>
          <w:rFonts w:hint="eastAsia" w:cs="宋体"/>
          <w:color w:val="auto"/>
          <w:sz w:val="21"/>
          <w:szCs w:val="21"/>
          <w:lang w:bidi="ar"/>
        </w:rPr>
        <w:t>本人以企业法定代表人的身份郑重承诺：</w:t>
      </w:r>
    </w:p>
    <w:p w14:paraId="465F4820">
      <w:pPr>
        <w:spacing w:line="500" w:lineRule="exact"/>
        <w:ind w:firstLine="420" w:firstLineChars="200"/>
        <w:rPr>
          <w:rFonts w:cs="宋体"/>
          <w:color w:val="auto"/>
          <w:sz w:val="21"/>
          <w:szCs w:val="21"/>
        </w:rPr>
      </w:pPr>
      <w:r>
        <w:rPr>
          <w:rFonts w:hint="eastAsia" w:cs="宋体"/>
          <w:color w:val="auto"/>
          <w:sz w:val="21"/>
          <w:szCs w:val="21"/>
          <w:lang w:bidi="ar"/>
        </w:rPr>
        <w:t>一、将遵循公开、公正和诚实信用的原则自愿参加</w:t>
      </w:r>
      <w:r>
        <w:rPr>
          <w:rFonts w:hint="eastAsia" w:cs="宋体"/>
          <w:color w:val="auto"/>
          <w:sz w:val="21"/>
          <w:szCs w:val="21"/>
          <w:u w:val="single"/>
          <w:lang w:bidi="ar"/>
        </w:rPr>
        <w:t xml:space="preserve">                   </w:t>
      </w:r>
      <w:r>
        <w:rPr>
          <w:rFonts w:hint="eastAsia" w:cs="宋体"/>
          <w:color w:val="auto"/>
          <w:sz w:val="21"/>
          <w:szCs w:val="21"/>
          <w:lang w:bidi="ar"/>
        </w:rPr>
        <w:t>项目的磋商，所提供的一切材料都是真实、有效、合法的；</w:t>
      </w:r>
    </w:p>
    <w:p w14:paraId="767C6C5D">
      <w:pPr>
        <w:spacing w:line="500" w:lineRule="exact"/>
        <w:ind w:firstLine="420" w:firstLineChars="200"/>
        <w:rPr>
          <w:rFonts w:cs="宋体"/>
          <w:color w:val="auto"/>
          <w:sz w:val="21"/>
          <w:szCs w:val="21"/>
        </w:rPr>
      </w:pPr>
      <w:r>
        <w:rPr>
          <w:rFonts w:hint="eastAsia" w:cs="宋体"/>
          <w:color w:val="auto"/>
          <w:sz w:val="21"/>
          <w:szCs w:val="21"/>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70A9041">
      <w:pPr>
        <w:spacing w:line="500" w:lineRule="exact"/>
        <w:ind w:firstLine="420" w:firstLineChars="200"/>
        <w:rPr>
          <w:rFonts w:cs="宋体"/>
          <w:color w:val="auto"/>
          <w:sz w:val="21"/>
          <w:szCs w:val="21"/>
        </w:rPr>
      </w:pPr>
      <w:r>
        <w:rPr>
          <w:rFonts w:hint="eastAsia" w:cs="宋体"/>
          <w:color w:val="auto"/>
          <w:sz w:val="21"/>
          <w:szCs w:val="21"/>
          <w:lang w:bidi="ar"/>
        </w:rPr>
        <w:t>三、不出借、转让资质证书，不让他人挂靠投标，不以他人名义投标或者以其他方式弄虚作假，骗取成交；</w:t>
      </w:r>
    </w:p>
    <w:p w14:paraId="638982A3">
      <w:pPr>
        <w:spacing w:line="500" w:lineRule="exact"/>
        <w:ind w:firstLine="420" w:firstLineChars="200"/>
        <w:rPr>
          <w:rFonts w:cs="宋体"/>
          <w:color w:val="auto"/>
          <w:sz w:val="21"/>
          <w:szCs w:val="21"/>
        </w:rPr>
      </w:pPr>
      <w:r>
        <w:rPr>
          <w:rFonts w:hint="eastAsia" w:cs="宋体"/>
          <w:color w:val="auto"/>
          <w:sz w:val="21"/>
          <w:szCs w:val="21"/>
          <w:lang w:bidi="ar"/>
        </w:rPr>
        <w:t>四、不与其他供应商相互串通投标报价，不排挤其他供应商的公平竞争、损害采购人的合法权益；</w:t>
      </w:r>
    </w:p>
    <w:p w14:paraId="4BA1607C">
      <w:pPr>
        <w:spacing w:line="500" w:lineRule="exact"/>
        <w:ind w:firstLine="420" w:firstLineChars="200"/>
        <w:rPr>
          <w:rFonts w:cs="宋体"/>
          <w:color w:val="auto"/>
          <w:sz w:val="21"/>
          <w:szCs w:val="21"/>
        </w:rPr>
      </w:pPr>
      <w:r>
        <w:rPr>
          <w:rFonts w:hint="eastAsia" w:cs="宋体"/>
          <w:color w:val="auto"/>
          <w:sz w:val="21"/>
          <w:szCs w:val="21"/>
          <w:lang w:bidi="ar"/>
        </w:rPr>
        <w:t>五、不与采购人、代理机构或其他供应商串通磋商，损害国家利益、社会公共利益或者他人的合法权益；</w:t>
      </w:r>
    </w:p>
    <w:p w14:paraId="5D11B0BD">
      <w:pPr>
        <w:spacing w:line="500" w:lineRule="exact"/>
        <w:ind w:firstLine="420" w:firstLineChars="200"/>
        <w:rPr>
          <w:rFonts w:cs="宋体"/>
          <w:color w:val="auto"/>
          <w:sz w:val="21"/>
          <w:szCs w:val="21"/>
        </w:rPr>
      </w:pPr>
      <w:r>
        <w:rPr>
          <w:rFonts w:hint="eastAsia" w:cs="宋体"/>
          <w:color w:val="auto"/>
          <w:sz w:val="21"/>
          <w:szCs w:val="21"/>
          <w:lang w:bidi="ar"/>
        </w:rPr>
        <w:t>六、</w:t>
      </w:r>
      <w:r>
        <w:rPr>
          <w:rFonts w:hint="eastAsia" w:cs="宋体"/>
          <w:color w:val="auto"/>
          <w:sz w:val="21"/>
          <w:szCs w:val="21"/>
          <w:u w:val="single"/>
          <w:lang w:bidi="ar"/>
        </w:rPr>
        <w:t xml:space="preserve">                      （企业名称）</w:t>
      </w:r>
      <w:r>
        <w:rPr>
          <w:rFonts w:hint="eastAsia" w:cs="宋体"/>
          <w:color w:val="auto"/>
          <w:sz w:val="21"/>
          <w:szCs w:val="21"/>
          <w:lang w:bidi="ar"/>
        </w:rPr>
        <w:t>或</w:t>
      </w:r>
      <w:r>
        <w:rPr>
          <w:rFonts w:hint="eastAsia" w:cs="宋体"/>
          <w:color w:val="auto"/>
          <w:sz w:val="21"/>
          <w:szCs w:val="21"/>
          <w:u w:val="single"/>
          <w:lang w:bidi="ar"/>
        </w:rPr>
        <w:t xml:space="preserve">                     （企业名称）</w:t>
      </w:r>
      <w:r>
        <w:rPr>
          <w:rFonts w:hint="eastAsia" w:cs="宋体"/>
          <w:color w:val="auto"/>
          <w:sz w:val="21"/>
          <w:szCs w:val="21"/>
          <w:lang w:bidi="ar"/>
        </w:rPr>
        <w:t>法定代表人或拟派项目经理</w:t>
      </w:r>
      <w:r>
        <w:rPr>
          <w:rFonts w:hint="eastAsia" w:cs="宋体"/>
          <w:color w:val="auto"/>
          <w:sz w:val="21"/>
          <w:szCs w:val="21"/>
          <w:u w:val="single"/>
          <w:lang w:bidi="ar"/>
        </w:rPr>
        <w:t xml:space="preserve">       </w:t>
      </w:r>
      <w:r>
        <w:rPr>
          <w:rFonts w:hint="eastAsia" w:cs="宋体"/>
          <w:color w:val="auto"/>
          <w:sz w:val="21"/>
          <w:szCs w:val="21"/>
          <w:lang w:bidi="ar"/>
        </w:rPr>
        <w:t>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092CBB00">
      <w:pPr>
        <w:spacing w:line="500" w:lineRule="exact"/>
        <w:ind w:firstLine="420" w:firstLineChars="200"/>
        <w:rPr>
          <w:rFonts w:cs="宋体"/>
          <w:color w:val="auto"/>
          <w:sz w:val="21"/>
          <w:szCs w:val="21"/>
        </w:rPr>
      </w:pPr>
      <w:r>
        <w:rPr>
          <w:rFonts w:hint="eastAsia" w:cs="宋体"/>
          <w:color w:val="auto"/>
          <w:sz w:val="21"/>
          <w:szCs w:val="21"/>
          <w:lang w:bidi="ar"/>
        </w:rPr>
        <w:t>七、严格遵守开标现场纪律，服从监管人员管理；</w:t>
      </w:r>
    </w:p>
    <w:p w14:paraId="21824975">
      <w:pPr>
        <w:spacing w:line="500" w:lineRule="exact"/>
        <w:ind w:firstLine="420" w:firstLineChars="200"/>
        <w:rPr>
          <w:rFonts w:cs="宋体"/>
          <w:color w:val="auto"/>
          <w:sz w:val="21"/>
          <w:szCs w:val="21"/>
        </w:rPr>
      </w:pPr>
      <w:r>
        <w:rPr>
          <w:rFonts w:hint="eastAsia" w:cs="宋体"/>
          <w:color w:val="auto"/>
          <w:sz w:val="21"/>
          <w:szCs w:val="21"/>
          <w:lang w:bidi="ar"/>
        </w:rPr>
        <w:t>八、保证中标后不转包，若有分包征得招标人同意；</w:t>
      </w:r>
    </w:p>
    <w:p w14:paraId="66B2843F">
      <w:pPr>
        <w:spacing w:line="500" w:lineRule="exact"/>
        <w:ind w:firstLine="420" w:firstLineChars="200"/>
        <w:rPr>
          <w:rFonts w:cs="宋体"/>
          <w:color w:val="auto"/>
          <w:sz w:val="21"/>
          <w:szCs w:val="21"/>
        </w:rPr>
      </w:pPr>
      <w:r>
        <w:rPr>
          <w:rFonts w:hint="eastAsia" w:cs="宋体"/>
          <w:color w:val="auto"/>
          <w:sz w:val="21"/>
          <w:szCs w:val="21"/>
          <w:lang w:bidi="ar"/>
        </w:rPr>
        <w:t>九、保证中标之后，按照</w:t>
      </w:r>
      <w:r>
        <w:rPr>
          <w:rFonts w:hint="eastAsia" w:cs="宋体"/>
          <w:color w:val="auto"/>
          <w:sz w:val="21"/>
          <w:szCs w:val="21"/>
          <w:lang w:val="en-US" w:eastAsia="zh-CN" w:bidi="ar"/>
        </w:rPr>
        <w:t>响应</w:t>
      </w:r>
      <w:r>
        <w:rPr>
          <w:rFonts w:hint="eastAsia" w:cs="宋体"/>
          <w:color w:val="auto"/>
          <w:sz w:val="21"/>
          <w:szCs w:val="21"/>
          <w:lang w:bidi="ar"/>
        </w:rPr>
        <w:t>文件要求提供相关后续服务；</w:t>
      </w:r>
    </w:p>
    <w:p w14:paraId="196344CF">
      <w:pPr>
        <w:spacing w:line="500" w:lineRule="exact"/>
        <w:ind w:firstLine="420" w:firstLineChars="200"/>
        <w:rPr>
          <w:rFonts w:cs="宋体"/>
          <w:color w:val="auto"/>
          <w:sz w:val="21"/>
          <w:szCs w:val="21"/>
        </w:rPr>
      </w:pPr>
      <w:r>
        <w:rPr>
          <w:rFonts w:hint="eastAsia" w:cs="宋体"/>
          <w:color w:val="auto"/>
          <w:sz w:val="21"/>
          <w:szCs w:val="21"/>
          <w:lang w:bidi="ar"/>
        </w:rPr>
        <w:t>十、保证企业及所属相关人员在本次投标中无行贿等犯罪行为；</w:t>
      </w:r>
    </w:p>
    <w:p w14:paraId="29B022DF">
      <w:pPr>
        <w:spacing w:line="500" w:lineRule="exact"/>
        <w:ind w:firstLine="420" w:firstLineChars="200"/>
        <w:rPr>
          <w:rFonts w:cs="宋体"/>
          <w:color w:val="auto"/>
          <w:sz w:val="21"/>
          <w:szCs w:val="21"/>
        </w:rPr>
      </w:pPr>
      <w:r>
        <w:rPr>
          <w:rFonts w:hint="eastAsia" w:cs="宋体"/>
          <w:color w:val="auto"/>
          <w:sz w:val="21"/>
          <w:szCs w:val="21"/>
          <w:lang w:bidi="ar"/>
        </w:rPr>
        <w:t>十一、如在</w:t>
      </w:r>
      <w:r>
        <w:rPr>
          <w:rFonts w:hint="eastAsia" w:cs="宋体"/>
          <w:color w:val="auto"/>
          <w:sz w:val="21"/>
          <w:szCs w:val="21"/>
          <w:lang w:val="en-US" w:eastAsia="zh-CN" w:bidi="ar"/>
        </w:rPr>
        <w:t>磋商</w:t>
      </w:r>
      <w:r>
        <w:rPr>
          <w:rFonts w:hint="eastAsia" w:cs="宋体"/>
          <w:color w:val="auto"/>
          <w:sz w:val="21"/>
          <w:szCs w:val="21"/>
          <w:lang w:bidi="ar"/>
        </w:rPr>
        <w:t>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0D8877F">
      <w:pPr>
        <w:spacing w:line="500" w:lineRule="exact"/>
        <w:ind w:firstLine="420" w:firstLineChars="200"/>
        <w:rPr>
          <w:rFonts w:cs="宋体"/>
          <w:color w:val="auto"/>
          <w:sz w:val="21"/>
          <w:szCs w:val="21"/>
        </w:rPr>
      </w:pPr>
      <w:r>
        <w:rPr>
          <w:rFonts w:hint="eastAsia" w:cs="宋体"/>
          <w:color w:val="auto"/>
          <w:sz w:val="21"/>
          <w:szCs w:val="21"/>
          <w:lang w:bidi="ar"/>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1C82CFFF">
      <w:pPr>
        <w:spacing w:line="500" w:lineRule="exact"/>
        <w:ind w:firstLine="420" w:firstLineChars="200"/>
        <w:rPr>
          <w:rFonts w:cs="宋体"/>
          <w:color w:val="auto"/>
          <w:sz w:val="21"/>
          <w:szCs w:val="21"/>
        </w:rPr>
      </w:pPr>
      <w:r>
        <w:rPr>
          <w:rFonts w:hint="eastAsia" w:cs="宋体"/>
          <w:color w:val="auto"/>
          <w:sz w:val="21"/>
          <w:szCs w:val="21"/>
          <w:lang w:bidi="ar"/>
        </w:rPr>
        <w:t xml:space="preserve">开户银行：                      </w:t>
      </w:r>
      <w:r>
        <w:rPr>
          <w:rFonts w:hint="eastAsia" w:cs="宋体"/>
          <w:color w:val="auto"/>
          <w:sz w:val="21"/>
          <w:szCs w:val="21"/>
          <w:lang w:val="en-US" w:eastAsia="zh-CN" w:bidi="ar"/>
        </w:rPr>
        <w:t xml:space="preserve">  </w:t>
      </w:r>
      <w:r>
        <w:rPr>
          <w:rFonts w:hint="eastAsia" w:cs="宋体"/>
          <w:color w:val="auto"/>
          <w:sz w:val="21"/>
          <w:szCs w:val="21"/>
          <w:lang w:bidi="ar"/>
        </w:rPr>
        <w:t>基本账户：</w:t>
      </w:r>
    </w:p>
    <w:p w14:paraId="7B5D11A1">
      <w:pPr>
        <w:spacing w:line="500" w:lineRule="exact"/>
        <w:ind w:firstLine="420" w:firstLineChars="200"/>
        <w:rPr>
          <w:rFonts w:cs="宋体"/>
          <w:color w:val="auto"/>
          <w:sz w:val="21"/>
          <w:szCs w:val="21"/>
        </w:rPr>
      </w:pPr>
      <w:r>
        <w:rPr>
          <w:rFonts w:hint="eastAsia" w:cs="宋体"/>
          <w:color w:val="auto"/>
          <w:sz w:val="21"/>
          <w:szCs w:val="21"/>
          <w:lang w:val="en-US" w:eastAsia="zh-CN" w:bidi="ar"/>
        </w:rPr>
        <w:t>供应商</w:t>
      </w:r>
      <w:r>
        <w:rPr>
          <w:rFonts w:hint="eastAsia" w:cs="宋体"/>
          <w:color w:val="auto"/>
          <w:sz w:val="21"/>
          <w:szCs w:val="21"/>
          <w:lang w:bidi="ar"/>
        </w:rPr>
        <w:t>单位（签章）：               法定代表人（签章）：</w:t>
      </w:r>
    </w:p>
    <w:p w14:paraId="43FDAD73">
      <w:pPr>
        <w:spacing w:line="560" w:lineRule="exact"/>
        <w:jc w:val="right"/>
        <w:rPr>
          <w:rFonts w:ascii="仿宋_GB2312" w:eastAsia="仿宋_GB2312" w:cs="仿宋_GB2312"/>
          <w:color w:val="auto"/>
          <w:sz w:val="21"/>
          <w:szCs w:val="21"/>
        </w:rPr>
      </w:pPr>
      <w:r>
        <w:rPr>
          <w:rFonts w:hint="eastAsia" w:cs="宋体"/>
          <w:color w:val="auto"/>
          <w:sz w:val="21"/>
          <w:szCs w:val="21"/>
          <w:lang w:bidi="ar"/>
        </w:rPr>
        <w:t>日期：</w:t>
      </w:r>
      <w:r>
        <w:rPr>
          <w:rFonts w:hint="eastAsia" w:cs="宋体"/>
          <w:color w:val="auto"/>
          <w:sz w:val="21"/>
          <w:szCs w:val="21"/>
          <w:u w:val="single"/>
          <w:lang w:bidi="ar"/>
        </w:rPr>
        <w:t xml:space="preserve">          </w:t>
      </w:r>
      <w:r>
        <w:rPr>
          <w:rFonts w:hint="eastAsia" w:cs="宋体"/>
          <w:color w:val="auto"/>
          <w:sz w:val="21"/>
          <w:szCs w:val="21"/>
          <w:lang w:bidi="ar"/>
        </w:rPr>
        <w:t xml:space="preserve">年 </w:t>
      </w:r>
      <w:r>
        <w:rPr>
          <w:rFonts w:hint="eastAsia" w:cs="宋体"/>
          <w:color w:val="auto"/>
          <w:sz w:val="21"/>
          <w:szCs w:val="21"/>
          <w:u w:val="single"/>
          <w:lang w:bidi="ar"/>
        </w:rPr>
        <w:t xml:space="preserve">         </w:t>
      </w:r>
      <w:r>
        <w:rPr>
          <w:rFonts w:hint="eastAsia" w:cs="宋体"/>
          <w:color w:val="auto"/>
          <w:sz w:val="21"/>
          <w:szCs w:val="21"/>
          <w:lang w:bidi="ar"/>
        </w:rPr>
        <w:t xml:space="preserve">月 </w:t>
      </w:r>
      <w:r>
        <w:rPr>
          <w:rFonts w:hint="eastAsia" w:cs="宋体"/>
          <w:color w:val="auto"/>
          <w:sz w:val="21"/>
          <w:szCs w:val="21"/>
          <w:u w:val="single"/>
          <w:lang w:bidi="ar"/>
        </w:rPr>
        <w:t xml:space="preserve">         </w:t>
      </w:r>
      <w:r>
        <w:rPr>
          <w:rFonts w:hint="eastAsia" w:cs="宋体"/>
          <w:color w:val="auto"/>
          <w:sz w:val="21"/>
          <w:szCs w:val="21"/>
          <w:lang w:bidi="ar"/>
        </w:rPr>
        <w:t>日</w:t>
      </w:r>
    </w:p>
    <w:p w14:paraId="55E11D0B">
      <w:pPr>
        <w:spacing w:line="560" w:lineRule="exact"/>
        <w:jc w:val="right"/>
        <w:rPr>
          <w:rFonts w:hint="eastAsia" w:ascii="仿宋_GB2312" w:eastAsia="仿宋_GB2312" w:cs="仿宋_GB2312"/>
          <w:color w:val="auto"/>
          <w:sz w:val="21"/>
          <w:szCs w:val="21"/>
          <w:highlight w:val="none"/>
        </w:rPr>
      </w:pPr>
    </w:p>
    <w:p w14:paraId="7A8AE343">
      <w:pPr>
        <w:pStyle w:val="54"/>
        <w:rPr>
          <w:color w:val="auto"/>
        </w:rPr>
      </w:pPr>
    </w:p>
    <w:bookmarkEnd w:id="693"/>
    <w:p w14:paraId="4B918787">
      <w:pPr>
        <w:rPr>
          <w:rFonts w:hint="eastAsia" w:asciiTheme="minorEastAsia" w:hAnsiTheme="minorEastAsia" w:eastAsiaTheme="minorEastAsia"/>
          <w:b/>
          <w:color w:val="auto"/>
          <w:sz w:val="24"/>
          <w:highlight w:val="none"/>
        </w:rPr>
      </w:pPr>
      <w:bookmarkStart w:id="694" w:name="_Toc28645"/>
      <w:bookmarkStart w:id="695" w:name="_Toc8176"/>
      <w:r>
        <w:rPr>
          <w:rFonts w:hint="eastAsia" w:asciiTheme="minorEastAsia" w:hAnsiTheme="minorEastAsia" w:eastAsiaTheme="minorEastAsia"/>
          <w:b/>
          <w:color w:val="auto"/>
          <w:sz w:val="24"/>
          <w:highlight w:val="none"/>
        </w:rPr>
        <w:br w:type="page"/>
      </w:r>
    </w:p>
    <w:p w14:paraId="01C2ACEF">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、其他相关证明材料</w:t>
      </w:r>
      <w:bookmarkEnd w:id="694"/>
      <w:bookmarkEnd w:id="695"/>
    </w:p>
    <w:p w14:paraId="5A808E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1FA16931">
      <w:pPr>
        <w:spacing w:line="360" w:lineRule="auto"/>
        <w:ind w:firstLine="480" w:firstLineChars="200"/>
        <w:rPr>
          <w:rFonts w:asciiTheme="minorEastAsia" w:hAnsiTheme="minorEastAsia" w:eastAsiaTheme="minorEastAsia"/>
          <w:color w:val="auto"/>
          <w:sz w:val="24"/>
          <w:highlight w:val="none"/>
        </w:rPr>
      </w:pPr>
    </w:p>
    <w:p w14:paraId="586C9C1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F35D3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3678544F">
      <w:pPr>
        <w:pStyle w:val="50"/>
        <w:spacing w:before="0" w:beforeAutospacing="0" w:after="0" w:afterAutospacing="0" w:line="360" w:lineRule="auto"/>
        <w:jc w:val="both"/>
        <w:rPr>
          <w:rFonts w:hint="eastAsia" w:asciiTheme="minorEastAsia" w:hAnsiTheme="minorEastAsia" w:eastAsiaTheme="minorEastAsia"/>
          <w:color w:val="auto"/>
          <w:sz w:val="24"/>
          <w:highlight w:val="none"/>
          <w:lang w:val="en-US" w:eastAsia="zh-CN"/>
        </w:rPr>
      </w:pPr>
    </w:p>
    <w:p w14:paraId="1340B5D3">
      <w:pPr>
        <w:pStyle w:val="50"/>
        <w:spacing w:before="0" w:beforeAutospacing="0" w:after="0" w:afterAutospacing="0" w:line="360" w:lineRule="auto"/>
        <w:jc w:val="center"/>
        <w:rPr>
          <w:rFonts w:hint="eastAsia" w:eastAsiaTheme="minorEastAsia"/>
          <w:color w:val="auto"/>
          <w:highlight w:val="none"/>
          <w:lang w:val="en-US" w:eastAsia="zh-CN"/>
        </w:rPr>
      </w:pPr>
      <w:r>
        <w:rPr>
          <w:rFonts w:hint="eastAsia" w:asciiTheme="minorEastAsia" w:hAnsiTheme="minorEastAsia" w:eastAsiaTheme="minorEastAsia"/>
          <w:color w:val="auto"/>
          <w:sz w:val="24"/>
          <w:highlight w:val="none"/>
          <w:lang w:val="en-US" w:eastAsia="zh-CN"/>
        </w:rPr>
        <w:t>主要材料品牌</w:t>
      </w:r>
    </w:p>
    <w:tbl>
      <w:tblPr>
        <w:tblStyle w:val="56"/>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2455"/>
        <w:gridCol w:w="2367"/>
        <w:gridCol w:w="2367"/>
      </w:tblGrid>
      <w:tr w14:paraId="44A8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27" w:type="dxa"/>
            <w:vAlign w:val="top"/>
          </w:tcPr>
          <w:p w14:paraId="7A731BD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8"/>
                <w:szCs w:val="28"/>
                <w:lang w:eastAsia="zh-CN"/>
              </w:rPr>
            </w:pPr>
            <w:r>
              <w:rPr>
                <w:rFonts w:hint="eastAsia" w:ascii="仿宋" w:hAnsi="仿宋" w:eastAsia="仿宋" w:cs="仿宋"/>
                <w:bCs/>
                <w:color w:val="auto"/>
                <w:sz w:val="28"/>
                <w:szCs w:val="28"/>
                <w:u w:val="none"/>
                <w:lang w:val="en-US" w:eastAsia="zh-CN"/>
              </w:rPr>
              <w:t>序号</w:t>
            </w:r>
          </w:p>
        </w:tc>
        <w:tc>
          <w:tcPr>
            <w:tcW w:w="2455" w:type="dxa"/>
            <w:vAlign w:val="top"/>
          </w:tcPr>
          <w:p w14:paraId="622B1CA8">
            <w:pPr>
              <w:keepNext w:val="0"/>
              <w:keepLines w:val="0"/>
              <w:pageBreakBefore w:val="0"/>
              <w:numPr>
                <w:ilvl w:val="0"/>
                <w:numId w:val="0"/>
              </w:numPr>
              <w:kinsoku/>
              <w:wordWrap/>
              <w:overflowPunct/>
              <w:topLinePunct w:val="0"/>
              <w:bidi w:val="0"/>
              <w:snapToGrid/>
              <w:spacing w:line="500" w:lineRule="exact"/>
              <w:ind w:left="0" w:leftChars="0" w:firstLine="0" w:firstLineChars="0"/>
              <w:jc w:val="center"/>
              <w:textAlignment w:val="auto"/>
              <w:rPr>
                <w:rFonts w:hint="eastAsia" w:ascii="仿宋" w:hAnsi="仿宋" w:eastAsia="仿宋" w:cs="仿宋"/>
                <w:color w:val="auto"/>
                <w:sz w:val="28"/>
                <w:szCs w:val="28"/>
                <w:lang w:eastAsia="zh-CN"/>
              </w:rPr>
            </w:pPr>
            <w:r>
              <w:rPr>
                <w:rFonts w:hint="eastAsia" w:ascii="仿宋" w:hAnsi="仿宋" w:eastAsia="仿宋" w:cs="仿宋"/>
                <w:bCs/>
                <w:color w:val="auto"/>
                <w:sz w:val="28"/>
                <w:szCs w:val="28"/>
                <w:u w:val="none"/>
                <w:lang w:val="en-US" w:eastAsia="zh-CN"/>
              </w:rPr>
              <w:t>材料名称</w:t>
            </w:r>
          </w:p>
        </w:tc>
        <w:tc>
          <w:tcPr>
            <w:tcW w:w="2367" w:type="dxa"/>
            <w:vAlign w:val="top"/>
          </w:tcPr>
          <w:p w14:paraId="639BE2EE">
            <w:pPr>
              <w:keepNext w:val="0"/>
              <w:keepLines w:val="0"/>
              <w:pageBreakBefore w:val="0"/>
              <w:numPr>
                <w:ilvl w:val="0"/>
                <w:numId w:val="0"/>
              </w:numPr>
              <w:kinsoku/>
              <w:wordWrap/>
              <w:overflowPunct/>
              <w:topLinePunct w:val="0"/>
              <w:bidi w:val="0"/>
              <w:snapToGrid/>
              <w:spacing w:line="500" w:lineRule="exact"/>
              <w:ind w:left="0" w:leftChars="0" w:firstLine="0" w:firstLineChars="0"/>
              <w:jc w:val="center"/>
              <w:textAlignment w:val="auto"/>
              <w:rPr>
                <w:rFonts w:hint="eastAsia" w:ascii="仿宋" w:hAnsi="仿宋" w:eastAsia="仿宋" w:cs="仿宋"/>
                <w:color w:val="auto"/>
                <w:sz w:val="28"/>
                <w:szCs w:val="28"/>
                <w:lang w:eastAsia="zh-CN"/>
              </w:rPr>
            </w:pPr>
            <w:r>
              <w:rPr>
                <w:rFonts w:hint="eastAsia" w:ascii="仿宋" w:hAnsi="仿宋" w:eastAsia="仿宋" w:cs="仿宋"/>
                <w:bCs/>
                <w:color w:val="auto"/>
                <w:sz w:val="28"/>
                <w:szCs w:val="28"/>
                <w:u w:val="none"/>
                <w:lang w:val="en-US" w:eastAsia="zh-CN"/>
              </w:rPr>
              <w:t>材料品牌、</w:t>
            </w:r>
          </w:p>
        </w:tc>
        <w:tc>
          <w:tcPr>
            <w:tcW w:w="2367" w:type="dxa"/>
            <w:vAlign w:val="top"/>
          </w:tcPr>
          <w:p w14:paraId="710E28DD">
            <w:pPr>
              <w:keepNext w:val="0"/>
              <w:keepLines w:val="0"/>
              <w:pageBreakBefore w:val="0"/>
              <w:numPr>
                <w:ilvl w:val="0"/>
                <w:numId w:val="0"/>
              </w:numPr>
              <w:kinsoku/>
              <w:wordWrap/>
              <w:overflowPunct/>
              <w:topLinePunct w:val="0"/>
              <w:bidi w:val="0"/>
              <w:snapToGrid/>
              <w:spacing w:line="500" w:lineRule="exact"/>
              <w:ind w:left="0" w:leftChars="0" w:firstLine="0" w:firstLineChars="0"/>
              <w:jc w:val="center"/>
              <w:textAlignment w:val="auto"/>
              <w:rPr>
                <w:rFonts w:hint="eastAsia" w:ascii="仿宋" w:hAnsi="仿宋" w:eastAsia="仿宋" w:cs="仿宋"/>
                <w:bCs/>
                <w:color w:val="auto"/>
                <w:sz w:val="28"/>
                <w:szCs w:val="28"/>
                <w:u w:val="none"/>
                <w:lang w:val="en-US" w:eastAsia="zh-CN"/>
              </w:rPr>
            </w:pPr>
            <w:r>
              <w:rPr>
                <w:rFonts w:hint="eastAsia" w:ascii="仿宋" w:hAnsi="仿宋" w:eastAsia="仿宋" w:cs="仿宋"/>
                <w:bCs/>
                <w:color w:val="auto"/>
                <w:sz w:val="28"/>
                <w:szCs w:val="28"/>
                <w:u w:val="none"/>
                <w:lang w:val="en-US" w:eastAsia="zh-CN"/>
              </w:rPr>
              <w:t>规格或型号</w:t>
            </w:r>
          </w:p>
        </w:tc>
      </w:tr>
      <w:tr w14:paraId="1D85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top"/>
          </w:tcPr>
          <w:p w14:paraId="08FC5A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Cs/>
                <w:color w:val="auto"/>
                <w:sz w:val="28"/>
                <w:szCs w:val="28"/>
                <w:u w:val="none"/>
                <w:lang w:val="en-US" w:eastAsia="zh-CN"/>
              </w:rPr>
              <w:t>1</w:t>
            </w:r>
          </w:p>
        </w:tc>
        <w:tc>
          <w:tcPr>
            <w:tcW w:w="2455" w:type="dxa"/>
            <w:vAlign w:val="top"/>
          </w:tcPr>
          <w:p w14:paraId="608E70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bCs/>
                <w:color w:val="auto"/>
                <w:sz w:val="28"/>
                <w:szCs w:val="28"/>
                <w:u w:val="none"/>
                <w:lang w:val="en-US" w:eastAsia="zh-CN"/>
              </w:rPr>
              <w:t>电力电缆（YJV22）</w:t>
            </w:r>
          </w:p>
        </w:tc>
        <w:tc>
          <w:tcPr>
            <w:tcW w:w="2367" w:type="dxa"/>
            <w:vAlign w:val="top"/>
          </w:tcPr>
          <w:p w14:paraId="0DF51D61">
            <w:pPr>
              <w:keepNext w:val="0"/>
              <w:keepLines w:val="0"/>
              <w:pageBreakBefore w:val="0"/>
              <w:numPr>
                <w:ilvl w:val="0"/>
                <w:numId w:val="0"/>
              </w:numPr>
              <w:kinsoku/>
              <w:wordWrap/>
              <w:overflowPunct/>
              <w:topLinePunct w:val="0"/>
              <w:bidi w:val="0"/>
              <w:snapToGrid/>
              <w:spacing w:line="500" w:lineRule="exact"/>
              <w:ind w:left="0" w:leftChars="0" w:firstLine="560" w:firstLineChars="200"/>
              <w:jc w:val="left"/>
              <w:textAlignment w:val="auto"/>
              <w:rPr>
                <w:rFonts w:hint="eastAsia" w:ascii="仿宋" w:hAnsi="仿宋" w:eastAsia="仿宋" w:cs="仿宋"/>
                <w:color w:val="auto"/>
                <w:sz w:val="28"/>
                <w:szCs w:val="28"/>
                <w:lang w:eastAsia="zh-CN"/>
              </w:rPr>
            </w:pPr>
          </w:p>
        </w:tc>
        <w:tc>
          <w:tcPr>
            <w:tcW w:w="2367" w:type="dxa"/>
            <w:vAlign w:val="top"/>
          </w:tcPr>
          <w:p w14:paraId="716D62BA">
            <w:pPr>
              <w:keepNext w:val="0"/>
              <w:keepLines w:val="0"/>
              <w:pageBreakBefore w:val="0"/>
              <w:numPr>
                <w:ilvl w:val="0"/>
                <w:numId w:val="0"/>
              </w:numPr>
              <w:kinsoku/>
              <w:wordWrap/>
              <w:overflowPunct/>
              <w:topLinePunct w:val="0"/>
              <w:bidi w:val="0"/>
              <w:snapToGrid/>
              <w:spacing w:line="500" w:lineRule="exact"/>
              <w:ind w:left="0" w:leftChars="0" w:firstLine="560" w:firstLineChars="200"/>
              <w:jc w:val="left"/>
              <w:textAlignment w:val="auto"/>
              <w:rPr>
                <w:rFonts w:hint="eastAsia" w:ascii="仿宋" w:hAnsi="仿宋" w:eastAsia="仿宋" w:cs="仿宋"/>
                <w:color w:val="auto"/>
                <w:sz w:val="28"/>
                <w:szCs w:val="28"/>
                <w:lang w:eastAsia="zh-CN"/>
              </w:rPr>
            </w:pPr>
          </w:p>
        </w:tc>
      </w:tr>
      <w:tr w14:paraId="5F80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top"/>
          </w:tcPr>
          <w:p w14:paraId="4B77E2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Cs/>
                <w:color w:val="auto"/>
                <w:sz w:val="28"/>
                <w:szCs w:val="28"/>
                <w:u w:val="none"/>
                <w:lang w:val="en-US" w:eastAsia="zh-CN"/>
              </w:rPr>
              <w:t>2</w:t>
            </w:r>
          </w:p>
        </w:tc>
        <w:tc>
          <w:tcPr>
            <w:tcW w:w="2455" w:type="dxa"/>
            <w:vAlign w:val="top"/>
          </w:tcPr>
          <w:p w14:paraId="1C4355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Cs/>
                <w:color w:val="auto"/>
                <w:sz w:val="28"/>
                <w:szCs w:val="28"/>
                <w:u w:val="none"/>
                <w:lang w:val="en-US" w:eastAsia="zh-CN"/>
              </w:rPr>
              <w:t>电力电缆（YJV）</w:t>
            </w:r>
          </w:p>
        </w:tc>
        <w:tc>
          <w:tcPr>
            <w:tcW w:w="2367" w:type="dxa"/>
            <w:vAlign w:val="top"/>
          </w:tcPr>
          <w:p w14:paraId="5A489F6E">
            <w:pPr>
              <w:keepNext w:val="0"/>
              <w:keepLines w:val="0"/>
              <w:pageBreakBefore w:val="0"/>
              <w:numPr>
                <w:ilvl w:val="0"/>
                <w:numId w:val="0"/>
              </w:numPr>
              <w:kinsoku/>
              <w:wordWrap/>
              <w:overflowPunct/>
              <w:topLinePunct w:val="0"/>
              <w:bidi w:val="0"/>
              <w:snapToGrid/>
              <w:spacing w:line="500" w:lineRule="exact"/>
              <w:ind w:left="0" w:leftChars="0" w:firstLine="560" w:firstLineChars="200"/>
              <w:jc w:val="left"/>
              <w:textAlignment w:val="auto"/>
              <w:rPr>
                <w:rFonts w:hint="eastAsia" w:ascii="仿宋" w:hAnsi="仿宋" w:eastAsia="仿宋" w:cs="仿宋"/>
                <w:color w:val="auto"/>
                <w:sz w:val="28"/>
                <w:szCs w:val="28"/>
                <w:lang w:eastAsia="zh-CN"/>
              </w:rPr>
            </w:pPr>
          </w:p>
        </w:tc>
        <w:tc>
          <w:tcPr>
            <w:tcW w:w="2367" w:type="dxa"/>
            <w:vAlign w:val="top"/>
          </w:tcPr>
          <w:p w14:paraId="5458F133">
            <w:pPr>
              <w:keepNext w:val="0"/>
              <w:keepLines w:val="0"/>
              <w:pageBreakBefore w:val="0"/>
              <w:numPr>
                <w:ilvl w:val="0"/>
                <w:numId w:val="0"/>
              </w:numPr>
              <w:kinsoku/>
              <w:wordWrap/>
              <w:overflowPunct/>
              <w:topLinePunct w:val="0"/>
              <w:bidi w:val="0"/>
              <w:snapToGrid/>
              <w:spacing w:line="500" w:lineRule="exact"/>
              <w:ind w:left="0" w:leftChars="0" w:firstLine="560" w:firstLineChars="200"/>
              <w:jc w:val="left"/>
              <w:textAlignment w:val="auto"/>
              <w:rPr>
                <w:rFonts w:hint="eastAsia" w:ascii="仿宋" w:hAnsi="仿宋" w:eastAsia="仿宋" w:cs="仿宋"/>
                <w:color w:val="auto"/>
                <w:sz w:val="28"/>
                <w:szCs w:val="28"/>
                <w:lang w:eastAsia="zh-CN"/>
              </w:rPr>
            </w:pPr>
          </w:p>
        </w:tc>
      </w:tr>
      <w:tr w14:paraId="145B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top"/>
          </w:tcPr>
          <w:p w14:paraId="642DD4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Cs/>
                <w:color w:val="auto"/>
                <w:kern w:val="2"/>
                <w:sz w:val="28"/>
                <w:szCs w:val="28"/>
                <w:u w:val="none"/>
                <w:lang w:val="en-US" w:eastAsia="zh-CN" w:bidi="ar-SA"/>
              </w:rPr>
              <w:t>3</w:t>
            </w:r>
          </w:p>
        </w:tc>
        <w:tc>
          <w:tcPr>
            <w:tcW w:w="2455" w:type="dxa"/>
            <w:vAlign w:val="top"/>
          </w:tcPr>
          <w:p w14:paraId="6F8B79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bCs/>
                <w:color w:val="auto"/>
                <w:sz w:val="28"/>
                <w:szCs w:val="28"/>
                <w:u w:val="none"/>
                <w:lang w:val="en-US" w:eastAsia="zh-CN"/>
              </w:rPr>
              <w:t>电力电缆（</w:t>
            </w:r>
            <w:r>
              <w:rPr>
                <w:rFonts w:hint="eastAsia" w:ascii="仿宋" w:hAnsi="仿宋" w:eastAsia="仿宋" w:cs="仿宋"/>
                <w:bCs/>
                <w:color w:val="auto"/>
                <w:kern w:val="2"/>
                <w:sz w:val="28"/>
                <w:szCs w:val="28"/>
                <w:u w:val="none"/>
                <w:lang w:val="en-US" w:eastAsia="zh-CN" w:bidi="ar-SA"/>
              </w:rPr>
              <w:t>BV</w:t>
            </w:r>
            <w:r>
              <w:rPr>
                <w:rFonts w:hint="eastAsia" w:ascii="仿宋" w:hAnsi="仿宋" w:eastAsia="仿宋" w:cs="仿宋"/>
                <w:bCs/>
                <w:color w:val="auto"/>
                <w:sz w:val="28"/>
                <w:szCs w:val="28"/>
                <w:u w:val="none"/>
                <w:lang w:val="en-US" w:eastAsia="zh-CN"/>
              </w:rPr>
              <w:t>）</w:t>
            </w:r>
          </w:p>
        </w:tc>
        <w:tc>
          <w:tcPr>
            <w:tcW w:w="2367" w:type="dxa"/>
            <w:vAlign w:val="top"/>
          </w:tcPr>
          <w:p w14:paraId="0A2785E2">
            <w:pPr>
              <w:keepNext w:val="0"/>
              <w:keepLines w:val="0"/>
              <w:pageBreakBefore w:val="0"/>
              <w:numPr>
                <w:ilvl w:val="0"/>
                <w:numId w:val="0"/>
              </w:numPr>
              <w:kinsoku/>
              <w:wordWrap/>
              <w:overflowPunct/>
              <w:topLinePunct w:val="0"/>
              <w:bidi w:val="0"/>
              <w:snapToGrid/>
              <w:spacing w:line="500" w:lineRule="exact"/>
              <w:ind w:left="0" w:leftChars="0" w:firstLine="560" w:firstLineChars="200"/>
              <w:jc w:val="left"/>
              <w:textAlignment w:val="auto"/>
              <w:rPr>
                <w:rFonts w:hint="eastAsia" w:ascii="仿宋" w:hAnsi="仿宋" w:eastAsia="仿宋" w:cs="仿宋"/>
                <w:color w:val="auto"/>
                <w:sz w:val="28"/>
                <w:szCs w:val="28"/>
                <w:lang w:eastAsia="zh-CN"/>
              </w:rPr>
            </w:pPr>
          </w:p>
        </w:tc>
        <w:tc>
          <w:tcPr>
            <w:tcW w:w="2367" w:type="dxa"/>
            <w:vAlign w:val="top"/>
          </w:tcPr>
          <w:p w14:paraId="2CCF868B">
            <w:pPr>
              <w:keepNext w:val="0"/>
              <w:keepLines w:val="0"/>
              <w:pageBreakBefore w:val="0"/>
              <w:numPr>
                <w:ilvl w:val="0"/>
                <w:numId w:val="0"/>
              </w:numPr>
              <w:kinsoku/>
              <w:wordWrap/>
              <w:overflowPunct/>
              <w:topLinePunct w:val="0"/>
              <w:bidi w:val="0"/>
              <w:snapToGrid/>
              <w:spacing w:line="500" w:lineRule="exact"/>
              <w:ind w:left="0" w:leftChars="0" w:firstLine="560" w:firstLineChars="200"/>
              <w:jc w:val="left"/>
              <w:textAlignment w:val="auto"/>
              <w:rPr>
                <w:rFonts w:hint="eastAsia" w:ascii="仿宋" w:hAnsi="仿宋" w:eastAsia="仿宋" w:cs="仿宋"/>
                <w:color w:val="auto"/>
                <w:sz w:val="28"/>
                <w:szCs w:val="28"/>
                <w:lang w:eastAsia="zh-CN"/>
              </w:rPr>
            </w:pPr>
          </w:p>
        </w:tc>
      </w:tr>
      <w:tr w14:paraId="50A1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top"/>
          </w:tcPr>
          <w:p w14:paraId="1EFB8F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Cs/>
                <w:color w:val="auto"/>
                <w:sz w:val="28"/>
                <w:szCs w:val="28"/>
                <w:u w:val="none"/>
                <w:lang w:val="en-US" w:eastAsia="zh-CN"/>
              </w:rPr>
              <w:t>4</w:t>
            </w:r>
          </w:p>
        </w:tc>
        <w:tc>
          <w:tcPr>
            <w:tcW w:w="2455" w:type="dxa"/>
            <w:vAlign w:val="top"/>
          </w:tcPr>
          <w:p w14:paraId="10BAB1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bCs/>
                <w:color w:val="auto"/>
                <w:sz w:val="28"/>
                <w:szCs w:val="28"/>
                <w:u w:val="none"/>
                <w:lang w:val="en-US" w:eastAsia="zh-CN"/>
              </w:rPr>
              <w:t>配电开关</w:t>
            </w:r>
          </w:p>
        </w:tc>
        <w:tc>
          <w:tcPr>
            <w:tcW w:w="2367" w:type="dxa"/>
            <w:vAlign w:val="top"/>
          </w:tcPr>
          <w:p w14:paraId="4BFEAB4C">
            <w:pPr>
              <w:keepNext w:val="0"/>
              <w:keepLines w:val="0"/>
              <w:pageBreakBefore w:val="0"/>
              <w:numPr>
                <w:ilvl w:val="0"/>
                <w:numId w:val="0"/>
              </w:numPr>
              <w:kinsoku/>
              <w:wordWrap/>
              <w:overflowPunct/>
              <w:topLinePunct w:val="0"/>
              <w:bidi w:val="0"/>
              <w:snapToGrid/>
              <w:spacing w:line="500" w:lineRule="exact"/>
              <w:ind w:left="0" w:leftChars="0" w:firstLine="560" w:firstLineChars="200"/>
              <w:jc w:val="left"/>
              <w:textAlignment w:val="auto"/>
              <w:rPr>
                <w:rFonts w:hint="eastAsia" w:ascii="仿宋" w:hAnsi="仿宋" w:eastAsia="仿宋" w:cs="仿宋"/>
                <w:color w:val="auto"/>
                <w:sz w:val="28"/>
                <w:szCs w:val="28"/>
                <w:lang w:eastAsia="zh-CN"/>
              </w:rPr>
            </w:pPr>
          </w:p>
        </w:tc>
        <w:tc>
          <w:tcPr>
            <w:tcW w:w="2367" w:type="dxa"/>
            <w:vAlign w:val="top"/>
          </w:tcPr>
          <w:p w14:paraId="417626C0">
            <w:pPr>
              <w:keepNext w:val="0"/>
              <w:keepLines w:val="0"/>
              <w:pageBreakBefore w:val="0"/>
              <w:numPr>
                <w:ilvl w:val="0"/>
                <w:numId w:val="0"/>
              </w:numPr>
              <w:kinsoku/>
              <w:wordWrap/>
              <w:overflowPunct/>
              <w:topLinePunct w:val="0"/>
              <w:bidi w:val="0"/>
              <w:snapToGrid/>
              <w:spacing w:line="500" w:lineRule="exact"/>
              <w:ind w:left="0" w:leftChars="0" w:firstLine="560" w:firstLineChars="200"/>
              <w:jc w:val="left"/>
              <w:textAlignment w:val="auto"/>
              <w:rPr>
                <w:rFonts w:hint="eastAsia" w:ascii="仿宋" w:hAnsi="仿宋" w:eastAsia="仿宋" w:cs="仿宋"/>
                <w:color w:val="auto"/>
                <w:sz w:val="28"/>
                <w:szCs w:val="28"/>
                <w:lang w:eastAsia="zh-CN"/>
              </w:rPr>
            </w:pPr>
          </w:p>
        </w:tc>
      </w:tr>
      <w:tr w14:paraId="5C36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top"/>
          </w:tcPr>
          <w:p w14:paraId="11BCB53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Cs/>
                <w:color w:val="auto"/>
                <w:sz w:val="28"/>
                <w:szCs w:val="28"/>
                <w:u w:val="none"/>
                <w:lang w:val="en-US" w:eastAsia="zh-CN"/>
              </w:rPr>
              <w:t>5</w:t>
            </w:r>
          </w:p>
        </w:tc>
        <w:tc>
          <w:tcPr>
            <w:tcW w:w="2455" w:type="dxa"/>
            <w:vAlign w:val="top"/>
          </w:tcPr>
          <w:p w14:paraId="265D4A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Cs/>
                <w:color w:val="auto"/>
                <w:sz w:val="28"/>
                <w:szCs w:val="28"/>
                <w:u w:val="none"/>
                <w:lang w:val="en-US" w:eastAsia="zh-CN"/>
              </w:rPr>
              <w:t>断路器</w:t>
            </w:r>
          </w:p>
        </w:tc>
        <w:tc>
          <w:tcPr>
            <w:tcW w:w="2367" w:type="dxa"/>
            <w:vAlign w:val="top"/>
          </w:tcPr>
          <w:p w14:paraId="32BA2A44">
            <w:pPr>
              <w:keepNext w:val="0"/>
              <w:keepLines w:val="0"/>
              <w:pageBreakBefore w:val="0"/>
              <w:numPr>
                <w:ilvl w:val="0"/>
                <w:numId w:val="0"/>
              </w:numPr>
              <w:kinsoku/>
              <w:wordWrap/>
              <w:overflowPunct/>
              <w:topLinePunct w:val="0"/>
              <w:bidi w:val="0"/>
              <w:snapToGrid/>
              <w:spacing w:line="500" w:lineRule="exact"/>
              <w:ind w:left="0" w:leftChars="0" w:firstLine="560" w:firstLineChars="200"/>
              <w:jc w:val="left"/>
              <w:textAlignment w:val="auto"/>
              <w:rPr>
                <w:rFonts w:hint="eastAsia" w:ascii="仿宋" w:hAnsi="仿宋" w:eastAsia="仿宋" w:cs="仿宋"/>
                <w:color w:val="auto"/>
                <w:sz w:val="28"/>
                <w:szCs w:val="28"/>
                <w:lang w:eastAsia="zh-CN"/>
              </w:rPr>
            </w:pPr>
          </w:p>
        </w:tc>
        <w:tc>
          <w:tcPr>
            <w:tcW w:w="2367" w:type="dxa"/>
            <w:vAlign w:val="top"/>
          </w:tcPr>
          <w:p w14:paraId="4020F33D">
            <w:pPr>
              <w:keepNext w:val="0"/>
              <w:keepLines w:val="0"/>
              <w:pageBreakBefore w:val="0"/>
              <w:numPr>
                <w:ilvl w:val="0"/>
                <w:numId w:val="0"/>
              </w:numPr>
              <w:kinsoku/>
              <w:wordWrap/>
              <w:overflowPunct/>
              <w:topLinePunct w:val="0"/>
              <w:bidi w:val="0"/>
              <w:snapToGrid/>
              <w:spacing w:line="500" w:lineRule="exact"/>
              <w:ind w:left="0" w:leftChars="0" w:firstLine="560" w:firstLineChars="200"/>
              <w:jc w:val="left"/>
              <w:textAlignment w:val="auto"/>
              <w:rPr>
                <w:rFonts w:hint="eastAsia" w:ascii="仿宋" w:hAnsi="仿宋" w:eastAsia="仿宋" w:cs="仿宋"/>
                <w:color w:val="auto"/>
                <w:sz w:val="28"/>
                <w:szCs w:val="28"/>
                <w:lang w:eastAsia="zh-CN"/>
              </w:rPr>
            </w:pPr>
          </w:p>
        </w:tc>
      </w:tr>
      <w:tr w14:paraId="0ECA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top"/>
          </w:tcPr>
          <w:p w14:paraId="22E421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Cs/>
                <w:color w:val="auto"/>
                <w:sz w:val="28"/>
                <w:szCs w:val="28"/>
                <w:u w:val="none"/>
                <w:lang w:val="en-US" w:eastAsia="zh-CN"/>
              </w:rPr>
              <w:t>6</w:t>
            </w:r>
          </w:p>
        </w:tc>
        <w:tc>
          <w:tcPr>
            <w:tcW w:w="2455" w:type="dxa"/>
            <w:vAlign w:val="top"/>
          </w:tcPr>
          <w:p w14:paraId="7D86B1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Cs/>
                <w:color w:val="auto"/>
                <w:sz w:val="28"/>
                <w:szCs w:val="28"/>
                <w:u w:val="none"/>
                <w:lang w:val="en-US" w:eastAsia="zh-CN"/>
              </w:rPr>
              <w:t>配电箱</w:t>
            </w:r>
          </w:p>
        </w:tc>
        <w:tc>
          <w:tcPr>
            <w:tcW w:w="2367" w:type="dxa"/>
            <w:vAlign w:val="top"/>
          </w:tcPr>
          <w:p w14:paraId="06207276">
            <w:pPr>
              <w:keepNext w:val="0"/>
              <w:keepLines w:val="0"/>
              <w:pageBreakBefore w:val="0"/>
              <w:numPr>
                <w:ilvl w:val="0"/>
                <w:numId w:val="0"/>
              </w:numPr>
              <w:kinsoku/>
              <w:wordWrap/>
              <w:overflowPunct/>
              <w:topLinePunct w:val="0"/>
              <w:bidi w:val="0"/>
              <w:snapToGrid/>
              <w:spacing w:line="500" w:lineRule="exact"/>
              <w:ind w:left="0" w:leftChars="0" w:firstLine="560" w:firstLineChars="200"/>
              <w:jc w:val="left"/>
              <w:textAlignment w:val="auto"/>
              <w:rPr>
                <w:rFonts w:hint="eastAsia" w:ascii="仿宋" w:hAnsi="仿宋" w:eastAsia="仿宋" w:cs="仿宋"/>
                <w:color w:val="auto"/>
                <w:sz w:val="28"/>
                <w:szCs w:val="28"/>
                <w:lang w:eastAsia="zh-CN"/>
              </w:rPr>
            </w:pPr>
          </w:p>
        </w:tc>
        <w:tc>
          <w:tcPr>
            <w:tcW w:w="2367" w:type="dxa"/>
            <w:vAlign w:val="top"/>
          </w:tcPr>
          <w:p w14:paraId="0C1F3925">
            <w:pPr>
              <w:keepNext w:val="0"/>
              <w:keepLines w:val="0"/>
              <w:pageBreakBefore w:val="0"/>
              <w:numPr>
                <w:ilvl w:val="0"/>
                <w:numId w:val="0"/>
              </w:numPr>
              <w:kinsoku/>
              <w:wordWrap/>
              <w:overflowPunct/>
              <w:topLinePunct w:val="0"/>
              <w:bidi w:val="0"/>
              <w:snapToGrid/>
              <w:spacing w:line="500" w:lineRule="exact"/>
              <w:ind w:left="0" w:leftChars="0" w:firstLine="560" w:firstLineChars="200"/>
              <w:jc w:val="left"/>
              <w:textAlignment w:val="auto"/>
              <w:rPr>
                <w:rFonts w:hint="eastAsia" w:ascii="仿宋" w:hAnsi="仿宋" w:eastAsia="仿宋" w:cs="仿宋"/>
                <w:color w:val="auto"/>
                <w:sz w:val="28"/>
                <w:szCs w:val="28"/>
                <w:lang w:eastAsia="zh-CN"/>
              </w:rPr>
            </w:pPr>
          </w:p>
        </w:tc>
      </w:tr>
      <w:tr w14:paraId="2ACB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top"/>
          </w:tcPr>
          <w:p w14:paraId="0FB626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Cs/>
                <w:color w:val="auto"/>
                <w:sz w:val="28"/>
                <w:szCs w:val="28"/>
                <w:u w:val="none"/>
                <w:lang w:val="en-US" w:eastAsia="zh-CN"/>
              </w:rPr>
              <w:t>7</w:t>
            </w:r>
          </w:p>
        </w:tc>
        <w:tc>
          <w:tcPr>
            <w:tcW w:w="2455" w:type="dxa"/>
            <w:vAlign w:val="top"/>
          </w:tcPr>
          <w:p w14:paraId="5AE205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Cs/>
                <w:color w:val="auto"/>
                <w:sz w:val="28"/>
                <w:szCs w:val="28"/>
                <w:u w:val="none"/>
                <w:lang w:val="en-US" w:eastAsia="zh-CN"/>
              </w:rPr>
              <w:t>电缆保护管</w:t>
            </w:r>
          </w:p>
        </w:tc>
        <w:tc>
          <w:tcPr>
            <w:tcW w:w="2367" w:type="dxa"/>
            <w:vAlign w:val="top"/>
          </w:tcPr>
          <w:p w14:paraId="23DD46A5">
            <w:pPr>
              <w:keepNext w:val="0"/>
              <w:keepLines w:val="0"/>
              <w:pageBreakBefore w:val="0"/>
              <w:numPr>
                <w:ilvl w:val="0"/>
                <w:numId w:val="0"/>
              </w:numPr>
              <w:kinsoku/>
              <w:wordWrap/>
              <w:overflowPunct/>
              <w:topLinePunct w:val="0"/>
              <w:bidi w:val="0"/>
              <w:snapToGrid/>
              <w:spacing w:line="500" w:lineRule="exact"/>
              <w:ind w:left="0" w:leftChars="0" w:firstLine="560" w:firstLineChars="200"/>
              <w:jc w:val="left"/>
              <w:textAlignment w:val="auto"/>
              <w:rPr>
                <w:rFonts w:hint="eastAsia" w:ascii="仿宋" w:hAnsi="仿宋" w:eastAsia="仿宋" w:cs="仿宋"/>
                <w:color w:val="auto"/>
                <w:sz w:val="28"/>
                <w:szCs w:val="28"/>
                <w:lang w:eastAsia="zh-CN"/>
              </w:rPr>
            </w:pPr>
          </w:p>
        </w:tc>
        <w:tc>
          <w:tcPr>
            <w:tcW w:w="2367" w:type="dxa"/>
            <w:vAlign w:val="top"/>
          </w:tcPr>
          <w:p w14:paraId="5DAF733C">
            <w:pPr>
              <w:keepNext w:val="0"/>
              <w:keepLines w:val="0"/>
              <w:pageBreakBefore w:val="0"/>
              <w:numPr>
                <w:ilvl w:val="0"/>
                <w:numId w:val="0"/>
              </w:numPr>
              <w:kinsoku/>
              <w:wordWrap/>
              <w:overflowPunct/>
              <w:topLinePunct w:val="0"/>
              <w:bidi w:val="0"/>
              <w:snapToGrid/>
              <w:spacing w:line="500" w:lineRule="exact"/>
              <w:ind w:left="0" w:leftChars="0" w:firstLine="560" w:firstLineChars="200"/>
              <w:jc w:val="left"/>
              <w:textAlignment w:val="auto"/>
              <w:rPr>
                <w:rFonts w:hint="eastAsia" w:ascii="仿宋" w:hAnsi="仿宋" w:eastAsia="仿宋" w:cs="仿宋"/>
                <w:color w:val="auto"/>
                <w:sz w:val="28"/>
                <w:szCs w:val="28"/>
                <w:lang w:eastAsia="zh-CN"/>
              </w:rPr>
            </w:pPr>
          </w:p>
        </w:tc>
      </w:tr>
      <w:tr w14:paraId="4D53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top"/>
          </w:tcPr>
          <w:p w14:paraId="3E3C57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Cs/>
                <w:color w:val="auto"/>
                <w:sz w:val="28"/>
                <w:szCs w:val="28"/>
                <w:u w:val="none"/>
                <w:lang w:val="en-US" w:eastAsia="zh-CN"/>
              </w:rPr>
              <w:t>8</w:t>
            </w:r>
          </w:p>
        </w:tc>
        <w:tc>
          <w:tcPr>
            <w:tcW w:w="2455" w:type="dxa"/>
            <w:vAlign w:val="top"/>
          </w:tcPr>
          <w:p w14:paraId="7D893E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Cs/>
                <w:color w:val="auto"/>
                <w:sz w:val="28"/>
                <w:szCs w:val="28"/>
                <w:u w:val="none"/>
                <w:lang w:val="en-US" w:eastAsia="zh-CN"/>
              </w:rPr>
              <w:t>桥架</w:t>
            </w:r>
          </w:p>
        </w:tc>
        <w:tc>
          <w:tcPr>
            <w:tcW w:w="2367" w:type="dxa"/>
            <w:vAlign w:val="top"/>
          </w:tcPr>
          <w:p w14:paraId="28CC695C">
            <w:pPr>
              <w:keepNext w:val="0"/>
              <w:keepLines w:val="0"/>
              <w:pageBreakBefore w:val="0"/>
              <w:numPr>
                <w:ilvl w:val="0"/>
                <w:numId w:val="0"/>
              </w:numPr>
              <w:kinsoku/>
              <w:wordWrap/>
              <w:overflowPunct/>
              <w:topLinePunct w:val="0"/>
              <w:bidi w:val="0"/>
              <w:snapToGrid/>
              <w:spacing w:line="500" w:lineRule="exact"/>
              <w:ind w:left="0" w:leftChars="0" w:firstLine="560" w:firstLineChars="200"/>
              <w:jc w:val="left"/>
              <w:textAlignment w:val="auto"/>
              <w:rPr>
                <w:rFonts w:hint="eastAsia" w:ascii="仿宋" w:hAnsi="仿宋" w:eastAsia="仿宋" w:cs="仿宋"/>
                <w:color w:val="auto"/>
                <w:sz w:val="28"/>
                <w:szCs w:val="28"/>
                <w:lang w:eastAsia="zh-CN"/>
              </w:rPr>
            </w:pPr>
          </w:p>
        </w:tc>
        <w:tc>
          <w:tcPr>
            <w:tcW w:w="2367" w:type="dxa"/>
            <w:vAlign w:val="top"/>
          </w:tcPr>
          <w:p w14:paraId="54E74BEE">
            <w:pPr>
              <w:keepNext w:val="0"/>
              <w:keepLines w:val="0"/>
              <w:pageBreakBefore w:val="0"/>
              <w:numPr>
                <w:ilvl w:val="0"/>
                <w:numId w:val="0"/>
              </w:numPr>
              <w:kinsoku/>
              <w:wordWrap/>
              <w:overflowPunct/>
              <w:topLinePunct w:val="0"/>
              <w:bidi w:val="0"/>
              <w:snapToGrid/>
              <w:spacing w:line="500" w:lineRule="exact"/>
              <w:ind w:left="0" w:leftChars="0" w:firstLine="560" w:firstLineChars="200"/>
              <w:jc w:val="left"/>
              <w:textAlignment w:val="auto"/>
              <w:rPr>
                <w:rFonts w:hint="eastAsia" w:ascii="仿宋" w:hAnsi="仿宋" w:eastAsia="仿宋" w:cs="仿宋"/>
                <w:color w:val="auto"/>
                <w:sz w:val="28"/>
                <w:szCs w:val="28"/>
                <w:lang w:eastAsia="zh-CN"/>
              </w:rPr>
            </w:pPr>
          </w:p>
        </w:tc>
      </w:tr>
    </w:tbl>
    <w:p w14:paraId="3EE67C05">
      <w:pPr>
        <w:keepNext w:val="0"/>
        <w:keepLines w:val="0"/>
        <w:pageBreakBefore w:val="0"/>
        <w:kinsoku/>
        <w:wordWrap/>
        <w:overflowPunct/>
        <w:topLinePunct w:val="0"/>
        <w:autoSpaceDE/>
        <w:autoSpaceDN/>
        <w:bidi w:val="0"/>
        <w:adjustRightInd/>
        <w:snapToGrid/>
        <w:spacing w:line="360" w:lineRule="exact"/>
        <w:ind w:right="-298" w:rightChars="-149" w:firstLine="482" w:firstLineChars="200"/>
        <w:textAlignment w:val="auto"/>
        <w:rPr>
          <w:rFonts w:hint="eastAsia" w:ascii="宋体" w:hAnsi="宋体" w:eastAsia="宋体" w:cs="宋体"/>
          <w:b/>
          <w:bCs/>
          <w:color w:val="auto"/>
          <w:sz w:val="24"/>
          <w:highlight w:val="none"/>
          <w:lang w:val="en-US" w:eastAsia="zh-CN"/>
        </w:rPr>
      </w:pPr>
      <w:r>
        <w:rPr>
          <w:rFonts w:hint="eastAsia" w:cs="宋体"/>
          <w:b/>
          <w:bCs/>
          <w:color w:val="auto"/>
          <w:sz w:val="24"/>
          <w:highlight w:val="none"/>
          <w:lang w:val="en-US" w:eastAsia="zh-CN"/>
        </w:rPr>
        <w:t>注：材料品牌、规格或型号应明确填写，不能简略填写为“国产”、“自制”等，否则作为无效响应处理。</w:t>
      </w:r>
    </w:p>
    <w:p w14:paraId="7D34CA5F">
      <w:pPr>
        <w:pStyle w:val="50"/>
        <w:spacing w:before="0" w:beforeAutospacing="0" w:after="0" w:afterAutospacing="0" w:line="360" w:lineRule="auto"/>
        <w:ind w:firstLine="640"/>
        <w:jc w:val="both"/>
        <w:rPr>
          <w:rFonts w:hint="eastAsia" w:eastAsiaTheme="minorEastAsia"/>
          <w:color w:val="auto"/>
          <w:highlight w:val="none"/>
          <w:lang w:val="en-US" w:eastAsia="zh-CN"/>
        </w:rPr>
      </w:pPr>
    </w:p>
    <w:p w14:paraId="196EDC7A">
      <w:pPr>
        <w:widowControl/>
        <w:jc w:val="center"/>
        <w:outlineLvl w:val="0"/>
        <w:rPr>
          <w:rFonts w:hint="eastAsia"/>
          <w:b/>
          <w:bCs/>
          <w:color w:val="auto"/>
          <w:sz w:val="28"/>
          <w:highlight w:val="none"/>
        </w:rPr>
      </w:pPr>
      <w:bookmarkStart w:id="696" w:name="_Toc24879"/>
    </w:p>
    <w:p w14:paraId="25653A39">
      <w:pPr>
        <w:spacing w:line="560" w:lineRule="exact"/>
        <w:ind w:right="-298" w:rightChars="-149" w:firstLine="480" w:firstLineChars="200"/>
        <w:rPr>
          <w:rFonts w:ascii="宋体" w:hAnsi="宋体" w:cs="宋体"/>
          <w:color w:val="auto"/>
          <w:sz w:val="24"/>
          <w:highlight w:val="none"/>
          <w:u w:val="single"/>
        </w:rPr>
      </w:pPr>
      <w:r>
        <w:rPr>
          <w:rFonts w:hint="eastAsia" w:ascii="宋体" w:hAnsi="宋体" w:cs="宋体"/>
          <w:color w:val="auto"/>
          <w:sz w:val="24"/>
          <w:highlight w:val="none"/>
        </w:rPr>
        <w:t>供应商人：</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签章</w:t>
      </w:r>
      <w:r>
        <w:rPr>
          <w:rFonts w:hint="eastAsia" w:ascii="宋体" w:hAnsi="宋体" w:cs="宋体"/>
          <w:color w:val="auto"/>
          <w:sz w:val="24"/>
          <w:highlight w:val="none"/>
          <w:u w:val="single"/>
        </w:rPr>
        <w:t>）</w:t>
      </w:r>
    </w:p>
    <w:p w14:paraId="345FF706">
      <w:pPr>
        <w:spacing w:line="560" w:lineRule="exact"/>
        <w:ind w:right="-298" w:rightChars="-149" w:firstLine="480" w:firstLineChars="200"/>
        <w:rPr>
          <w:rFonts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（签章）</w:t>
      </w:r>
    </w:p>
    <w:p w14:paraId="06ABE543">
      <w:pPr>
        <w:spacing w:line="560" w:lineRule="exact"/>
        <w:ind w:right="-298" w:rightChars="-149" w:firstLine="480" w:firstLineChars="200"/>
        <w:rPr>
          <w:rFonts w:ascii="宋体" w:hAnsi="宋体" w:cs="宋体"/>
          <w:color w:val="auto"/>
          <w:sz w:val="24"/>
          <w:highlight w:val="none"/>
        </w:rPr>
      </w:pPr>
      <w:r>
        <w:rPr>
          <w:rFonts w:hint="eastAsia" w:ascii="宋体" w:hAnsi="宋体" w:cs="宋体"/>
          <w:color w:val="auto"/>
          <w:sz w:val="24"/>
          <w:highlight w:val="none"/>
        </w:rPr>
        <w:t>单位地址：</w:t>
      </w:r>
      <w:r>
        <w:rPr>
          <w:rFonts w:hint="eastAsia" w:ascii="宋体" w:hAnsi="宋体" w:cs="宋体"/>
          <w:color w:val="auto"/>
          <w:sz w:val="24"/>
          <w:highlight w:val="none"/>
          <w:u w:val="single"/>
        </w:rPr>
        <w:t xml:space="preserve">                                   </w:t>
      </w:r>
    </w:p>
    <w:p w14:paraId="707C8497">
      <w:pPr>
        <w:widowControl/>
        <w:jc w:val="center"/>
        <w:outlineLvl w:val="0"/>
        <w:rPr>
          <w:rFonts w:hint="eastAsia"/>
          <w:b/>
          <w:bCs/>
          <w:color w:val="auto"/>
          <w:sz w:val="28"/>
          <w:highlight w:val="none"/>
        </w:rPr>
      </w:pPr>
    </w:p>
    <w:p w14:paraId="690929E4">
      <w:pPr>
        <w:rPr>
          <w:rFonts w:hint="eastAsia"/>
          <w:b/>
          <w:bCs/>
          <w:color w:val="auto"/>
          <w:sz w:val="28"/>
          <w:highlight w:val="none"/>
        </w:rPr>
      </w:pPr>
      <w:r>
        <w:rPr>
          <w:rFonts w:hint="eastAsia"/>
          <w:b/>
          <w:bCs/>
          <w:color w:val="auto"/>
          <w:sz w:val="28"/>
          <w:highlight w:val="none"/>
        </w:rPr>
        <w:br w:type="page"/>
      </w:r>
    </w:p>
    <w:p w14:paraId="0B877DED">
      <w:pPr>
        <w:pStyle w:val="54"/>
        <w:rPr>
          <w:rFonts w:hint="eastAsia"/>
          <w:color w:val="auto"/>
        </w:rPr>
      </w:pPr>
    </w:p>
    <w:p w14:paraId="2972461A">
      <w:pPr>
        <w:widowControl/>
        <w:jc w:val="center"/>
        <w:outlineLvl w:val="0"/>
        <w:rPr>
          <w:b/>
          <w:bCs/>
          <w:color w:val="auto"/>
          <w:sz w:val="28"/>
          <w:highlight w:val="none"/>
        </w:rPr>
      </w:pPr>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696"/>
    </w:p>
    <w:p w14:paraId="654860BF">
      <w:pPr>
        <w:spacing w:line="360" w:lineRule="auto"/>
        <w:jc w:val="center"/>
        <w:outlineLvl w:val="1"/>
        <w:rPr>
          <w:rFonts w:ascii="仿宋" w:hAnsi="仿宋" w:eastAsia="仿宋" w:cs="仿宋"/>
          <w:b/>
          <w:bCs/>
          <w:color w:val="auto"/>
          <w:sz w:val="32"/>
          <w:szCs w:val="44"/>
          <w:highlight w:val="none"/>
        </w:rPr>
      </w:pPr>
      <w:bookmarkStart w:id="697" w:name="_Toc2290"/>
      <w:bookmarkStart w:id="698" w:name="_Toc26448"/>
      <w:r>
        <w:rPr>
          <w:rFonts w:hint="eastAsia" w:ascii="仿宋" w:hAnsi="仿宋" w:eastAsia="仿宋" w:cs="仿宋"/>
          <w:b/>
          <w:bCs/>
          <w:color w:val="auto"/>
          <w:sz w:val="32"/>
          <w:szCs w:val="44"/>
          <w:highlight w:val="none"/>
        </w:rPr>
        <w:t>询问函范本</w:t>
      </w:r>
      <w:bookmarkEnd w:id="697"/>
      <w:bookmarkEnd w:id="698"/>
    </w:p>
    <w:p w14:paraId="4E908021">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91EEC07">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168FB3F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9CD291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99" w:name="_Toc14234"/>
      <w:bookmarkStart w:id="700" w:name="_Toc32070"/>
      <w:r>
        <w:rPr>
          <w:rFonts w:hint="eastAsia" w:cs="仿宋" w:asciiTheme="minorEastAsia" w:hAnsiTheme="minorEastAsia" w:eastAsiaTheme="minorEastAsia"/>
          <w:color w:val="auto"/>
          <w:sz w:val="24"/>
          <w:szCs w:val="24"/>
          <w:highlight w:val="none"/>
        </w:rPr>
        <w:t>一、(事项一)</w:t>
      </w:r>
      <w:bookmarkEnd w:id="699"/>
      <w:bookmarkEnd w:id="700"/>
    </w:p>
    <w:p w14:paraId="7DD1512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0D7E697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06E0AA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FCAB4B1">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01" w:name="_Toc16507"/>
      <w:bookmarkStart w:id="702" w:name="_Toc6489"/>
      <w:r>
        <w:rPr>
          <w:rFonts w:hint="eastAsia" w:cs="仿宋" w:asciiTheme="minorEastAsia" w:hAnsiTheme="minorEastAsia" w:eastAsiaTheme="minorEastAsia"/>
          <w:color w:val="auto"/>
          <w:sz w:val="24"/>
          <w:szCs w:val="24"/>
          <w:highlight w:val="none"/>
        </w:rPr>
        <w:t>二、(事项二)</w:t>
      </w:r>
      <w:bookmarkEnd w:id="701"/>
      <w:bookmarkEnd w:id="702"/>
    </w:p>
    <w:p w14:paraId="79C8C9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E96FAC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087D88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1ABE7B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3C163D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33ECFC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E151F3E">
      <w:pPr>
        <w:jc w:val="center"/>
        <w:outlineLvl w:val="1"/>
        <w:rPr>
          <w:rFonts w:ascii="仿宋" w:hAnsi="仿宋" w:eastAsia="仿宋" w:cs="仿宋"/>
          <w:b/>
          <w:bCs/>
          <w:color w:val="auto"/>
          <w:sz w:val="32"/>
          <w:szCs w:val="44"/>
          <w:highlight w:val="none"/>
        </w:rPr>
      </w:pPr>
      <w:bookmarkStart w:id="703" w:name="_Toc26224"/>
      <w:bookmarkStart w:id="704" w:name="_Toc4923"/>
      <w:r>
        <w:rPr>
          <w:rFonts w:hint="eastAsia" w:ascii="仿宋" w:hAnsi="仿宋" w:eastAsia="仿宋" w:cs="仿宋"/>
          <w:b/>
          <w:bCs/>
          <w:color w:val="auto"/>
          <w:sz w:val="32"/>
          <w:szCs w:val="44"/>
          <w:highlight w:val="none"/>
        </w:rPr>
        <w:t>质疑函范本</w:t>
      </w:r>
      <w:bookmarkEnd w:id="703"/>
      <w:bookmarkEnd w:id="704"/>
    </w:p>
    <w:p w14:paraId="3E071D2A">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705" w:name="_Toc10663"/>
      <w:bookmarkStart w:id="706" w:name="_Toc3847"/>
      <w:r>
        <w:rPr>
          <w:rFonts w:hint="eastAsia" w:cs="仿宋" w:asciiTheme="minorEastAsia" w:hAnsiTheme="minorEastAsia" w:eastAsiaTheme="minorEastAsia"/>
          <w:b/>
          <w:bCs/>
          <w:color w:val="auto"/>
          <w:sz w:val="24"/>
          <w:szCs w:val="24"/>
          <w:highlight w:val="none"/>
        </w:rPr>
        <w:t>一、质疑供应商基本信息</w:t>
      </w:r>
      <w:bookmarkEnd w:id="705"/>
      <w:bookmarkEnd w:id="706"/>
    </w:p>
    <w:p w14:paraId="429BC2F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446DF9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0E0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D9A01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1E1D7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6F07FA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C4A3F7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07" w:name="_Toc30012"/>
      <w:bookmarkStart w:id="708" w:name="_Toc19182"/>
      <w:r>
        <w:rPr>
          <w:rFonts w:hint="eastAsia" w:cs="仿宋" w:asciiTheme="minorEastAsia" w:hAnsiTheme="minorEastAsia" w:eastAsiaTheme="minorEastAsia"/>
          <w:b/>
          <w:bCs/>
          <w:color w:val="auto"/>
          <w:sz w:val="24"/>
          <w:szCs w:val="24"/>
          <w:highlight w:val="none"/>
        </w:rPr>
        <w:t>二、质疑项目基本情况</w:t>
      </w:r>
      <w:bookmarkEnd w:id="707"/>
      <w:bookmarkEnd w:id="708"/>
    </w:p>
    <w:p w14:paraId="27094D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85B43F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C7DE53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BE80E3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A89B45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09" w:name="_Toc21700"/>
      <w:bookmarkStart w:id="710" w:name="_Toc9989"/>
      <w:r>
        <w:rPr>
          <w:rFonts w:hint="eastAsia" w:cs="仿宋" w:asciiTheme="minorEastAsia" w:hAnsiTheme="minorEastAsia" w:eastAsiaTheme="minorEastAsia"/>
          <w:b/>
          <w:bCs/>
          <w:color w:val="auto"/>
          <w:sz w:val="24"/>
          <w:szCs w:val="24"/>
          <w:highlight w:val="none"/>
        </w:rPr>
        <w:t>三、质疑事项具体内容</w:t>
      </w:r>
      <w:bookmarkEnd w:id="709"/>
      <w:bookmarkEnd w:id="710"/>
    </w:p>
    <w:p w14:paraId="4C50460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85D47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498269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79823F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E2C10B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FF3C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6EEC53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3EBAA7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11" w:name="_Toc19016"/>
      <w:bookmarkStart w:id="712" w:name="_Toc10625"/>
      <w:r>
        <w:rPr>
          <w:rFonts w:hint="eastAsia" w:cs="仿宋" w:asciiTheme="minorEastAsia" w:hAnsiTheme="minorEastAsia" w:eastAsiaTheme="minorEastAsia"/>
          <w:b/>
          <w:bCs/>
          <w:color w:val="auto"/>
          <w:sz w:val="24"/>
          <w:szCs w:val="24"/>
          <w:highlight w:val="none"/>
        </w:rPr>
        <w:t>四、与质疑事项相关的质疑请求</w:t>
      </w:r>
      <w:bookmarkEnd w:id="711"/>
      <w:bookmarkEnd w:id="712"/>
    </w:p>
    <w:p w14:paraId="4708FAB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7BD8BE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314E53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C2E7B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0A2F2B5">
      <w:pPr>
        <w:outlineLvl w:val="0"/>
        <w:rPr>
          <w:rFonts w:asciiTheme="minorEastAsia" w:hAnsiTheme="minorEastAsia" w:eastAsiaTheme="minorEastAsia"/>
          <w:b/>
          <w:color w:val="auto"/>
          <w:sz w:val="28"/>
          <w:szCs w:val="32"/>
          <w:highlight w:val="none"/>
        </w:rPr>
      </w:pPr>
      <w:bookmarkStart w:id="713" w:name="_Toc17684"/>
      <w:bookmarkStart w:id="714" w:name="_Toc25274"/>
      <w:r>
        <w:rPr>
          <w:rFonts w:hint="eastAsia" w:asciiTheme="minorEastAsia" w:hAnsiTheme="minorEastAsia" w:eastAsiaTheme="minorEastAsia"/>
          <w:b/>
          <w:color w:val="auto"/>
          <w:sz w:val="28"/>
          <w:szCs w:val="32"/>
          <w:highlight w:val="none"/>
        </w:rPr>
        <w:t>质疑函制作说明：</w:t>
      </w:r>
      <w:bookmarkEnd w:id="713"/>
      <w:bookmarkEnd w:id="714"/>
    </w:p>
    <w:p w14:paraId="76423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81CC2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5C8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C842D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0023A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082B53A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1928B8F9">
      <w:pP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2C37F840">
      <w:pPr>
        <w:keepNext/>
        <w:keepLines/>
        <w:spacing w:before="200" w:after="200" w:line="600" w:lineRule="exact"/>
        <w:outlineLvl w:val="0"/>
        <w:rPr>
          <w:rFonts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附件1 关于联合惩戒失信行为加强信用查询管理的通知</w:t>
      </w:r>
    </w:p>
    <w:p w14:paraId="47AAB7E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29F24F1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3A8F773F">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p w14:paraId="17D0C5C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715" w:name="OLE_LINK93"/>
      <w:bookmarkStart w:id="716" w:name="OLE_LINK91"/>
      <w:bookmarkStart w:id="717" w:name="OLE_LINK92"/>
      <w:bookmarkStart w:id="718" w:name="OLE_LINK103"/>
      <w:r>
        <w:rPr>
          <w:rFonts w:hint="eastAsia" w:ascii="仿宋_GB2312" w:hAnsi="宋体" w:eastAsia="仿宋_GB2312" w:cs="Times New Roman"/>
          <w:color w:val="auto"/>
          <w:sz w:val="28"/>
          <w:szCs w:val="28"/>
          <w:highlight w:val="none"/>
        </w:rPr>
        <w:t>投标人、法定代表人及其项目经理(建造师)</w:t>
      </w:r>
      <w:bookmarkEnd w:id="715"/>
      <w:bookmarkEnd w:id="716"/>
      <w:bookmarkEnd w:id="717"/>
      <w:bookmarkEnd w:id="718"/>
      <w:r>
        <w:rPr>
          <w:rFonts w:hint="eastAsia" w:ascii="仿宋_GB2312" w:hAnsi="宋体" w:eastAsia="仿宋_GB2312" w:cs="Times New Roman"/>
          <w:color w:val="auto"/>
          <w:sz w:val="28"/>
          <w:szCs w:val="28"/>
          <w:highlight w:val="none"/>
        </w:rPr>
        <w:t>以下失信行为：</w:t>
      </w:r>
    </w:p>
    <w:p w14:paraId="61E8F6DF">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719" w:name="OLE_LINK86"/>
      <w:bookmarkStart w:id="720" w:name="OLE_LINK87"/>
      <w:bookmarkStart w:id="721" w:name="OLE_LINK94"/>
      <w:bookmarkStart w:id="722" w:name="OLE_LINK119"/>
      <w:r>
        <w:rPr>
          <w:rFonts w:hint="eastAsia" w:ascii="仿宋_GB2312" w:hAnsi="宋体" w:eastAsia="仿宋_GB2312" w:cs="Times New Roman"/>
          <w:color w:val="auto"/>
          <w:sz w:val="28"/>
          <w:szCs w:val="28"/>
          <w:highlight w:val="none"/>
        </w:rPr>
        <w:t>①被列入“失信被执行人”的;</w:t>
      </w:r>
    </w:p>
    <w:p w14:paraId="1AD8D41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723" w:name="OLE_LINK116"/>
      <w:bookmarkStart w:id="724" w:name="OLE_LINK117"/>
      <w:bookmarkStart w:id="725" w:name="OLE_LINK118"/>
      <w:bookmarkStart w:id="726" w:name="OLE_LINK115"/>
      <w:r>
        <w:rPr>
          <w:rFonts w:hint="eastAsia" w:ascii="仿宋_GB2312" w:hAnsi="宋体" w:eastAsia="仿宋_GB2312" w:cs="Times New Roman"/>
          <w:color w:val="auto"/>
          <w:sz w:val="28"/>
          <w:szCs w:val="28"/>
          <w:highlight w:val="none"/>
        </w:rPr>
        <w:t>“重大税收违法失信主体”</w:t>
      </w:r>
      <w:bookmarkEnd w:id="723"/>
      <w:bookmarkEnd w:id="724"/>
      <w:bookmarkEnd w:id="725"/>
      <w:bookmarkEnd w:id="726"/>
      <w:r>
        <w:rPr>
          <w:rFonts w:hint="eastAsia" w:ascii="仿宋_GB2312" w:hAnsi="宋体" w:eastAsia="仿宋_GB2312" w:cs="Times New Roman"/>
          <w:color w:val="auto"/>
          <w:sz w:val="28"/>
          <w:szCs w:val="28"/>
          <w:highlight w:val="none"/>
        </w:rPr>
        <w:t>的；</w:t>
      </w:r>
    </w:p>
    <w:p w14:paraId="41EB0BE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727" w:name="OLE_LINK85"/>
      <w:bookmarkStart w:id="728" w:name="OLE_LINK84"/>
      <w:r>
        <w:rPr>
          <w:rFonts w:hint="eastAsia" w:ascii="仿宋_GB2312" w:hAnsi="宋体" w:eastAsia="仿宋_GB2312" w:cs="Times New Roman"/>
          <w:color w:val="auto"/>
          <w:sz w:val="28"/>
          <w:szCs w:val="28"/>
          <w:highlight w:val="none"/>
        </w:rPr>
        <w:t>农民工工资失信联合惩戒对象</w:t>
      </w:r>
      <w:bookmarkEnd w:id="727"/>
      <w:bookmarkEnd w:id="728"/>
      <w:r>
        <w:rPr>
          <w:rFonts w:hint="eastAsia" w:ascii="仿宋_GB2312" w:hAnsi="宋体" w:eastAsia="仿宋_GB2312" w:cs="Times New Roman"/>
          <w:color w:val="auto"/>
          <w:sz w:val="28"/>
          <w:szCs w:val="28"/>
          <w:highlight w:val="none"/>
        </w:rPr>
        <w:t>名单”的；</w:t>
      </w:r>
    </w:p>
    <w:p w14:paraId="417FADD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1E44E67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719"/>
    <w:bookmarkEnd w:id="720"/>
    <w:bookmarkEnd w:id="721"/>
    <w:bookmarkEnd w:id="722"/>
    <w:p w14:paraId="1C5DB25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729" w:name="OLE_LINK130"/>
      <w:r>
        <w:rPr>
          <w:rFonts w:hint="eastAsia" w:ascii="仿宋_GB2312" w:hAnsi="宋体" w:eastAsia="仿宋_GB2312" w:cs="Times New Roman"/>
          <w:color w:val="auto"/>
          <w:sz w:val="28"/>
          <w:szCs w:val="28"/>
          <w:highlight w:val="none"/>
        </w:rPr>
        <w:t>国家企业信用信息公示系统网站</w:t>
      </w:r>
      <w:bookmarkEnd w:id="729"/>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730" w:name="OLE_LINK89"/>
      <w:bookmarkStart w:id="731" w:name="OLE_LINK90"/>
      <w:r>
        <w:rPr>
          <w:rStyle w:val="66"/>
          <w:rFonts w:hint="eastAsia" w:ascii="仿宋_GB2312" w:hAnsi="宋体" w:eastAsia="仿宋_GB2312" w:cs="Times New Roman"/>
          <w:color w:val="auto"/>
          <w:sz w:val="28"/>
          <w:szCs w:val="28"/>
          <w:highlight w:val="none"/>
        </w:rPr>
        <w:t>www.gsxt.gov.cn</w:t>
      </w:r>
      <w:bookmarkEnd w:id="730"/>
      <w:bookmarkEnd w:id="731"/>
      <w:r>
        <w:rPr>
          <w:rStyle w:val="66"/>
          <w:rFonts w:hint="eastAsia" w:ascii="仿宋_GB2312" w:hAnsi="宋体" w:eastAsia="仿宋_GB2312" w:cs="Times New Roman"/>
          <w:color w:val="auto"/>
          <w:sz w:val="28"/>
          <w:szCs w:val="28"/>
          <w:highlight w:val="none"/>
        </w:rPr>
        <w:t>）</w:t>
      </w:r>
      <w:r>
        <w:rPr>
          <w:rStyle w:val="66"/>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4F7CB4BC">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732" w:name="OLE_LINK120"/>
      <w:bookmarkStart w:id="733" w:name="OLE_LINK121"/>
      <w:bookmarkStart w:id="734" w:name="OLE_LINK122"/>
      <w:r>
        <w:rPr>
          <w:rFonts w:hint="eastAsia" w:ascii="仿宋_GB2312" w:hAnsi="宋体" w:eastAsia="仿宋_GB2312" w:cs="Times New Roman"/>
          <w:color w:val="auto"/>
          <w:sz w:val="28"/>
          <w:szCs w:val="28"/>
          <w:highlight w:val="none"/>
        </w:rPr>
        <w:t>①</w:t>
      </w:r>
      <w:bookmarkStart w:id="735" w:name="OLE_LINK114"/>
      <w:bookmarkStart w:id="736" w:name="OLE_LINK113"/>
      <w:r>
        <w:rPr>
          <w:rFonts w:hint="eastAsia" w:ascii="仿宋_GB2312" w:hAnsi="宋体" w:eastAsia="仿宋_GB2312" w:cs="Times New Roman"/>
          <w:color w:val="auto"/>
          <w:sz w:val="28"/>
          <w:szCs w:val="28"/>
          <w:highlight w:val="none"/>
        </w:rPr>
        <w:t>被列入“经营异常名录”或者“严重违法失信名单”的</w:t>
      </w:r>
      <w:bookmarkEnd w:id="735"/>
      <w:bookmarkEnd w:id="736"/>
      <w:r>
        <w:rPr>
          <w:rFonts w:hint="eastAsia" w:ascii="仿宋_GB2312" w:hAnsi="宋体" w:eastAsia="仿宋_GB2312" w:cs="Times New Roman"/>
          <w:color w:val="auto"/>
          <w:sz w:val="28"/>
          <w:szCs w:val="28"/>
          <w:highlight w:val="none"/>
        </w:rPr>
        <w:t>。</w:t>
      </w:r>
      <w:bookmarkEnd w:id="732"/>
      <w:bookmarkEnd w:id="733"/>
      <w:bookmarkEnd w:id="734"/>
    </w:p>
    <w:p w14:paraId="6E17183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314A9BD0">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737" w:name="OLE_LINK123"/>
      <w:bookmarkStart w:id="738" w:name="OLE_LINK124"/>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352B41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447A48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073CA14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739" w:name="OLE_LINK107"/>
      <w:bookmarkStart w:id="740" w:name="OLE_LINK108"/>
      <w:r>
        <w:rPr>
          <w:rFonts w:hint="eastAsia" w:ascii="仿宋_GB2312" w:hAnsi="宋体" w:eastAsia="仿宋_GB2312" w:cs="Times New Roman"/>
          <w:color w:val="auto"/>
          <w:sz w:val="28"/>
          <w:szCs w:val="28"/>
          <w:highlight w:val="none"/>
        </w:rPr>
        <w:t>县级及以上有关行政主管部门限制投标资格且在限制期限内的</w:t>
      </w:r>
      <w:bookmarkEnd w:id="739"/>
      <w:bookmarkEnd w:id="740"/>
      <w:r>
        <w:rPr>
          <w:rFonts w:hint="eastAsia" w:ascii="仿宋_GB2312" w:hAnsi="宋体" w:eastAsia="仿宋_GB2312" w:cs="Times New Roman"/>
          <w:color w:val="auto"/>
          <w:sz w:val="28"/>
          <w:szCs w:val="28"/>
          <w:highlight w:val="none"/>
        </w:rPr>
        <w:t>；</w:t>
      </w:r>
    </w:p>
    <w:p w14:paraId="42D14A7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737"/>
    <w:bookmarkEnd w:id="738"/>
    <w:p w14:paraId="3519D4F2">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2B95F61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66"/>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12F4339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2170159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248F52A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474B684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35213B4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1DF6ED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741" w:name="OLE_LINK101"/>
      <w:bookmarkStart w:id="742" w:name="OLE_LINK100"/>
      <w:bookmarkStart w:id="743" w:name="OLE_LINK102"/>
      <w:r>
        <w:rPr>
          <w:rFonts w:hint="eastAsia" w:ascii="仿宋_GB2312" w:hAnsi="宋体" w:eastAsia="仿宋_GB2312" w:cs="Times New Roman"/>
          <w:color w:val="auto"/>
          <w:sz w:val="28"/>
          <w:szCs w:val="28"/>
          <w:highlight w:val="none"/>
        </w:rPr>
        <w:t>被列入“经营异常名录”或者“严重违法失信名单”的</w:t>
      </w:r>
      <w:bookmarkEnd w:id="741"/>
      <w:bookmarkEnd w:id="742"/>
      <w:bookmarkEnd w:id="743"/>
      <w:r>
        <w:rPr>
          <w:rFonts w:hint="eastAsia" w:ascii="仿宋_GB2312" w:hAnsi="宋体" w:eastAsia="仿宋_GB2312" w:cs="Times New Roman"/>
          <w:color w:val="auto"/>
          <w:sz w:val="28"/>
          <w:szCs w:val="28"/>
          <w:highlight w:val="none"/>
        </w:rPr>
        <w:t>。</w:t>
      </w:r>
    </w:p>
    <w:p w14:paraId="52937EF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744" w:name="OLE_LINK95"/>
      <w:bookmarkStart w:id="745" w:name="OLE_LINK96"/>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744"/>
      <w:bookmarkEnd w:id="745"/>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4008A8F8">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746" w:name="OLE_LINK105"/>
      <w:bookmarkStart w:id="747" w:name="OLE_LINK106"/>
      <w:bookmarkStart w:id="748" w:name="OLE_LINK104"/>
      <w:r>
        <w:rPr>
          <w:rFonts w:hint="eastAsia" w:ascii="仿宋_GB2312" w:hAnsi="宋体" w:eastAsia="仿宋_GB2312" w:cs="Times New Roman"/>
          <w:color w:val="auto"/>
          <w:sz w:val="28"/>
          <w:szCs w:val="28"/>
          <w:highlight w:val="none"/>
        </w:rPr>
        <w:t>被列入“政府采购严重违法失信行为信息记录”的</w:t>
      </w:r>
      <w:bookmarkEnd w:id="746"/>
      <w:bookmarkEnd w:id="747"/>
      <w:bookmarkEnd w:id="748"/>
      <w:r>
        <w:rPr>
          <w:rFonts w:hint="eastAsia" w:ascii="仿宋_GB2312" w:hAnsi="宋体" w:eastAsia="仿宋_GB2312" w:cs="楷体"/>
          <w:color w:val="auto"/>
          <w:sz w:val="28"/>
          <w:szCs w:val="28"/>
          <w:highlight w:val="none"/>
        </w:rPr>
        <w:t>。</w:t>
      </w:r>
    </w:p>
    <w:p w14:paraId="38361C2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71CC095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3D5CA77A">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77C5447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82B53A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668A69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64717CC8">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4B432AE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209598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7682911">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5B151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2DA2BEAC">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030E881E">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p>
    <w:p w14:paraId="21AE9A5A">
      <w:pPr>
        <w:ind w:right="-88" w:rightChars="-44"/>
        <w:rPr>
          <w:rFonts w:ascii="宋体" w:hAnsi="宋体" w:eastAsia="宋体" w:cs="宋体"/>
          <w:bCs/>
          <w:color w:val="auto"/>
          <w:szCs w:val="21"/>
          <w:highlight w:val="none"/>
        </w:rPr>
      </w:pPr>
    </w:p>
    <w:p w14:paraId="0E856F63">
      <w:pPr>
        <w:ind w:right="-88" w:rightChars="-44"/>
        <w:rPr>
          <w:rFonts w:ascii="宋体" w:hAnsi="宋体" w:eastAsia="宋体" w:cs="宋体"/>
          <w:bCs/>
          <w:color w:val="auto"/>
          <w:sz w:val="32"/>
          <w:szCs w:val="32"/>
          <w:highlight w:val="none"/>
        </w:rPr>
      </w:pPr>
    </w:p>
    <w:p w14:paraId="78ADE4DE">
      <w:pPr>
        <w:ind w:right="-88" w:rightChars="-44"/>
        <w:rPr>
          <w:rFonts w:ascii="宋体" w:hAnsi="宋体" w:eastAsia="宋体" w:cs="宋体"/>
          <w:bCs/>
          <w:color w:val="auto"/>
          <w:sz w:val="32"/>
          <w:szCs w:val="32"/>
          <w:highlight w:val="none"/>
        </w:rPr>
      </w:pPr>
    </w:p>
    <w:p w14:paraId="1C76BF93">
      <w:pPr>
        <w:ind w:right="-88" w:rightChars="-44"/>
        <w:rPr>
          <w:rFonts w:ascii="宋体" w:hAnsi="宋体" w:eastAsia="宋体" w:cs="宋体"/>
          <w:bCs/>
          <w:color w:val="auto"/>
          <w:sz w:val="32"/>
          <w:szCs w:val="32"/>
          <w:highlight w:val="none"/>
        </w:rPr>
      </w:pPr>
    </w:p>
    <w:p w14:paraId="20A7A99F">
      <w:pPr>
        <w:ind w:right="-88" w:rightChars="-44"/>
        <w:rPr>
          <w:rFonts w:ascii="宋体" w:hAnsi="宋体" w:eastAsia="宋体" w:cs="宋体"/>
          <w:bCs/>
          <w:color w:val="auto"/>
          <w:sz w:val="32"/>
          <w:szCs w:val="32"/>
          <w:highlight w:val="none"/>
        </w:rPr>
      </w:pPr>
    </w:p>
    <w:p w14:paraId="3ED00CAE">
      <w:pPr>
        <w:ind w:right="-88" w:rightChars="-44"/>
        <w:rPr>
          <w:rFonts w:ascii="宋体" w:hAnsi="宋体" w:eastAsia="宋体" w:cs="宋体"/>
          <w:bCs/>
          <w:color w:val="auto"/>
          <w:sz w:val="32"/>
          <w:szCs w:val="32"/>
          <w:highlight w:val="none"/>
        </w:rPr>
      </w:pPr>
    </w:p>
    <w:p w14:paraId="2C848AF2">
      <w:pPr>
        <w:ind w:right="-88" w:rightChars="-44"/>
        <w:rPr>
          <w:rFonts w:ascii="宋体" w:hAnsi="宋体" w:eastAsia="宋体" w:cs="宋体"/>
          <w:bCs/>
          <w:color w:val="auto"/>
          <w:sz w:val="32"/>
          <w:szCs w:val="32"/>
          <w:highlight w:val="none"/>
        </w:rPr>
      </w:pPr>
    </w:p>
    <w:p w14:paraId="7054BF99">
      <w:pPr>
        <w:ind w:right="-88" w:rightChars="-44"/>
        <w:rPr>
          <w:rFonts w:ascii="宋体" w:hAnsi="宋体" w:eastAsia="宋体" w:cs="宋体"/>
          <w:bCs/>
          <w:color w:val="auto"/>
          <w:sz w:val="32"/>
          <w:szCs w:val="32"/>
          <w:highlight w:val="none"/>
        </w:rPr>
      </w:pPr>
    </w:p>
    <w:p w14:paraId="390728C5">
      <w:pPr>
        <w:ind w:right="-88" w:rightChars="-44"/>
        <w:rPr>
          <w:rFonts w:ascii="宋体" w:hAnsi="宋体" w:eastAsia="宋体" w:cs="宋体"/>
          <w:bCs/>
          <w:color w:val="auto"/>
          <w:sz w:val="32"/>
          <w:szCs w:val="32"/>
          <w:highlight w:val="none"/>
        </w:rPr>
      </w:pPr>
    </w:p>
    <w:p w14:paraId="00C10959">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749" w:name="_Toc95223549"/>
      <w:bookmarkStart w:id="750" w:name="OLE_LINK32"/>
      <w:bookmarkStart w:id="751" w:name="OLE_LINK31"/>
      <w:bookmarkStart w:id="752" w:name="OLE_LINK41"/>
      <w:r>
        <w:rPr>
          <w:rFonts w:hint="eastAsia" w:ascii="黑体" w:hAnsi="黑体" w:eastAsia="黑体" w:cs="Times New Roman"/>
          <w:b/>
          <w:bCs/>
          <w:color w:val="auto"/>
          <w:kern w:val="44"/>
          <w:sz w:val="36"/>
          <w:szCs w:val="28"/>
          <w:highlight w:val="none"/>
        </w:rPr>
        <w:t xml:space="preserve">附件2 </w:t>
      </w:r>
      <w:bookmarkStart w:id="753" w:name="OLE_LINK75"/>
      <w:bookmarkStart w:id="754" w:name="OLE_LINK74"/>
      <w:r>
        <w:rPr>
          <w:rFonts w:hint="eastAsia" w:ascii="黑体" w:hAnsi="黑体" w:eastAsia="黑体" w:cs="Times New Roman"/>
          <w:b/>
          <w:bCs/>
          <w:color w:val="auto"/>
          <w:kern w:val="44"/>
          <w:sz w:val="36"/>
          <w:szCs w:val="28"/>
          <w:highlight w:val="none"/>
        </w:rPr>
        <w:t>“信用中国”查询的严重失信行为</w:t>
      </w:r>
      <w:bookmarkStart w:id="755" w:name="OLE_LINK39"/>
      <w:bookmarkStart w:id="756" w:name="OLE_LINK76"/>
      <w:bookmarkStart w:id="757" w:name="OLE_LINK38"/>
      <w:bookmarkStart w:id="758" w:name="OLE_LINK40"/>
      <w:r>
        <w:rPr>
          <w:rFonts w:hint="eastAsia" w:ascii="黑体" w:hAnsi="黑体" w:eastAsia="黑体" w:cs="Times New Roman"/>
          <w:b/>
          <w:bCs/>
          <w:color w:val="auto"/>
          <w:kern w:val="44"/>
          <w:sz w:val="36"/>
          <w:szCs w:val="28"/>
          <w:highlight w:val="none"/>
        </w:rPr>
        <w:t>类别及判定依据</w:t>
      </w:r>
      <w:bookmarkEnd w:id="749"/>
      <w:bookmarkEnd w:id="753"/>
      <w:bookmarkEnd w:id="754"/>
      <w:bookmarkEnd w:id="755"/>
      <w:bookmarkEnd w:id="756"/>
      <w:bookmarkEnd w:id="757"/>
      <w:bookmarkEnd w:id="758"/>
    </w:p>
    <w:bookmarkEnd w:id="750"/>
    <w:bookmarkEnd w:id="751"/>
    <w:bookmarkEnd w:id="752"/>
    <w:p w14:paraId="290D82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39F5BF9D">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5C5BF78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3A1C08A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6718B05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69B6F17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29AD17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3882638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7AF93F8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43FCA76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0FCD95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535FA5C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1B131E8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096C2B15">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564535F8">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47D69378">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733EA37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"https://baike.sogou.com/m/fullLemma?lid=10403954&amp;g_ut=3"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B8025B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"https://baike.sogou.com/m/fullLemma?lid=76033123&amp;g_ut=3"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0046421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"https://baike.sogou.com/m/fullLemma?lid=6470550&amp;g_ut=3"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7365A82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62B9F8D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475D772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"https://baike.sogou.com/m/fullLemma?lid=41657319&amp;g_ut=3"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"https://baike.sogou.com/m/fullLemma?lid=7758328&amp;g_ut=3"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E0DB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"https://baike.sogou.com/m/fullLemma?lid=5923292&amp;g_ut=3"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6DB9F69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"https://baike.sogou.com/m/fullLemma?lid=167759803&amp;g_ut=3"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3328A91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"https://baike.sogou.com/m/fullLemma?lid=155199213&amp;g_ut=3"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"https://baike.sogou.com/m/fullLemma?lid=7757164&amp;g_ut=3"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45AEBA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10B0067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07576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5B4F67E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03D41D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72A221AF">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759" w:name="OLE_LINK8"/>
      <w:bookmarkStart w:id="760" w:name="OLE_LINK10"/>
      <w:bookmarkStart w:id="761" w:name="OLE_LINK9"/>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759"/>
      <w:bookmarkEnd w:id="760"/>
      <w:bookmarkEnd w:id="761"/>
      <w:r>
        <w:rPr>
          <w:rFonts w:hint="eastAsia" w:ascii="仿宋_GB2312" w:hAnsi="宋体" w:eastAsia="仿宋_GB2312" w:cs="Times New Roman"/>
          <w:b/>
          <w:color w:val="auto"/>
          <w:sz w:val="28"/>
          <w:szCs w:val="28"/>
          <w:highlight w:val="none"/>
        </w:rPr>
        <w:t>》、《</w:t>
      </w:r>
      <w:bookmarkStart w:id="762" w:name="OLE_LINK12"/>
      <w:bookmarkStart w:id="763" w:name="OLE_LINK11"/>
      <w:r>
        <w:rPr>
          <w:rFonts w:hint="eastAsia" w:ascii="仿宋_GB2312" w:hAnsi="宋体" w:eastAsia="仿宋_GB2312" w:cs="Times New Roman"/>
          <w:b/>
          <w:color w:val="auto"/>
          <w:sz w:val="28"/>
          <w:szCs w:val="28"/>
          <w:highlight w:val="none"/>
        </w:rPr>
        <w:t>企业环境信用评价办法（试行）</w:t>
      </w:r>
      <w:bookmarkEnd w:id="762"/>
      <w:bookmarkEnd w:id="763"/>
      <w:r>
        <w:rPr>
          <w:rFonts w:hint="eastAsia" w:ascii="仿宋_GB2312" w:hAnsi="宋体" w:eastAsia="仿宋_GB2312" w:cs="Times New Roman"/>
          <w:b/>
          <w:color w:val="auto"/>
          <w:sz w:val="28"/>
          <w:szCs w:val="28"/>
          <w:highlight w:val="none"/>
        </w:rPr>
        <w:t>》（环发〔2013〕150号）</w:t>
      </w:r>
    </w:p>
    <w:p w14:paraId="3508ABA9">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5F1E3C04">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7D7D021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0D96841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2781B3FF">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73F89B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753A4D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0F0773E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13610759">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25D5312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D3C05E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20C59F6F">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10D80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50C7006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4409F73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6DE847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478A175">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12BD24A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13F118B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A03F88">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70B51C89">
      <w:pPr>
        <w:adjustRightInd w:val="0"/>
        <w:snapToGrid w:val="0"/>
        <w:spacing w:line="560" w:lineRule="exact"/>
        <w:ind w:left="134"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3D507293">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依据：《关于对公共资源交易领域严重失信主体开展联合惩戒的备忘录》（发改法规〔2018〕457号）</w:t>
      </w:r>
    </w:p>
    <w:p w14:paraId="6F3F28EC">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19FF0761">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3CAE2CCE">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6A36D603">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0DC2EB58">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67A0DC89">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446BD90F">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0562AF3F">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5A20C473">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7E394B7A">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2059AB43">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2CAE86C5">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764" w:name="OLE_LINK15"/>
      <w:bookmarkStart w:id="765" w:name="OLE_LINK16"/>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764"/>
      <w:bookmarkEnd w:id="765"/>
      <w:r>
        <w:rPr>
          <w:rFonts w:hint="eastAsia" w:ascii="仿宋_GB2312" w:hAnsi="Calibri" w:eastAsia="仿宋_GB2312" w:cs="Times New Roman"/>
          <w:b/>
          <w:color w:val="auto"/>
          <w:sz w:val="28"/>
          <w:szCs w:val="28"/>
          <w:highlight w:val="none"/>
        </w:rPr>
        <w:t>》（发改财金〔2018〕1704号）</w:t>
      </w:r>
    </w:p>
    <w:p w14:paraId="68BDAC33">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51A9808C">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4AF6888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1FE8C227">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131494D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419777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42C696C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07C75CA6">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766" w:name="OLE_LINK17"/>
      <w:bookmarkStart w:id="767" w:name="OLE_LINK18"/>
      <w:r>
        <w:rPr>
          <w:rFonts w:hint="eastAsia" w:ascii="仿宋_GB2312" w:hAnsi="Calibri" w:eastAsia="仿宋_GB2312" w:cs="Times New Roman"/>
          <w:b/>
          <w:color w:val="auto"/>
          <w:sz w:val="28"/>
          <w:szCs w:val="28"/>
          <w:highlight w:val="none"/>
        </w:rPr>
        <w:t>建筑市场信用管理暂行办法</w:t>
      </w:r>
      <w:bookmarkEnd w:id="766"/>
      <w:bookmarkEnd w:id="767"/>
      <w:r>
        <w:rPr>
          <w:rFonts w:hint="eastAsia" w:ascii="仿宋_GB2312" w:hAnsi="Calibri" w:eastAsia="仿宋_GB2312" w:cs="Times New Roman"/>
          <w:b/>
          <w:color w:val="auto"/>
          <w:sz w:val="28"/>
          <w:szCs w:val="28"/>
          <w:highlight w:val="none"/>
        </w:rPr>
        <w:t>》（建市〔2017〕241号）</w:t>
      </w:r>
    </w:p>
    <w:p w14:paraId="29226D5B">
      <w:pPr>
        <w:adjustRightInd w:val="0"/>
        <w:snapToGrid w:val="0"/>
        <w:spacing w:line="560" w:lineRule="exact"/>
        <w:rPr>
          <w:rFonts w:ascii="仿宋_GB2312" w:hAnsi="宋体" w:eastAsia="仿宋_GB2312" w:cs="Times New Roman"/>
          <w:b/>
          <w:color w:val="auto"/>
          <w:sz w:val="28"/>
          <w:szCs w:val="28"/>
          <w:highlight w:val="none"/>
        </w:rPr>
      </w:pPr>
    </w:p>
    <w:p w14:paraId="557F5F33">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768" w:name="OLE_LINK19"/>
      <w:bookmarkStart w:id="769" w:name="OLE_LINK20"/>
      <w:r>
        <w:rPr>
          <w:rFonts w:hint="eastAsia" w:ascii="仿宋_GB2312" w:hAnsi="宋体" w:eastAsia="仿宋_GB2312" w:cs="Times New Roman"/>
          <w:b/>
          <w:color w:val="auto"/>
          <w:sz w:val="28"/>
          <w:szCs w:val="28"/>
          <w:highlight w:val="none"/>
        </w:rPr>
        <w:t>政府采购严重失信行为</w:t>
      </w:r>
      <w:bookmarkEnd w:id="768"/>
      <w:bookmarkEnd w:id="769"/>
    </w:p>
    <w:p w14:paraId="593D8D4E">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37281A92">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0BEE5C1F">
      <w:pPr>
        <w:adjustRightInd w:val="0"/>
        <w:snapToGrid w:val="0"/>
        <w:spacing w:line="560" w:lineRule="exact"/>
        <w:rPr>
          <w:rFonts w:ascii="仿宋_GB2312" w:hAnsi="宋体" w:eastAsia="仿宋_GB2312" w:cs="Times New Roman"/>
          <w:b/>
          <w:color w:val="auto"/>
          <w:sz w:val="28"/>
          <w:szCs w:val="28"/>
          <w:highlight w:val="none"/>
        </w:rPr>
      </w:pPr>
    </w:p>
    <w:p w14:paraId="4ED497B5">
      <w:pPr>
        <w:spacing w:line="440" w:lineRule="exact"/>
        <w:ind w:right="-88" w:rightChars="-44" w:firstLine="615"/>
        <w:rPr>
          <w:rFonts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19A0FF50">
      <w:pPr>
        <w:spacing w:line="360" w:lineRule="auto"/>
        <w:ind w:firstLine="435"/>
        <w:rPr>
          <w:rFonts w:hint="eastAsia" w:asciiTheme="minorEastAsia" w:hAnsiTheme="minorEastAsia" w:eastAsiaTheme="minorEastAsia"/>
          <w:color w:val="auto"/>
          <w:sz w:val="24"/>
          <w:highlight w:val="none"/>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7F" w:usb3="00000000" w:csb0="203F01FF" w:csb1="D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FangSong_GB2312">
    <w:altName w:val="仿宋"/>
    <w:panose1 w:val="0201060906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ActionIcon">
    <w:altName w:val="ksdb"/>
    <w:panose1 w:val="00000000000000000000"/>
    <w:charset w:val="00"/>
    <w:family w:val="auto"/>
    <w:pitch w:val="default"/>
    <w:sig w:usb0="00000000" w:usb1="00000000" w:usb2="00000000" w:usb3="00000000" w:csb0="00000000" w:csb1="00000000"/>
  </w:font>
  <w:font w:name="ModIcon">
    <w:altName w:val="ksdb"/>
    <w:panose1 w:val="00000000000000000000"/>
    <w:charset w:val="00"/>
    <w:family w:val="auto"/>
    <w:pitch w:val="default"/>
    <w:sig w:usb0="00000000" w:usb1="00000000" w:usb2="00000000" w:usb3="00000000" w:csb0="00000000" w:csb1="00000000"/>
  </w:font>
  <w:font w:name="SourceHanSansCN-Regular">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B9AE0">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7967C951">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7464276"/>
    </w:sdtPr>
    <w:sdtEndPr>
      <w:rPr>
        <w:rFonts w:asciiTheme="minorEastAsia" w:hAnsiTheme="minorEastAsia" w:eastAsiaTheme="minorEastAsia"/>
        <w:sz w:val="21"/>
        <w:szCs w:val="21"/>
      </w:rPr>
    </w:sdtEndPr>
    <w:sdtContent>
      <w:sdt>
        <w:sdtPr>
          <w:rPr>
            <w:sz w:val="21"/>
            <w:szCs w:val="21"/>
          </w:rPr>
          <w:id w:val="147470583"/>
        </w:sdtPr>
        <w:sdtEndPr>
          <w:rPr>
            <w:rFonts w:asciiTheme="minorEastAsia" w:hAnsiTheme="minorEastAsia" w:eastAsiaTheme="minorEastAsia"/>
            <w:sz w:val="21"/>
            <w:szCs w:val="21"/>
          </w:rPr>
        </w:sdtEndPr>
        <w:sdtContent>
          <w:p w14:paraId="5966EA09">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108</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106</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F5C67">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31DD">
    <w:pPr>
      <w:pStyle w:val="34"/>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34C2">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6B065"/>
    <w:multiLevelType w:val="singleLevel"/>
    <w:tmpl w:val="84D6B065"/>
    <w:lvl w:ilvl="0" w:tentative="0">
      <w:start w:val="1"/>
      <w:numFmt w:val="decimal"/>
      <w:lvlText w:val="%1."/>
      <w:lvlJc w:val="left"/>
      <w:pPr>
        <w:tabs>
          <w:tab w:val="left" w:pos="312"/>
        </w:tabs>
      </w:pPr>
    </w:lvl>
  </w:abstractNum>
  <w:abstractNum w:abstractNumId="1">
    <w:nsid w:val="916F5B6E"/>
    <w:multiLevelType w:val="singleLevel"/>
    <w:tmpl w:val="916F5B6E"/>
    <w:lvl w:ilvl="0" w:tentative="0">
      <w:start w:val="1"/>
      <w:numFmt w:val="decimal"/>
      <w:lvlText w:val="%1."/>
      <w:lvlJc w:val="left"/>
      <w:pPr>
        <w:tabs>
          <w:tab w:val="left" w:pos="312"/>
        </w:tabs>
      </w:pPr>
    </w:lvl>
  </w:abstractNum>
  <w:abstractNum w:abstractNumId="2">
    <w:nsid w:val="97BF563F"/>
    <w:multiLevelType w:val="singleLevel"/>
    <w:tmpl w:val="97BF563F"/>
    <w:lvl w:ilvl="0" w:tentative="0">
      <w:start w:val="1"/>
      <w:numFmt w:val="decimal"/>
      <w:suff w:val="nothing"/>
      <w:lvlText w:val="（%1）"/>
      <w:lvlJc w:val="left"/>
    </w:lvl>
  </w:abstractNum>
  <w:abstractNum w:abstractNumId="3">
    <w:nsid w:val="BE4F942B"/>
    <w:multiLevelType w:val="singleLevel"/>
    <w:tmpl w:val="BE4F942B"/>
    <w:lvl w:ilvl="0" w:tentative="0">
      <w:start w:val="1"/>
      <w:numFmt w:val="decimal"/>
      <w:suff w:val="nothing"/>
      <w:lvlText w:val="（%1）"/>
      <w:lvlJc w:val="left"/>
    </w:lvl>
  </w:abstractNum>
  <w:abstractNum w:abstractNumId="4">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5">
    <w:nsid w:val="35635121"/>
    <w:multiLevelType w:val="singleLevel"/>
    <w:tmpl w:val="35635121"/>
    <w:lvl w:ilvl="0" w:tentative="0">
      <w:start w:val="6"/>
      <w:numFmt w:val="decimal"/>
      <w:suff w:val="space"/>
      <w:lvlText w:val="%1."/>
      <w:lvlJc w:val="left"/>
    </w:lvl>
  </w:abstractNum>
  <w:abstractNum w:abstractNumId="6">
    <w:nsid w:val="7F7E5238"/>
    <w:multiLevelType w:val="multilevel"/>
    <w:tmpl w:val="7F7E5238"/>
    <w:lvl w:ilvl="0" w:tentative="0">
      <w:start w:val="1"/>
      <w:numFmt w:val="none"/>
      <w:pStyle w:val="17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9"/>
      <w:lvlText w:val="           "/>
      <w:lvlJc w:val="left"/>
      <w:pPr>
        <w:tabs>
          <w:tab w:val="left" w:pos="1440"/>
        </w:tabs>
        <w:ind w:left="1152" w:hanging="1152"/>
      </w:pPr>
      <w:rPr>
        <w:rFonts w:hint="eastAsia"/>
      </w:rPr>
    </w:lvl>
    <w:lvl w:ilvl="6" w:tentative="0">
      <w:start w:val="1"/>
      <w:numFmt w:val="decimal"/>
      <w:pStyle w:val="181"/>
      <w:lvlText w:val="%1.%2.%3.%4.%5.%6.%7"/>
      <w:lvlJc w:val="left"/>
      <w:pPr>
        <w:tabs>
          <w:tab w:val="left" w:pos="2520"/>
        </w:tabs>
        <w:ind w:left="1296" w:hanging="1296"/>
      </w:pPr>
      <w:rPr>
        <w:rFonts w:hint="eastAsia"/>
      </w:rPr>
    </w:lvl>
    <w:lvl w:ilvl="7" w:tentative="0">
      <w:start w:val="1"/>
      <w:numFmt w:val="decimal"/>
      <w:pStyle w:val="183"/>
      <w:lvlText w:val="%1.%2.%3.%4.%5.%6.%7.%8"/>
      <w:lvlJc w:val="left"/>
      <w:pPr>
        <w:tabs>
          <w:tab w:val="left" w:pos="1440"/>
        </w:tabs>
        <w:ind w:left="1440" w:hanging="1440"/>
      </w:pPr>
      <w:rPr>
        <w:rFonts w:hint="eastAsia"/>
      </w:rPr>
    </w:lvl>
    <w:lvl w:ilvl="8" w:tentative="0">
      <w:start w:val="1"/>
      <w:numFmt w:val="decimal"/>
      <w:pStyle w:val="185"/>
      <w:lvlText w:val="%1.%2.%3.%4.%5.%6.%7.%8.%9"/>
      <w:lvlJc w:val="left"/>
      <w:pPr>
        <w:tabs>
          <w:tab w:val="left" w:pos="1584"/>
        </w:tabs>
        <w:ind w:left="1584" w:hanging="1584"/>
      </w:pPr>
      <w:rPr>
        <w:rFonts w:hint="eastAsia"/>
      </w:rPr>
    </w:lvl>
  </w:abstractNum>
  <w:num w:numId="1">
    <w:abstractNumId w:val="6"/>
  </w:num>
  <w:num w:numId="2">
    <w:abstractNumId w:val="0"/>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57B9E"/>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12C3BB1"/>
    <w:rsid w:val="03F014FB"/>
    <w:rsid w:val="040F1BAA"/>
    <w:rsid w:val="05544FDA"/>
    <w:rsid w:val="060D5ED0"/>
    <w:rsid w:val="066C56DE"/>
    <w:rsid w:val="06EE74DB"/>
    <w:rsid w:val="072015CC"/>
    <w:rsid w:val="08617CF0"/>
    <w:rsid w:val="08A234FA"/>
    <w:rsid w:val="093E5132"/>
    <w:rsid w:val="099C3247"/>
    <w:rsid w:val="09CC6513"/>
    <w:rsid w:val="0B34273F"/>
    <w:rsid w:val="0B3543DB"/>
    <w:rsid w:val="0B5759D8"/>
    <w:rsid w:val="0B584B6B"/>
    <w:rsid w:val="0B9A6428"/>
    <w:rsid w:val="0BA07AE1"/>
    <w:rsid w:val="0BC76A6E"/>
    <w:rsid w:val="0BD069A1"/>
    <w:rsid w:val="0C0B76AE"/>
    <w:rsid w:val="0C695EBF"/>
    <w:rsid w:val="0C764D16"/>
    <w:rsid w:val="0D23676C"/>
    <w:rsid w:val="0D3E7892"/>
    <w:rsid w:val="0D461955"/>
    <w:rsid w:val="0DB72352"/>
    <w:rsid w:val="0DFC12FE"/>
    <w:rsid w:val="0DFF1A91"/>
    <w:rsid w:val="0E30091C"/>
    <w:rsid w:val="0EB116DF"/>
    <w:rsid w:val="0EB9796D"/>
    <w:rsid w:val="0ED93BBF"/>
    <w:rsid w:val="0EF45C83"/>
    <w:rsid w:val="0FC76BB7"/>
    <w:rsid w:val="10F935A7"/>
    <w:rsid w:val="12E83133"/>
    <w:rsid w:val="13607801"/>
    <w:rsid w:val="1375778E"/>
    <w:rsid w:val="14BF5434"/>
    <w:rsid w:val="14E43199"/>
    <w:rsid w:val="1562473D"/>
    <w:rsid w:val="16F15C51"/>
    <w:rsid w:val="17146EEB"/>
    <w:rsid w:val="17514C51"/>
    <w:rsid w:val="17837AAF"/>
    <w:rsid w:val="18A85F98"/>
    <w:rsid w:val="1B291D20"/>
    <w:rsid w:val="1D015171"/>
    <w:rsid w:val="1D191BE5"/>
    <w:rsid w:val="1D3B78BE"/>
    <w:rsid w:val="1DEC70E9"/>
    <w:rsid w:val="1E0B00F8"/>
    <w:rsid w:val="1E112FC8"/>
    <w:rsid w:val="1F2E6A6D"/>
    <w:rsid w:val="21326E5F"/>
    <w:rsid w:val="21A12912"/>
    <w:rsid w:val="237C1D35"/>
    <w:rsid w:val="241D3932"/>
    <w:rsid w:val="247E2DFD"/>
    <w:rsid w:val="24AB00E0"/>
    <w:rsid w:val="25DA0320"/>
    <w:rsid w:val="265B0373"/>
    <w:rsid w:val="26FE2B53"/>
    <w:rsid w:val="274D5052"/>
    <w:rsid w:val="27E85AF1"/>
    <w:rsid w:val="27F46626"/>
    <w:rsid w:val="288E11CC"/>
    <w:rsid w:val="28A96E2F"/>
    <w:rsid w:val="2A1534D2"/>
    <w:rsid w:val="2B5044AE"/>
    <w:rsid w:val="2B89414F"/>
    <w:rsid w:val="2BC52ED8"/>
    <w:rsid w:val="2D1633EB"/>
    <w:rsid w:val="2D611D48"/>
    <w:rsid w:val="2E992065"/>
    <w:rsid w:val="2EB60132"/>
    <w:rsid w:val="2EF04710"/>
    <w:rsid w:val="2F850E2A"/>
    <w:rsid w:val="2F8779B7"/>
    <w:rsid w:val="31966FB2"/>
    <w:rsid w:val="3215051D"/>
    <w:rsid w:val="324F5BF1"/>
    <w:rsid w:val="33ED52AE"/>
    <w:rsid w:val="34152599"/>
    <w:rsid w:val="346E7033"/>
    <w:rsid w:val="346F60D7"/>
    <w:rsid w:val="3544508A"/>
    <w:rsid w:val="36AD04C3"/>
    <w:rsid w:val="36E71BB0"/>
    <w:rsid w:val="37D62079"/>
    <w:rsid w:val="385414FE"/>
    <w:rsid w:val="38CD4FE1"/>
    <w:rsid w:val="3B5006E0"/>
    <w:rsid w:val="3B765F9D"/>
    <w:rsid w:val="3C2546B9"/>
    <w:rsid w:val="3C9227B9"/>
    <w:rsid w:val="3E1715D2"/>
    <w:rsid w:val="3EFA6412"/>
    <w:rsid w:val="408D59ED"/>
    <w:rsid w:val="40B54BA9"/>
    <w:rsid w:val="41966C29"/>
    <w:rsid w:val="433C4E21"/>
    <w:rsid w:val="43406525"/>
    <w:rsid w:val="44CC5046"/>
    <w:rsid w:val="44F243AD"/>
    <w:rsid w:val="45B649C6"/>
    <w:rsid w:val="46BB73B6"/>
    <w:rsid w:val="46D629D1"/>
    <w:rsid w:val="47484C91"/>
    <w:rsid w:val="47C27D6C"/>
    <w:rsid w:val="4838270D"/>
    <w:rsid w:val="48EC3373"/>
    <w:rsid w:val="48F007C1"/>
    <w:rsid w:val="49214B3A"/>
    <w:rsid w:val="493B64BB"/>
    <w:rsid w:val="495E0E6D"/>
    <w:rsid w:val="49CD7090"/>
    <w:rsid w:val="49D55251"/>
    <w:rsid w:val="4B1B26BD"/>
    <w:rsid w:val="4BE87A98"/>
    <w:rsid w:val="4C1743E7"/>
    <w:rsid w:val="4C2E43AC"/>
    <w:rsid w:val="4C922779"/>
    <w:rsid w:val="4D1460FA"/>
    <w:rsid w:val="4DED0341"/>
    <w:rsid w:val="4E616C92"/>
    <w:rsid w:val="4E6F2E5D"/>
    <w:rsid w:val="4F9B25B3"/>
    <w:rsid w:val="502B1AD6"/>
    <w:rsid w:val="50770396"/>
    <w:rsid w:val="508A5A0C"/>
    <w:rsid w:val="50B13DEA"/>
    <w:rsid w:val="51E00575"/>
    <w:rsid w:val="52756472"/>
    <w:rsid w:val="5407371F"/>
    <w:rsid w:val="54307066"/>
    <w:rsid w:val="55076EDB"/>
    <w:rsid w:val="557F62EE"/>
    <w:rsid w:val="564D5B0B"/>
    <w:rsid w:val="565019E7"/>
    <w:rsid w:val="56861129"/>
    <w:rsid w:val="569861B6"/>
    <w:rsid w:val="56B6493F"/>
    <w:rsid w:val="56D26221"/>
    <w:rsid w:val="573E7E5F"/>
    <w:rsid w:val="579E26AC"/>
    <w:rsid w:val="5809250B"/>
    <w:rsid w:val="58946959"/>
    <w:rsid w:val="589E1721"/>
    <w:rsid w:val="5A5113C2"/>
    <w:rsid w:val="5B7E6A7C"/>
    <w:rsid w:val="5C8F7148"/>
    <w:rsid w:val="5D5B355A"/>
    <w:rsid w:val="5D8C4430"/>
    <w:rsid w:val="5E004B0E"/>
    <w:rsid w:val="5E46272B"/>
    <w:rsid w:val="5ECE1AC8"/>
    <w:rsid w:val="5F6103C2"/>
    <w:rsid w:val="5FCD130C"/>
    <w:rsid w:val="5FD07FE9"/>
    <w:rsid w:val="60613CC2"/>
    <w:rsid w:val="60DD5FF3"/>
    <w:rsid w:val="61737CE0"/>
    <w:rsid w:val="617A62BB"/>
    <w:rsid w:val="62450E0A"/>
    <w:rsid w:val="6270505E"/>
    <w:rsid w:val="62A2790D"/>
    <w:rsid w:val="62C23A18"/>
    <w:rsid w:val="62EB49FC"/>
    <w:rsid w:val="632B05B6"/>
    <w:rsid w:val="63D905AD"/>
    <w:rsid w:val="640D62B2"/>
    <w:rsid w:val="645F3309"/>
    <w:rsid w:val="647A03AB"/>
    <w:rsid w:val="652674EA"/>
    <w:rsid w:val="652A00A2"/>
    <w:rsid w:val="65B46500"/>
    <w:rsid w:val="669F3A29"/>
    <w:rsid w:val="66E2747D"/>
    <w:rsid w:val="66F7550A"/>
    <w:rsid w:val="673047EC"/>
    <w:rsid w:val="6833421D"/>
    <w:rsid w:val="683B31A6"/>
    <w:rsid w:val="6A4B69A3"/>
    <w:rsid w:val="6A524BF2"/>
    <w:rsid w:val="6A9874AE"/>
    <w:rsid w:val="6AAD1A41"/>
    <w:rsid w:val="6B9C347D"/>
    <w:rsid w:val="6BAC18E9"/>
    <w:rsid w:val="6BB805D1"/>
    <w:rsid w:val="6CB73B9C"/>
    <w:rsid w:val="6D2F1B21"/>
    <w:rsid w:val="6E5F172B"/>
    <w:rsid w:val="6F5D0B2F"/>
    <w:rsid w:val="6F6117F5"/>
    <w:rsid w:val="6F84274A"/>
    <w:rsid w:val="6FBE314B"/>
    <w:rsid w:val="6FDC216E"/>
    <w:rsid w:val="70217AAF"/>
    <w:rsid w:val="70A0444C"/>
    <w:rsid w:val="71E7396A"/>
    <w:rsid w:val="72426789"/>
    <w:rsid w:val="74FC2405"/>
    <w:rsid w:val="75886092"/>
    <w:rsid w:val="7608762E"/>
    <w:rsid w:val="76215A11"/>
    <w:rsid w:val="78373BAC"/>
    <w:rsid w:val="787F2147"/>
    <w:rsid w:val="78D4376C"/>
    <w:rsid w:val="79775D93"/>
    <w:rsid w:val="799B26EC"/>
    <w:rsid w:val="79DA107C"/>
    <w:rsid w:val="7B853EC3"/>
    <w:rsid w:val="7CAE2B9E"/>
    <w:rsid w:val="7CD24A22"/>
    <w:rsid w:val="7D18299B"/>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92"/>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05"/>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94"/>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9"/>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106"/>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107"/>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108"/>
    <w:autoRedefine/>
    <w:qFormat/>
    <w:uiPriority w:val="0"/>
    <w:pPr>
      <w:tabs>
        <w:tab w:val="left" w:pos="1800"/>
        <w:tab w:val="clear" w:pos="1440"/>
      </w:tabs>
      <w:ind w:left="1276" w:hanging="1276"/>
      <w:outlineLvl w:val="6"/>
    </w:pPr>
  </w:style>
  <w:style w:type="paragraph" w:styleId="10">
    <w:name w:val="heading 8"/>
    <w:basedOn w:val="1"/>
    <w:next w:val="1"/>
    <w:link w:val="109"/>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10"/>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2">
    <w:name w:val="index 4"/>
    <w:basedOn w:val="1"/>
    <w:next w:val="1"/>
    <w:autoRedefine/>
    <w:qFormat/>
    <w:uiPriority w:val="0"/>
    <w:pPr>
      <w:ind w:left="600" w:leftChars="600"/>
    </w:pPr>
    <w:rPr>
      <w:rFonts w:ascii="Times New Roman" w:hAnsi="Times New Roman" w:cs="Times New Roman"/>
      <w:kern w:val="2"/>
      <w:sz w:val="21"/>
      <w:szCs w:val="24"/>
    </w:rPr>
  </w:style>
  <w:style w:type="paragraph" w:styleId="12">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5">
    <w:name w:val="caption"/>
    <w:basedOn w:val="1"/>
    <w:next w:val="1"/>
    <w:autoRedefine/>
    <w:qFormat/>
    <w:uiPriority w:val="0"/>
    <w:pPr>
      <w:spacing w:before="152" w:after="160"/>
    </w:pPr>
    <w:rPr>
      <w:rFonts w:ascii="Arial" w:hAnsi="Arial" w:eastAsia="黑体" w:cs="Arial"/>
      <w:kern w:val="2"/>
    </w:rPr>
  </w:style>
  <w:style w:type="paragraph" w:styleId="16">
    <w:name w:val="Document Map"/>
    <w:basedOn w:val="1"/>
    <w:link w:val="154"/>
    <w:autoRedefine/>
    <w:qFormat/>
    <w:uiPriority w:val="0"/>
    <w:pPr>
      <w:shd w:val="clear" w:color="auto" w:fill="000080"/>
    </w:pPr>
    <w:rPr>
      <w:rFonts w:ascii="Calibri" w:hAnsi="Calibri" w:cs="Times New Roman"/>
      <w:bCs/>
      <w:kern w:val="2"/>
      <w:sz w:val="21"/>
      <w:szCs w:val="32"/>
      <w:lang w:val="zh-CN"/>
    </w:rPr>
  </w:style>
  <w:style w:type="paragraph" w:styleId="17">
    <w:name w:val="annotation text"/>
    <w:basedOn w:val="1"/>
    <w:link w:val="91"/>
    <w:autoRedefine/>
    <w:qFormat/>
    <w:uiPriority w:val="0"/>
    <w:pPr>
      <w:jc w:val="left"/>
    </w:pPr>
    <w:rPr>
      <w:rFonts w:ascii="Arial" w:hAnsi="Arial" w:eastAsia="黑体" w:cs="Arial"/>
    </w:rPr>
  </w:style>
  <w:style w:type="paragraph" w:styleId="18">
    <w:name w:val="Salutation"/>
    <w:basedOn w:val="1"/>
    <w:next w:val="1"/>
    <w:link w:val="121"/>
    <w:autoRedefine/>
    <w:qFormat/>
    <w:uiPriority w:val="0"/>
    <w:rPr>
      <w:rFonts w:ascii="仿宋_GB2312" w:hAnsi="Times New Roman" w:eastAsia="仿宋_GB2312" w:cs="Times New Roman"/>
      <w:kern w:val="2"/>
      <w:sz w:val="28"/>
      <w:lang w:val="zh-CN"/>
    </w:rPr>
  </w:style>
  <w:style w:type="paragraph" w:styleId="19">
    <w:name w:val="Body Text 3"/>
    <w:basedOn w:val="1"/>
    <w:link w:val="140"/>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0">
    <w:name w:val="Body Text"/>
    <w:basedOn w:val="1"/>
    <w:link w:val="100"/>
    <w:autoRedefine/>
    <w:qFormat/>
    <w:uiPriority w:val="0"/>
    <w:pPr>
      <w:spacing w:after="120"/>
    </w:pPr>
    <w:rPr>
      <w:rFonts w:ascii="@微软简标宋" w:hAnsi="@微软简标宋" w:eastAsia="@微软简标宋" w:cs="@微软简标宋"/>
      <w:szCs w:val="24"/>
      <w:lang w:val="zh-CN"/>
    </w:rPr>
  </w:style>
  <w:style w:type="paragraph" w:styleId="21">
    <w:name w:val="Body Text Indent"/>
    <w:basedOn w:val="1"/>
    <w:next w:val="22"/>
    <w:link w:val="115"/>
    <w:autoRedefine/>
    <w:unhideWhenUsed/>
    <w:qFormat/>
    <w:uiPriority w:val="0"/>
    <w:pPr>
      <w:spacing w:after="120"/>
      <w:ind w:left="420" w:leftChars="200"/>
    </w:pPr>
    <w:rPr>
      <w:rFonts w:asciiTheme="minorHAnsi" w:hAnsiTheme="minorHAnsi"/>
      <w:kern w:val="2"/>
      <w:sz w:val="21"/>
      <w:szCs w:val="22"/>
    </w:rPr>
  </w:style>
  <w:style w:type="paragraph" w:styleId="22">
    <w:name w:val="envelope return"/>
    <w:basedOn w:val="1"/>
    <w:next w:val="13"/>
    <w:qFormat/>
    <w:uiPriority w:val="0"/>
    <w:pPr>
      <w:snapToGrid w:val="0"/>
    </w:pPr>
    <w:rPr>
      <w:rFonts w:ascii="Arial" w:hAnsi="Arial"/>
    </w:rPr>
  </w:style>
  <w:style w:type="paragraph" w:styleId="23">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4">
    <w:name w:val="List Continue"/>
    <w:basedOn w:val="1"/>
    <w:autoRedefine/>
    <w:qFormat/>
    <w:uiPriority w:val="0"/>
    <w:pPr>
      <w:spacing w:after="120"/>
      <w:ind w:left="420" w:leftChars="200"/>
    </w:pPr>
    <w:rPr>
      <w:rFonts w:ascii="Calibri" w:hAnsi="Calibri" w:cs="Times New Roman"/>
      <w:kern w:val="2"/>
      <w:sz w:val="21"/>
      <w:szCs w:val="22"/>
    </w:rPr>
  </w:style>
  <w:style w:type="paragraph" w:styleId="25">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80"/>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7"/>
    <w:autoRedefine/>
    <w:qFormat/>
    <w:uiPriority w:val="0"/>
    <w:rPr>
      <w:rFonts w:ascii="Arial" w:hAnsi="Arial" w:cs="Arial"/>
      <w:b/>
      <w:sz w:val="28"/>
    </w:rPr>
  </w:style>
  <w:style w:type="paragraph" w:styleId="31">
    <w:name w:val="Body Text Indent 2"/>
    <w:basedOn w:val="1"/>
    <w:link w:val="136"/>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74"/>
    <w:autoRedefine/>
    <w:unhideWhenUsed/>
    <w:qFormat/>
    <w:uiPriority w:val="0"/>
    <w:rPr>
      <w:sz w:val="18"/>
      <w:szCs w:val="18"/>
    </w:rPr>
  </w:style>
  <w:style w:type="paragraph" w:styleId="33">
    <w:name w:val="footer"/>
    <w:basedOn w:val="1"/>
    <w:link w:val="79"/>
    <w:autoRedefine/>
    <w:unhideWhenUsed/>
    <w:qFormat/>
    <w:uiPriority w:val="99"/>
    <w:pPr>
      <w:tabs>
        <w:tab w:val="center" w:pos="4153"/>
        <w:tab w:val="right" w:pos="8306"/>
      </w:tabs>
      <w:snapToGrid w:val="0"/>
      <w:jc w:val="left"/>
    </w:pPr>
    <w:rPr>
      <w:sz w:val="18"/>
      <w:szCs w:val="18"/>
    </w:rPr>
  </w:style>
  <w:style w:type="paragraph" w:styleId="34">
    <w:name w:val="header"/>
    <w:basedOn w:val="1"/>
    <w:link w:val="7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8"/>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7"/>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5"/>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9"/>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4"/>
    <w:next w:val="1"/>
    <w:link w:val="143"/>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7"/>
    <w:next w:val="17"/>
    <w:link w:val="102"/>
    <w:autoRedefine/>
    <w:unhideWhenUsed/>
    <w:qFormat/>
    <w:uiPriority w:val="0"/>
    <w:rPr>
      <w:rFonts w:ascii="宋体" w:hAnsi="宋体" w:eastAsia="宋体" w:cstheme="minorBidi"/>
      <w:b/>
      <w:bCs/>
    </w:rPr>
  </w:style>
  <w:style w:type="paragraph" w:styleId="53">
    <w:name w:val="Body Text First Indent"/>
    <w:basedOn w:val="20"/>
    <w:autoRedefine/>
    <w:semiHidden/>
    <w:unhideWhenUsed/>
    <w:qFormat/>
    <w:uiPriority w:val="99"/>
    <w:pPr>
      <w:ind w:firstLine="420" w:firstLineChars="100"/>
    </w:pPr>
  </w:style>
  <w:style w:type="paragraph" w:styleId="54">
    <w:name w:val="Body Text First Indent 2"/>
    <w:basedOn w:val="21"/>
    <w:next w:val="1"/>
    <w:qFormat/>
    <w:uiPriority w:val="0"/>
    <w:pPr>
      <w:spacing w:line="360" w:lineRule="auto"/>
      <w:ind w:firstLine="200"/>
    </w:pPr>
    <w:rPr>
      <w:sz w:val="21"/>
    </w:r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TML Definition"/>
    <w:basedOn w:val="57"/>
    <w:semiHidden/>
    <w:unhideWhenUsed/>
    <w:uiPriority w:val="99"/>
  </w:style>
  <w:style w:type="character" w:styleId="63">
    <w:name w:val="HTML Typewriter"/>
    <w:basedOn w:val="57"/>
    <w:semiHidden/>
    <w:unhideWhenUsed/>
    <w:uiPriority w:val="99"/>
    <w:rPr>
      <w:rFonts w:hint="default" w:ascii="monospace" w:hAnsi="monospace" w:eastAsia="monospace" w:cs="monospace"/>
      <w:sz w:val="20"/>
    </w:rPr>
  </w:style>
  <w:style w:type="character" w:styleId="64">
    <w:name w:val="HTML Acronym"/>
    <w:basedOn w:val="57"/>
    <w:semiHidden/>
    <w:unhideWhenUsed/>
    <w:uiPriority w:val="99"/>
    <w:rPr>
      <w:bdr w:val="none" w:color="auto" w:sz="0" w:space="0"/>
    </w:rPr>
  </w:style>
  <w:style w:type="character" w:styleId="65">
    <w:name w:val="HTML Variable"/>
    <w:basedOn w:val="57"/>
    <w:semiHidden/>
    <w:unhideWhenUsed/>
    <w:uiPriority w:val="99"/>
  </w:style>
  <w:style w:type="character" w:styleId="66">
    <w:name w:val="Hyperlink"/>
    <w:basedOn w:val="57"/>
    <w:autoRedefine/>
    <w:unhideWhenUsed/>
    <w:qFormat/>
    <w:uiPriority w:val="99"/>
    <w:rPr>
      <w:color w:val="0000FF" w:themeColor="hyperlink"/>
      <w:u w:val="single"/>
      <w14:textFill>
        <w14:solidFill>
          <w14:schemeClr w14:val="hlink"/>
        </w14:solidFill>
      </w14:textFill>
    </w:rPr>
  </w:style>
  <w:style w:type="character" w:styleId="67">
    <w:name w:val="HTML Code"/>
    <w:basedOn w:val="57"/>
    <w:semiHidden/>
    <w:unhideWhenUsed/>
    <w:uiPriority w:val="99"/>
    <w:rPr>
      <w:rFonts w:hint="default" w:ascii="monospace" w:hAnsi="monospace" w:eastAsia="monospace" w:cs="monospace"/>
      <w:sz w:val="20"/>
      <w:bdr w:val="none" w:color="auto" w:sz="0" w:space="0"/>
    </w:rPr>
  </w:style>
  <w:style w:type="character" w:styleId="68">
    <w:name w:val="annotation reference"/>
    <w:basedOn w:val="57"/>
    <w:autoRedefine/>
    <w:unhideWhenUsed/>
    <w:qFormat/>
    <w:uiPriority w:val="0"/>
    <w:rPr>
      <w:sz w:val="21"/>
      <w:szCs w:val="21"/>
    </w:rPr>
  </w:style>
  <w:style w:type="character" w:styleId="69">
    <w:name w:val="HTML Cite"/>
    <w:basedOn w:val="57"/>
    <w:semiHidden/>
    <w:unhideWhenUsed/>
    <w:uiPriority w:val="99"/>
  </w:style>
  <w:style w:type="character" w:styleId="70">
    <w:name w:val="footnote reference"/>
    <w:autoRedefine/>
    <w:unhideWhenUsed/>
    <w:qFormat/>
    <w:uiPriority w:val="0"/>
    <w:rPr>
      <w:vertAlign w:val="superscript"/>
    </w:rPr>
  </w:style>
  <w:style w:type="character" w:styleId="71">
    <w:name w:val="HTML Keyboard"/>
    <w:basedOn w:val="57"/>
    <w:semiHidden/>
    <w:unhideWhenUsed/>
    <w:uiPriority w:val="99"/>
    <w:rPr>
      <w:rFonts w:ascii="monospace" w:hAnsi="monospace" w:eastAsia="monospace" w:cs="monospace"/>
      <w:sz w:val="20"/>
    </w:rPr>
  </w:style>
  <w:style w:type="character" w:styleId="72">
    <w:name w:val="HTML Sample"/>
    <w:autoRedefine/>
    <w:qFormat/>
    <w:uiPriority w:val="0"/>
    <w:rPr>
      <w:rFonts w:hint="default" w:ascii="monospace" w:hAnsi="monospace" w:eastAsia="monospace" w:cs="monospace"/>
      <w:sz w:val="21"/>
      <w:szCs w:val="21"/>
    </w:rPr>
  </w:style>
  <w:style w:type="paragraph" w:customStyle="1" w:styleId="73">
    <w:name w:val="样式1"/>
    <w:basedOn w:val="1"/>
    <w:next w:val="6"/>
    <w:autoRedefine/>
    <w:qFormat/>
    <w:uiPriority w:val="0"/>
    <w:pPr>
      <w:spacing w:line="360" w:lineRule="auto"/>
      <w:ind w:firstLine="420" w:firstLineChars="200"/>
    </w:pPr>
    <w:rPr>
      <w:rFonts w:cs="Times New Roman"/>
      <w:kern w:val="2"/>
      <w:sz w:val="21"/>
      <w:szCs w:val="21"/>
    </w:rPr>
  </w:style>
  <w:style w:type="character" w:customStyle="1" w:styleId="74">
    <w:name w:val="批注框文本 Char"/>
    <w:basedOn w:val="57"/>
    <w:link w:val="32"/>
    <w:autoRedefine/>
    <w:qFormat/>
    <w:uiPriority w:val="0"/>
    <w:rPr>
      <w:rFonts w:ascii="@仿宋_GB2312" w:hAnsi="@仿宋_GB2312" w:eastAsia="@仿宋_GB2312" w:cs="@仿宋_GB2312"/>
      <w:sz w:val="18"/>
      <w:szCs w:val="18"/>
    </w:rPr>
  </w:style>
  <w:style w:type="paragraph" w:customStyle="1" w:styleId="75">
    <w:name w:val="正文（缩进）"/>
    <w:basedOn w:val="1"/>
    <w:autoRedefine/>
    <w:qFormat/>
    <w:uiPriority w:val="0"/>
    <w:pPr>
      <w:widowControl/>
      <w:spacing w:before="156" w:after="156"/>
      <w:ind w:firstLine="480" w:firstLineChars="200"/>
      <w:jc w:val="left"/>
    </w:pPr>
    <w:rPr>
      <w:sz w:val="24"/>
      <w:szCs w:val="24"/>
    </w:rPr>
  </w:style>
  <w:style w:type="paragraph" w:customStyle="1" w:styleId="76">
    <w:name w:val="xl31"/>
    <w:basedOn w:val="1"/>
    <w:autoRedefine/>
    <w:qFormat/>
    <w:uiPriority w:val="0"/>
    <w:pPr>
      <w:widowControl/>
      <w:spacing w:before="100" w:beforeAutospacing="1" w:after="100" w:afterAutospacing="1"/>
      <w:jc w:val="center"/>
    </w:pPr>
    <w:rPr>
      <w:b/>
      <w:bCs/>
      <w:sz w:val="28"/>
      <w:szCs w:val="28"/>
    </w:rPr>
  </w:style>
  <w:style w:type="paragraph" w:customStyle="1" w:styleId="77">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8">
    <w:name w:val="页眉 Char"/>
    <w:basedOn w:val="57"/>
    <w:link w:val="34"/>
    <w:autoRedefine/>
    <w:qFormat/>
    <w:uiPriority w:val="99"/>
    <w:rPr>
      <w:rFonts w:ascii="@仿宋_GB2312" w:hAnsi="@仿宋_GB2312" w:eastAsia="@仿宋_GB2312" w:cs="@仿宋_GB2312"/>
      <w:sz w:val="18"/>
      <w:szCs w:val="18"/>
    </w:rPr>
  </w:style>
  <w:style w:type="character" w:customStyle="1" w:styleId="79">
    <w:name w:val="页脚 Char"/>
    <w:basedOn w:val="57"/>
    <w:link w:val="33"/>
    <w:autoRedefine/>
    <w:qFormat/>
    <w:uiPriority w:val="99"/>
    <w:rPr>
      <w:rFonts w:ascii="@仿宋_GB2312" w:hAnsi="@仿宋_GB2312" w:eastAsia="@仿宋_GB2312" w:cs="@仿宋_GB2312"/>
      <w:sz w:val="18"/>
      <w:szCs w:val="18"/>
    </w:rPr>
  </w:style>
  <w:style w:type="character" w:customStyle="1" w:styleId="80">
    <w:name w:val="纯文本 Char"/>
    <w:link w:val="28"/>
    <w:autoRedefine/>
    <w:qFormat/>
    <w:uiPriority w:val="0"/>
    <w:rPr>
      <w:rFonts w:ascii="宋体" w:hAnsi="Courier New"/>
    </w:rPr>
  </w:style>
  <w:style w:type="character" w:customStyle="1" w:styleId="81">
    <w:name w:val="纯文本 字符1"/>
    <w:basedOn w:val="57"/>
    <w:autoRedefine/>
    <w:semiHidden/>
    <w:qFormat/>
    <w:uiPriority w:val="99"/>
    <w:rPr>
      <w:rFonts w:hAnsi="Courier New" w:cs="Courier New" w:asciiTheme="minorEastAsia"/>
      <w:szCs w:val="20"/>
    </w:rPr>
  </w:style>
  <w:style w:type="character" w:customStyle="1" w:styleId="82">
    <w:name w:val="未处理的提及1"/>
    <w:basedOn w:val="57"/>
    <w:autoRedefine/>
    <w:semiHidden/>
    <w:unhideWhenUsed/>
    <w:qFormat/>
    <w:uiPriority w:val="99"/>
    <w:rPr>
      <w:color w:val="605E5C"/>
      <w:shd w:val="clear" w:color="auto" w:fill="E1DFDD"/>
    </w:rPr>
  </w:style>
  <w:style w:type="paragraph" w:styleId="83">
    <w:name w:val="List Paragraph"/>
    <w:basedOn w:val="1"/>
    <w:autoRedefine/>
    <w:qFormat/>
    <w:uiPriority w:val="34"/>
    <w:pPr>
      <w:ind w:firstLine="420" w:firstLineChars="200"/>
    </w:pPr>
  </w:style>
  <w:style w:type="paragraph" w:customStyle="1" w:styleId="84">
    <w:name w:val="Char Char Char Char Char Char Char1 Char"/>
    <w:basedOn w:val="1"/>
    <w:autoRedefine/>
    <w:qFormat/>
    <w:uiPriority w:val="0"/>
    <w:rPr>
      <w:rFonts w:ascii="Arial" w:hAnsi="Arial" w:cs="Arial"/>
      <w:sz w:val="24"/>
    </w:rPr>
  </w:style>
  <w:style w:type="table" w:customStyle="1" w:styleId="85">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6">
    <w:name w:val="日期 字符"/>
    <w:basedOn w:val="57"/>
    <w:autoRedefine/>
    <w:semiHidden/>
    <w:qFormat/>
    <w:uiPriority w:val="99"/>
    <w:rPr>
      <w:rFonts w:ascii="@仿宋_GB2312" w:hAnsi="@仿宋_GB2312" w:eastAsia="@仿宋_GB2312" w:cs="@仿宋_GB2312"/>
      <w:szCs w:val="20"/>
    </w:rPr>
  </w:style>
  <w:style w:type="character" w:customStyle="1" w:styleId="87">
    <w:name w:val="日期 Char"/>
    <w:link w:val="30"/>
    <w:autoRedefine/>
    <w:qFormat/>
    <w:uiPriority w:val="0"/>
    <w:rPr>
      <w:rFonts w:ascii="Arial" w:hAnsi="Arial" w:eastAsia="宋体" w:cs="Arial"/>
      <w:b/>
      <w:sz w:val="28"/>
      <w:szCs w:val="20"/>
    </w:rPr>
  </w:style>
  <w:style w:type="character" w:customStyle="1" w:styleId="88">
    <w:name w:val="纯文本 Char1"/>
    <w:link w:val="89"/>
    <w:autoRedefine/>
    <w:qFormat/>
    <w:locked/>
    <w:uiPriority w:val="99"/>
    <w:rPr>
      <w:rFonts w:ascii="Arial" w:hAnsi="Arial" w:eastAsia="Arial"/>
      <w:kern w:val="2"/>
      <w:sz w:val="21"/>
      <w:lang w:val="en-US" w:eastAsia="zh-CN" w:bidi="ar-SA"/>
    </w:rPr>
  </w:style>
  <w:style w:type="paragraph" w:customStyle="1" w:styleId="89">
    <w:name w:val="纯文本1"/>
    <w:basedOn w:val="1"/>
    <w:link w:val="88"/>
    <w:autoRedefine/>
    <w:qFormat/>
    <w:uiPriority w:val="0"/>
    <w:rPr>
      <w:rFonts w:ascii="Arial" w:hAnsi="Arial" w:eastAsia="Arial"/>
    </w:rPr>
  </w:style>
  <w:style w:type="character" w:customStyle="1" w:styleId="90">
    <w:name w:val="批注文字 Char"/>
    <w:basedOn w:val="57"/>
    <w:autoRedefine/>
    <w:qFormat/>
    <w:uiPriority w:val="0"/>
    <w:rPr>
      <w:rFonts w:ascii="@仿宋_GB2312" w:hAnsi="@仿宋_GB2312" w:eastAsia="@仿宋_GB2312" w:cs="@仿宋_GB2312"/>
      <w:szCs w:val="20"/>
    </w:rPr>
  </w:style>
  <w:style w:type="character" w:customStyle="1" w:styleId="91">
    <w:name w:val="批注文字 Char1"/>
    <w:link w:val="17"/>
    <w:autoRedefine/>
    <w:qFormat/>
    <w:uiPriority w:val="99"/>
    <w:rPr>
      <w:rFonts w:ascii="Arial" w:hAnsi="Arial" w:eastAsia="黑体" w:cs="Arial"/>
      <w:szCs w:val="20"/>
    </w:rPr>
  </w:style>
  <w:style w:type="character" w:customStyle="1" w:styleId="92">
    <w:name w:val="标题 1 Char"/>
    <w:basedOn w:val="57"/>
    <w:link w:val="3"/>
    <w:autoRedefine/>
    <w:qFormat/>
    <w:uiPriority w:val="0"/>
    <w:rPr>
      <w:rFonts w:ascii="@仿宋_GB2312" w:hAnsi="@仿宋_GB2312" w:eastAsia="@仿宋_GB2312" w:cs="@仿宋_GB2312"/>
      <w:b/>
      <w:bCs/>
      <w:kern w:val="44"/>
      <w:sz w:val="44"/>
      <w:szCs w:val="44"/>
    </w:rPr>
  </w:style>
  <w:style w:type="paragraph" w:customStyle="1" w:styleId="93">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4">
    <w:name w:val="标题 3 Char"/>
    <w:basedOn w:val="57"/>
    <w:link w:val="5"/>
    <w:autoRedefine/>
    <w:qFormat/>
    <w:uiPriority w:val="0"/>
    <w:rPr>
      <w:rFonts w:ascii="@仿宋_GB2312" w:hAnsi="@仿宋_GB2312" w:eastAsia="@仿宋_GB2312" w:cs="@仿宋_GB2312"/>
      <w:b/>
      <w:bCs/>
      <w:sz w:val="32"/>
      <w:szCs w:val="32"/>
    </w:rPr>
  </w:style>
  <w:style w:type="character" w:customStyle="1" w:styleId="95">
    <w:name w:val="fontstyle01"/>
    <w:basedOn w:val="57"/>
    <w:autoRedefine/>
    <w:qFormat/>
    <w:uiPriority w:val="0"/>
    <w:rPr>
      <w:rFonts w:hint="eastAsia" w:ascii="宋体" w:hAnsi="宋体" w:eastAsia="宋体"/>
      <w:color w:val="000000"/>
      <w:sz w:val="22"/>
      <w:szCs w:val="22"/>
    </w:rPr>
  </w:style>
  <w:style w:type="character" w:customStyle="1" w:styleId="96">
    <w:name w:val="fontstyle21"/>
    <w:basedOn w:val="57"/>
    <w:autoRedefine/>
    <w:qFormat/>
    <w:uiPriority w:val="0"/>
    <w:rPr>
      <w:rFonts w:hint="default" w:ascii="TimesNewRomanPSMT" w:hAnsi="TimesNewRomanPSMT"/>
      <w:color w:val="000000"/>
      <w:sz w:val="22"/>
      <w:szCs w:val="22"/>
    </w:rPr>
  </w:style>
  <w:style w:type="character" w:customStyle="1" w:styleId="9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8">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9">
    <w:name w:val="标题 4 Char"/>
    <w:link w:val="6"/>
    <w:autoRedefine/>
    <w:qFormat/>
    <w:uiPriority w:val="0"/>
    <w:rPr>
      <w:rFonts w:ascii="@仿宋_GB2312" w:hAnsi="@仿宋_GB2312" w:eastAsia="@仿宋_GB2312" w:cs="@仿宋_GB2312"/>
      <w:b/>
      <w:bCs/>
      <w:sz w:val="28"/>
      <w:szCs w:val="28"/>
    </w:rPr>
  </w:style>
  <w:style w:type="character" w:customStyle="1" w:styleId="100">
    <w:name w:val="正文文本 Char"/>
    <w:basedOn w:val="57"/>
    <w:link w:val="20"/>
    <w:autoRedefine/>
    <w:qFormat/>
    <w:uiPriority w:val="0"/>
    <w:rPr>
      <w:rFonts w:ascii="@微软简标宋" w:hAnsi="@微软简标宋" w:eastAsia="@微软简标宋" w:cs="@微软简标宋"/>
      <w:szCs w:val="24"/>
      <w:lang w:val="zh-CN" w:eastAsia="zh-CN"/>
    </w:rPr>
  </w:style>
  <w:style w:type="table" w:customStyle="1" w:styleId="101">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2">
    <w:name w:val="批注主题 Char"/>
    <w:basedOn w:val="91"/>
    <w:link w:val="52"/>
    <w:autoRedefine/>
    <w:qFormat/>
    <w:uiPriority w:val="0"/>
    <w:rPr>
      <w:rFonts w:ascii="Arial" w:hAnsi="Arial" w:eastAsia="黑体" w:cs="Arial"/>
      <w:b/>
      <w:bCs/>
      <w:szCs w:val="20"/>
    </w:rPr>
  </w:style>
  <w:style w:type="paragraph" w:customStyle="1" w:styleId="103">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104">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5">
    <w:name w:val="标题 2 Char"/>
    <w:basedOn w:val="57"/>
    <w:link w:val="4"/>
    <w:autoRedefine/>
    <w:qFormat/>
    <w:uiPriority w:val="0"/>
    <w:rPr>
      <w:rFonts w:ascii="Cambria" w:hAnsi="Cambria" w:cs="Times New Roman"/>
      <w:b/>
      <w:bCs/>
      <w:kern w:val="2"/>
      <w:sz w:val="32"/>
      <w:szCs w:val="32"/>
      <w:lang w:val="zh-CN" w:eastAsia="zh-CN"/>
    </w:rPr>
  </w:style>
  <w:style w:type="character" w:customStyle="1" w:styleId="106">
    <w:name w:val="标题 5 Char"/>
    <w:basedOn w:val="57"/>
    <w:link w:val="7"/>
    <w:autoRedefine/>
    <w:qFormat/>
    <w:uiPriority w:val="0"/>
    <w:rPr>
      <w:rFonts w:ascii="Calibri" w:hAnsi="Calibri" w:cs="Times New Roman"/>
      <w:b/>
      <w:bCs/>
      <w:kern w:val="2"/>
      <w:sz w:val="28"/>
      <w:szCs w:val="28"/>
      <w:lang w:val="zh-CN" w:eastAsia="zh-CN"/>
    </w:rPr>
  </w:style>
  <w:style w:type="character" w:customStyle="1" w:styleId="107">
    <w:name w:val="标题 6 Char"/>
    <w:basedOn w:val="57"/>
    <w:link w:val="8"/>
    <w:autoRedefine/>
    <w:qFormat/>
    <w:uiPriority w:val="0"/>
    <w:rPr>
      <w:rFonts w:ascii="Times New Roman" w:hAnsi="Times New Roman" w:cs="Times New Roman"/>
      <w:b/>
      <w:bCs/>
      <w:kern w:val="2"/>
      <w:sz w:val="30"/>
      <w:szCs w:val="18"/>
      <w:lang w:val="zh-CN" w:eastAsia="zh-CN"/>
    </w:rPr>
  </w:style>
  <w:style w:type="character" w:customStyle="1" w:styleId="108">
    <w:name w:val="标题 7 Char"/>
    <w:basedOn w:val="57"/>
    <w:link w:val="9"/>
    <w:autoRedefine/>
    <w:qFormat/>
    <w:uiPriority w:val="0"/>
    <w:rPr>
      <w:rFonts w:ascii="Times New Roman" w:hAnsi="Times New Roman" w:cs="Times New Roman"/>
      <w:b/>
      <w:bCs/>
      <w:kern w:val="2"/>
      <w:sz w:val="30"/>
      <w:szCs w:val="18"/>
      <w:lang w:val="zh-CN" w:eastAsia="zh-CN"/>
    </w:rPr>
  </w:style>
  <w:style w:type="character" w:customStyle="1" w:styleId="109">
    <w:name w:val="标题 8 Char"/>
    <w:basedOn w:val="57"/>
    <w:link w:val="10"/>
    <w:autoRedefine/>
    <w:qFormat/>
    <w:uiPriority w:val="0"/>
    <w:rPr>
      <w:rFonts w:eastAsia="黑体" w:cs="Times New Roman"/>
      <w:kern w:val="2"/>
      <w:sz w:val="32"/>
      <w:szCs w:val="32"/>
      <w:lang w:val="zh-CN" w:eastAsia="zh-CN"/>
    </w:rPr>
  </w:style>
  <w:style w:type="character" w:customStyle="1" w:styleId="110">
    <w:name w:val="标题 9 Char"/>
    <w:basedOn w:val="57"/>
    <w:link w:val="11"/>
    <w:autoRedefine/>
    <w:qFormat/>
    <w:uiPriority w:val="0"/>
    <w:rPr>
      <w:rFonts w:ascii="Cambria" w:hAnsi="Cambria" w:cs="Times New Roman"/>
      <w:kern w:val="2"/>
      <w:sz w:val="21"/>
      <w:szCs w:val="21"/>
      <w:lang w:val="zh-CN" w:eastAsia="zh-CN"/>
    </w:rPr>
  </w:style>
  <w:style w:type="character" w:customStyle="1" w:styleId="111">
    <w:name w:val="纯文本 Char2"/>
    <w:autoRedefine/>
    <w:qFormat/>
    <w:uiPriority w:val="0"/>
    <w:rPr>
      <w:rFonts w:ascii="宋体" w:hAnsi="Courier New"/>
    </w:rPr>
  </w:style>
  <w:style w:type="table" w:customStyle="1" w:styleId="112">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4">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5">
    <w:name w:val="正文文本缩进 Char"/>
    <w:basedOn w:val="57"/>
    <w:link w:val="21"/>
    <w:autoRedefine/>
    <w:qFormat/>
    <w:uiPriority w:val="0"/>
    <w:rPr>
      <w:rFonts w:asciiTheme="minorHAnsi" w:hAnsiTheme="minorHAnsi"/>
      <w:kern w:val="2"/>
      <w:sz w:val="21"/>
      <w:szCs w:val="22"/>
    </w:rPr>
  </w:style>
  <w:style w:type="paragraph" w:customStyle="1" w:styleId="116">
    <w:name w:val="Char"/>
    <w:basedOn w:val="1"/>
    <w:autoRedefine/>
    <w:qFormat/>
    <w:uiPriority w:val="0"/>
    <w:rPr>
      <w:rFonts w:ascii="Tahoma" w:hAnsi="Tahoma" w:cs="Times New Roman"/>
      <w:sz w:val="24"/>
    </w:rPr>
  </w:style>
  <w:style w:type="character" w:customStyle="1" w:styleId="117">
    <w:name w:val="脚注文本 Char"/>
    <w:basedOn w:val="57"/>
    <w:link w:val="42"/>
    <w:autoRedefine/>
    <w:qFormat/>
    <w:uiPriority w:val="0"/>
    <w:rPr>
      <w:rFonts w:ascii="Times New Roman" w:hAnsi="Times New Roman" w:cs="Times New Roman"/>
      <w:kern w:val="2"/>
      <w:sz w:val="18"/>
      <w:szCs w:val="18"/>
      <w:lang w:val="zh-CN" w:eastAsia="zh-CN"/>
    </w:rPr>
  </w:style>
  <w:style w:type="paragraph" w:customStyle="1" w:styleId="118">
    <w:name w:val="样式 标题 3 + (中文) 黑体 小四 非加粗 段前: 7.8 磅 段后: 0 磅 行距: 固定值 20 磅"/>
    <w:basedOn w:val="5"/>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9">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20">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21">
    <w:name w:val="称呼 Char"/>
    <w:basedOn w:val="57"/>
    <w:link w:val="18"/>
    <w:autoRedefine/>
    <w:qFormat/>
    <w:uiPriority w:val="0"/>
    <w:rPr>
      <w:rFonts w:ascii="仿宋_GB2312" w:hAnsi="Times New Roman" w:eastAsia="仿宋_GB2312" w:cs="Times New Roman"/>
      <w:kern w:val="2"/>
      <w:sz w:val="28"/>
      <w:lang w:val="zh-CN" w:eastAsia="zh-CN"/>
    </w:rPr>
  </w:style>
  <w:style w:type="paragraph" w:customStyle="1" w:styleId="1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8">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9">
    <w:name w:val="Char Char Char Char Char Char"/>
    <w:basedOn w:val="1"/>
    <w:autoRedefine/>
    <w:qFormat/>
    <w:uiPriority w:val="0"/>
    <w:rPr>
      <w:rFonts w:ascii="Tahoma" w:hAnsi="Tahoma" w:cs="Times New Roman"/>
      <w:kern w:val="2"/>
      <w:sz w:val="24"/>
    </w:rPr>
  </w:style>
  <w:style w:type="paragraph" w:customStyle="1" w:styleId="130">
    <w:name w:val="Blockquote"/>
    <w:basedOn w:val="1"/>
    <w:link w:val="131"/>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1">
    <w:name w:val="Blockquote Char"/>
    <w:link w:val="130"/>
    <w:autoRedefine/>
    <w:qFormat/>
    <w:uiPriority w:val="0"/>
    <w:rPr>
      <w:rFonts w:ascii="Times New Roman" w:hAnsi="Times New Roman" w:cs="Times New Roman"/>
      <w:sz w:val="24"/>
      <w:lang w:val="zh-CN" w:eastAsia="zh-CN"/>
    </w:rPr>
  </w:style>
  <w:style w:type="paragraph" w:customStyle="1" w:styleId="13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33">
    <w:name w:val="tdrownotice1"/>
    <w:autoRedefine/>
    <w:qFormat/>
    <w:uiPriority w:val="0"/>
    <w:rPr>
      <w:sz w:val="22"/>
    </w:rPr>
  </w:style>
  <w:style w:type="paragraph" w:customStyle="1" w:styleId="134">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5">
    <w:name w:val="正文文本缩进 3 Char"/>
    <w:basedOn w:val="57"/>
    <w:link w:val="44"/>
    <w:autoRedefine/>
    <w:qFormat/>
    <w:uiPriority w:val="0"/>
    <w:rPr>
      <w:rFonts w:hAnsi="MS Sans Serif" w:cs="Times New Roman"/>
      <w:bCs/>
      <w:color w:val="000000"/>
      <w:sz w:val="24"/>
      <w:lang w:val="zh-CN" w:eastAsia="zh-CN"/>
    </w:rPr>
  </w:style>
  <w:style w:type="character" w:customStyle="1" w:styleId="136">
    <w:name w:val="正文文本缩进 2 Char"/>
    <w:basedOn w:val="57"/>
    <w:link w:val="31"/>
    <w:autoRedefine/>
    <w:qFormat/>
    <w:uiPriority w:val="0"/>
    <w:rPr>
      <w:rFonts w:hAnsi="MS Sans Serif" w:cs="Times New Roman"/>
      <w:bCs/>
      <w:spacing w:val="12"/>
      <w:sz w:val="24"/>
      <w:lang w:val="zh-CN" w:eastAsia="zh-CN"/>
    </w:rPr>
  </w:style>
  <w:style w:type="paragraph" w:customStyle="1" w:styleId="137">
    <w:name w:val="目录"/>
    <w:basedOn w:val="1"/>
    <w:autoRedefine/>
    <w:qFormat/>
    <w:uiPriority w:val="0"/>
    <w:pPr>
      <w:widowControl/>
      <w:jc w:val="center"/>
    </w:pPr>
    <w:rPr>
      <w:rFonts w:hAnsi="Calibri" w:cs="Times New Roman"/>
      <w:b/>
      <w:sz w:val="36"/>
    </w:rPr>
  </w:style>
  <w:style w:type="paragraph" w:customStyle="1" w:styleId="138">
    <w:name w:val="目录文字"/>
    <w:basedOn w:val="1"/>
    <w:autoRedefine/>
    <w:qFormat/>
    <w:uiPriority w:val="0"/>
    <w:pPr>
      <w:widowControl/>
      <w:spacing w:line="480" w:lineRule="auto"/>
      <w:jc w:val="left"/>
    </w:pPr>
    <w:rPr>
      <w:rFonts w:cs="Times New Roman"/>
      <w:sz w:val="24"/>
    </w:rPr>
  </w:style>
  <w:style w:type="character" w:customStyle="1" w:styleId="139">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40">
    <w:name w:val="正文文本 3 Char"/>
    <w:basedOn w:val="57"/>
    <w:link w:val="19"/>
    <w:autoRedefine/>
    <w:qFormat/>
    <w:uiPriority w:val="0"/>
    <w:rPr>
      <w:rFonts w:ascii="仿宋_GB2312" w:eastAsia="仿宋_GB2312" w:cs="Times New Roman"/>
      <w:bCs/>
      <w:color w:val="000000"/>
      <w:kern w:val="2"/>
      <w:sz w:val="24"/>
      <w:szCs w:val="32"/>
      <w:lang w:val="zh-CN" w:eastAsia="zh-CN"/>
    </w:rPr>
  </w:style>
  <w:style w:type="paragraph" w:customStyle="1" w:styleId="14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2">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3">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44">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5">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6">
    <w:name w:val="简单回函地址"/>
    <w:basedOn w:val="1"/>
    <w:autoRedefine/>
    <w:qFormat/>
    <w:uiPriority w:val="0"/>
    <w:rPr>
      <w:rFonts w:ascii="Calibri" w:hAnsi="Calibri" w:cs="Times New Roman"/>
      <w:kern w:val="2"/>
      <w:sz w:val="21"/>
      <w:szCs w:val="22"/>
    </w:rPr>
  </w:style>
  <w:style w:type="paragraph" w:customStyle="1" w:styleId="147">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8">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9">
    <w:name w:val="t_tag"/>
    <w:basedOn w:val="57"/>
    <w:autoRedefine/>
    <w:qFormat/>
    <w:uiPriority w:val="0"/>
  </w:style>
  <w:style w:type="table" w:customStyle="1" w:styleId="150">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1">
    <w:name w:val="批注框文本 Char1"/>
    <w:basedOn w:val="57"/>
    <w:autoRedefine/>
    <w:qFormat/>
    <w:uiPriority w:val="0"/>
    <w:rPr>
      <w:rFonts w:ascii="Times New Roman" w:hAnsi="Times New Roman" w:eastAsia="宋体" w:cs="Times New Roman"/>
      <w:sz w:val="18"/>
      <w:szCs w:val="18"/>
    </w:rPr>
  </w:style>
  <w:style w:type="character" w:customStyle="1" w:styleId="152">
    <w:name w:val="批注主题 Char1"/>
    <w:basedOn w:val="91"/>
    <w:autoRedefine/>
    <w:qFormat/>
    <w:uiPriority w:val="0"/>
    <w:rPr>
      <w:rFonts w:ascii="@仿宋_GB2312" w:hAnsi="@仿宋_GB2312" w:eastAsia="@仿宋_GB2312" w:cs="@仿宋_GB2312"/>
      <w:b/>
      <w:bCs/>
      <w:szCs w:val="20"/>
    </w:rPr>
  </w:style>
  <w:style w:type="paragraph" w:customStyle="1" w:styleId="153">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54">
    <w:name w:val="文档结构图 Char"/>
    <w:basedOn w:val="57"/>
    <w:link w:val="16"/>
    <w:autoRedefine/>
    <w:qFormat/>
    <w:uiPriority w:val="0"/>
    <w:rPr>
      <w:rFonts w:ascii="Calibri" w:hAnsi="Calibri" w:cs="Times New Roman"/>
      <w:bCs/>
      <w:kern w:val="2"/>
      <w:sz w:val="21"/>
      <w:szCs w:val="32"/>
      <w:shd w:val="clear" w:color="auto" w:fill="000080"/>
      <w:lang w:val="zh-CN" w:eastAsia="zh-CN"/>
    </w:rPr>
  </w:style>
  <w:style w:type="character" w:customStyle="1" w:styleId="155">
    <w:name w:val="标题 1 Char1"/>
    <w:autoRedefine/>
    <w:qFormat/>
    <w:uiPriority w:val="0"/>
    <w:rPr>
      <w:rFonts w:ascii="Calibri" w:hAnsi="Calibri" w:eastAsia="宋体"/>
      <w:b/>
      <w:kern w:val="44"/>
      <w:sz w:val="44"/>
      <w:szCs w:val="44"/>
    </w:rPr>
  </w:style>
  <w:style w:type="character" w:customStyle="1" w:styleId="156">
    <w:name w:val="标题 3 Char1"/>
    <w:autoRedefine/>
    <w:semiHidden/>
    <w:qFormat/>
    <w:uiPriority w:val="0"/>
    <w:rPr>
      <w:rFonts w:ascii="Calibri" w:hAnsi="Calibri" w:eastAsia="宋体"/>
      <w:b/>
      <w:kern w:val="2"/>
      <w:sz w:val="32"/>
    </w:rPr>
  </w:style>
  <w:style w:type="character" w:customStyle="1" w:styleId="157">
    <w:name w:val="标题 4 Char1"/>
    <w:autoRedefine/>
    <w:semiHidden/>
    <w:qFormat/>
    <w:uiPriority w:val="0"/>
    <w:rPr>
      <w:rFonts w:ascii="Cambria" w:hAnsi="Cambria" w:eastAsia="宋体"/>
      <w:b/>
      <w:kern w:val="2"/>
      <w:sz w:val="28"/>
      <w:szCs w:val="28"/>
    </w:rPr>
  </w:style>
  <w:style w:type="character" w:customStyle="1" w:styleId="158">
    <w:name w:val="标题 5 Char1"/>
    <w:autoRedefine/>
    <w:semiHidden/>
    <w:qFormat/>
    <w:uiPriority w:val="0"/>
    <w:rPr>
      <w:rFonts w:ascii="Calibri" w:hAnsi="Calibri" w:eastAsia="宋体"/>
      <w:b/>
      <w:kern w:val="2"/>
      <w:sz w:val="28"/>
      <w:szCs w:val="28"/>
    </w:rPr>
  </w:style>
  <w:style w:type="character" w:customStyle="1" w:styleId="159">
    <w:name w:val="标题 6 Char1"/>
    <w:autoRedefine/>
    <w:semiHidden/>
    <w:qFormat/>
    <w:uiPriority w:val="0"/>
    <w:rPr>
      <w:rFonts w:ascii="Cambria" w:hAnsi="Cambria" w:eastAsia="宋体"/>
      <w:b/>
      <w:kern w:val="2"/>
      <w:sz w:val="24"/>
      <w:szCs w:val="24"/>
    </w:rPr>
  </w:style>
  <w:style w:type="character" w:customStyle="1" w:styleId="160">
    <w:name w:val="标题 7 Char1"/>
    <w:autoRedefine/>
    <w:semiHidden/>
    <w:qFormat/>
    <w:uiPriority w:val="0"/>
    <w:rPr>
      <w:rFonts w:ascii="Calibri" w:hAnsi="Calibri" w:eastAsia="宋体"/>
      <w:b/>
      <w:kern w:val="2"/>
      <w:sz w:val="24"/>
      <w:szCs w:val="24"/>
    </w:rPr>
  </w:style>
  <w:style w:type="character" w:customStyle="1" w:styleId="161">
    <w:name w:val="标题 8 Char1"/>
    <w:autoRedefine/>
    <w:semiHidden/>
    <w:qFormat/>
    <w:uiPriority w:val="0"/>
    <w:rPr>
      <w:rFonts w:ascii="Cambria" w:hAnsi="Cambria" w:eastAsia="宋体"/>
      <w:kern w:val="2"/>
      <w:sz w:val="24"/>
      <w:szCs w:val="24"/>
    </w:rPr>
  </w:style>
  <w:style w:type="character" w:customStyle="1" w:styleId="162">
    <w:name w:val="标题 9 Char1"/>
    <w:autoRedefine/>
    <w:semiHidden/>
    <w:qFormat/>
    <w:uiPriority w:val="0"/>
    <w:rPr>
      <w:rFonts w:ascii="Cambria" w:hAnsi="Cambria" w:eastAsia="宋体"/>
      <w:kern w:val="2"/>
      <w:sz w:val="21"/>
      <w:szCs w:val="21"/>
    </w:rPr>
  </w:style>
  <w:style w:type="paragraph" w:customStyle="1" w:styleId="163">
    <w:name w:val="MsoNormal"/>
    <w:basedOn w:val="164"/>
    <w:autoRedefine/>
    <w:qFormat/>
    <w:uiPriority w:val="0"/>
    <w:rPr>
      <w:rFonts w:ascii="Calibri" w:hAnsi="Calibri" w:eastAsia="Calibri"/>
      <w:sz w:val="21"/>
    </w:rPr>
  </w:style>
  <w:style w:type="paragraph" w:customStyle="1" w:styleId="164">
    <w:name w:val="Normal_0"/>
    <w:autoRedefine/>
    <w:qFormat/>
    <w:uiPriority w:val="0"/>
    <w:rPr>
      <w:rFonts w:ascii="Times New Roman" w:hAnsi="Times New Roman" w:eastAsia="宋体" w:cs="Times New Roman"/>
      <w:sz w:val="24"/>
      <w:szCs w:val="24"/>
      <w:lang w:val="en-US" w:eastAsia="zh-CN" w:bidi="ar-SA"/>
    </w:rPr>
  </w:style>
  <w:style w:type="paragraph" w:customStyle="1" w:styleId="165">
    <w:name w:val="标题 2_0"/>
    <w:basedOn w:val="166"/>
    <w:next w:val="167"/>
    <w:link w:val="168"/>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标题 2 Char_0"/>
    <w:link w:val="165"/>
    <w:autoRedefine/>
    <w:qFormat/>
    <w:uiPriority w:val="0"/>
    <w:rPr>
      <w:rFonts w:ascii="黑体" w:eastAsia="黑体" w:cs="Times New Roman"/>
      <w:b/>
      <w:smallCaps/>
      <w:snapToGrid w:val="0"/>
      <w:sz w:val="36"/>
      <w:szCs w:val="24"/>
      <w:lang w:val="zh-CN" w:eastAsia="zh-CN"/>
    </w:rPr>
  </w:style>
  <w:style w:type="paragraph" w:customStyle="1" w:styleId="169">
    <w:name w:val="纯文本_0"/>
    <w:basedOn w:val="167"/>
    <w:link w:val="170"/>
    <w:autoRedefine/>
    <w:qFormat/>
    <w:uiPriority w:val="99"/>
    <w:rPr>
      <w:rFonts w:ascii="宋体" w:hAnsi="Courier New"/>
      <w:szCs w:val="21"/>
    </w:rPr>
  </w:style>
  <w:style w:type="character" w:customStyle="1" w:styleId="170">
    <w:name w:val="Texte Char1"/>
    <w:link w:val="169"/>
    <w:autoRedefine/>
    <w:qFormat/>
    <w:uiPriority w:val="99"/>
    <w:rPr>
      <w:rFonts w:hAnsi="Courier New" w:cs="Times New Roman"/>
      <w:kern w:val="2"/>
      <w:sz w:val="21"/>
      <w:szCs w:val="21"/>
    </w:rPr>
  </w:style>
  <w:style w:type="paragraph" w:customStyle="1" w:styleId="171">
    <w:name w:val="纯文本_1"/>
    <w:basedOn w:val="172"/>
    <w:link w:val="173"/>
    <w:autoRedefine/>
    <w:qFormat/>
    <w:uiPriority w:val="0"/>
    <w:rPr>
      <w:rFonts w:ascii="宋体" w:hAnsi="Courier New"/>
      <w:szCs w:val="21"/>
      <w:lang w:val="zh-CN"/>
    </w:rPr>
  </w:style>
  <w:style w:type="paragraph" w:customStyle="1" w:styleId="17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3">
    <w:name w:val="纯文本 Char1_0"/>
    <w:link w:val="171"/>
    <w:autoRedefine/>
    <w:qFormat/>
    <w:uiPriority w:val="0"/>
    <w:rPr>
      <w:rFonts w:hAnsi="Courier New" w:cs="Times New Roman"/>
      <w:kern w:val="2"/>
      <w:sz w:val="21"/>
      <w:szCs w:val="21"/>
      <w:lang w:val="zh-CN" w:eastAsia="zh-CN"/>
    </w:rPr>
  </w:style>
  <w:style w:type="paragraph" w:customStyle="1" w:styleId="174">
    <w:name w:val="标题 3_0"/>
    <w:basedOn w:val="175"/>
    <w:next w:val="176"/>
    <w:link w:val="187"/>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5">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缩进_0"/>
    <w:basedOn w:val="175"/>
    <w:autoRedefine/>
    <w:unhideWhenUsed/>
    <w:qFormat/>
    <w:uiPriority w:val="0"/>
    <w:pPr>
      <w:ind w:firstLine="420" w:firstLineChars="200"/>
    </w:pPr>
    <w:rPr>
      <w:rFonts w:ascii="Calibri" w:hAnsi="Calibri"/>
      <w:bCs/>
      <w:szCs w:val="32"/>
    </w:rPr>
  </w:style>
  <w:style w:type="paragraph" w:customStyle="1" w:styleId="177">
    <w:name w:val="标题 1_0"/>
    <w:basedOn w:val="175"/>
    <w:next w:val="175"/>
    <w:link w:val="178"/>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8">
    <w:name w:val="标题 1 Char_0"/>
    <w:link w:val="177"/>
    <w:autoRedefine/>
    <w:qFormat/>
    <w:uiPriority w:val="0"/>
    <w:rPr>
      <w:rFonts w:ascii="黑体" w:hAnsi="Times New Roman" w:eastAsia="黑体" w:cs="Times New Roman"/>
      <w:sz w:val="52"/>
      <w:lang w:val="zh-CN" w:eastAsia="zh-CN"/>
    </w:rPr>
  </w:style>
  <w:style w:type="paragraph" w:customStyle="1" w:styleId="179">
    <w:name w:val="标题 6_0"/>
    <w:basedOn w:val="175"/>
    <w:next w:val="175"/>
    <w:link w:val="180"/>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0">
    <w:name w:val="标题 6 Char_0"/>
    <w:link w:val="179"/>
    <w:autoRedefine/>
    <w:qFormat/>
    <w:uiPriority w:val="0"/>
    <w:rPr>
      <w:rFonts w:ascii="Arial" w:hAnsi="Arial" w:eastAsia="黑体" w:cs="Times New Roman"/>
      <w:b/>
      <w:bCs/>
      <w:sz w:val="24"/>
      <w:szCs w:val="24"/>
      <w:lang w:val="zh-CN" w:eastAsia="zh-CN"/>
    </w:rPr>
  </w:style>
  <w:style w:type="paragraph" w:customStyle="1" w:styleId="181">
    <w:name w:val="标题 7_0"/>
    <w:basedOn w:val="175"/>
    <w:next w:val="175"/>
    <w:link w:val="182"/>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2">
    <w:name w:val="标题 7 Char_0"/>
    <w:link w:val="181"/>
    <w:autoRedefine/>
    <w:qFormat/>
    <w:uiPriority w:val="0"/>
    <w:rPr>
      <w:rFonts w:ascii="Times New Roman" w:hAnsi="Times New Roman" w:cs="Times New Roman"/>
      <w:b/>
      <w:bCs/>
      <w:sz w:val="24"/>
      <w:szCs w:val="24"/>
      <w:lang w:val="zh-CN" w:eastAsia="zh-CN"/>
    </w:rPr>
  </w:style>
  <w:style w:type="paragraph" w:customStyle="1" w:styleId="183">
    <w:name w:val="标题 8_0"/>
    <w:basedOn w:val="175"/>
    <w:next w:val="175"/>
    <w:link w:val="184"/>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4">
    <w:name w:val="标题 8 Char_0"/>
    <w:link w:val="183"/>
    <w:autoRedefine/>
    <w:qFormat/>
    <w:uiPriority w:val="0"/>
    <w:rPr>
      <w:rFonts w:ascii="Arial" w:hAnsi="Arial" w:eastAsia="黑体" w:cs="Times New Roman"/>
      <w:sz w:val="24"/>
      <w:szCs w:val="24"/>
      <w:lang w:val="zh-CN" w:eastAsia="zh-CN"/>
    </w:rPr>
  </w:style>
  <w:style w:type="paragraph" w:customStyle="1" w:styleId="185">
    <w:name w:val="标题 9_0"/>
    <w:basedOn w:val="175"/>
    <w:next w:val="175"/>
    <w:link w:val="186"/>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6">
    <w:name w:val="标题 9 Char_0"/>
    <w:link w:val="185"/>
    <w:autoRedefine/>
    <w:qFormat/>
    <w:uiPriority w:val="0"/>
    <w:rPr>
      <w:rFonts w:ascii="Arial" w:hAnsi="Arial" w:eastAsia="黑体" w:cs="Times New Roman"/>
      <w:sz w:val="21"/>
      <w:szCs w:val="21"/>
      <w:lang w:val="zh-CN" w:eastAsia="zh-CN"/>
    </w:rPr>
  </w:style>
  <w:style w:type="character" w:customStyle="1" w:styleId="187">
    <w:name w:val="标题 3 Char_0"/>
    <w:link w:val="174"/>
    <w:autoRedefine/>
    <w:qFormat/>
    <w:uiPriority w:val="0"/>
    <w:rPr>
      <w:rFonts w:ascii="Times New Roman" w:hAnsi="Times New Roman" w:cs="Times New Roman"/>
      <w:b/>
      <w:sz w:val="32"/>
      <w:lang w:val="zh-CN" w:eastAsia="zh-CN"/>
    </w:rPr>
  </w:style>
  <w:style w:type="paragraph" w:customStyle="1" w:styleId="188">
    <w:name w:val="Blockquote_0"/>
    <w:basedOn w:val="175"/>
    <w:link w:val="189"/>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9">
    <w:name w:val="Blockquote Char_0"/>
    <w:link w:val="188"/>
    <w:autoRedefine/>
    <w:qFormat/>
    <w:locked/>
    <w:uiPriority w:val="0"/>
    <w:rPr>
      <w:rFonts w:ascii="Times New Roman" w:hAnsi="Times New Roman" w:cs="Times New Roman"/>
      <w:sz w:val="24"/>
      <w:lang w:val="zh-CN" w:eastAsia="zh-CN"/>
    </w:rPr>
  </w:style>
  <w:style w:type="paragraph" w:customStyle="1" w:styleId="190">
    <w:name w:val="标题 4_0"/>
    <w:basedOn w:val="175"/>
    <w:next w:val="175"/>
    <w:link w:val="191"/>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1">
    <w:name w:val="标题 4 Char_0"/>
    <w:link w:val="190"/>
    <w:autoRedefine/>
    <w:qFormat/>
    <w:uiPriority w:val="0"/>
    <w:rPr>
      <w:rFonts w:ascii="Arial" w:hAnsi="Arial" w:eastAsia="黑体" w:cs="Times New Roman"/>
      <w:sz w:val="28"/>
      <w:lang w:val="zh-CN" w:eastAsia="zh-CN"/>
    </w:rPr>
  </w:style>
  <w:style w:type="paragraph" w:customStyle="1" w:styleId="192">
    <w:name w:val="纯文本_2"/>
    <w:basedOn w:val="175"/>
    <w:link w:val="193"/>
    <w:autoRedefine/>
    <w:qFormat/>
    <w:uiPriority w:val="0"/>
    <w:rPr>
      <w:rFonts w:ascii="宋体" w:hAnsi="Courier New"/>
      <w:szCs w:val="21"/>
      <w:lang w:val="zh-CN"/>
    </w:rPr>
  </w:style>
  <w:style w:type="character" w:customStyle="1" w:styleId="193">
    <w:name w:val="纯文本 Char1_1"/>
    <w:link w:val="192"/>
    <w:autoRedefine/>
    <w:qFormat/>
    <w:uiPriority w:val="0"/>
    <w:rPr>
      <w:rFonts w:hAnsi="Courier New" w:cs="Times New Roman"/>
      <w:kern w:val="2"/>
      <w:sz w:val="21"/>
      <w:szCs w:val="21"/>
      <w:lang w:val="zh-CN" w:eastAsia="zh-CN"/>
    </w:rPr>
  </w:style>
  <w:style w:type="paragraph" w:customStyle="1" w:styleId="194">
    <w:name w:val="Blockquote_0_1"/>
    <w:basedOn w:val="195"/>
    <w:link w:val="196"/>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5">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6">
    <w:name w:val="Blockquote Char_0_1"/>
    <w:link w:val="194"/>
    <w:autoRedefine/>
    <w:qFormat/>
    <w:locked/>
    <w:uiPriority w:val="0"/>
    <w:rPr>
      <w:rFonts w:ascii="Times New Roman" w:hAnsi="Times New Roman" w:cs="Times New Roman"/>
      <w:sz w:val="24"/>
      <w:lang w:val="zh-CN" w:eastAsia="zh-CN"/>
    </w:rPr>
  </w:style>
  <w:style w:type="paragraph" w:customStyle="1" w:styleId="197">
    <w:name w:val="正文文本_0"/>
    <w:basedOn w:val="175"/>
    <w:link w:val="198"/>
    <w:autoRedefine/>
    <w:qFormat/>
    <w:uiPriority w:val="0"/>
    <w:pPr>
      <w:spacing w:after="120"/>
    </w:pPr>
    <w:rPr>
      <w:lang w:val="zh-CN"/>
    </w:rPr>
  </w:style>
  <w:style w:type="character" w:customStyle="1" w:styleId="198">
    <w:name w:val="正文文本 Char_0"/>
    <w:link w:val="197"/>
    <w:autoRedefine/>
    <w:qFormat/>
    <w:uiPriority w:val="0"/>
    <w:rPr>
      <w:rFonts w:ascii="Times New Roman" w:hAnsi="Times New Roman" w:cs="Times New Roman"/>
      <w:kern w:val="2"/>
      <w:sz w:val="21"/>
      <w:szCs w:val="24"/>
      <w:lang w:val="zh-CN" w:eastAsia="zh-CN"/>
    </w:rPr>
  </w:style>
  <w:style w:type="paragraph" w:customStyle="1" w:styleId="199">
    <w:name w:val="普通(网站)_0"/>
    <w:basedOn w:val="175"/>
    <w:autoRedefine/>
    <w:qFormat/>
    <w:uiPriority w:val="0"/>
    <w:pPr>
      <w:widowControl/>
      <w:spacing w:before="100" w:beforeAutospacing="1" w:after="100" w:afterAutospacing="1"/>
      <w:jc w:val="left"/>
    </w:pPr>
    <w:rPr>
      <w:rFonts w:ascii="宋体" w:hAnsi="宋体"/>
      <w:kern w:val="0"/>
      <w:sz w:val="24"/>
    </w:rPr>
  </w:style>
  <w:style w:type="paragraph" w:customStyle="1" w:styleId="20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脚注文本_0"/>
    <w:basedOn w:val="124"/>
    <w:link w:val="203"/>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3">
    <w:name w:val="脚注文本 Char_0"/>
    <w:link w:val="202"/>
    <w:autoRedefine/>
    <w:qFormat/>
    <w:uiPriority w:val="0"/>
    <w:rPr>
      <w:rFonts w:ascii="Times New Roman" w:hAnsi="Times New Roman" w:cs="Times New Roman"/>
      <w:sz w:val="18"/>
      <w:lang w:val="zh-CN" w:eastAsia="zh-CN"/>
    </w:rPr>
  </w:style>
  <w:style w:type="paragraph" w:customStyle="1" w:styleId="204">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0">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4">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5">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0">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2">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3">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4">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5">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6">
    <w:name w:val="Char Char Char Char Char"/>
    <w:basedOn w:val="1"/>
    <w:autoRedefine/>
    <w:qFormat/>
    <w:uiPriority w:val="0"/>
    <w:rPr>
      <w:rFonts w:ascii="Tahoma" w:hAnsi="Tahoma" w:cs="Times New Roman"/>
      <w:kern w:val="2"/>
      <w:sz w:val="24"/>
    </w:rPr>
  </w:style>
  <w:style w:type="paragraph" w:customStyle="1" w:styleId="227">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8">
    <w:name w:val="副标题 Char"/>
    <w:basedOn w:val="57"/>
    <w:link w:val="40"/>
    <w:autoRedefine/>
    <w:qFormat/>
    <w:uiPriority w:val="0"/>
    <w:rPr>
      <w:rFonts w:ascii="Arial" w:hAnsi="Arial" w:cs="Times New Roman"/>
      <w:b/>
      <w:bCs/>
      <w:kern w:val="28"/>
      <w:sz w:val="32"/>
      <w:szCs w:val="32"/>
      <w:lang w:val="zh-CN" w:eastAsia="zh-CN"/>
    </w:rPr>
  </w:style>
  <w:style w:type="character" w:customStyle="1" w:styleId="229">
    <w:name w:val="Char Char"/>
    <w:autoRedefine/>
    <w:qFormat/>
    <w:uiPriority w:val="0"/>
    <w:rPr>
      <w:rFonts w:ascii="宋体" w:hAnsi="Courier New" w:eastAsia="宋体" w:cs="Courier New"/>
      <w:kern w:val="2"/>
      <w:sz w:val="21"/>
      <w:szCs w:val="21"/>
      <w:lang w:val="en-US" w:eastAsia="zh-CN" w:bidi="ar-SA"/>
    </w:rPr>
  </w:style>
  <w:style w:type="character" w:customStyle="1" w:styleId="230">
    <w:name w:val="标题4 Char Char"/>
    <w:link w:val="231"/>
    <w:autoRedefine/>
    <w:qFormat/>
    <w:uiPriority w:val="0"/>
    <w:rPr>
      <w:rFonts w:ascii="Arial" w:hAnsi="Arial"/>
      <w:b/>
      <w:bCs/>
      <w:sz w:val="24"/>
      <w:szCs w:val="32"/>
    </w:rPr>
  </w:style>
  <w:style w:type="paragraph" w:customStyle="1" w:styleId="231">
    <w:name w:val="标题4"/>
    <w:basedOn w:val="4"/>
    <w:next w:val="2"/>
    <w:link w:val="230"/>
    <w:autoRedefine/>
    <w:qFormat/>
    <w:uiPriority w:val="0"/>
    <w:pPr>
      <w:spacing w:before="0" w:after="0" w:line="413" w:lineRule="auto"/>
    </w:pPr>
    <w:rPr>
      <w:rFonts w:ascii="Arial" w:hAnsi="Arial" w:cstheme="minorBidi"/>
      <w:kern w:val="0"/>
      <w:sz w:val="24"/>
      <w:lang w:val="en-US"/>
    </w:rPr>
  </w:style>
  <w:style w:type="character" w:customStyle="1" w:styleId="232">
    <w:name w:val="明显引用 Char"/>
    <w:link w:val="233"/>
    <w:autoRedefine/>
    <w:qFormat/>
    <w:uiPriority w:val="0"/>
    <w:rPr>
      <w:b/>
      <w:bCs/>
      <w:i/>
      <w:iCs/>
      <w:color w:val="4F81BD"/>
    </w:rPr>
  </w:style>
  <w:style w:type="paragraph" w:styleId="233">
    <w:name w:val="Intense Quote"/>
    <w:basedOn w:val="1"/>
    <w:next w:val="1"/>
    <w:link w:val="232"/>
    <w:autoRedefine/>
    <w:qFormat/>
    <w:uiPriority w:val="0"/>
    <w:pPr>
      <w:pBdr>
        <w:bottom w:val="single" w:color="4F81BD" w:themeColor="accent1" w:sz="4" w:space="4"/>
      </w:pBdr>
      <w:spacing w:before="200" w:after="280"/>
      <w:ind w:left="936" w:right="936"/>
    </w:pPr>
    <w:rPr>
      <w:b/>
      <w:bCs/>
      <w:i/>
      <w:iCs/>
      <w:color w:val="4F81BD"/>
    </w:rPr>
  </w:style>
  <w:style w:type="paragraph" w:customStyle="1" w:styleId="234">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5">
    <w:name w:val="明显引用 Char1"/>
    <w:basedOn w:val="57"/>
    <w:autoRedefine/>
    <w:qFormat/>
    <w:uiPriority w:val="30"/>
    <w:rPr>
      <w:rFonts w:ascii="Times New Roman" w:hAnsi="Times New Roman" w:eastAsia="宋体" w:cs="Times New Roman"/>
      <w:i/>
      <w:iCs/>
      <w:color w:val="5B9BD5"/>
      <w:szCs w:val="24"/>
    </w:rPr>
  </w:style>
  <w:style w:type="character" w:customStyle="1" w:styleId="236">
    <w:name w:val="标题5 Char Char"/>
    <w:link w:val="237"/>
    <w:autoRedefine/>
    <w:qFormat/>
    <w:uiPriority w:val="0"/>
    <w:rPr>
      <w:rFonts w:ascii="Arial" w:hAnsi="Arial"/>
      <w:b/>
      <w:bCs/>
      <w:sz w:val="24"/>
      <w:szCs w:val="32"/>
    </w:rPr>
  </w:style>
  <w:style w:type="paragraph" w:customStyle="1" w:styleId="237">
    <w:name w:val="标题5"/>
    <w:basedOn w:val="5"/>
    <w:link w:val="236"/>
    <w:autoRedefine/>
    <w:qFormat/>
    <w:uiPriority w:val="0"/>
    <w:pPr>
      <w:spacing w:line="413" w:lineRule="auto"/>
      <w:jc w:val="left"/>
    </w:pPr>
    <w:rPr>
      <w:rFonts w:ascii="Arial" w:hAnsi="Arial"/>
      <w:sz w:val="24"/>
    </w:rPr>
  </w:style>
  <w:style w:type="character" w:customStyle="1" w:styleId="238">
    <w:name w:val="引用 Char"/>
    <w:link w:val="239"/>
    <w:autoRedefine/>
    <w:qFormat/>
    <w:uiPriority w:val="0"/>
    <w:rPr>
      <w:i/>
      <w:iCs/>
      <w:color w:val="000000"/>
    </w:rPr>
  </w:style>
  <w:style w:type="paragraph" w:styleId="239">
    <w:name w:val="Quote"/>
    <w:basedOn w:val="1"/>
    <w:next w:val="1"/>
    <w:link w:val="238"/>
    <w:autoRedefine/>
    <w:qFormat/>
    <w:uiPriority w:val="0"/>
    <w:rPr>
      <w:i/>
      <w:iCs/>
      <w:color w:val="000000"/>
    </w:rPr>
  </w:style>
  <w:style w:type="paragraph" w:customStyle="1" w:styleId="240">
    <w:name w:val="引用1"/>
    <w:basedOn w:val="1"/>
    <w:next w:val="1"/>
    <w:autoRedefine/>
    <w:qFormat/>
    <w:uiPriority w:val="0"/>
    <w:rPr>
      <w:rFonts w:ascii="Calibri" w:hAnsi="Calibri" w:cs="Times New Roman"/>
      <w:i/>
      <w:iCs/>
      <w:color w:val="000000"/>
      <w:kern w:val="2"/>
      <w:sz w:val="21"/>
      <w:szCs w:val="22"/>
    </w:rPr>
  </w:style>
  <w:style w:type="character" w:customStyle="1" w:styleId="241">
    <w:name w:val="引用 Char1"/>
    <w:basedOn w:val="57"/>
    <w:autoRedefine/>
    <w:qFormat/>
    <w:uiPriority w:val="29"/>
    <w:rPr>
      <w:rFonts w:ascii="Times New Roman" w:hAnsi="Times New Roman" w:eastAsia="宋体" w:cs="Times New Roman"/>
      <w:i/>
      <w:iCs/>
      <w:color w:val="404040"/>
      <w:szCs w:val="24"/>
    </w:rPr>
  </w:style>
  <w:style w:type="character" w:customStyle="1" w:styleId="242">
    <w:name w:val="ask-title2"/>
    <w:autoRedefine/>
    <w:qFormat/>
    <w:uiPriority w:val="0"/>
  </w:style>
  <w:style w:type="character" w:customStyle="1" w:styleId="243">
    <w:name w:val="正文文本 Char1"/>
    <w:autoRedefine/>
    <w:qFormat/>
    <w:uiPriority w:val="0"/>
    <w:rPr>
      <w:kern w:val="2"/>
      <w:sz w:val="21"/>
      <w:szCs w:val="22"/>
    </w:rPr>
  </w:style>
  <w:style w:type="character" w:customStyle="1" w:styleId="244">
    <w:name w:val="不明显强调1"/>
    <w:autoRedefine/>
    <w:qFormat/>
    <w:uiPriority w:val="0"/>
    <w:rPr>
      <w:i/>
      <w:iCs/>
      <w:color w:val="808080"/>
    </w:rPr>
  </w:style>
  <w:style w:type="character" w:customStyle="1" w:styleId="245">
    <w:name w:val="明显参考1"/>
    <w:autoRedefine/>
    <w:qFormat/>
    <w:uiPriority w:val="0"/>
    <w:rPr>
      <w:b/>
      <w:bCs/>
      <w:smallCaps/>
      <w:color w:val="C0504D"/>
      <w:spacing w:val="5"/>
      <w:u w:val="single"/>
    </w:rPr>
  </w:style>
  <w:style w:type="character" w:customStyle="1" w:styleId="246">
    <w:name w:val="书籍标题1"/>
    <w:autoRedefine/>
    <w:qFormat/>
    <w:uiPriority w:val="0"/>
    <w:rPr>
      <w:b/>
      <w:bCs/>
      <w:smallCaps/>
      <w:spacing w:val="5"/>
    </w:rPr>
  </w:style>
  <w:style w:type="character" w:customStyle="1" w:styleId="247">
    <w:name w:val="日期 Char1"/>
    <w:autoRedefine/>
    <w:qFormat/>
    <w:uiPriority w:val="0"/>
    <w:rPr>
      <w:kern w:val="2"/>
      <w:sz w:val="21"/>
      <w:szCs w:val="22"/>
    </w:rPr>
  </w:style>
  <w:style w:type="character" w:customStyle="1" w:styleId="248">
    <w:name w:val="明显强调1"/>
    <w:autoRedefine/>
    <w:qFormat/>
    <w:uiPriority w:val="0"/>
    <w:rPr>
      <w:b/>
      <w:bCs/>
      <w:i/>
      <w:iCs/>
      <w:color w:val="4F81BD"/>
    </w:rPr>
  </w:style>
  <w:style w:type="character" w:customStyle="1" w:styleId="249">
    <w:name w:val="textcontents"/>
    <w:autoRedefine/>
    <w:qFormat/>
    <w:uiPriority w:val="0"/>
    <w:rPr>
      <w:rFonts w:cs="Times New Roman"/>
    </w:rPr>
  </w:style>
  <w:style w:type="character" w:customStyle="1" w:styleId="250">
    <w:name w:val="不明显参考1"/>
    <w:autoRedefine/>
    <w:qFormat/>
    <w:uiPriority w:val="0"/>
    <w:rPr>
      <w:smallCaps/>
      <w:color w:val="C0504D"/>
      <w:u w:val="single"/>
    </w:rPr>
  </w:style>
  <w:style w:type="character" w:customStyle="1" w:styleId="251">
    <w:name w:val="批注文字 Char Char"/>
    <w:autoRedefine/>
    <w:qFormat/>
    <w:uiPriority w:val="0"/>
    <w:rPr>
      <w:rFonts w:ascii="宋体" w:hAnsi="Times New Roman" w:eastAsia="宋体" w:cs="Times New Roman"/>
      <w:sz w:val="28"/>
      <w:szCs w:val="20"/>
    </w:rPr>
  </w:style>
  <w:style w:type="character" w:customStyle="1" w:styleId="252">
    <w:name w:val="文档结构图 Char1"/>
    <w:autoRedefine/>
    <w:qFormat/>
    <w:uiPriority w:val="0"/>
    <w:rPr>
      <w:rFonts w:ascii="宋体"/>
      <w:kern w:val="2"/>
      <w:sz w:val="18"/>
      <w:szCs w:val="18"/>
    </w:rPr>
  </w:style>
  <w:style w:type="paragraph" w:customStyle="1" w:styleId="253">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54">
    <w:name w:val="页脚 Char1"/>
    <w:autoRedefine/>
    <w:semiHidden/>
    <w:qFormat/>
    <w:uiPriority w:val="99"/>
    <w:rPr>
      <w:kern w:val="2"/>
      <w:sz w:val="18"/>
      <w:szCs w:val="18"/>
    </w:rPr>
  </w:style>
  <w:style w:type="character" w:customStyle="1" w:styleId="255">
    <w:name w:val="批注框文本 Char2"/>
    <w:autoRedefine/>
    <w:semiHidden/>
    <w:qFormat/>
    <w:uiPriority w:val="99"/>
    <w:rPr>
      <w:kern w:val="2"/>
      <w:sz w:val="18"/>
      <w:szCs w:val="18"/>
    </w:rPr>
  </w:style>
  <w:style w:type="character" w:customStyle="1" w:styleId="256">
    <w:name w:val="批注主题 Char2"/>
    <w:autoRedefine/>
    <w:semiHidden/>
    <w:qFormat/>
    <w:uiPriority w:val="99"/>
    <w:rPr>
      <w:b/>
      <w:bCs/>
      <w:kern w:val="2"/>
      <w:sz w:val="21"/>
      <w:szCs w:val="22"/>
    </w:rPr>
  </w:style>
  <w:style w:type="character" w:customStyle="1" w:styleId="257">
    <w:name w:val="文档结构图 Char2"/>
    <w:autoRedefine/>
    <w:semiHidden/>
    <w:qFormat/>
    <w:uiPriority w:val="99"/>
    <w:rPr>
      <w:rFonts w:ascii="宋体"/>
      <w:kern w:val="2"/>
      <w:sz w:val="18"/>
      <w:szCs w:val="18"/>
    </w:rPr>
  </w:style>
  <w:style w:type="character" w:customStyle="1" w:styleId="258">
    <w:name w:val="页眉 Char1"/>
    <w:autoRedefine/>
    <w:semiHidden/>
    <w:qFormat/>
    <w:uiPriority w:val="99"/>
    <w:rPr>
      <w:kern w:val="2"/>
      <w:sz w:val="18"/>
      <w:szCs w:val="18"/>
    </w:rPr>
  </w:style>
  <w:style w:type="character" w:customStyle="1" w:styleId="259">
    <w:name w:val="日期 Char2"/>
    <w:autoRedefine/>
    <w:semiHidden/>
    <w:qFormat/>
    <w:uiPriority w:val="99"/>
    <w:rPr>
      <w:kern w:val="2"/>
      <w:sz w:val="21"/>
      <w:szCs w:val="22"/>
    </w:rPr>
  </w:style>
  <w:style w:type="character" w:customStyle="1" w:styleId="260">
    <w:name w:val="正文文本 Char2"/>
    <w:autoRedefine/>
    <w:semiHidden/>
    <w:qFormat/>
    <w:uiPriority w:val="99"/>
    <w:rPr>
      <w:kern w:val="2"/>
      <w:sz w:val="21"/>
      <w:szCs w:val="22"/>
    </w:rPr>
  </w:style>
  <w:style w:type="character" w:customStyle="1" w:styleId="261">
    <w:name w:val="标题 Char1"/>
    <w:autoRedefine/>
    <w:qFormat/>
    <w:uiPriority w:val="10"/>
    <w:rPr>
      <w:rFonts w:ascii="Cambria" w:hAnsi="Cambria" w:cs="Times New Roman"/>
      <w:b/>
      <w:bCs/>
      <w:kern w:val="2"/>
      <w:sz w:val="32"/>
      <w:szCs w:val="32"/>
    </w:rPr>
  </w:style>
  <w:style w:type="character" w:customStyle="1" w:styleId="262">
    <w:name w:val="副标题 Char1"/>
    <w:autoRedefine/>
    <w:qFormat/>
    <w:uiPriority w:val="11"/>
    <w:rPr>
      <w:rFonts w:ascii="Cambria" w:hAnsi="Cambria" w:cs="Times New Roman"/>
      <w:b/>
      <w:bCs/>
      <w:kern w:val="28"/>
      <w:sz w:val="32"/>
      <w:szCs w:val="32"/>
    </w:rPr>
  </w:style>
  <w:style w:type="paragraph" w:customStyle="1" w:styleId="263">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4">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5">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6">
    <w:name w:val="正文2 Char"/>
    <w:link w:val="267"/>
    <w:autoRedefine/>
    <w:qFormat/>
    <w:uiPriority w:val="0"/>
    <w:rPr>
      <w:rFonts w:ascii="楷体" w:eastAsia="楷体"/>
      <w:b/>
      <w:color w:val="0000FF"/>
    </w:rPr>
  </w:style>
  <w:style w:type="paragraph" w:customStyle="1" w:styleId="267">
    <w:name w:val="正文2"/>
    <w:link w:val="266"/>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8">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9">
    <w:name w:val="正文文本 (2)_"/>
    <w:link w:val="270"/>
    <w:autoRedefine/>
    <w:qFormat/>
    <w:locked/>
    <w:uiPriority w:val="99"/>
    <w:rPr>
      <w:rFonts w:ascii="MingLiU" w:eastAsia="MingLiU" w:cs="MingLiU"/>
      <w:spacing w:val="20"/>
      <w:sz w:val="22"/>
      <w:shd w:val="clear" w:color="auto" w:fill="FFFFFF"/>
    </w:rPr>
  </w:style>
  <w:style w:type="paragraph" w:customStyle="1" w:styleId="270">
    <w:name w:val="正文文本 (2)1"/>
    <w:basedOn w:val="1"/>
    <w:link w:val="269"/>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1">
    <w:name w:val="正文文本 (2) + 间距 0 pt5"/>
    <w:autoRedefine/>
    <w:qFormat/>
    <w:uiPriority w:val="99"/>
    <w:rPr>
      <w:rFonts w:ascii="MingLiU" w:eastAsia="MingLiU" w:cs="MingLiU"/>
      <w:spacing w:val="0"/>
      <w:sz w:val="22"/>
      <w:shd w:val="clear" w:color="auto" w:fill="FFFFFF"/>
    </w:rPr>
  </w:style>
  <w:style w:type="character" w:customStyle="1" w:styleId="272">
    <w:name w:val="访问过的超链接1"/>
    <w:basedOn w:val="57"/>
    <w:autoRedefine/>
    <w:semiHidden/>
    <w:unhideWhenUsed/>
    <w:qFormat/>
    <w:uiPriority w:val="99"/>
    <w:rPr>
      <w:color w:val="954F72"/>
      <w:u w:val="single"/>
    </w:rPr>
  </w:style>
  <w:style w:type="character" w:customStyle="1" w:styleId="273">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74">
    <w:name w:val="引用 Char2"/>
    <w:basedOn w:val="57"/>
    <w:autoRedefine/>
    <w:qFormat/>
    <w:uiPriority w:val="29"/>
    <w:rPr>
      <w:i/>
      <w:iCs/>
      <w:color w:val="000000" w:themeColor="text1"/>
      <w14:textFill>
        <w14:solidFill>
          <w14:schemeClr w14:val="tx1"/>
        </w14:solidFill>
      </w14:textFill>
    </w:rPr>
  </w:style>
  <w:style w:type="table" w:customStyle="1" w:styleId="275">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6">
    <w:name w:val="Table Normal"/>
    <w:autoRedefine/>
    <w:semiHidden/>
    <w:unhideWhenUsed/>
    <w:qFormat/>
    <w:uiPriority w:val="0"/>
    <w:tblPr>
      <w:tblCellMar>
        <w:top w:w="0" w:type="dxa"/>
        <w:left w:w="0" w:type="dxa"/>
        <w:bottom w:w="0" w:type="dxa"/>
        <w:right w:w="0" w:type="dxa"/>
      </w:tblCellMar>
    </w:tblPr>
  </w:style>
  <w:style w:type="paragraph" w:customStyle="1" w:styleId="277">
    <w:name w:val="Table Text"/>
    <w:basedOn w:val="1"/>
    <w:autoRedefine/>
    <w:semiHidden/>
    <w:qFormat/>
    <w:uiPriority w:val="0"/>
    <w:rPr>
      <w:rFonts w:ascii="Arial" w:hAnsi="Arial" w:eastAsia="Arial" w:cs="Arial"/>
      <w:sz w:val="21"/>
      <w:szCs w:val="21"/>
      <w:lang w:val="en-US" w:eastAsia="en-US" w:bidi="ar-SA"/>
    </w:rPr>
  </w:style>
  <w:style w:type="character" w:customStyle="1" w:styleId="278">
    <w:name w:val="NormalCharacter"/>
    <w:qFormat/>
    <w:uiPriority w:val="0"/>
    <w:rPr>
      <w:kern w:val="2"/>
      <w:sz w:val="21"/>
      <w:szCs w:val="24"/>
      <w:lang w:val="en-US" w:eastAsia="zh-CN" w:bidi="ar-SA"/>
    </w:rPr>
  </w:style>
  <w:style w:type="paragraph" w:customStyle="1" w:styleId="279">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80">
    <w:name w:val="hover1"/>
    <w:basedOn w:val="57"/>
    <w:uiPriority w:val="0"/>
    <w:rPr>
      <w:color w:val="2590EB"/>
    </w:rPr>
  </w:style>
  <w:style w:type="character" w:customStyle="1" w:styleId="281">
    <w:name w:val="hover2"/>
    <w:basedOn w:val="57"/>
    <w:uiPriority w:val="0"/>
    <w:rPr>
      <w:color w:val="2590EB"/>
      <w:shd w:val="clear" w:fill="E9F4FD"/>
    </w:rPr>
  </w:style>
  <w:style w:type="character" w:customStyle="1" w:styleId="282">
    <w:name w:val="hover3"/>
    <w:basedOn w:val="57"/>
    <w:uiPriority w:val="0"/>
    <w:rPr>
      <w:color w:val="2590EB"/>
    </w:rPr>
  </w:style>
  <w:style w:type="character" w:customStyle="1" w:styleId="283">
    <w:name w:val="hover4"/>
    <w:basedOn w:val="57"/>
    <w:uiPriority w:val="0"/>
    <w:rPr>
      <w:bdr w:val="none" w:color="AFD1EE" w:sz="0" w:space="0"/>
    </w:rPr>
  </w:style>
  <w:style w:type="character" w:customStyle="1" w:styleId="284">
    <w:name w:val="hover"/>
    <w:basedOn w:val="57"/>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124</Pages>
  <Words>62546</Words>
  <Characters>65523</Characters>
  <Lines>451</Lines>
  <Paragraphs>127</Paragraphs>
  <TotalTime>3</TotalTime>
  <ScaleCrop>false</ScaleCrop>
  <LinksUpToDate>false</LinksUpToDate>
  <CharactersWithSpaces>72871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韦韦</cp:lastModifiedBy>
  <cp:lastPrinted>2019-12-07T15:20:00Z</cp:lastPrinted>
  <dcterms:modified xsi:type="dcterms:W3CDTF">2026-04-28T05:37:00Z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456A8E0987814F0689620C34DD97C5FE_12</vt:lpwstr>
  </property>
  <property fmtid="{D5CDD505-2E9C-101B-9397-08002B2CF9AE}" pid="4" name="KSOTemplateDocerSaveRecord">
    <vt:lpwstr>eyJoZGlkIjoiZmQ5MGI3YTdkMjVkZTZjM2ZjZTQ5YjMxYTJjZjRlOWEiLCJ1c2VySWQiOiIzNjE4MjQ5In0=</vt:lpwstr>
  </property>
</Properties>
</file>