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0CB45">
      <w:pPr>
        <w:pStyle w:val="8"/>
        <w:widowControl/>
        <w:spacing w:line="400" w:lineRule="exact"/>
        <w:ind w:firstLine="360"/>
        <w:rPr>
          <w:rFonts w:hint="eastAsia" w:ascii="宋体" w:hAnsi="宋体" w:cs="宋体"/>
          <w:color w:val="auto"/>
          <w:sz w:val="21"/>
          <w:szCs w:val="21"/>
          <w:highlight w:val="none"/>
        </w:rPr>
      </w:pPr>
    </w:p>
    <w:p w14:paraId="57B13BF8">
      <w:pPr>
        <w:pStyle w:val="2"/>
        <w:keepNext w:val="0"/>
        <w:keepLines w:val="0"/>
        <w:pageBreakBefore w:val="0"/>
        <w:widowControl/>
        <w:wordWrap/>
        <w:overflowPunct/>
        <w:topLinePunct w:val="0"/>
        <w:autoSpaceDE/>
        <w:autoSpaceDN/>
        <w:bidi w:val="0"/>
        <w:snapToGrid/>
        <w:spacing w:line="240" w:lineRule="auto"/>
        <w:jc w:val="center"/>
        <w:rPr>
          <w:rFonts w:hint="eastAsia"/>
          <w:b/>
          <w:bCs/>
          <w:color w:val="auto"/>
          <w:sz w:val="44"/>
          <w:szCs w:val="44"/>
          <w:highlight w:val="none"/>
          <w:lang w:val="en-US" w:eastAsia="zh-CN"/>
        </w:rPr>
      </w:pPr>
      <w:r>
        <w:rPr>
          <w:rFonts w:hint="eastAsia"/>
          <w:b/>
          <w:bCs/>
          <w:color w:val="auto"/>
          <w:sz w:val="44"/>
          <w:szCs w:val="44"/>
          <w:highlight w:val="none"/>
          <w:lang w:val="en-US" w:eastAsia="zh-CN"/>
        </w:rPr>
        <w:t>车辆报废协议</w:t>
      </w:r>
    </w:p>
    <w:p w14:paraId="696C2D17">
      <w:pPr>
        <w:rPr>
          <w:rFonts w:hint="eastAsia" w:ascii="仿宋_GB2312" w:hAnsi="仿宋_GB2312" w:eastAsia="仿宋_GB2312" w:cs="仿宋_GB2312"/>
          <w:color w:val="auto"/>
          <w:sz w:val="24"/>
          <w:szCs w:val="24"/>
          <w:lang w:val="en-US" w:eastAsia="zh-CN"/>
        </w:rPr>
      </w:pPr>
    </w:p>
    <w:p w14:paraId="12FA6AAF">
      <w:pPr>
        <w:pStyle w:val="4"/>
        <w:keepNext w:val="0"/>
        <w:keepLines w:val="0"/>
        <w:pageBreakBefore w:val="0"/>
        <w:widowControl/>
        <w:wordWrap/>
        <w:overflowPunct/>
        <w:topLinePunct w:val="0"/>
        <w:autoSpaceDE/>
        <w:autoSpaceDN/>
        <w:bidi w:val="0"/>
        <w:snapToGrid/>
        <w:spacing w:line="240" w:lineRule="auto"/>
        <w:ind w:firstLine="480" w:firstLineChars="200"/>
        <w:rPr>
          <w:rFonts w:hint="eastAsia" w:ascii="仿宋_GB2312" w:hAnsi="仿宋_GB2312" w:eastAsia="仿宋_GB2312" w:cs="仿宋_GB2312"/>
          <w:bCs/>
          <w:color w:val="auto"/>
          <w:sz w:val="24"/>
          <w:szCs w:val="24"/>
          <w:highlight w:val="none"/>
          <w:lang w:val="en-US" w:eastAsia="zh-CN"/>
        </w:rPr>
      </w:pPr>
      <w:r>
        <w:rPr>
          <w:rFonts w:hint="eastAsia" w:ascii="仿宋_GB2312" w:hAnsi="仿宋_GB2312" w:eastAsia="仿宋_GB2312" w:cs="仿宋_GB2312"/>
          <w:bCs/>
          <w:color w:val="auto"/>
          <w:sz w:val="24"/>
          <w:szCs w:val="24"/>
          <w:highlight w:val="none"/>
        </w:rPr>
        <w:t>卖方 (以下简称：甲方):</w:t>
      </w:r>
      <w:r>
        <w:rPr>
          <w:rFonts w:hint="eastAsia" w:ascii="仿宋_GB2312" w:hAnsi="仿宋_GB2312" w:eastAsia="仿宋_GB2312" w:cs="仿宋_GB2312"/>
          <w:bCs/>
          <w:color w:val="auto"/>
          <w:sz w:val="24"/>
          <w:szCs w:val="24"/>
          <w:highlight w:val="none"/>
          <w:u w:val="single"/>
          <w:lang w:val="en-US" w:eastAsia="zh-CN"/>
        </w:rPr>
        <w:t>滁州市公共交通有限公司</w:t>
      </w:r>
    </w:p>
    <w:p w14:paraId="26E52A14">
      <w:pPr>
        <w:pStyle w:val="4"/>
        <w:keepNext w:val="0"/>
        <w:keepLines w:val="0"/>
        <w:pageBreakBefore w:val="0"/>
        <w:widowControl/>
        <w:wordWrap/>
        <w:overflowPunct/>
        <w:topLinePunct w:val="0"/>
        <w:autoSpaceDE/>
        <w:autoSpaceDN/>
        <w:bidi w:val="0"/>
        <w:snapToGrid/>
        <w:spacing w:line="240" w:lineRule="auto"/>
        <w:ind w:firstLine="480" w:firstLineChars="200"/>
        <w:rPr>
          <w:rFonts w:hint="eastAsia" w:ascii="仿宋_GB2312" w:hAnsi="仿宋_GB2312" w:eastAsia="仿宋_GB2312" w:cs="仿宋_GB2312"/>
          <w:bCs/>
          <w:color w:val="auto"/>
          <w:sz w:val="24"/>
          <w:szCs w:val="24"/>
          <w:highlight w:val="none"/>
          <w:lang w:val="en-US" w:eastAsia="zh-CN"/>
        </w:rPr>
      </w:pPr>
      <w:r>
        <w:rPr>
          <w:rFonts w:hint="eastAsia" w:ascii="仿宋_GB2312" w:hAnsi="仿宋_GB2312" w:eastAsia="仿宋_GB2312" w:cs="仿宋_GB2312"/>
          <w:bCs/>
          <w:color w:val="auto"/>
          <w:sz w:val="24"/>
          <w:szCs w:val="24"/>
          <w:highlight w:val="none"/>
        </w:rPr>
        <w:t>买方 (以下简称：乙方):</w:t>
      </w:r>
      <w:r>
        <w:rPr>
          <w:rFonts w:hint="eastAsia" w:ascii="仿宋_GB2312" w:hAnsi="仿宋_GB2312" w:eastAsia="仿宋_GB2312" w:cs="仿宋_GB2312"/>
          <w:bCs/>
          <w:color w:val="auto"/>
          <w:sz w:val="24"/>
          <w:szCs w:val="24"/>
          <w:highlight w:val="none"/>
          <w:u w:val="single"/>
          <w:lang w:val="en-US" w:eastAsia="zh-CN"/>
        </w:rPr>
        <w:t xml:space="preserve">                      </w:t>
      </w:r>
    </w:p>
    <w:p w14:paraId="48241BF4">
      <w:pPr>
        <w:pStyle w:val="4"/>
        <w:keepNext w:val="0"/>
        <w:keepLines w:val="0"/>
        <w:pageBreakBefore w:val="0"/>
        <w:widowControl/>
        <w:wordWrap/>
        <w:overflowPunct/>
        <w:topLinePunct w:val="0"/>
        <w:autoSpaceDE/>
        <w:autoSpaceDN/>
        <w:bidi w:val="0"/>
        <w:snapToGrid/>
        <w:spacing w:line="24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（以下简称：甲方）通过公开竞价，确定（以下简称：乙方）为本项目竞得人，现按照竞价公告确定的事项签订本合同。</w:t>
      </w:r>
    </w:p>
    <w:p w14:paraId="543C1140">
      <w:pPr>
        <w:pStyle w:val="4"/>
        <w:keepNext w:val="0"/>
        <w:keepLines w:val="0"/>
        <w:pageBreakBefore w:val="0"/>
        <w:widowControl/>
        <w:wordWrap/>
        <w:overflowPunct/>
        <w:topLinePunct w:val="0"/>
        <w:autoSpaceDE/>
        <w:autoSpaceDN/>
        <w:bidi w:val="0"/>
        <w:snapToGrid/>
        <w:spacing w:line="24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根据《中华人民共和国民法典》等相关法律法规之规定，按照平等、自愿、公平和诚实信用的原则，经甲方和乙方协商一致，约定以下合同条款，以兹共同遵守、全面履行。</w:t>
      </w:r>
    </w:p>
    <w:p w14:paraId="3E911611">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
          <w:color w:val="auto"/>
          <w:kern w:val="0"/>
          <w:sz w:val="24"/>
          <w:szCs w:val="24"/>
          <w:highlight w:val="none"/>
        </w:rPr>
      </w:pPr>
      <w:r>
        <w:rPr>
          <w:rFonts w:hint="eastAsia" w:ascii="仿宋_GB2312" w:hAnsi="仿宋_GB2312" w:eastAsia="仿宋_GB2312" w:cs="仿宋_GB2312"/>
          <w:b/>
          <w:color w:val="auto"/>
          <w:kern w:val="0"/>
          <w:sz w:val="24"/>
          <w:szCs w:val="24"/>
          <w:highlight w:val="none"/>
        </w:rPr>
        <w:t>第一条 固定资产报废处置清单及价格</w:t>
      </w:r>
    </w:p>
    <w:p w14:paraId="720E1C58">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lang w:eastAsia="zh-CN"/>
        </w:rPr>
      </w:pPr>
      <w:r>
        <w:rPr>
          <w:rFonts w:hint="eastAsia" w:ascii="仿宋_GB2312" w:hAnsi="仿宋_GB2312" w:eastAsia="仿宋_GB2312" w:cs="仿宋_GB2312"/>
          <w:bCs/>
          <w:color w:val="auto"/>
          <w:kern w:val="0"/>
          <w:sz w:val="24"/>
          <w:szCs w:val="24"/>
          <w:highlight w:val="none"/>
        </w:rPr>
        <w:t>1.1滁州市公共交通有限公司车辆报废处置项目清单</w:t>
      </w:r>
      <w:r>
        <w:rPr>
          <w:rFonts w:hint="eastAsia" w:ascii="仿宋_GB2312" w:hAnsi="仿宋_GB2312" w:eastAsia="仿宋_GB2312" w:cs="仿宋_GB2312"/>
          <w:bCs/>
          <w:color w:val="auto"/>
          <w:kern w:val="0"/>
          <w:sz w:val="24"/>
          <w:szCs w:val="24"/>
          <w:highlight w:val="none"/>
          <w:lang w:eastAsia="zh-CN"/>
        </w:rPr>
        <w:t>（</w:t>
      </w:r>
      <w:r>
        <w:rPr>
          <w:rFonts w:hint="eastAsia" w:ascii="仿宋_GB2312" w:hAnsi="仿宋_GB2312" w:eastAsia="仿宋_GB2312" w:cs="仿宋_GB2312"/>
          <w:bCs/>
          <w:color w:val="auto"/>
          <w:kern w:val="0"/>
          <w:sz w:val="24"/>
          <w:szCs w:val="24"/>
          <w:highlight w:val="none"/>
          <w:lang w:val="en-US" w:eastAsia="zh-CN"/>
        </w:rPr>
        <w:t>见附件</w:t>
      </w:r>
      <w:r>
        <w:rPr>
          <w:rFonts w:hint="eastAsia" w:ascii="仿宋_GB2312" w:hAnsi="仿宋_GB2312" w:eastAsia="仿宋_GB2312" w:cs="仿宋_GB2312"/>
          <w:bCs/>
          <w:color w:val="auto"/>
          <w:kern w:val="0"/>
          <w:sz w:val="24"/>
          <w:szCs w:val="24"/>
          <w:highlight w:val="none"/>
          <w:lang w:eastAsia="zh-CN"/>
        </w:rPr>
        <w:t>）</w:t>
      </w:r>
    </w:p>
    <w:p w14:paraId="143E7A3A">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Cs/>
          <w:color w:val="auto"/>
          <w:kern w:val="0"/>
          <w:sz w:val="24"/>
          <w:szCs w:val="24"/>
          <w:highlight w:val="none"/>
        </w:rPr>
        <w:t>1.2竞价价款：</w:t>
      </w:r>
      <w:r>
        <w:rPr>
          <w:rFonts w:hint="eastAsia" w:ascii="仿宋_GB2312" w:hAnsi="仿宋_GB2312" w:eastAsia="仿宋_GB2312" w:cs="仿宋_GB2312"/>
          <w:bCs/>
          <w:color w:val="auto"/>
          <w:kern w:val="0"/>
          <w:sz w:val="24"/>
          <w:szCs w:val="24"/>
          <w:highlight w:val="none"/>
          <w:u w:val="single"/>
          <w:lang w:val="en-US" w:eastAsia="zh-CN"/>
        </w:rPr>
        <w:t xml:space="preserve">          </w:t>
      </w:r>
      <w:r>
        <w:rPr>
          <w:rFonts w:hint="eastAsia" w:ascii="仿宋_GB2312" w:hAnsi="仿宋_GB2312" w:eastAsia="仿宋_GB2312" w:cs="仿宋_GB2312"/>
          <w:bCs/>
          <w:color w:val="auto"/>
          <w:kern w:val="0"/>
          <w:sz w:val="24"/>
          <w:szCs w:val="24"/>
          <w:highlight w:val="none"/>
          <w:u w:val="single"/>
        </w:rPr>
        <w:t>元(大写：</w:t>
      </w:r>
      <w:r>
        <w:rPr>
          <w:rStyle w:val="7"/>
          <w:rFonts w:hint="eastAsia" w:ascii="仿宋_GB2312" w:hAnsi="仿宋_GB2312" w:eastAsia="仿宋_GB2312" w:cs="仿宋_GB2312"/>
          <w:b w:val="0"/>
          <w:bCs/>
          <w:i w:val="0"/>
          <w:iCs w:val="0"/>
          <w:caps w:val="0"/>
          <w:color w:val="auto"/>
          <w:spacing w:val="0"/>
          <w:sz w:val="24"/>
          <w:szCs w:val="24"/>
          <w:u w:val="single"/>
          <w:lang w:val="en-US" w:eastAsia="zh-CN"/>
        </w:rPr>
        <w:t xml:space="preserve">                     </w:t>
      </w:r>
      <w:r>
        <w:rPr>
          <w:rFonts w:hint="eastAsia" w:ascii="仿宋_GB2312" w:hAnsi="仿宋_GB2312" w:eastAsia="仿宋_GB2312" w:cs="仿宋_GB2312"/>
          <w:bCs/>
          <w:color w:val="auto"/>
          <w:kern w:val="0"/>
          <w:sz w:val="24"/>
          <w:szCs w:val="24"/>
          <w:highlight w:val="none"/>
          <w:u w:val="single"/>
          <w:lang w:val="en-US" w:eastAsia="zh-CN"/>
        </w:rPr>
        <w:t>整</w:t>
      </w:r>
      <w:r>
        <w:rPr>
          <w:rFonts w:hint="eastAsia" w:ascii="仿宋_GB2312" w:hAnsi="仿宋_GB2312" w:eastAsia="仿宋_GB2312" w:cs="仿宋_GB2312"/>
          <w:bCs/>
          <w:color w:val="auto"/>
          <w:kern w:val="0"/>
          <w:sz w:val="24"/>
          <w:szCs w:val="24"/>
          <w:highlight w:val="none"/>
          <w:u w:val="single"/>
        </w:rPr>
        <w:t xml:space="preserve">) </w:t>
      </w:r>
      <w:r>
        <w:rPr>
          <w:rFonts w:hint="eastAsia" w:ascii="仿宋_GB2312" w:hAnsi="仿宋_GB2312" w:eastAsia="仿宋_GB2312" w:cs="仿宋_GB2312"/>
          <w:bCs/>
          <w:color w:val="auto"/>
          <w:kern w:val="0"/>
          <w:sz w:val="24"/>
          <w:szCs w:val="24"/>
          <w:highlight w:val="none"/>
        </w:rPr>
        <w:t>。</w:t>
      </w:r>
    </w:p>
    <w:p w14:paraId="0818EFC9">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
          <w:color w:val="auto"/>
          <w:kern w:val="0"/>
          <w:sz w:val="24"/>
          <w:szCs w:val="24"/>
          <w:highlight w:val="none"/>
        </w:rPr>
      </w:pPr>
      <w:r>
        <w:rPr>
          <w:rFonts w:hint="eastAsia" w:ascii="仿宋_GB2312" w:hAnsi="仿宋_GB2312" w:eastAsia="仿宋_GB2312" w:cs="仿宋_GB2312"/>
          <w:b/>
          <w:color w:val="auto"/>
          <w:kern w:val="0"/>
          <w:sz w:val="24"/>
          <w:szCs w:val="24"/>
          <w:highlight w:val="none"/>
        </w:rPr>
        <w:t>第二条 固定资产报废的处理</w:t>
      </w:r>
    </w:p>
    <w:p w14:paraId="2BC3CAFE">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2.1所有处置货物以实际现状为准</w:t>
      </w:r>
      <w:r>
        <w:rPr>
          <w:rFonts w:hint="eastAsia" w:ascii="仿宋_GB2312" w:hAnsi="仿宋_GB2312" w:eastAsia="仿宋_GB2312" w:cs="仿宋_GB2312"/>
          <w:bCs/>
          <w:color w:val="auto"/>
          <w:kern w:val="0"/>
          <w:sz w:val="24"/>
          <w:szCs w:val="24"/>
          <w:highlight w:val="none"/>
          <w:lang w:eastAsia="zh-CN"/>
        </w:rPr>
        <w:t>（</w:t>
      </w:r>
      <w:r>
        <w:rPr>
          <w:rFonts w:hint="eastAsia" w:ascii="仿宋_GB2312" w:hAnsi="仿宋_GB2312" w:eastAsia="仿宋_GB2312" w:cs="仿宋_GB2312"/>
          <w:bCs/>
          <w:color w:val="auto"/>
          <w:kern w:val="0"/>
          <w:sz w:val="24"/>
          <w:szCs w:val="24"/>
          <w:highlight w:val="none"/>
          <w:lang w:val="en-US" w:eastAsia="zh-CN"/>
        </w:rPr>
        <w:t>竞价</w:t>
      </w:r>
      <w:r>
        <w:rPr>
          <w:rFonts w:hint="eastAsia" w:ascii="仿宋_GB2312" w:hAnsi="仿宋_GB2312" w:eastAsia="仿宋_GB2312" w:cs="仿宋_GB2312"/>
          <w:bCs/>
          <w:color w:val="auto"/>
          <w:kern w:val="0"/>
          <w:sz w:val="24"/>
          <w:szCs w:val="24"/>
          <w:highlight w:val="none"/>
          <w:lang w:val="en-US" w:eastAsia="zh-CN"/>
        </w:rPr>
        <w:t>前已通知查验，</w:t>
      </w:r>
      <w:r>
        <w:rPr>
          <w:rFonts w:hint="eastAsia" w:ascii="仿宋_GB2312" w:hAnsi="仿宋_GB2312" w:eastAsia="仿宋_GB2312" w:cs="仿宋_GB2312"/>
          <w:bCs/>
          <w:color w:val="auto"/>
          <w:kern w:val="0"/>
          <w:sz w:val="24"/>
          <w:szCs w:val="24"/>
          <w:highlight w:val="none"/>
          <w:lang w:val="en-US" w:eastAsia="zh-CN"/>
        </w:rPr>
        <w:t>乙方参与竞价视为对货物交付现状的认可</w:t>
      </w:r>
      <w:r>
        <w:rPr>
          <w:rFonts w:hint="eastAsia" w:ascii="仿宋_GB2312" w:hAnsi="仿宋_GB2312" w:eastAsia="仿宋_GB2312" w:cs="仿宋_GB2312"/>
          <w:bCs/>
          <w:color w:val="auto"/>
          <w:kern w:val="0"/>
          <w:sz w:val="24"/>
          <w:szCs w:val="24"/>
          <w:highlight w:val="none"/>
          <w:lang w:eastAsia="zh-CN"/>
        </w:rPr>
        <w:t>）</w:t>
      </w:r>
      <w:r>
        <w:rPr>
          <w:rFonts w:hint="eastAsia" w:ascii="仿宋_GB2312" w:hAnsi="仿宋_GB2312" w:eastAsia="仿宋_GB2312" w:cs="仿宋_GB2312"/>
          <w:bCs/>
          <w:color w:val="auto"/>
          <w:kern w:val="0"/>
          <w:sz w:val="24"/>
          <w:szCs w:val="24"/>
          <w:highlight w:val="none"/>
        </w:rPr>
        <w:t>；</w:t>
      </w:r>
      <w:r>
        <w:rPr>
          <w:rFonts w:hint="eastAsia" w:ascii="仿宋_GB2312" w:hAnsi="仿宋_GB2312" w:eastAsia="仿宋_GB2312" w:cs="仿宋_GB2312"/>
          <w:b/>
          <w:bCs w:val="0"/>
          <w:color w:val="auto"/>
          <w:kern w:val="0"/>
          <w:sz w:val="24"/>
          <w:szCs w:val="24"/>
          <w:highlight w:val="none"/>
        </w:rPr>
        <w:t>由乙方在签订合同之日起</w:t>
      </w:r>
      <w:r>
        <w:rPr>
          <w:rFonts w:hint="eastAsia" w:ascii="仿宋_GB2312" w:hAnsi="仿宋_GB2312" w:eastAsia="仿宋_GB2312" w:cs="仿宋_GB2312"/>
          <w:b/>
          <w:bCs w:val="0"/>
          <w:color w:val="auto"/>
          <w:kern w:val="0"/>
          <w:sz w:val="24"/>
          <w:szCs w:val="24"/>
          <w:highlight w:val="none"/>
          <w:lang w:val="en-US" w:eastAsia="zh-CN"/>
        </w:rPr>
        <w:t>3</w:t>
      </w:r>
      <w:r>
        <w:rPr>
          <w:rFonts w:hint="eastAsia" w:ascii="仿宋_GB2312" w:hAnsi="仿宋_GB2312" w:eastAsia="仿宋_GB2312" w:cs="仿宋_GB2312"/>
          <w:b/>
          <w:bCs w:val="0"/>
          <w:color w:val="auto"/>
          <w:kern w:val="0"/>
          <w:sz w:val="24"/>
          <w:szCs w:val="24"/>
          <w:highlight w:val="none"/>
        </w:rPr>
        <w:t>个日历天内将货物清运</w:t>
      </w:r>
      <w:r>
        <w:rPr>
          <w:rFonts w:hint="eastAsia" w:ascii="仿宋_GB2312" w:hAnsi="仿宋_GB2312" w:eastAsia="仿宋_GB2312" w:cs="仿宋_GB2312"/>
          <w:b/>
          <w:bCs w:val="0"/>
          <w:color w:val="auto"/>
          <w:kern w:val="0"/>
          <w:sz w:val="24"/>
          <w:szCs w:val="24"/>
          <w:highlight w:val="none"/>
          <w:lang w:val="en-US" w:eastAsia="zh-CN"/>
        </w:rPr>
        <w:t>完毕，</w:t>
      </w:r>
      <w:r>
        <w:rPr>
          <w:rFonts w:hint="eastAsia" w:ascii="仿宋_GB2312" w:hAnsi="仿宋_GB2312" w:eastAsia="仿宋_GB2312" w:cs="仿宋_GB2312"/>
          <w:b/>
          <w:bCs w:val="0"/>
          <w:color w:val="auto"/>
          <w:kern w:val="0"/>
          <w:sz w:val="24"/>
          <w:szCs w:val="24"/>
          <w:highlight w:val="none"/>
          <w:lang w:val="en-US" w:eastAsia="zh-CN"/>
        </w:rPr>
        <w:t>在此过程中产生的所有费用由乙方承担，</w:t>
      </w:r>
      <w:r>
        <w:rPr>
          <w:rFonts w:hint="eastAsia" w:ascii="仿宋_GB2312" w:hAnsi="仿宋_GB2312" w:eastAsia="仿宋_GB2312" w:cs="仿宋_GB2312"/>
          <w:b/>
          <w:bCs w:val="0"/>
          <w:color w:val="auto"/>
          <w:kern w:val="0"/>
          <w:sz w:val="24"/>
          <w:szCs w:val="24"/>
          <w:highlight w:val="none"/>
        </w:rPr>
        <w:t>甲方将不为此承担任何责任和费用。</w:t>
      </w:r>
    </w:p>
    <w:p w14:paraId="2445BC4B">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rPr>
        <w:t>2.2乙方负责固定资产报废的现场清理、装卸</w:t>
      </w:r>
      <w:r>
        <w:rPr>
          <w:rFonts w:hint="eastAsia" w:ascii="仿宋_GB2312" w:hAnsi="仿宋_GB2312" w:eastAsia="仿宋_GB2312" w:cs="仿宋_GB2312"/>
          <w:bCs/>
          <w:color w:val="auto"/>
          <w:kern w:val="0"/>
          <w:sz w:val="24"/>
          <w:szCs w:val="24"/>
          <w:highlight w:val="none"/>
          <w:lang w:val="en-US" w:eastAsia="zh-CN"/>
        </w:rPr>
        <w:t>及安全（含路面托运过程的安全）</w:t>
      </w:r>
      <w:r>
        <w:rPr>
          <w:rFonts w:hint="eastAsia" w:ascii="仿宋_GB2312" w:hAnsi="仿宋_GB2312" w:eastAsia="仿宋_GB2312" w:cs="仿宋_GB2312"/>
          <w:bCs/>
          <w:color w:val="auto"/>
          <w:kern w:val="0"/>
          <w:sz w:val="24"/>
          <w:szCs w:val="24"/>
          <w:highlight w:val="none"/>
        </w:rPr>
        <w:t>。</w:t>
      </w:r>
    </w:p>
    <w:p w14:paraId="4FF51C11">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
          <w:color w:val="auto"/>
          <w:kern w:val="0"/>
          <w:sz w:val="24"/>
          <w:szCs w:val="24"/>
          <w:highlight w:val="none"/>
        </w:rPr>
      </w:pPr>
      <w:r>
        <w:rPr>
          <w:rFonts w:hint="eastAsia" w:ascii="仿宋_GB2312" w:hAnsi="仿宋_GB2312" w:eastAsia="仿宋_GB2312" w:cs="仿宋_GB2312"/>
          <w:b/>
          <w:color w:val="auto"/>
          <w:kern w:val="0"/>
          <w:sz w:val="24"/>
          <w:szCs w:val="24"/>
          <w:highlight w:val="none"/>
        </w:rPr>
        <w:t>第三条 结算与支付</w:t>
      </w:r>
    </w:p>
    <w:p w14:paraId="1AC4E062">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3.1</w:t>
      </w:r>
      <w:r>
        <w:rPr>
          <w:rFonts w:hint="eastAsia" w:ascii="仿宋_GB2312" w:hAnsi="仿宋_GB2312" w:eastAsia="仿宋_GB2312" w:cs="仿宋_GB2312"/>
          <w:bCs/>
          <w:color w:val="auto"/>
          <w:kern w:val="0"/>
          <w:sz w:val="24"/>
          <w:szCs w:val="24"/>
          <w:highlight w:val="none"/>
          <w:lang w:val="en-US" w:eastAsia="zh-CN"/>
        </w:rPr>
        <w:t>乙方</w:t>
      </w:r>
      <w:r>
        <w:rPr>
          <w:rFonts w:hint="eastAsia" w:ascii="仿宋_GB2312" w:hAnsi="仿宋_GB2312" w:eastAsia="仿宋_GB2312" w:cs="仿宋_GB2312"/>
          <w:bCs/>
          <w:color w:val="auto"/>
          <w:kern w:val="0"/>
          <w:sz w:val="24"/>
          <w:szCs w:val="24"/>
          <w:highlight w:val="none"/>
          <w:lang w:val="en-US" w:eastAsia="zh-CN"/>
        </w:rPr>
        <w:t>在</w:t>
      </w:r>
      <w:r>
        <w:rPr>
          <w:rFonts w:hint="eastAsia" w:ascii="仿宋_GB2312" w:hAnsi="仿宋_GB2312" w:eastAsia="仿宋_GB2312" w:cs="仿宋_GB2312"/>
          <w:bCs/>
          <w:color w:val="auto"/>
          <w:kern w:val="0"/>
          <w:sz w:val="24"/>
          <w:szCs w:val="24"/>
          <w:highlight w:val="none"/>
        </w:rPr>
        <w:t>合同签订前必须全额缴纳竞价款，否则视为</w:t>
      </w:r>
      <w:r>
        <w:rPr>
          <w:rFonts w:hint="eastAsia" w:ascii="仿宋_GB2312" w:hAnsi="仿宋_GB2312" w:eastAsia="仿宋_GB2312" w:cs="仿宋_GB2312"/>
          <w:bCs/>
          <w:color w:val="auto"/>
          <w:kern w:val="0"/>
          <w:sz w:val="24"/>
          <w:szCs w:val="24"/>
          <w:highlight w:val="none"/>
          <w:lang w:val="en-US" w:eastAsia="zh-CN"/>
        </w:rPr>
        <w:t>乙方</w:t>
      </w:r>
      <w:r>
        <w:rPr>
          <w:rFonts w:hint="eastAsia" w:ascii="仿宋_GB2312" w:hAnsi="仿宋_GB2312" w:eastAsia="仿宋_GB2312" w:cs="仿宋_GB2312"/>
          <w:bCs/>
          <w:color w:val="auto"/>
          <w:kern w:val="0"/>
          <w:sz w:val="24"/>
          <w:szCs w:val="24"/>
          <w:highlight w:val="none"/>
        </w:rPr>
        <w:t>自动放弃竞得资格，保证金不予退还，且甲方有权对外重新竞价。</w:t>
      </w:r>
    </w:p>
    <w:p w14:paraId="22D4E79A">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3.2 乙方应将竞价款支付至以下账户</w:t>
      </w:r>
    </w:p>
    <w:p w14:paraId="45267BE2">
      <w:pPr>
        <w:keepNext w:val="0"/>
        <w:keepLines w:val="0"/>
        <w:pageBreakBefore w:val="0"/>
        <w:widowControl/>
        <w:kinsoku w:val="0"/>
        <w:wordWrap/>
        <w:overflowPunct/>
        <w:topLinePunct w:val="0"/>
        <w:autoSpaceDE/>
        <w:autoSpaceDN/>
        <w:bidi w:val="0"/>
        <w:adjustRightInd w:val="0"/>
        <w:snapToGrid/>
        <w:spacing w:line="240" w:lineRule="auto"/>
        <w:ind w:firstLine="960" w:firstLineChars="400"/>
        <w:jc w:val="left"/>
        <w:textAlignment w:val="baseline"/>
        <w:rPr>
          <w:rFonts w:hint="eastAsia" w:ascii="仿宋_GB2312" w:hAnsi="仿宋_GB2312" w:eastAsia="仿宋_GB2312" w:cs="仿宋_GB2312"/>
          <w:bCs/>
          <w:color w:val="auto"/>
          <w:kern w:val="0"/>
          <w:sz w:val="24"/>
          <w:szCs w:val="24"/>
          <w:highlight w:val="none"/>
          <w:lang w:eastAsia="zh-CN"/>
        </w:rPr>
      </w:pPr>
      <w:r>
        <w:rPr>
          <w:rFonts w:hint="eastAsia" w:ascii="仿宋_GB2312" w:hAnsi="仿宋_GB2312" w:eastAsia="仿宋_GB2312" w:cs="仿宋_GB2312"/>
          <w:bCs/>
          <w:color w:val="auto"/>
          <w:kern w:val="0"/>
          <w:sz w:val="24"/>
          <w:szCs w:val="24"/>
          <w:highlight w:val="none"/>
        </w:rPr>
        <w:t>户名</w:t>
      </w:r>
      <w:r>
        <w:rPr>
          <w:rFonts w:hint="eastAsia" w:ascii="仿宋_GB2312" w:hAnsi="仿宋_GB2312" w:eastAsia="仿宋_GB2312" w:cs="仿宋_GB2312"/>
          <w:bCs/>
          <w:color w:val="auto"/>
          <w:kern w:val="0"/>
          <w:sz w:val="24"/>
          <w:szCs w:val="24"/>
          <w:highlight w:val="none"/>
          <w:lang w:eastAsia="zh-CN"/>
        </w:rPr>
        <w:t>：</w:t>
      </w:r>
      <w:r>
        <w:rPr>
          <w:rFonts w:hint="eastAsia" w:ascii="仿宋_GB2312" w:hAnsi="仿宋_GB2312" w:eastAsia="仿宋_GB2312" w:cs="仿宋_GB2312"/>
          <w:bCs/>
          <w:color w:val="auto"/>
          <w:sz w:val="24"/>
          <w:szCs w:val="24"/>
          <w:highlight w:val="none"/>
          <w:u w:val="single"/>
          <w:lang w:val="en-US" w:eastAsia="zh-CN"/>
        </w:rPr>
        <w:t>滁州市公共交通有限公司</w:t>
      </w:r>
      <w:r>
        <w:rPr>
          <w:rFonts w:hint="eastAsia" w:ascii="仿宋_GB2312" w:hAnsi="仿宋_GB2312" w:eastAsia="仿宋_GB2312" w:cs="仿宋_GB2312"/>
          <w:bCs/>
          <w:color w:val="auto"/>
          <w:kern w:val="0"/>
          <w:sz w:val="24"/>
          <w:szCs w:val="24"/>
          <w:highlight w:val="none"/>
        </w:rPr>
        <w:t xml:space="preserve"> </w:t>
      </w:r>
      <w:bookmarkStart w:id="0" w:name="_GoBack"/>
      <w:bookmarkEnd w:id="0"/>
    </w:p>
    <w:p w14:paraId="117DD2B9">
      <w:pPr>
        <w:keepNext w:val="0"/>
        <w:keepLines w:val="0"/>
        <w:pageBreakBefore w:val="0"/>
        <w:widowControl/>
        <w:kinsoku w:val="0"/>
        <w:wordWrap/>
        <w:overflowPunct/>
        <w:topLinePunct w:val="0"/>
        <w:autoSpaceDE/>
        <w:autoSpaceDN/>
        <w:bidi w:val="0"/>
        <w:adjustRightInd w:val="0"/>
        <w:snapToGrid/>
        <w:spacing w:line="240" w:lineRule="auto"/>
        <w:ind w:firstLine="960" w:firstLineChars="4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开户行：</w:t>
      </w:r>
      <w:r>
        <w:rPr>
          <w:rFonts w:hint="eastAsia" w:ascii="仿宋_GB2312" w:hAnsi="仿宋_GB2312" w:eastAsia="仿宋_GB2312" w:cs="仿宋_GB2312"/>
          <w:bCs/>
          <w:color w:val="auto"/>
          <w:kern w:val="0"/>
          <w:sz w:val="24"/>
          <w:szCs w:val="24"/>
          <w:highlight w:val="none"/>
          <w:u w:val="single"/>
          <w:lang w:val="en-US" w:eastAsia="zh-CN"/>
        </w:rPr>
        <w:t>中行开发区支行</w:t>
      </w:r>
    </w:p>
    <w:p w14:paraId="46567B12">
      <w:pPr>
        <w:keepNext w:val="0"/>
        <w:keepLines w:val="0"/>
        <w:pageBreakBefore w:val="0"/>
        <w:widowControl/>
        <w:kinsoku w:val="0"/>
        <w:wordWrap/>
        <w:overflowPunct/>
        <w:topLinePunct w:val="0"/>
        <w:autoSpaceDE/>
        <w:autoSpaceDN/>
        <w:bidi w:val="0"/>
        <w:adjustRightInd w:val="0"/>
        <w:snapToGrid/>
        <w:spacing w:line="240" w:lineRule="auto"/>
        <w:ind w:firstLine="960" w:firstLineChars="4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账号：</w:t>
      </w:r>
      <w:r>
        <w:rPr>
          <w:rFonts w:hint="eastAsia" w:ascii="仿宋_GB2312" w:hAnsi="仿宋_GB2312" w:eastAsia="仿宋_GB2312" w:cs="仿宋_GB2312"/>
          <w:bCs/>
          <w:color w:val="auto"/>
          <w:kern w:val="0"/>
          <w:sz w:val="24"/>
          <w:szCs w:val="24"/>
          <w:highlight w:val="none"/>
          <w:u w:val="single"/>
          <w:lang w:val="en-US" w:eastAsia="zh-CN"/>
        </w:rPr>
        <w:t xml:space="preserve">188705308863 </w:t>
      </w:r>
    </w:p>
    <w:p w14:paraId="7317B55B">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附言中注明“</w:t>
      </w:r>
      <w:r>
        <w:rPr>
          <w:rFonts w:hint="eastAsia" w:ascii="仿宋_GB2312" w:hAnsi="仿宋_GB2312" w:eastAsia="仿宋_GB2312" w:cs="仿宋_GB2312"/>
          <w:b/>
          <w:color w:val="auto"/>
          <w:kern w:val="0"/>
          <w:sz w:val="24"/>
          <w:szCs w:val="24"/>
          <w:highlight w:val="none"/>
        </w:rPr>
        <w:t>滁州市公共交通有限公司车辆报废处置项目</w:t>
      </w:r>
      <w:r>
        <w:rPr>
          <w:rFonts w:hint="eastAsia" w:ascii="仿宋_GB2312" w:hAnsi="仿宋_GB2312" w:eastAsia="仿宋_GB2312" w:cs="仿宋_GB2312"/>
          <w:bCs/>
          <w:color w:val="auto"/>
          <w:kern w:val="0"/>
          <w:sz w:val="24"/>
          <w:szCs w:val="24"/>
          <w:highlight w:val="none"/>
        </w:rPr>
        <w:t>”竞价款。</w:t>
      </w:r>
    </w:p>
    <w:p w14:paraId="4B209338">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
          <w:color w:val="auto"/>
          <w:kern w:val="0"/>
          <w:sz w:val="24"/>
          <w:szCs w:val="24"/>
          <w:highlight w:val="none"/>
        </w:rPr>
      </w:pPr>
      <w:r>
        <w:rPr>
          <w:rFonts w:hint="eastAsia" w:ascii="仿宋_GB2312" w:hAnsi="仿宋_GB2312" w:eastAsia="仿宋_GB2312" w:cs="仿宋_GB2312"/>
          <w:b/>
          <w:color w:val="auto"/>
          <w:kern w:val="0"/>
          <w:sz w:val="24"/>
          <w:szCs w:val="24"/>
          <w:highlight w:val="none"/>
        </w:rPr>
        <w:t>第四条 安全条款</w:t>
      </w:r>
    </w:p>
    <w:p w14:paraId="6C26231C">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4.1 乙方派往甲方工作人员，有责任遵守甲方有关的安全和环保要求；乙方有关办事人员或受雇于乙方的人员在甲方场所内应遵守甲方所有规定。</w:t>
      </w:r>
    </w:p>
    <w:p w14:paraId="168B0E0C">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4.2因乙方工作人员的过错造成对人员的人身伤害及财产的损失，由乙方承担全部法律责任。</w:t>
      </w:r>
    </w:p>
    <w:p w14:paraId="7CB4E955">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4.3在甲方的处理现场，乙方工作人员在搬运、装卸、处置工作过程中所发生的任何安全事故、由乙方自行承担，与甲方无关。</w:t>
      </w:r>
    </w:p>
    <w:p w14:paraId="109B6521">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
          <w:color w:val="auto"/>
          <w:kern w:val="0"/>
          <w:sz w:val="24"/>
          <w:szCs w:val="24"/>
          <w:highlight w:val="none"/>
        </w:rPr>
      </w:pPr>
      <w:r>
        <w:rPr>
          <w:rFonts w:hint="eastAsia" w:ascii="仿宋_GB2312" w:hAnsi="仿宋_GB2312" w:eastAsia="仿宋_GB2312" w:cs="仿宋_GB2312"/>
          <w:b/>
          <w:color w:val="auto"/>
          <w:kern w:val="0"/>
          <w:sz w:val="24"/>
          <w:szCs w:val="24"/>
          <w:highlight w:val="none"/>
        </w:rPr>
        <w:t>第五条 合同的解除和转让</w:t>
      </w:r>
    </w:p>
    <w:p w14:paraId="4DDA558E">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5.1合同的解除</w:t>
      </w:r>
    </w:p>
    <w:p w14:paraId="0C5C7477">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(1)买方和卖方协商一致，可以解除合同。</w:t>
      </w:r>
    </w:p>
    <w:p w14:paraId="2C44DCD1">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(2)有下列情形之一，合同一方可以解除合同：</w:t>
      </w:r>
    </w:p>
    <w:p w14:paraId="375447B3">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&lt;1&gt;因不可抗力致使不能实现合同目的，未受不可抗力影响的一方有权解除合同；</w:t>
      </w:r>
    </w:p>
    <w:p w14:paraId="376FD104">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&lt;2&gt;因合同一方违约导致合同不能履行，另一方有权解除合同。</w:t>
      </w:r>
    </w:p>
    <w:p w14:paraId="5A8896DE">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(3)有权解除合同的一方，应当在违约事实或不可抗力发生之后三十天内书面通知对方以主张解除合同，合同在书面通知到达对方时解除。</w:t>
      </w:r>
    </w:p>
    <w:p w14:paraId="49B5F050">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5.2.合同的转让</w:t>
      </w:r>
    </w:p>
    <w:p w14:paraId="418824C3">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 xml:space="preserve"> </w:t>
      </w:r>
      <w:r>
        <w:rPr>
          <w:rFonts w:hint="eastAsia" w:ascii="仿宋_GB2312" w:hAnsi="仿宋_GB2312" w:eastAsia="仿宋_GB2312" w:cs="仿宋_GB2312"/>
          <w:bCs/>
          <w:color w:val="auto"/>
          <w:kern w:val="0"/>
          <w:sz w:val="24"/>
          <w:szCs w:val="24"/>
          <w:highlight w:val="none"/>
          <w:lang w:val="en-US" w:eastAsia="zh-CN"/>
        </w:rPr>
        <w:t xml:space="preserve">  </w:t>
      </w:r>
      <w:r>
        <w:rPr>
          <w:rFonts w:hint="eastAsia" w:ascii="仿宋_GB2312" w:hAnsi="仿宋_GB2312" w:eastAsia="仿宋_GB2312" w:cs="仿宋_GB2312"/>
          <w:bCs/>
          <w:color w:val="auto"/>
          <w:kern w:val="0"/>
          <w:sz w:val="24"/>
          <w:szCs w:val="24"/>
          <w:highlight w:val="none"/>
        </w:rPr>
        <w:t xml:space="preserve"> 合同的部分和全部都不得转让。</w:t>
      </w:r>
    </w:p>
    <w:p w14:paraId="2549A6F8">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
          <w:color w:val="auto"/>
          <w:kern w:val="0"/>
          <w:sz w:val="24"/>
          <w:szCs w:val="24"/>
          <w:highlight w:val="none"/>
        </w:rPr>
      </w:pPr>
      <w:r>
        <w:rPr>
          <w:rFonts w:hint="eastAsia" w:ascii="仿宋_GB2312" w:hAnsi="仿宋_GB2312" w:eastAsia="仿宋_GB2312" w:cs="仿宋_GB2312"/>
          <w:b/>
          <w:color w:val="auto"/>
          <w:kern w:val="0"/>
          <w:sz w:val="24"/>
          <w:szCs w:val="24"/>
          <w:highlight w:val="none"/>
        </w:rPr>
        <w:t>第六条 合同的生效</w:t>
      </w:r>
    </w:p>
    <w:p w14:paraId="657F26C5">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本合同在双方签字盖章</w:t>
      </w:r>
      <w:r>
        <w:rPr>
          <w:rFonts w:hint="eastAsia" w:ascii="仿宋_GB2312" w:hAnsi="仿宋_GB2312" w:eastAsia="仿宋_GB2312" w:cs="仿宋_GB2312"/>
          <w:bCs/>
          <w:color w:val="auto"/>
          <w:kern w:val="0"/>
          <w:sz w:val="24"/>
          <w:szCs w:val="24"/>
          <w:highlight w:val="none"/>
          <w:lang w:val="en-US" w:eastAsia="zh-CN"/>
        </w:rPr>
        <w:t>之日起</w:t>
      </w:r>
      <w:r>
        <w:rPr>
          <w:rFonts w:hint="eastAsia" w:ascii="仿宋_GB2312" w:hAnsi="仿宋_GB2312" w:eastAsia="仿宋_GB2312" w:cs="仿宋_GB2312"/>
          <w:bCs/>
          <w:color w:val="auto"/>
          <w:kern w:val="0"/>
          <w:sz w:val="24"/>
          <w:szCs w:val="24"/>
          <w:highlight w:val="none"/>
        </w:rPr>
        <w:t>生效。</w:t>
      </w:r>
    </w:p>
    <w:p w14:paraId="38352315">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kern w:val="0"/>
          <w:sz w:val="24"/>
          <w:szCs w:val="24"/>
          <w:highlight w:val="none"/>
        </w:rPr>
        <w:t>第七条 争议解决</w:t>
      </w:r>
    </w:p>
    <w:p w14:paraId="548F9083">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 xml:space="preserve"> 买卖双方因合同发生争议，进行调解，协商不成，向</w:t>
      </w:r>
      <w:r>
        <w:rPr>
          <w:rFonts w:hint="eastAsia" w:ascii="仿宋_GB2312" w:hAnsi="仿宋_GB2312" w:eastAsia="仿宋_GB2312" w:cs="仿宋_GB2312"/>
          <w:color w:val="auto"/>
          <w:sz w:val="24"/>
          <w:szCs w:val="24"/>
          <w:lang w:val="en-US" w:eastAsia="zh-CN"/>
        </w:rPr>
        <w:t>卖方</w:t>
      </w:r>
      <w:r>
        <w:rPr>
          <w:rFonts w:hint="eastAsia" w:ascii="仿宋_GB2312" w:hAnsi="仿宋_GB2312" w:eastAsia="仿宋_GB2312" w:cs="仿宋_GB2312"/>
          <w:bCs/>
          <w:color w:val="auto"/>
          <w:kern w:val="0"/>
          <w:sz w:val="24"/>
          <w:szCs w:val="24"/>
          <w:highlight w:val="none"/>
        </w:rPr>
        <w:t>所在地人民法院提起诉讼。</w:t>
      </w:r>
    </w:p>
    <w:p w14:paraId="73F40E8F">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
          <w:color w:val="auto"/>
          <w:kern w:val="0"/>
          <w:sz w:val="24"/>
          <w:szCs w:val="24"/>
          <w:highlight w:val="none"/>
        </w:rPr>
      </w:pPr>
      <w:r>
        <w:rPr>
          <w:rFonts w:hint="eastAsia" w:ascii="仿宋_GB2312" w:hAnsi="仿宋_GB2312" w:eastAsia="仿宋_GB2312" w:cs="仿宋_GB2312"/>
          <w:b/>
          <w:color w:val="auto"/>
          <w:kern w:val="0"/>
          <w:sz w:val="24"/>
          <w:szCs w:val="24"/>
          <w:highlight w:val="none"/>
        </w:rPr>
        <w:t>第八条 附则</w:t>
      </w:r>
    </w:p>
    <w:p w14:paraId="4BD470E8">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8.1.合同份数。</w:t>
      </w:r>
    </w:p>
    <w:p w14:paraId="49098A17">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 xml:space="preserve">    本合同一式</w:t>
      </w:r>
      <w:r>
        <w:rPr>
          <w:rFonts w:hint="eastAsia" w:ascii="仿宋_GB2312" w:hAnsi="仿宋_GB2312" w:eastAsia="仿宋_GB2312" w:cs="仿宋_GB2312"/>
          <w:bCs/>
          <w:color w:val="auto"/>
          <w:kern w:val="0"/>
          <w:sz w:val="24"/>
          <w:szCs w:val="24"/>
          <w:highlight w:val="none"/>
          <w:lang w:val="en-US" w:eastAsia="zh-CN"/>
        </w:rPr>
        <w:t>肆</w:t>
      </w:r>
      <w:r>
        <w:rPr>
          <w:rFonts w:hint="eastAsia" w:ascii="仿宋_GB2312" w:hAnsi="仿宋_GB2312" w:eastAsia="仿宋_GB2312" w:cs="仿宋_GB2312"/>
          <w:bCs/>
          <w:color w:val="auto"/>
          <w:kern w:val="0"/>
          <w:sz w:val="24"/>
          <w:szCs w:val="24"/>
          <w:highlight w:val="none"/>
        </w:rPr>
        <w:t>份，买卖双方各执</w:t>
      </w:r>
      <w:r>
        <w:rPr>
          <w:rFonts w:hint="eastAsia" w:ascii="仿宋_GB2312" w:hAnsi="仿宋_GB2312" w:eastAsia="仿宋_GB2312" w:cs="仿宋_GB2312"/>
          <w:bCs/>
          <w:color w:val="auto"/>
          <w:kern w:val="0"/>
          <w:sz w:val="24"/>
          <w:szCs w:val="24"/>
          <w:highlight w:val="none"/>
          <w:lang w:val="en-US" w:eastAsia="zh-CN"/>
        </w:rPr>
        <w:t>贰</w:t>
      </w:r>
      <w:r>
        <w:rPr>
          <w:rFonts w:hint="eastAsia" w:ascii="仿宋_GB2312" w:hAnsi="仿宋_GB2312" w:eastAsia="仿宋_GB2312" w:cs="仿宋_GB2312"/>
          <w:bCs/>
          <w:color w:val="auto"/>
          <w:kern w:val="0"/>
          <w:sz w:val="24"/>
          <w:szCs w:val="24"/>
          <w:highlight w:val="none"/>
        </w:rPr>
        <w:t>份。</w:t>
      </w:r>
    </w:p>
    <w:p w14:paraId="33C9AB1D">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8.2.未尽事宜</w:t>
      </w:r>
    </w:p>
    <w:p w14:paraId="7CA732AB">
      <w:pPr>
        <w:keepNext w:val="0"/>
        <w:keepLines w:val="0"/>
        <w:pageBreakBefore w:val="0"/>
        <w:widowControl/>
        <w:kinsoku w:val="0"/>
        <w:wordWrap/>
        <w:overflowPunct/>
        <w:topLinePunct w:val="0"/>
        <w:autoSpaceDE/>
        <w:autoSpaceDN/>
        <w:bidi w:val="0"/>
        <w:adjustRightInd w:val="0"/>
        <w:snapToGrid/>
        <w:spacing w:line="240" w:lineRule="auto"/>
        <w:ind w:firstLine="480" w:firstLineChars="2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本合同未尽事宜应按《中华人民共和国民法典》、《中华人民共和国产品质量法》之规定解释。</w:t>
      </w:r>
    </w:p>
    <w:p w14:paraId="1471706C">
      <w:pPr>
        <w:keepNext w:val="0"/>
        <w:keepLines w:val="0"/>
        <w:pageBreakBefore w:val="0"/>
        <w:widowControl/>
        <w:wordWrap/>
        <w:overflowPunct/>
        <w:topLinePunct w:val="0"/>
        <w:autoSpaceDE/>
        <w:autoSpaceDN/>
        <w:bidi w:val="0"/>
        <w:snapToGrid/>
        <w:spacing w:line="240" w:lineRule="auto"/>
        <w:jc w:val="left"/>
        <w:rPr>
          <w:rFonts w:hint="eastAsia" w:ascii="仿宋_GB2312" w:hAnsi="仿宋_GB2312" w:eastAsia="仿宋_GB2312" w:cs="仿宋_GB2312"/>
          <w:color w:val="auto"/>
          <w:spacing w:val="11"/>
          <w:sz w:val="24"/>
          <w:szCs w:val="24"/>
          <w:highlight w:val="none"/>
          <w:lang w:bidi="ar"/>
        </w:rPr>
      </w:pPr>
    </w:p>
    <w:p w14:paraId="126EF674">
      <w:pPr>
        <w:keepNext w:val="0"/>
        <w:keepLines w:val="0"/>
        <w:pageBreakBefore w:val="0"/>
        <w:widowControl/>
        <w:wordWrap/>
        <w:overflowPunct/>
        <w:topLinePunct w:val="0"/>
        <w:autoSpaceDE/>
        <w:autoSpaceDN/>
        <w:bidi w:val="0"/>
        <w:snapToGrid/>
        <w:spacing w:line="240" w:lineRule="auto"/>
        <w:jc w:val="left"/>
        <w:rPr>
          <w:rFonts w:hint="eastAsia" w:ascii="仿宋_GB2312" w:hAnsi="仿宋_GB2312" w:eastAsia="仿宋_GB2312" w:cs="仿宋_GB2312"/>
          <w:color w:val="auto"/>
          <w:spacing w:val="11"/>
          <w:sz w:val="24"/>
          <w:szCs w:val="24"/>
          <w:highlight w:val="none"/>
          <w:lang w:bidi="ar"/>
        </w:rPr>
      </w:pPr>
    </w:p>
    <w:p w14:paraId="6C19326A">
      <w:pPr>
        <w:keepNext w:val="0"/>
        <w:keepLines w:val="0"/>
        <w:pageBreakBefore w:val="0"/>
        <w:widowControl/>
        <w:wordWrap/>
        <w:overflowPunct/>
        <w:topLinePunct w:val="0"/>
        <w:autoSpaceDE/>
        <w:autoSpaceDN/>
        <w:bidi w:val="0"/>
        <w:snapToGrid/>
        <w:spacing w:line="240" w:lineRule="auto"/>
        <w:jc w:val="left"/>
        <w:rPr>
          <w:rFonts w:hint="eastAsia" w:ascii="仿宋_GB2312" w:hAnsi="仿宋_GB2312" w:eastAsia="仿宋_GB2312" w:cs="仿宋_GB2312"/>
          <w:color w:val="auto"/>
          <w:spacing w:val="11"/>
          <w:sz w:val="24"/>
          <w:szCs w:val="24"/>
          <w:highlight w:val="none"/>
          <w:lang w:bidi="ar"/>
        </w:rPr>
      </w:pPr>
    </w:p>
    <w:p w14:paraId="064167C8">
      <w:pPr>
        <w:keepNext w:val="0"/>
        <w:keepLines w:val="0"/>
        <w:pageBreakBefore w:val="0"/>
        <w:widowControl/>
        <w:wordWrap/>
        <w:overflowPunct/>
        <w:topLinePunct w:val="0"/>
        <w:autoSpaceDE/>
        <w:autoSpaceDN/>
        <w:bidi w:val="0"/>
        <w:snapToGrid/>
        <w:spacing w:line="240" w:lineRule="auto"/>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11"/>
          <w:sz w:val="24"/>
          <w:szCs w:val="24"/>
          <w:highlight w:val="none"/>
          <w:lang w:bidi="ar"/>
        </w:rPr>
        <w:t xml:space="preserve"> </w:t>
      </w:r>
    </w:p>
    <w:p w14:paraId="73D6BD86">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default" w:ascii="仿宋_GB2312" w:hAnsi="仿宋_GB2312" w:eastAsia="仿宋_GB2312" w:cs="仿宋_GB2312"/>
          <w:bCs/>
          <w:color w:val="auto"/>
          <w:sz w:val="24"/>
          <w:szCs w:val="24"/>
          <w:highlight w:val="none"/>
          <w:u w:val="single"/>
          <w:lang w:val="en-US" w:eastAsia="zh-CN"/>
        </w:rPr>
      </w:pPr>
      <w:r>
        <w:rPr>
          <w:rFonts w:hint="eastAsia" w:ascii="仿宋_GB2312" w:hAnsi="仿宋_GB2312" w:eastAsia="仿宋_GB2312" w:cs="仿宋_GB2312"/>
          <w:bCs/>
          <w:color w:val="auto"/>
          <w:kern w:val="0"/>
          <w:sz w:val="24"/>
          <w:szCs w:val="24"/>
          <w:highlight w:val="none"/>
          <w:lang w:val="en-US" w:eastAsia="zh-CN"/>
        </w:rPr>
        <w:t>甲</w:t>
      </w:r>
      <w:r>
        <w:rPr>
          <w:rFonts w:hint="eastAsia" w:ascii="仿宋_GB2312" w:hAnsi="仿宋_GB2312" w:eastAsia="仿宋_GB2312" w:cs="仿宋_GB2312"/>
          <w:bCs/>
          <w:color w:val="auto"/>
          <w:kern w:val="0"/>
          <w:sz w:val="24"/>
          <w:szCs w:val="24"/>
          <w:highlight w:val="none"/>
        </w:rPr>
        <w:t xml:space="preserve">  方：</w:t>
      </w:r>
      <w:r>
        <w:rPr>
          <w:rFonts w:hint="eastAsia" w:ascii="仿宋_GB2312" w:hAnsi="仿宋_GB2312" w:eastAsia="仿宋_GB2312" w:cs="仿宋_GB2312"/>
          <w:bCs/>
          <w:color w:val="auto"/>
          <w:sz w:val="24"/>
          <w:szCs w:val="24"/>
          <w:highlight w:val="none"/>
          <w:u w:val="single"/>
          <w:lang w:val="en-US" w:eastAsia="zh-CN"/>
        </w:rPr>
        <w:t>滁州市公共交通有限公司</w:t>
      </w:r>
      <w:r>
        <w:rPr>
          <w:rFonts w:hint="eastAsia" w:ascii="仿宋_GB2312" w:hAnsi="仿宋_GB2312" w:eastAsia="仿宋_GB2312" w:cs="仿宋_GB2312"/>
          <w:bCs/>
          <w:color w:val="auto"/>
          <w:kern w:val="0"/>
          <w:sz w:val="24"/>
          <w:szCs w:val="24"/>
          <w:highlight w:val="none"/>
        </w:rPr>
        <w:t xml:space="preserve">    </w:t>
      </w:r>
      <w:r>
        <w:rPr>
          <w:rFonts w:hint="eastAsia" w:ascii="仿宋_GB2312" w:hAnsi="仿宋_GB2312" w:eastAsia="仿宋_GB2312" w:cs="仿宋_GB2312"/>
          <w:bCs/>
          <w:color w:val="auto"/>
          <w:kern w:val="0"/>
          <w:sz w:val="24"/>
          <w:szCs w:val="24"/>
          <w:highlight w:val="none"/>
          <w:lang w:val="en-US" w:eastAsia="zh-CN"/>
        </w:rPr>
        <w:t xml:space="preserve">   </w:t>
      </w:r>
      <w:r>
        <w:rPr>
          <w:rFonts w:hint="eastAsia" w:ascii="仿宋_GB2312" w:hAnsi="仿宋_GB2312" w:eastAsia="仿宋_GB2312" w:cs="仿宋_GB2312"/>
          <w:bCs/>
          <w:color w:val="auto"/>
          <w:kern w:val="0"/>
          <w:sz w:val="24"/>
          <w:szCs w:val="24"/>
          <w:highlight w:val="none"/>
        </w:rPr>
        <w:t xml:space="preserve"> </w:t>
      </w:r>
      <w:r>
        <w:rPr>
          <w:rFonts w:hint="eastAsia" w:ascii="仿宋_GB2312" w:hAnsi="仿宋_GB2312" w:eastAsia="仿宋_GB2312" w:cs="仿宋_GB2312"/>
          <w:bCs/>
          <w:color w:val="auto"/>
          <w:kern w:val="0"/>
          <w:sz w:val="24"/>
          <w:szCs w:val="24"/>
          <w:highlight w:val="none"/>
          <w:lang w:val="en-US" w:eastAsia="zh-CN"/>
        </w:rPr>
        <w:t xml:space="preserve">  </w:t>
      </w:r>
      <w:r>
        <w:rPr>
          <w:rFonts w:hint="eastAsia" w:ascii="仿宋_GB2312" w:hAnsi="仿宋_GB2312" w:eastAsia="仿宋_GB2312" w:cs="仿宋_GB2312"/>
          <w:bCs/>
          <w:color w:val="auto"/>
          <w:kern w:val="0"/>
          <w:sz w:val="24"/>
          <w:szCs w:val="24"/>
          <w:highlight w:val="none"/>
        </w:rPr>
        <w:t xml:space="preserve">  </w:t>
      </w:r>
      <w:r>
        <w:rPr>
          <w:rFonts w:hint="eastAsia" w:ascii="仿宋_GB2312" w:hAnsi="仿宋_GB2312" w:eastAsia="仿宋_GB2312" w:cs="仿宋_GB2312"/>
          <w:bCs/>
          <w:color w:val="auto"/>
          <w:kern w:val="0"/>
          <w:sz w:val="24"/>
          <w:szCs w:val="24"/>
          <w:highlight w:val="none"/>
          <w:lang w:val="en-US" w:eastAsia="zh-CN"/>
        </w:rPr>
        <w:t>乙</w:t>
      </w:r>
      <w:r>
        <w:rPr>
          <w:rFonts w:hint="eastAsia" w:ascii="仿宋_GB2312" w:hAnsi="仿宋_GB2312" w:eastAsia="仿宋_GB2312" w:cs="仿宋_GB2312"/>
          <w:bCs/>
          <w:color w:val="auto"/>
          <w:kern w:val="0"/>
          <w:sz w:val="24"/>
          <w:szCs w:val="24"/>
          <w:highlight w:val="none"/>
        </w:rPr>
        <w:t xml:space="preserve">  方：</w:t>
      </w:r>
      <w:r>
        <w:rPr>
          <w:rFonts w:hint="eastAsia" w:ascii="仿宋_GB2312" w:hAnsi="仿宋_GB2312" w:eastAsia="仿宋_GB2312" w:cs="仿宋_GB2312"/>
          <w:bCs/>
          <w:color w:val="auto"/>
          <w:sz w:val="24"/>
          <w:szCs w:val="24"/>
          <w:highlight w:val="none"/>
          <w:u w:val="single"/>
          <w:lang w:val="en-US" w:eastAsia="zh-CN"/>
        </w:rPr>
        <w:t xml:space="preserve">                  </w:t>
      </w:r>
    </w:p>
    <w:p w14:paraId="4CA65244">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Cs/>
          <w:color w:val="auto"/>
          <w:sz w:val="24"/>
          <w:szCs w:val="24"/>
          <w:highlight w:val="none"/>
          <w:u w:val="single"/>
          <w:lang w:val="en-US" w:eastAsia="zh-CN"/>
        </w:rPr>
      </w:pPr>
    </w:p>
    <w:p w14:paraId="4E654369">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Cs/>
          <w:color w:val="auto"/>
          <w:kern w:val="0"/>
          <w:sz w:val="24"/>
          <w:szCs w:val="24"/>
          <w:highlight w:val="none"/>
        </w:rPr>
      </w:pPr>
    </w:p>
    <w:p w14:paraId="07E8B55A">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 xml:space="preserve">名  称：（盖章）                 </w:t>
      </w:r>
      <w:r>
        <w:rPr>
          <w:rFonts w:hint="eastAsia" w:ascii="仿宋_GB2312" w:hAnsi="仿宋_GB2312" w:eastAsia="仿宋_GB2312" w:cs="仿宋_GB2312"/>
          <w:bCs/>
          <w:color w:val="auto"/>
          <w:kern w:val="0"/>
          <w:sz w:val="24"/>
          <w:szCs w:val="24"/>
          <w:highlight w:val="none"/>
          <w:lang w:val="en-US" w:eastAsia="zh-CN"/>
        </w:rPr>
        <w:t xml:space="preserve">         </w:t>
      </w:r>
      <w:r>
        <w:rPr>
          <w:rFonts w:hint="eastAsia" w:ascii="仿宋_GB2312" w:hAnsi="仿宋_GB2312" w:eastAsia="仿宋_GB2312" w:cs="仿宋_GB2312"/>
          <w:bCs/>
          <w:color w:val="auto"/>
          <w:kern w:val="0"/>
          <w:sz w:val="24"/>
          <w:szCs w:val="24"/>
          <w:highlight w:val="none"/>
        </w:rPr>
        <w:t>名  称：（盖章）</w:t>
      </w:r>
    </w:p>
    <w:p w14:paraId="51FF3AAE">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Cs/>
          <w:color w:val="auto"/>
          <w:kern w:val="0"/>
          <w:sz w:val="24"/>
          <w:szCs w:val="24"/>
          <w:highlight w:val="none"/>
        </w:rPr>
      </w:pPr>
    </w:p>
    <w:p w14:paraId="2BAA2AF7">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Cs/>
          <w:color w:val="auto"/>
          <w:kern w:val="0"/>
          <w:sz w:val="24"/>
          <w:szCs w:val="24"/>
          <w:highlight w:val="none"/>
        </w:rPr>
      </w:pPr>
    </w:p>
    <w:p w14:paraId="59F5AF52">
      <w:pPr>
        <w:keepNext w:val="0"/>
        <w:keepLines w:val="0"/>
        <w:pageBreakBefore w:val="0"/>
        <w:widowControl/>
        <w:kinsoku w:val="0"/>
        <w:wordWrap/>
        <w:overflowPunct/>
        <w:topLinePunct w:val="0"/>
        <w:autoSpaceDE/>
        <w:autoSpaceDN/>
        <w:bidi w:val="0"/>
        <w:adjustRightInd w:val="0"/>
        <w:snapToGrid/>
        <w:spacing w:line="240" w:lineRule="auto"/>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 xml:space="preserve">法定代表人（或委托代理人）：     </w:t>
      </w:r>
      <w:r>
        <w:rPr>
          <w:rFonts w:hint="eastAsia" w:ascii="仿宋_GB2312" w:hAnsi="仿宋_GB2312" w:eastAsia="仿宋_GB2312" w:cs="仿宋_GB2312"/>
          <w:bCs/>
          <w:color w:val="auto"/>
          <w:kern w:val="0"/>
          <w:sz w:val="24"/>
          <w:szCs w:val="24"/>
          <w:highlight w:val="none"/>
          <w:lang w:val="en-US" w:eastAsia="zh-CN"/>
        </w:rPr>
        <w:t xml:space="preserve">         </w:t>
      </w:r>
      <w:r>
        <w:rPr>
          <w:rFonts w:hint="eastAsia" w:ascii="仿宋_GB2312" w:hAnsi="仿宋_GB2312" w:eastAsia="仿宋_GB2312" w:cs="仿宋_GB2312"/>
          <w:bCs/>
          <w:color w:val="auto"/>
          <w:kern w:val="0"/>
          <w:sz w:val="24"/>
          <w:szCs w:val="24"/>
          <w:highlight w:val="none"/>
        </w:rPr>
        <w:t>法定代表人（或委托代理人）：</w:t>
      </w:r>
    </w:p>
    <w:p w14:paraId="58D4FB88">
      <w:pPr>
        <w:keepNext w:val="0"/>
        <w:keepLines w:val="0"/>
        <w:pageBreakBefore w:val="0"/>
        <w:widowControl/>
        <w:kinsoku w:val="0"/>
        <w:wordWrap/>
        <w:overflowPunct/>
        <w:topLinePunct w:val="0"/>
        <w:autoSpaceDE/>
        <w:autoSpaceDN/>
        <w:bidi w:val="0"/>
        <w:adjustRightInd w:val="0"/>
        <w:snapToGrid/>
        <w:spacing w:line="240" w:lineRule="auto"/>
        <w:ind w:firstLine="1200" w:firstLineChars="500"/>
        <w:jc w:val="left"/>
        <w:textAlignment w:val="baseline"/>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 xml:space="preserve">（签字）                     </w:t>
      </w:r>
      <w:r>
        <w:rPr>
          <w:rFonts w:hint="eastAsia" w:ascii="仿宋_GB2312" w:hAnsi="仿宋_GB2312" w:eastAsia="仿宋_GB2312" w:cs="仿宋_GB2312"/>
          <w:bCs/>
          <w:color w:val="auto"/>
          <w:kern w:val="0"/>
          <w:sz w:val="24"/>
          <w:szCs w:val="24"/>
          <w:highlight w:val="none"/>
          <w:lang w:val="en-US" w:eastAsia="zh-CN"/>
        </w:rPr>
        <w:t xml:space="preserve">      </w:t>
      </w:r>
      <w:r>
        <w:rPr>
          <w:rFonts w:hint="eastAsia" w:ascii="仿宋_GB2312" w:hAnsi="仿宋_GB2312" w:eastAsia="仿宋_GB2312" w:cs="仿宋_GB2312"/>
          <w:bCs/>
          <w:color w:val="auto"/>
          <w:kern w:val="0"/>
          <w:sz w:val="24"/>
          <w:szCs w:val="24"/>
          <w:highlight w:val="none"/>
        </w:rPr>
        <w:t xml:space="preserve">      </w:t>
      </w:r>
      <w:r>
        <w:rPr>
          <w:rFonts w:hint="eastAsia" w:ascii="仿宋_GB2312" w:hAnsi="仿宋_GB2312" w:eastAsia="仿宋_GB2312" w:cs="仿宋_GB2312"/>
          <w:bCs/>
          <w:color w:val="auto"/>
          <w:kern w:val="0"/>
          <w:sz w:val="24"/>
          <w:szCs w:val="24"/>
          <w:highlight w:val="none"/>
          <w:lang w:val="en-US" w:eastAsia="zh-CN"/>
        </w:rPr>
        <w:t xml:space="preserve"> </w:t>
      </w:r>
      <w:r>
        <w:rPr>
          <w:rFonts w:hint="eastAsia" w:ascii="仿宋_GB2312" w:hAnsi="仿宋_GB2312" w:eastAsia="仿宋_GB2312" w:cs="仿宋_GB2312"/>
          <w:bCs/>
          <w:color w:val="auto"/>
          <w:kern w:val="0"/>
          <w:sz w:val="24"/>
          <w:szCs w:val="24"/>
          <w:highlight w:val="none"/>
        </w:rPr>
        <w:t>（签字）</w:t>
      </w:r>
    </w:p>
    <w:p w14:paraId="1685B096">
      <w:pPr>
        <w:keepNext w:val="0"/>
        <w:keepLines w:val="0"/>
        <w:pageBreakBefore w:val="0"/>
        <w:widowControl/>
        <w:kinsoku w:val="0"/>
        <w:wordWrap/>
        <w:overflowPunct/>
        <w:topLinePunct w:val="0"/>
        <w:autoSpaceDE/>
        <w:autoSpaceDN/>
        <w:bidi w:val="0"/>
        <w:adjustRightInd w:val="0"/>
        <w:snapToGrid/>
        <w:spacing w:line="240" w:lineRule="auto"/>
        <w:ind w:firstLine="1200" w:firstLineChars="500"/>
        <w:jc w:val="left"/>
        <w:textAlignment w:val="baseline"/>
        <w:rPr>
          <w:rFonts w:hint="eastAsia" w:ascii="仿宋_GB2312" w:hAnsi="仿宋_GB2312" w:eastAsia="仿宋_GB2312" w:cs="仿宋_GB2312"/>
          <w:bCs/>
          <w:color w:val="auto"/>
          <w:kern w:val="0"/>
          <w:sz w:val="24"/>
          <w:szCs w:val="24"/>
          <w:highlight w:val="none"/>
        </w:rPr>
      </w:pPr>
    </w:p>
    <w:p w14:paraId="1FDB629A">
      <w:pPr>
        <w:keepNext w:val="0"/>
        <w:keepLines w:val="0"/>
        <w:pageBreakBefore w:val="0"/>
        <w:wordWrap/>
        <w:overflowPunct/>
        <w:topLinePunct w:val="0"/>
        <w:autoSpaceDE/>
        <w:autoSpaceDN/>
        <w:bidi w:val="0"/>
        <w:snapToGrid/>
        <w:spacing w:line="240" w:lineRule="auto"/>
        <w:rPr>
          <w:rFonts w:hint="eastAsia" w:ascii="仿宋_GB2312" w:hAnsi="仿宋_GB2312" w:eastAsia="仿宋_GB2312" w:cs="仿宋_GB2312"/>
          <w:color w:val="auto"/>
          <w:sz w:val="24"/>
          <w:szCs w:val="24"/>
          <w:lang w:val="en-US" w:eastAsia="zh-CN"/>
        </w:rPr>
      </w:pPr>
    </w:p>
    <w:p w14:paraId="748F35CC">
      <w:pPr>
        <w:keepNext w:val="0"/>
        <w:keepLines w:val="0"/>
        <w:pageBreakBefore w:val="0"/>
        <w:wordWrap/>
        <w:overflowPunct/>
        <w:topLinePunct w:val="0"/>
        <w:autoSpaceDE/>
        <w:autoSpaceDN/>
        <w:bidi w:val="0"/>
        <w:snapToGrid/>
        <w:spacing w:line="240" w:lineRule="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日期：   年    月    日                    日期：   年    月   日</w:t>
      </w:r>
    </w:p>
    <w:sectPr>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wYWRmYzhhOTE3YjUzYjEwMzQ0YzA4OWMwMDBlNzYifQ=="/>
  </w:docVars>
  <w:rsids>
    <w:rsidRoot w:val="00000000"/>
    <w:rsid w:val="20E743DC"/>
    <w:rsid w:val="21326BFD"/>
    <w:rsid w:val="2B963943"/>
    <w:rsid w:val="2D6F6D87"/>
    <w:rsid w:val="313C1268"/>
    <w:rsid w:val="386B15DC"/>
    <w:rsid w:val="3E5F5C92"/>
    <w:rsid w:val="47CC251C"/>
    <w:rsid w:val="4A7F2D3A"/>
    <w:rsid w:val="4AF41031"/>
    <w:rsid w:val="58F130C5"/>
    <w:rsid w:val="6B54433F"/>
    <w:rsid w:val="6F374F5E"/>
    <w:rsid w:val="70222806"/>
    <w:rsid w:val="7F5860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outlineLvl w:val="0"/>
    </w:pPr>
    <w:rPr>
      <w:rFonts w:hint="eastAsia" w:ascii="宋体" w:hAnsi="宋体" w:eastAsia="宋体" w:cs="宋体"/>
      <w:kern w:val="44"/>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99"/>
    <w:pPr>
      <w:jc w:val="left"/>
    </w:pPr>
    <w:rPr>
      <w:rFonts w:ascii="Calibri" w:hAnsi="Calibri"/>
      <w:kern w:val="0"/>
      <w:sz w:val="24"/>
    </w:rPr>
  </w:style>
  <w:style w:type="character" w:styleId="7">
    <w:name w:val="Strong"/>
    <w:basedOn w:val="6"/>
    <w:qFormat/>
    <w:uiPriority w:val="0"/>
    <w:rPr>
      <w:b/>
    </w:rPr>
  </w:style>
  <w:style w:type="paragraph" w:customStyle="1" w:styleId="8">
    <w:name w:val="Normal (Web)"/>
    <w:basedOn w:val="1"/>
    <w:qFormat/>
    <w:uiPriority w:val="0"/>
    <w:pPr>
      <w:jc w:val="left"/>
    </w:pPr>
    <w:rPr>
      <w:rFonts w:ascii="Calibri" w:hAnsi="Calibri"/>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1095</Words>
  <Characters>1147</Characters>
  <Lines>0</Lines>
  <Paragraphs>0</Paragraphs>
  <TotalTime>323</TotalTime>
  <ScaleCrop>false</ScaleCrop>
  <LinksUpToDate>false</LinksUpToDate>
  <CharactersWithSpaces>1378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2024-07-24T03:11:00Z</dcterms:created>
  <dc:creator>Administrator</dc:creator>
  <cp:lastModifiedBy>Pim Pom丶</cp:lastModifiedBy>
  <cp:lastPrinted>2025-12-15T23:52:00Z</cp:lastPrinted>
  <dcterms:modified xsi:type="dcterms:W3CDTF">2026-11-04T03:02:58Z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D25D7048264F4BFFB2EC3B43D340A93F_13</vt:lpwstr>
  </property>
  <property fmtid="{D5CDD505-2E9C-101B-9397-08002B2CF9AE}" pid="4" name="KSOTemplateDocerSaveRecord">
    <vt:lpwstr>eyJoZGlkIjoiMDk2MmQyNTdjMmYyM2I4Njk3YjVkOTliYjhhNDZiYTEiLCJ1c2VySWQiOiI0MDkyMjI1MTkifQ==</vt:lpwstr>
  </property>
</Properties>
</file>