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87B7F">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r>
        <w:rPr>
          <w:rFonts w:hint="eastAsia" w:ascii="宋体" w:hAnsi="宋体" w:eastAsia="宋体"/>
          <w:b/>
          <w:bCs/>
          <w:color w:val="auto"/>
          <w:sz w:val="52"/>
          <w:szCs w:val="52"/>
          <w:highlight w:val="none"/>
          <w:lang w:val="en-US" w:eastAsia="zh-CN"/>
        </w:rPr>
        <w:t xml:space="preserve"> </w:t>
      </w:r>
    </w:p>
    <w:p w14:paraId="6725B9D7">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1ADDD8AC">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34C1B8CD">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货物类</w:t>
      </w:r>
      <w:r>
        <w:rPr>
          <w:rFonts w:hint="eastAsia" w:ascii="宋体" w:hAnsi="宋体" w:eastAsia="宋体"/>
          <w:b/>
          <w:bCs/>
          <w:color w:val="auto"/>
          <w:sz w:val="52"/>
          <w:szCs w:val="52"/>
          <w:highlight w:val="none"/>
          <w:lang w:eastAsia="zh-CN"/>
        </w:rPr>
        <w:t>）</w:t>
      </w:r>
    </w:p>
    <w:p w14:paraId="20B9F3B4">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2026年版</w:t>
      </w:r>
      <w:r>
        <w:rPr>
          <w:rFonts w:hint="eastAsia" w:ascii="宋体" w:hAnsi="宋体" w:eastAsia="宋体"/>
          <w:b/>
          <w:bCs/>
          <w:color w:val="auto"/>
          <w:sz w:val="52"/>
          <w:szCs w:val="52"/>
          <w:highlight w:val="none"/>
          <w:lang w:eastAsia="zh-CN"/>
        </w:rPr>
        <w:t>）</w:t>
      </w:r>
    </w:p>
    <w:p w14:paraId="27483BD5">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A6A03D6">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4B01004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6A1633E1">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71E930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15682ED">
      <w:pPr>
        <w:tabs>
          <w:tab w:val="left" w:pos="2410"/>
        </w:tabs>
        <w:autoSpaceDE w:val="0"/>
        <w:autoSpaceDN w:val="0"/>
        <w:adjustRightInd w:val="0"/>
        <w:snapToGrid w:val="0"/>
        <w:spacing w:line="360" w:lineRule="auto"/>
        <w:ind w:right="-313" w:rightChars="-149" w:firstLine="723" w:firstLineChars="20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val="en-US" w:eastAsia="zh-CN"/>
        </w:rPr>
        <w:t>滁州技师学院新校区大礼堂大屏及电动窗帘建设项目（二次）</w:t>
      </w:r>
    </w:p>
    <w:p w14:paraId="3C8870C8">
      <w:pPr>
        <w:tabs>
          <w:tab w:val="left" w:pos="2410"/>
        </w:tabs>
        <w:autoSpaceDE w:val="0"/>
        <w:autoSpaceDN w:val="0"/>
        <w:adjustRightInd w:val="0"/>
        <w:snapToGrid w:val="0"/>
        <w:spacing w:line="360" w:lineRule="auto"/>
        <w:ind w:firstLine="723" w:firstLineChars="200"/>
        <w:rPr>
          <w:rFonts w:hint="default" w:ascii="宋体" w:hAnsi="宋体" w:eastAsia="宋体" w:cs="宋体"/>
          <w:b/>
          <w:color w:val="auto"/>
          <w:spacing w:val="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项目编号：</w:t>
      </w:r>
      <w:r>
        <w:rPr>
          <w:rFonts w:hint="eastAsia" w:ascii="宋体" w:hAnsi="宋体" w:eastAsia="宋体" w:cs="宋体"/>
          <w:b/>
          <w:color w:val="auto"/>
          <w:spacing w:val="0"/>
          <w:kern w:val="0"/>
          <w:sz w:val="32"/>
          <w:szCs w:val="32"/>
          <w:highlight w:val="none"/>
          <w:u w:val="single"/>
          <w:lang w:val="en-US" w:eastAsia="zh-CN"/>
        </w:rPr>
        <w:t>czsjcg202608-028</w:t>
      </w:r>
    </w:p>
    <w:p w14:paraId="640B7E36">
      <w:pPr>
        <w:tabs>
          <w:tab w:val="left" w:pos="2410"/>
        </w:tabs>
        <w:autoSpaceDE w:val="0"/>
        <w:autoSpaceDN w:val="0"/>
        <w:adjustRightInd w:val="0"/>
        <w:snapToGrid w:val="0"/>
        <w:spacing w:line="360" w:lineRule="auto"/>
        <w:ind w:firstLine="723" w:firstLineChars="200"/>
        <w:rPr>
          <w:rFonts w:hint="eastAsia" w:ascii="宋体" w:hAnsi="宋体" w:eastAsia="宋体" w:cs="宋体"/>
          <w:b/>
          <w:color w:val="auto"/>
          <w:spacing w:val="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采 购 人：</w:t>
      </w:r>
      <w:r>
        <w:rPr>
          <w:rFonts w:hint="eastAsia" w:ascii="宋体" w:hAnsi="宋体" w:eastAsia="宋体" w:cs="宋体"/>
          <w:b/>
          <w:color w:val="auto"/>
          <w:spacing w:val="0"/>
          <w:kern w:val="0"/>
          <w:sz w:val="32"/>
          <w:szCs w:val="32"/>
          <w:highlight w:val="none"/>
          <w:u w:val="single"/>
          <w:lang w:val="en-US" w:eastAsia="zh-CN"/>
        </w:rPr>
        <w:t>滁州市机电工程学校</w:t>
      </w:r>
    </w:p>
    <w:p w14:paraId="092C3BD0">
      <w:pPr>
        <w:tabs>
          <w:tab w:val="left" w:pos="2410"/>
        </w:tabs>
        <w:autoSpaceDE w:val="0"/>
        <w:autoSpaceDN w:val="0"/>
        <w:adjustRightInd w:val="0"/>
        <w:snapToGrid w:val="0"/>
        <w:spacing w:line="360" w:lineRule="auto"/>
        <w:ind w:right="-313" w:rightChars="-149"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cs="宋体"/>
          <w:b/>
          <w:color w:val="auto"/>
          <w:spacing w:val="20"/>
          <w:kern w:val="0"/>
          <w:sz w:val="32"/>
          <w:szCs w:val="32"/>
          <w:highlight w:val="none"/>
          <w:u w:val="single"/>
          <w:lang w:val="en-US" w:eastAsia="zh-CN"/>
        </w:rPr>
        <w:t>滁州市政府采购中心</w:t>
      </w:r>
    </w:p>
    <w:p w14:paraId="2993693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06ABA13">
      <w:pPr>
        <w:tabs>
          <w:tab w:val="left" w:pos="2410"/>
        </w:tabs>
        <w:autoSpaceDE w:val="0"/>
        <w:autoSpaceDN w:val="0"/>
        <w:adjustRightInd w:val="0"/>
        <w:snapToGrid w:val="0"/>
        <w:spacing w:line="360" w:lineRule="auto"/>
        <w:jc w:val="center"/>
        <w:rPr>
          <w:rFonts w:hint="eastAsia" w:ascii="宋体" w:hAnsi="宋体" w:eastAsia="宋体"/>
          <w:b/>
          <w:color w:val="auto"/>
          <w:sz w:val="28"/>
          <w:highlight w:val="none"/>
        </w:rPr>
      </w:pP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lang w:val="en-US" w:eastAsia="zh-CN"/>
        </w:rPr>
        <w:t>8</w:t>
      </w:r>
      <w:r>
        <w:rPr>
          <w:rFonts w:hint="eastAsia" w:ascii="宋体" w:hAnsi="宋体" w:eastAsia="宋体"/>
          <w:b/>
          <w:color w:val="auto"/>
          <w:sz w:val="36"/>
          <w:highlight w:val="none"/>
        </w:rPr>
        <w:t>月</w:t>
      </w:r>
      <w:r>
        <w:rPr>
          <w:rFonts w:hint="eastAsia" w:ascii="宋体" w:hAnsi="宋体" w:eastAsia="宋体"/>
          <w:b/>
          <w:color w:val="auto"/>
          <w:sz w:val="28"/>
          <w:highlight w:val="none"/>
        </w:rPr>
        <w:br w:type="page"/>
      </w:r>
    </w:p>
    <w:p w14:paraId="61384983">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27E83B8E">
      <w:pPr>
        <w:pStyle w:val="18"/>
        <w:tabs>
          <w:tab w:val="right" w:leader="dot" w:pos="9129"/>
        </w:tabs>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color w:val="auto"/>
          <w:szCs w:val="24"/>
          <w:highlight w:val="none"/>
        </w:rPr>
        <w:fldChar w:fldCharType="begin"/>
      </w:r>
      <w:r>
        <w:rPr>
          <w:rFonts w:asciiTheme="minorEastAsia" w:hAnsiTheme="minorEastAsia"/>
          <w:szCs w:val="24"/>
          <w:highlight w:val="none"/>
        </w:rPr>
        <w:instrText xml:space="preserve"> HYPERLINK \l _Toc9157 </w:instrText>
      </w:r>
      <w:r>
        <w:rPr>
          <w:rFonts w:asciiTheme="minorEastAsia" w:hAnsiTheme="minorEastAsia"/>
          <w:szCs w:val="24"/>
          <w:highlight w:val="none"/>
        </w:rPr>
        <w:fldChar w:fldCharType="separate"/>
      </w:r>
      <w:r>
        <w:rPr>
          <w:rFonts w:hint="eastAsia" w:asciiTheme="minorEastAsia" w:hAnsiTheme="minorEastAsia" w:eastAsiaTheme="minorEastAsia"/>
          <w:highlight w:val="none"/>
        </w:rPr>
        <w:t xml:space="preserve">第一章 </w:t>
      </w:r>
      <w:r>
        <w:rPr>
          <w:rFonts w:asciiTheme="minorEastAsia" w:hAnsiTheme="minorEastAsia" w:eastAsiaTheme="minorEastAsia"/>
          <w:highlight w:val="none"/>
        </w:rPr>
        <w:t xml:space="preserve"> 投标邀请</w:t>
      </w:r>
      <w:r>
        <w:tab/>
      </w:r>
      <w:r>
        <w:fldChar w:fldCharType="begin"/>
      </w:r>
      <w:r>
        <w:instrText xml:space="preserve"> PAGEREF _Toc9157 \h </w:instrText>
      </w:r>
      <w:r>
        <w:fldChar w:fldCharType="separate"/>
      </w:r>
      <w:r>
        <w:t>1</w:t>
      </w:r>
      <w:r>
        <w:fldChar w:fldCharType="end"/>
      </w:r>
      <w:r>
        <w:rPr>
          <w:rFonts w:asciiTheme="minorEastAsia" w:hAnsiTheme="minorEastAsia"/>
          <w:color w:val="auto"/>
          <w:szCs w:val="24"/>
          <w:highlight w:val="none"/>
        </w:rPr>
        <w:fldChar w:fldCharType="end"/>
      </w:r>
    </w:p>
    <w:p w14:paraId="0EF48279">
      <w:pPr>
        <w:pStyle w:val="18"/>
        <w:tabs>
          <w:tab w:val="right" w:leader="dot" w:pos="9129"/>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_Toc31816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第二章</w:t>
      </w:r>
      <w:r>
        <w:rPr>
          <w:rFonts w:asciiTheme="minorEastAsia" w:hAnsiTheme="minorEastAsia" w:eastAsiaTheme="minorEastAsia"/>
          <w:highlight w:val="none"/>
        </w:rPr>
        <w:t xml:space="preserve"> </w:t>
      </w:r>
      <w:r>
        <w:rPr>
          <w:rFonts w:hint="eastAsia" w:asciiTheme="minorEastAsia" w:hAnsiTheme="minorEastAsia" w:eastAsiaTheme="minorEastAsia"/>
          <w:highlight w:val="none"/>
        </w:rPr>
        <w:t xml:space="preserve"> </w:t>
      </w:r>
      <w:r>
        <w:rPr>
          <w:rFonts w:asciiTheme="minorEastAsia" w:hAnsiTheme="minorEastAsia" w:eastAsiaTheme="minorEastAsia"/>
          <w:highlight w:val="none"/>
        </w:rPr>
        <w:t>投标人须知</w:t>
      </w:r>
      <w:r>
        <w:tab/>
      </w:r>
      <w:r>
        <w:fldChar w:fldCharType="begin"/>
      </w:r>
      <w:r>
        <w:instrText xml:space="preserve"> PAGEREF _Toc31816 \h </w:instrText>
      </w:r>
      <w:r>
        <w:fldChar w:fldCharType="separate"/>
      </w:r>
      <w:r>
        <w:t>4</w:t>
      </w:r>
      <w:r>
        <w:fldChar w:fldCharType="end"/>
      </w:r>
      <w:r>
        <w:rPr>
          <w:rFonts w:asciiTheme="minorEastAsia" w:hAnsiTheme="minorEastAsia" w:eastAsiaTheme="minorEastAsia"/>
          <w:color w:val="auto"/>
          <w:szCs w:val="24"/>
          <w:highlight w:val="none"/>
        </w:rPr>
        <w:fldChar w:fldCharType="end"/>
      </w:r>
    </w:p>
    <w:p w14:paraId="0C9AB943">
      <w:pPr>
        <w:pStyle w:val="18"/>
        <w:tabs>
          <w:tab w:val="right" w:leader="dot" w:pos="9129"/>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_Toc13685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第三章  采购需求</w:t>
      </w:r>
      <w:r>
        <w:tab/>
      </w:r>
      <w:r>
        <w:fldChar w:fldCharType="begin"/>
      </w:r>
      <w:r>
        <w:instrText xml:space="preserve"> PAGEREF _Toc13685 \h </w:instrText>
      </w:r>
      <w:r>
        <w:fldChar w:fldCharType="separate"/>
      </w:r>
      <w:r>
        <w:t>22</w:t>
      </w:r>
      <w:r>
        <w:fldChar w:fldCharType="end"/>
      </w:r>
      <w:r>
        <w:rPr>
          <w:rFonts w:asciiTheme="minorEastAsia" w:hAnsiTheme="minorEastAsia" w:eastAsiaTheme="minorEastAsia"/>
          <w:color w:val="auto"/>
          <w:szCs w:val="24"/>
          <w:highlight w:val="none"/>
        </w:rPr>
        <w:fldChar w:fldCharType="end"/>
      </w:r>
    </w:p>
    <w:p w14:paraId="390196FD">
      <w:pPr>
        <w:pStyle w:val="18"/>
        <w:tabs>
          <w:tab w:val="right" w:leader="dot" w:pos="9129"/>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_Toc15604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第四章  评标方法和标准（综合评分法）</w:t>
      </w:r>
      <w:r>
        <w:tab/>
      </w:r>
      <w:r>
        <w:fldChar w:fldCharType="begin"/>
      </w:r>
      <w:r>
        <w:instrText xml:space="preserve"> PAGEREF _Toc15604 \h </w:instrText>
      </w:r>
      <w:r>
        <w:fldChar w:fldCharType="separate"/>
      </w:r>
      <w:r>
        <w:t>42</w:t>
      </w:r>
      <w:r>
        <w:fldChar w:fldCharType="end"/>
      </w:r>
      <w:r>
        <w:rPr>
          <w:rFonts w:asciiTheme="minorEastAsia" w:hAnsiTheme="minorEastAsia" w:eastAsiaTheme="minorEastAsia"/>
          <w:color w:val="auto"/>
          <w:szCs w:val="24"/>
          <w:highlight w:val="none"/>
        </w:rPr>
        <w:fldChar w:fldCharType="end"/>
      </w:r>
    </w:p>
    <w:p w14:paraId="4ED1F09D">
      <w:pPr>
        <w:pStyle w:val="18"/>
        <w:tabs>
          <w:tab w:val="right" w:leader="dot" w:pos="9129"/>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_Toc9233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 xml:space="preserve">第五章  </w:t>
      </w:r>
      <w:r>
        <w:rPr>
          <w:rFonts w:asciiTheme="minorEastAsia" w:hAnsiTheme="minorEastAsia" w:eastAsiaTheme="minorEastAsia"/>
          <w:highlight w:val="none"/>
        </w:rPr>
        <w:t>政府采购合同</w:t>
      </w:r>
      <w:r>
        <w:tab/>
      </w:r>
      <w:r>
        <w:fldChar w:fldCharType="begin"/>
      </w:r>
      <w:r>
        <w:instrText xml:space="preserve"> PAGEREF _Toc9233 \h </w:instrText>
      </w:r>
      <w:r>
        <w:fldChar w:fldCharType="separate"/>
      </w:r>
      <w:r>
        <w:t>50</w:t>
      </w:r>
      <w:r>
        <w:fldChar w:fldCharType="end"/>
      </w:r>
      <w:r>
        <w:rPr>
          <w:rFonts w:asciiTheme="minorEastAsia" w:hAnsiTheme="minorEastAsia" w:eastAsiaTheme="minorEastAsia"/>
          <w:color w:val="auto"/>
          <w:szCs w:val="24"/>
          <w:highlight w:val="none"/>
        </w:rPr>
        <w:fldChar w:fldCharType="end"/>
      </w:r>
    </w:p>
    <w:p w14:paraId="7A81ED69">
      <w:pPr>
        <w:pStyle w:val="18"/>
        <w:tabs>
          <w:tab w:val="right" w:leader="dot" w:pos="9129"/>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_Toc22711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第六章  投标文件格式</w:t>
      </w:r>
      <w:r>
        <w:tab/>
      </w:r>
      <w:r>
        <w:fldChar w:fldCharType="begin"/>
      </w:r>
      <w:r>
        <w:instrText xml:space="preserve"> PAGEREF _Toc22711 \h </w:instrText>
      </w:r>
      <w:r>
        <w:fldChar w:fldCharType="separate"/>
      </w:r>
      <w:r>
        <w:t>60</w:t>
      </w:r>
      <w:r>
        <w:fldChar w:fldCharType="end"/>
      </w:r>
      <w:r>
        <w:rPr>
          <w:rFonts w:asciiTheme="minorEastAsia" w:hAnsiTheme="minorEastAsia" w:eastAsiaTheme="minorEastAsia"/>
          <w:color w:val="auto"/>
          <w:szCs w:val="24"/>
          <w:highlight w:val="none"/>
        </w:rPr>
        <w:fldChar w:fldCharType="end"/>
      </w:r>
    </w:p>
    <w:p w14:paraId="3BB75A30">
      <w:pPr>
        <w:pStyle w:val="18"/>
        <w:tabs>
          <w:tab w:val="right" w:leader="dot" w:pos="9129"/>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_Toc15595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w:t>
      </w:r>
      <w:r>
        <w:rPr>
          <w:rFonts w:hint="eastAsia" w:asciiTheme="minorEastAsia" w:hAnsiTheme="minorEastAsia" w:eastAsiaTheme="minorEastAsia"/>
          <w:highlight w:val="none"/>
          <w:lang w:val="en-US" w:eastAsia="zh-CN"/>
        </w:rPr>
        <w:t>七</w:t>
      </w:r>
      <w:r>
        <w:rPr>
          <w:rFonts w:hint="eastAsia" w:asciiTheme="minorEastAsia" w:hAnsiTheme="minorEastAsia" w:eastAsiaTheme="minorEastAsia"/>
          <w:highlight w:val="none"/>
        </w:rPr>
        <w:t>章</w:t>
      </w:r>
      <w:r>
        <w:rPr>
          <w:rFonts w:hint="eastAsia" w:ascii="宋体" w:hAnsi="宋体" w:eastAsia="宋体"/>
          <w:bCs/>
          <w:highlight w:val="none"/>
        </w:rPr>
        <w:t xml:space="preserve">  政府采购</w:t>
      </w:r>
      <w:r>
        <w:rPr>
          <w:rFonts w:hint="eastAsia" w:asciiTheme="minorEastAsia" w:hAnsiTheme="minorEastAsia" w:eastAsiaTheme="minorEastAsia"/>
          <w:highlight w:val="none"/>
        </w:rPr>
        <w:t>供应</w:t>
      </w:r>
      <w:r>
        <w:rPr>
          <w:rFonts w:hint="eastAsia" w:ascii="宋体" w:hAnsi="宋体" w:eastAsia="宋体"/>
          <w:bCs/>
          <w:highlight w:val="none"/>
        </w:rPr>
        <w:t>商询问函和质疑函范本</w:t>
      </w:r>
      <w:r>
        <w:tab/>
      </w:r>
      <w:r>
        <w:fldChar w:fldCharType="begin"/>
      </w:r>
      <w:r>
        <w:instrText xml:space="preserve"> PAGEREF _Toc15595 \h </w:instrText>
      </w:r>
      <w:r>
        <w:fldChar w:fldCharType="separate"/>
      </w:r>
      <w:r>
        <w:t>92</w:t>
      </w:r>
      <w:r>
        <w:fldChar w:fldCharType="end"/>
      </w:r>
      <w:r>
        <w:rPr>
          <w:rFonts w:asciiTheme="minorEastAsia" w:hAnsiTheme="minorEastAsia" w:eastAsiaTheme="minorEastAsia"/>
          <w:color w:val="auto"/>
          <w:szCs w:val="24"/>
          <w:highlight w:val="none"/>
        </w:rPr>
        <w:fldChar w:fldCharType="end"/>
      </w:r>
    </w:p>
    <w:p w14:paraId="5061F5D6">
      <w:pPr>
        <w:spacing w:line="360" w:lineRule="auto"/>
        <w:jc w:val="center"/>
        <w:outlineLvl w:val="0"/>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fldChar w:fldCharType="end"/>
      </w:r>
    </w:p>
    <w:p w14:paraId="1CADD384">
      <w:pPr>
        <w:spacing w:line="360" w:lineRule="auto"/>
        <w:jc w:val="center"/>
        <w:outlineLvl w:val="0"/>
        <w:rPr>
          <w:rFonts w:hint="eastAsia" w:asciiTheme="minorEastAsia" w:hAnsiTheme="minorEastAsia" w:eastAsiaTheme="minorEastAsia"/>
          <w:b/>
          <w:color w:val="auto"/>
          <w:sz w:val="28"/>
          <w:highlight w:val="none"/>
        </w:rPr>
        <w:sectPr>
          <w:headerReference r:id="rId3" w:type="default"/>
          <w:footerReference r:id="rId4" w:type="default"/>
          <w:pgSz w:w="11907" w:h="16840"/>
          <w:pgMar w:top="1117" w:right="1078" w:bottom="1060" w:left="1700" w:header="510" w:footer="886" w:gutter="0"/>
          <w:pgNumType w:fmt="decimal"/>
          <w:cols w:space="720" w:num="1"/>
        </w:sectPr>
      </w:pPr>
    </w:p>
    <w:p w14:paraId="5720CCCC">
      <w:pPr>
        <w:spacing w:line="360" w:lineRule="auto"/>
        <w:jc w:val="center"/>
        <w:outlineLvl w:val="0"/>
        <w:rPr>
          <w:rFonts w:asciiTheme="minorEastAsia" w:hAnsiTheme="minorEastAsia" w:eastAsiaTheme="minorEastAsia"/>
          <w:b/>
          <w:color w:val="auto"/>
          <w:sz w:val="28"/>
          <w:highlight w:val="none"/>
        </w:rPr>
      </w:pPr>
      <w:bookmarkStart w:id="1" w:name="_Toc9157"/>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5082C564">
      <w:pPr>
        <w:keepNext/>
        <w:keepLines/>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项目概况</w:t>
      </w:r>
    </w:p>
    <w:p w14:paraId="16B3CBFA">
      <w:pPr>
        <w:keepNext/>
        <w:keepLines/>
        <w:pageBreakBefore w:val="0"/>
        <w:widowControl w:val="0"/>
        <w:suppressLineNumbers w:val="0"/>
        <w:kinsoku/>
        <w:wordWrap w:val="0"/>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b w:val="0"/>
          <w:color w:val="auto"/>
          <w:kern w:val="2"/>
          <w:sz w:val="24"/>
          <w:szCs w:val="24"/>
          <w:highlight w:val="none"/>
          <w:u w:val="single"/>
          <w:lang w:val="en-US" w:eastAsia="zh-CN" w:bidi="ar"/>
        </w:rPr>
        <w:t>滁州技师学院新校区大礼堂大屏及电动窗帘建设项目（二次）</w:t>
      </w:r>
      <w:r>
        <w:rPr>
          <w:rFonts w:hint="eastAsia" w:ascii="宋体" w:hAnsi="宋体" w:eastAsia="宋体" w:cs="宋体"/>
          <w:color w:val="auto"/>
          <w:kern w:val="2"/>
          <w:sz w:val="24"/>
          <w:szCs w:val="24"/>
          <w:highlight w:val="none"/>
          <w:lang w:val="en-US" w:eastAsia="zh-CN" w:bidi="ar"/>
        </w:rPr>
        <w:t>的潜在投标人应在</w:t>
      </w:r>
      <w:r>
        <w:rPr>
          <w:rFonts w:hint="eastAsia" w:ascii="宋体" w:hAnsi="宋体" w:eastAsia="宋体" w:cs="宋体"/>
          <w:color w:val="auto"/>
          <w:kern w:val="2"/>
          <w:sz w:val="24"/>
          <w:szCs w:val="24"/>
          <w:highlight w:val="none"/>
          <w:u w:val="single"/>
          <w:lang w:val="en-US" w:eastAsia="zh-CN" w:bidi="ar"/>
        </w:rPr>
        <w:t>滁州市公共资源交易中心网（http：//ggzy.chuzhou.gov.cn/）</w:t>
      </w:r>
      <w:r>
        <w:rPr>
          <w:rFonts w:hint="eastAsia" w:ascii="宋体" w:hAnsi="宋体" w:eastAsia="宋体" w:cs="宋体"/>
          <w:color w:val="auto"/>
          <w:kern w:val="2"/>
          <w:sz w:val="24"/>
          <w:szCs w:val="24"/>
          <w:highlight w:val="none"/>
          <w:lang w:val="en-US" w:eastAsia="zh-CN" w:bidi="ar"/>
        </w:rPr>
        <w:t>获取招标文件，并于</w:t>
      </w:r>
      <w:r>
        <w:rPr>
          <w:rFonts w:hint="eastAsia" w:ascii="宋体" w:hAnsi="宋体" w:eastAsia="宋体" w:cs="宋体"/>
          <w:color w:val="auto"/>
          <w:kern w:val="2"/>
          <w:sz w:val="24"/>
          <w:szCs w:val="24"/>
          <w:highlight w:val="none"/>
          <w:u w:val="single"/>
          <w:lang w:val="en-US" w:eastAsia="zh-CN" w:bidi="ar"/>
        </w:rPr>
        <w:t>2026年9月8日8点30分</w:t>
      </w:r>
      <w:r>
        <w:rPr>
          <w:rFonts w:hint="eastAsia" w:ascii="宋体" w:hAnsi="宋体" w:eastAsia="宋体" w:cs="宋体"/>
          <w:color w:val="auto"/>
          <w:kern w:val="2"/>
          <w:sz w:val="24"/>
          <w:szCs w:val="24"/>
          <w:highlight w:val="none"/>
          <w:lang w:val="en-US" w:eastAsia="zh-CN" w:bidi="ar"/>
        </w:rPr>
        <w:t>（北京时间）前递交投标文件。</w:t>
      </w:r>
    </w:p>
    <w:p w14:paraId="6E00CD69">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bookmarkStart w:id="2" w:name="_Toc10869"/>
      <w:r>
        <w:rPr>
          <w:rFonts w:hint="eastAsia" w:ascii="宋体" w:hAnsi="宋体" w:eastAsia="宋体" w:cstheme="minorBidi"/>
          <w:b/>
          <w:color w:val="auto"/>
          <w:kern w:val="0"/>
          <w:sz w:val="24"/>
          <w:highlight w:val="none"/>
          <w:lang w:val="en-US" w:eastAsia="zh-CN"/>
        </w:rPr>
        <w:t>一、项目基本情况</w:t>
      </w:r>
      <w:bookmarkEnd w:id="2"/>
    </w:p>
    <w:p w14:paraId="5F766666">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项目编号：czsjcg202608-028</w:t>
      </w:r>
    </w:p>
    <w:p w14:paraId="1AFC82FA">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项目名称：滁州技师学院新校区大礼堂大屏及电动窗帘建设项目（二次）</w:t>
      </w:r>
    </w:p>
    <w:p w14:paraId="381B7158">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预算金额：1190000.00元</w:t>
      </w:r>
    </w:p>
    <w:p w14:paraId="36C1514E">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最高限价：1146215.75元，投标报价不得高于最高限价，否则按无效投标处理。</w:t>
      </w:r>
    </w:p>
    <w:p w14:paraId="17BB8871">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采购需求：滁州技师学院新校区大礼堂大屏及电动窗帘采购安装。</w:t>
      </w:r>
    </w:p>
    <w:p w14:paraId="38933E97">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合同履行期限：自合同签订并接到采购人通知之日起30个日历天内完成全部货物的供货、安装、调试。</w:t>
      </w:r>
    </w:p>
    <w:p w14:paraId="6C305ED1">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本项目不接受联合体投标。</w:t>
      </w:r>
    </w:p>
    <w:p w14:paraId="3112B8B6">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bookmarkStart w:id="3" w:name="_Toc12108"/>
      <w:r>
        <w:rPr>
          <w:rFonts w:hint="eastAsia" w:ascii="宋体" w:hAnsi="宋体" w:eastAsia="宋体" w:cstheme="minorBidi"/>
          <w:b/>
          <w:color w:val="auto"/>
          <w:kern w:val="0"/>
          <w:sz w:val="24"/>
          <w:highlight w:val="none"/>
          <w:lang w:val="en-US" w:eastAsia="zh-CN"/>
        </w:rPr>
        <w:t>二、申请人的资格要求</w:t>
      </w:r>
      <w:bookmarkEnd w:id="3"/>
    </w:p>
    <w:p w14:paraId="75F862D2">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1.满足《中华人民共和国政府采购法》第二十二条规定；</w:t>
      </w:r>
    </w:p>
    <w:p w14:paraId="0C0F0F54">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4"/>
          <w:highlight w:val="none"/>
          <w:lang w:val="en-US" w:eastAsia="zh-CN" w:bidi="ar"/>
        </w:rPr>
        <w:t>2.落实政府采购政策需满足的资格要求：</w:t>
      </w:r>
      <w:r>
        <w:rPr>
          <w:rFonts w:hint="eastAsia" w:ascii="宋体" w:hAnsi="宋体" w:eastAsia="宋体" w:cs="宋体"/>
          <w:color w:val="auto"/>
          <w:kern w:val="2"/>
          <w:sz w:val="24"/>
          <w:szCs w:val="24"/>
          <w:highlight w:val="none"/>
          <w:u w:val="none"/>
          <w:lang w:val="en-US" w:eastAsia="zh-CN" w:bidi="ar"/>
        </w:rPr>
        <w:t>本项目符合财政部、工业和信息化部制定的《政府采购促进中小企业发展管理办法》第六条第三款（按照本办法规定预留采购份额无法确保充分供应、充分竞争，或者存在可能影响政府采购目标实现的情形）之规定，为非专门面向中小企业采购项目。若中小企业对此有质疑，可按以下渠道递交质疑：①以书面材料递交至采购人或采购代理机构处；②在滁州市公共资源交易中心网电子交易系统中进行质疑，具体操作步骤和程序请参见服务指南&gt;交易须知&gt;在线异议、质疑和投诉操作手册。</w:t>
      </w:r>
    </w:p>
    <w:p w14:paraId="633301E9">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default"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3.本项目的特定资格要求：无。</w:t>
      </w:r>
    </w:p>
    <w:p w14:paraId="126E767B">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4.信誉要求：投标人不得存在以下情形：</w:t>
      </w:r>
    </w:p>
    <w:p w14:paraId="2683DD5A">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①被列入“信用中国”网站“失信被执行人”的；</w:t>
      </w:r>
    </w:p>
    <w:p w14:paraId="092C6E12">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②被列入“信用中国”网站“重大税收违法失信主体”的；</w:t>
      </w:r>
    </w:p>
    <w:p w14:paraId="438763AC">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③被列入“信用中国”网站 “严重失信主体名单”的；</w:t>
      </w:r>
    </w:p>
    <w:p w14:paraId="15D67545">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④在“信用中国”网站上披露的仍在公示期的严重失信行为(具体行为类别及判定依据见“信用中国”查询的严重失信行为类别及判定依据)的。</w:t>
      </w:r>
    </w:p>
    <w:p w14:paraId="4A164205">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⑤被列入国家企业信用信息公示系统网站“经营异常名录”或者“严重违法失信名单”的。</w:t>
      </w:r>
    </w:p>
    <w:p w14:paraId="4E258197">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⑥被列入中国政府采购网站“政府采购严重违法失信行为信息记录”的。</w:t>
      </w:r>
    </w:p>
    <w:p w14:paraId="3C938177">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⑦前三年有行贿犯罪行为的单位和个人。</w:t>
      </w:r>
    </w:p>
    <w:p w14:paraId="693FFFA1">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5.投标人所属分公司、办事处等分支机构存在第4款信誉要求①-⑦项情形之一的，接受其投标人参加本项目。</w:t>
      </w:r>
    </w:p>
    <w:p w14:paraId="2F092C8B">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备注：第4、5条按照“关于联合惩戒失信行为加强信用查询管理的通知”查询或承诺。</w:t>
      </w:r>
    </w:p>
    <w:p w14:paraId="5B864951">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bookmarkStart w:id="4" w:name="_Toc15490"/>
      <w:r>
        <w:rPr>
          <w:rFonts w:hint="eastAsia" w:ascii="宋体" w:hAnsi="宋体" w:eastAsia="宋体" w:cstheme="minorBidi"/>
          <w:b/>
          <w:color w:val="auto"/>
          <w:kern w:val="0"/>
          <w:sz w:val="24"/>
          <w:highlight w:val="none"/>
          <w:lang w:val="en-US" w:eastAsia="zh-CN"/>
        </w:rPr>
        <w:t>三、获取招标文件</w:t>
      </w:r>
      <w:bookmarkEnd w:id="4"/>
    </w:p>
    <w:p w14:paraId="760BE99C">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时间：</w:t>
      </w:r>
      <w:r>
        <w:rPr>
          <w:rFonts w:hint="eastAsia" w:ascii="宋体" w:hAnsi="宋体" w:eastAsia="宋体" w:cs="宋体"/>
          <w:color w:val="auto"/>
          <w:kern w:val="2"/>
          <w:sz w:val="24"/>
          <w:szCs w:val="24"/>
          <w:highlight w:val="none"/>
          <w:u w:val="single"/>
          <w:lang w:val="en-US" w:eastAsia="zh-CN" w:bidi="ar"/>
        </w:rPr>
        <w:t>2026年8月18日</w:t>
      </w:r>
      <w:r>
        <w:rPr>
          <w:rFonts w:hint="eastAsia" w:ascii="宋体" w:hAnsi="宋体" w:eastAsia="宋体" w:cs="宋体"/>
          <w:color w:val="auto"/>
          <w:kern w:val="2"/>
          <w:sz w:val="24"/>
          <w:szCs w:val="24"/>
          <w:highlight w:val="none"/>
          <w:lang w:val="en-US" w:eastAsia="zh-CN" w:bidi="ar"/>
        </w:rPr>
        <w:t>至</w:t>
      </w:r>
      <w:r>
        <w:rPr>
          <w:rFonts w:hint="eastAsia" w:ascii="宋体" w:hAnsi="宋体" w:eastAsia="宋体" w:cs="宋体"/>
          <w:color w:val="auto"/>
          <w:kern w:val="2"/>
          <w:sz w:val="24"/>
          <w:szCs w:val="24"/>
          <w:highlight w:val="none"/>
          <w:u w:val="single"/>
          <w:lang w:val="en-US" w:eastAsia="zh-CN" w:bidi="ar"/>
        </w:rPr>
        <w:t>2026年9月8</w:t>
      </w:r>
      <w:bookmarkStart w:id="118" w:name="_GoBack"/>
      <w:bookmarkEnd w:id="118"/>
      <w:r>
        <w:rPr>
          <w:rFonts w:hint="eastAsia" w:ascii="宋体" w:hAnsi="宋体" w:eastAsia="宋体" w:cs="宋体"/>
          <w:color w:val="auto"/>
          <w:kern w:val="2"/>
          <w:sz w:val="24"/>
          <w:szCs w:val="24"/>
          <w:highlight w:val="none"/>
          <w:u w:val="single"/>
          <w:lang w:val="en-US" w:eastAsia="zh-CN" w:bidi="ar"/>
        </w:rPr>
        <w:t>日（提供期限自本公告发布之日起不得少于5个工作日）</w:t>
      </w:r>
    </w:p>
    <w:p w14:paraId="01ED6B70">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地点：滁州市公共资源交易中心网</w:t>
      </w:r>
    </w:p>
    <w:p w14:paraId="0DE2B910">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方式：网上下载</w:t>
      </w:r>
    </w:p>
    <w:p w14:paraId="5D0E0C69">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售价：0元</w:t>
      </w:r>
    </w:p>
    <w:p w14:paraId="41EE285C">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bookmarkStart w:id="5" w:name="_Toc20061"/>
      <w:r>
        <w:rPr>
          <w:rFonts w:hint="eastAsia" w:ascii="宋体" w:hAnsi="宋体" w:eastAsia="宋体" w:cstheme="minorBidi"/>
          <w:b/>
          <w:color w:val="auto"/>
          <w:kern w:val="0"/>
          <w:sz w:val="24"/>
          <w:highlight w:val="none"/>
          <w:lang w:val="en-US" w:eastAsia="zh-CN"/>
        </w:rPr>
        <w:t>四、提交投标文件截止时间、开标时间和地点</w:t>
      </w:r>
      <w:bookmarkEnd w:id="5"/>
    </w:p>
    <w:p w14:paraId="5F75C457">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2"/>
          <w:sz w:val="24"/>
          <w:szCs w:val="24"/>
          <w:highlight w:val="none"/>
          <w:u w:val="single"/>
          <w:lang w:val="en-US" w:eastAsia="zh-CN" w:bidi="ar"/>
        </w:rPr>
        <w:t>2026年9月8日</w:t>
      </w:r>
      <w:r>
        <w:rPr>
          <w:rFonts w:hint="eastAsia" w:ascii="宋体" w:hAnsi="宋体" w:eastAsia="宋体" w:cs="宋体"/>
          <w:color w:val="auto"/>
          <w:kern w:val="0"/>
          <w:sz w:val="24"/>
          <w:szCs w:val="24"/>
          <w:highlight w:val="none"/>
          <w:u w:val="single"/>
          <w:lang w:val="en-US" w:eastAsia="zh-CN" w:bidi="ar"/>
        </w:rPr>
        <w:t>8点30分</w:t>
      </w:r>
      <w:r>
        <w:rPr>
          <w:rFonts w:hint="eastAsia" w:ascii="宋体" w:hAnsi="宋体" w:eastAsia="宋体" w:cs="宋体"/>
          <w:color w:val="auto"/>
          <w:kern w:val="0"/>
          <w:sz w:val="24"/>
          <w:szCs w:val="24"/>
          <w:highlight w:val="none"/>
          <w:lang w:val="en-US" w:eastAsia="zh-CN" w:bidi="ar"/>
        </w:rPr>
        <w:t>（北京时间）（自招标文件开始发出之日起至投标人提交投标文件截止之日止，不得少于20日）</w:t>
      </w:r>
    </w:p>
    <w:p w14:paraId="048D39D1">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地点：</w:t>
      </w:r>
      <w:r>
        <w:rPr>
          <w:rFonts w:hint="eastAsia" w:ascii="宋体" w:hAnsi="宋体" w:eastAsia="宋体" w:cs="宋体"/>
          <w:color w:val="auto"/>
          <w:kern w:val="2"/>
          <w:sz w:val="24"/>
          <w:szCs w:val="24"/>
          <w:highlight w:val="none"/>
          <w:lang w:val="en-US" w:eastAsia="zh-CN" w:bidi="ar"/>
        </w:rPr>
        <w:t>滁州市公共资源交易平台电子交易系统</w:t>
      </w:r>
    </w:p>
    <w:p w14:paraId="39B9809F">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bookmarkStart w:id="6" w:name="_Toc1604"/>
      <w:r>
        <w:rPr>
          <w:rFonts w:hint="eastAsia" w:ascii="宋体" w:hAnsi="宋体" w:eastAsia="宋体" w:cstheme="minorBidi"/>
          <w:b/>
          <w:color w:val="auto"/>
          <w:kern w:val="0"/>
          <w:sz w:val="24"/>
          <w:highlight w:val="none"/>
          <w:lang w:val="en-US" w:eastAsia="zh-CN"/>
        </w:rPr>
        <w:t>五、公告期限</w:t>
      </w:r>
      <w:bookmarkEnd w:id="6"/>
    </w:p>
    <w:p w14:paraId="41C968D4">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自本公告发布之日起5个工作日。</w:t>
      </w:r>
    </w:p>
    <w:p w14:paraId="09963F39">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bookmarkStart w:id="7" w:name="_Toc2138"/>
      <w:r>
        <w:rPr>
          <w:rFonts w:hint="eastAsia" w:ascii="宋体" w:hAnsi="宋体" w:eastAsia="宋体" w:cstheme="minorBidi"/>
          <w:b/>
          <w:color w:val="auto"/>
          <w:kern w:val="0"/>
          <w:sz w:val="24"/>
          <w:highlight w:val="none"/>
          <w:lang w:val="en-US" w:eastAsia="zh-CN"/>
        </w:rPr>
        <w:t>六、其他补充事宜</w:t>
      </w:r>
      <w:bookmarkEnd w:id="7"/>
    </w:p>
    <w:p w14:paraId="4DF556DC">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w:t>
      </w:r>
      <w:r>
        <w:rPr>
          <w:rFonts w:hint="eastAsia" w:ascii="宋体" w:hAnsi="宋体" w:eastAsia="宋体"/>
          <w:color w:val="auto"/>
          <w:sz w:val="24"/>
          <w:szCs w:val="24"/>
          <w:highlight w:val="none"/>
        </w:rPr>
        <w:t>相关服务电话：（1）安徽省公共资源交易市场主体库使用相关问题（系统登录、信息登记、录入及提交、数字证书关联等）：010-86483801转5-2；（2）CA数字证书有关问题：安徽CA客服400-615-8899、0550-3019013（工作日）,CFCA客服025-66085508、0550-3801669（工作日）；（3）市场主体招标环节和投标环节系统使用问题：0512-58188516（8:00-21:00）、0550-3801701（工作日）</w:t>
      </w:r>
      <w:r>
        <w:rPr>
          <w:rFonts w:hint="eastAsia" w:ascii="宋体" w:hAnsi="宋体" w:eastAsia="宋体" w:cs="宋体"/>
          <w:color w:val="auto"/>
          <w:kern w:val="2"/>
          <w:sz w:val="24"/>
          <w:szCs w:val="24"/>
          <w:highlight w:val="none"/>
          <w:lang w:val="en-US" w:eastAsia="zh-CN" w:bidi="ar"/>
        </w:rPr>
        <w:t>。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p>
    <w:p w14:paraId="32530821">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2.请投标人登录滁州市公共资源交易中心网站查看参加本项目的程序。（具体操作步骤和程序请参见服务指南&gt;交易须知&gt;投标人填写投标信息、下载文件及网上提问操作手册）。</w:t>
      </w:r>
    </w:p>
    <w:p w14:paraId="069737AB">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本项目采用不见面开标（远程解密)方式，开标时投标人无须至开标现场进行解密，开标采取远程解密方式解密投标文件，投标人在开标时间前使用CA数字证书登录滁州市“不见面开标系统”，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w:t>
      </w:r>
    </w:p>
    <w:p w14:paraId="2386895F">
      <w:pPr>
        <w:keepNext w:val="0"/>
        <w:keepLines w:val="0"/>
        <w:pageBreakBefore w:val="0"/>
        <w:widowControl w:val="0"/>
        <w:suppressLineNumbers w:val="0"/>
        <w:kinsoku/>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4.投标人接到远程解密指令后，须在规定时间内解密。因投标人自身原因导致投标文件在规定时间内未能解密、解密失败或解密超时，投标文件无效；因采购代理机构原因或网上平台发生故障，导致无法按时完成投标文件解密的，经采购代理机构申请后可延迟解密时间。</w:t>
      </w:r>
    </w:p>
    <w:p w14:paraId="5B731D54">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bookmarkStart w:id="8" w:name="_Toc28199"/>
      <w:r>
        <w:rPr>
          <w:rFonts w:hint="eastAsia" w:ascii="宋体" w:hAnsi="宋体" w:eastAsia="宋体" w:cstheme="minorBidi"/>
          <w:b/>
          <w:color w:val="auto"/>
          <w:kern w:val="0"/>
          <w:sz w:val="24"/>
          <w:highlight w:val="none"/>
          <w:lang w:val="en-US" w:eastAsia="zh-CN"/>
        </w:rPr>
        <w:t>七、对本次招标提出询问，请按以下方式联系</w:t>
      </w:r>
      <w:bookmarkEnd w:id="8"/>
    </w:p>
    <w:p w14:paraId="5699A973">
      <w:pPr>
        <w:keepNext w:val="0"/>
        <w:keepLines w:val="0"/>
        <w:pageBreakBefore w:val="0"/>
        <w:widowControl w:val="0"/>
        <w:suppressLineNumbers w:val="0"/>
        <w:kinsoku/>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1.采购人信息</w:t>
      </w:r>
    </w:p>
    <w:p w14:paraId="721F60AA">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名  称：</w:t>
      </w:r>
      <w:r>
        <w:rPr>
          <w:rFonts w:hint="eastAsia" w:ascii="宋体" w:hAnsi="宋体" w:eastAsia="宋体"/>
          <w:color w:val="auto"/>
          <w:sz w:val="24"/>
          <w:szCs w:val="18"/>
          <w:highlight w:val="none"/>
          <w:u w:val="none"/>
          <w:lang w:eastAsia="zh-CN"/>
        </w:rPr>
        <w:t>滁州市机电工程学校</w:t>
      </w:r>
    </w:p>
    <w:p w14:paraId="1DD1228F">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地  址：</w:t>
      </w:r>
      <w:r>
        <w:rPr>
          <w:rFonts w:hint="eastAsia" w:ascii="宋体" w:hAnsi="宋体" w:eastAsia="宋体"/>
          <w:color w:val="auto"/>
          <w:sz w:val="24"/>
          <w:szCs w:val="18"/>
          <w:highlight w:val="none"/>
          <w:u w:val="none"/>
          <w:lang w:eastAsia="zh-CN"/>
        </w:rPr>
        <w:t>安徽省滁州市丰乐大道2238号</w:t>
      </w:r>
    </w:p>
    <w:p w14:paraId="500F00BD">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联系人：朱永信</w:t>
      </w:r>
    </w:p>
    <w:p w14:paraId="6FDFA6D0">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联系方式：</w:t>
      </w:r>
      <w:r>
        <w:rPr>
          <w:rFonts w:hint="eastAsia" w:ascii="宋体" w:hAnsi="宋体" w:eastAsia="宋体"/>
          <w:color w:val="auto"/>
          <w:sz w:val="24"/>
          <w:szCs w:val="18"/>
          <w:highlight w:val="none"/>
          <w:u w:val="none"/>
          <w:lang w:eastAsia="zh-CN"/>
        </w:rPr>
        <w:t>18900505600</w:t>
      </w:r>
    </w:p>
    <w:p w14:paraId="4E01D876">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2.采购代理机构信息</w:t>
      </w:r>
    </w:p>
    <w:p w14:paraId="13A135C8">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名  称：</w:t>
      </w:r>
      <w:r>
        <w:rPr>
          <w:rFonts w:hint="eastAsia" w:ascii="宋体" w:hAnsi="宋体" w:eastAsia="宋体"/>
          <w:color w:val="auto"/>
          <w:sz w:val="24"/>
          <w:szCs w:val="18"/>
          <w:highlight w:val="none"/>
          <w:u w:val="none"/>
          <w:lang w:eastAsia="zh-CN"/>
        </w:rPr>
        <w:t>滁州市政府采购中心</w:t>
      </w:r>
    </w:p>
    <w:p w14:paraId="10298169">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地  址：</w:t>
      </w:r>
      <w:r>
        <w:rPr>
          <w:rFonts w:hint="eastAsia" w:ascii="宋体" w:hAnsi="宋体" w:eastAsia="宋体"/>
          <w:color w:val="auto"/>
          <w:sz w:val="24"/>
          <w:szCs w:val="18"/>
          <w:highlight w:val="none"/>
          <w:u w:val="none"/>
          <w:lang w:eastAsia="zh-CN"/>
        </w:rPr>
        <w:t>滁州市龙蟠大道109号房产商务大厦2楼</w:t>
      </w:r>
    </w:p>
    <w:p w14:paraId="03BF7531">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联系人：张夏骄</w:t>
      </w:r>
    </w:p>
    <w:p w14:paraId="6CCCEBA7">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联系方式：0550-3519512、19955012432</w:t>
      </w:r>
    </w:p>
    <w:p w14:paraId="3F5067AF">
      <w:pPr>
        <w:keepNext w:val="0"/>
        <w:keepLines w:val="0"/>
        <w:pageBreakBefore w:val="0"/>
        <w:widowControl w:val="0"/>
        <w:suppressLineNumbers w:val="0"/>
        <w:kinsoku/>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3.政府采购监督管理部门信息</w:t>
      </w:r>
    </w:p>
    <w:p w14:paraId="55112F6C">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名  称：滁州市公共资源交易监督管理局</w:t>
      </w:r>
    </w:p>
    <w:p w14:paraId="747D44FC">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地  址：滁州市龙蟠大道109号房产大厦三楼</w:t>
      </w:r>
    </w:p>
    <w:p w14:paraId="4CD6998D">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联系方式：0550-3801631</w:t>
      </w:r>
    </w:p>
    <w:p w14:paraId="6E44BB6D">
      <w:pPr>
        <w:widowControl/>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17281442">
      <w:pPr>
        <w:spacing w:line="360" w:lineRule="auto"/>
        <w:jc w:val="center"/>
        <w:outlineLvl w:val="0"/>
        <w:rPr>
          <w:rFonts w:asciiTheme="minorEastAsia" w:hAnsiTheme="minorEastAsia" w:eastAsiaTheme="minorEastAsia"/>
          <w:b/>
          <w:color w:val="auto"/>
          <w:sz w:val="28"/>
          <w:highlight w:val="none"/>
        </w:rPr>
      </w:pPr>
      <w:bookmarkStart w:id="9" w:name="_Toc31816"/>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9"/>
    </w:p>
    <w:p w14:paraId="1C2B44DB">
      <w:pPr>
        <w:spacing w:line="360" w:lineRule="auto"/>
        <w:jc w:val="center"/>
        <w:outlineLvl w:val="1"/>
        <w:rPr>
          <w:rFonts w:asciiTheme="minorEastAsia" w:hAnsiTheme="minorEastAsia" w:eastAsiaTheme="minorEastAsia"/>
          <w:b/>
          <w:color w:val="auto"/>
          <w:sz w:val="24"/>
          <w:highlight w:val="none"/>
        </w:rPr>
      </w:pPr>
      <w:bookmarkStart w:id="10" w:name="_Toc18490"/>
      <w:bookmarkStart w:id="11" w:name="_Toc7178"/>
      <w:bookmarkStart w:id="12" w:name="_Toc3114"/>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10"/>
      <w:bookmarkEnd w:id="11"/>
      <w:bookmarkEnd w:id="12"/>
    </w:p>
    <w:p w14:paraId="13C5CDE9">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5"/>
        <w:tblW w:w="55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1683"/>
        <w:gridCol w:w="7440"/>
      </w:tblGrid>
      <w:tr w14:paraId="37E4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6" w:type="pct"/>
            <w:vAlign w:val="center"/>
          </w:tcPr>
          <w:p w14:paraId="216F6B5C">
            <w:pPr>
              <w:pStyle w:val="43"/>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823" w:type="pct"/>
            <w:vAlign w:val="center"/>
          </w:tcPr>
          <w:p w14:paraId="6B4D4B7D">
            <w:pPr>
              <w:pStyle w:val="43"/>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639" w:type="pct"/>
            <w:vAlign w:val="center"/>
          </w:tcPr>
          <w:p w14:paraId="467D9BEB">
            <w:pPr>
              <w:pStyle w:val="43"/>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2248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6" w:type="pct"/>
            <w:vAlign w:val="center"/>
          </w:tcPr>
          <w:p w14:paraId="3EB3A31A">
            <w:pPr>
              <w:pStyle w:val="44"/>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823" w:type="pct"/>
            <w:vAlign w:val="center"/>
          </w:tcPr>
          <w:p w14:paraId="2B65B3B9">
            <w:pPr>
              <w:pStyle w:val="4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639" w:type="pct"/>
            <w:vAlign w:val="center"/>
          </w:tcPr>
          <w:p w14:paraId="3BA8AFB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3C0A8BF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43E4B47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6398A99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p>
          <w:p w14:paraId="66C26085">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p>
          <w:p w14:paraId="1B94A396">
            <w:pPr>
              <w:pStyle w:val="4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4229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6" w:type="pct"/>
            <w:vAlign w:val="center"/>
          </w:tcPr>
          <w:p w14:paraId="0020AE6E">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823" w:type="pct"/>
            <w:vAlign w:val="center"/>
          </w:tcPr>
          <w:p w14:paraId="6A4467E4">
            <w:pPr>
              <w:pStyle w:val="43"/>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639" w:type="pct"/>
            <w:vAlign w:val="center"/>
          </w:tcPr>
          <w:p w14:paraId="06B28AA9">
            <w:pPr>
              <w:pStyle w:val="43"/>
              <w:widowControl w:val="0"/>
              <w:spacing w:before="0" w:beforeAutospacing="0" w:after="0" w:afterAutospacing="0"/>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8</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25</w:t>
            </w:r>
            <w:r>
              <w:rPr>
                <w:rFonts w:ascii="宋体" w:hAnsi="宋体" w:eastAsia="宋体"/>
                <w:b w:val="0"/>
                <w:color w:val="auto"/>
                <w:sz w:val="24"/>
                <w:highlight w:val="none"/>
              </w:rPr>
              <w:t>日</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时</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30</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rPr>
              <w:t>分</w:t>
            </w:r>
          </w:p>
        </w:tc>
      </w:tr>
      <w:tr w14:paraId="3599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6" w:type="pct"/>
            <w:vAlign w:val="center"/>
          </w:tcPr>
          <w:p w14:paraId="37231623">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823" w:type="pct"/>
            <w:vAlign w:val="center"/>
          </w:tcPr>
          <w:p w14:paraId="7D418D49">
            <w:pPr>
              <w:pStyle w:val="43"/>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639" w:type="pct"/>
            <w:vAlign w:val="center"/>
          </w:tcPr>
          <w:p w14:paraId="7D8B005F">
            <w:pPr>
              <w:pStyle w:val="43"/>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不分包     □分为</w:t>
            </w:r>
            <w:r>
              <w:rPr>
                <w:rFonts w:hint="eastAsia" w:ascii="宋体" w:hAnsi="宋体" w:eastAsia="宋体"/>
                <w:b w:val="0"/>
                <w:color w:val="auto"/>
                <w:sz w:val="24"/>
                <w:highlight w:val="none"/>
                <w:lang w:val="en-US" w:eastAsia="zh-CN"/>
              </w:rPr>
              <w:t>/</w:t>
            </w:r>
            <w:r>
              <w:rPr>
                <w:rFonts w:ascii="宋体" w:hAnsi="宋体" w:eastAsia="宋体"/>
                <w:b w:val="0"/>
                <w:color w:val="auto"/>
                <w:sz w:val="24"/>
                <w:highlight w:val="none"/>
              </w:rPr>
              <w:t>个包</w:t>
            </w:r>
          </w:p>
        </w:tc>
      </w:tr>
      <w:tr w14:paraId="579B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536" w:type="pct"/>
            <w:vAlign w:val="center"/>
          </w:tcPr>
          <w:p w14:paraId="01E07874">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823" w:type="pct"/>
            <w:vAlign w:val="center"/>
          </w:tcPr>
          <w:p w14:paraId="65E9DB8A">
            <w:pPr>
              <w:pStyle w:val="43"/>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639" w:type="pct"/>
            <w:vAlign w:val="center"/>
          </w:tcPr>
          <w:p w14:paraId="722B02DC">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2C4B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6" w:type="pct"/>
            <w:vAlign w:val="center"/>
          </w:tcPr>
          <w:p w14:paraId="06278B6A">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823" w:type="pct"/>
            <w:vAlign w:val="center"/>
          </w:tcPr>
          <w:p w14:paraId="49DD7E96">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639" w:type="pct"/>
            <w:vAlign w:val="center"/>
          </w:tcPr>
          <w:p w14:paraId="4DC007A3">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90</w:t>
            </w:r>
            <w:r>
              <w:rPr>
                <w:rFonts w:hint="eastAsia" w:ascii="宋体" w:hAnsi="宋体" w:eastAsia="宋体"/>
                <w:b w:val="0"/>
                <w:color w:val="auto"/>
                <w:sz w:val="24"/>
                <w:highlight w:val="none"/>
              </w:rPr>
              <w:t>日历日</w:t>
            </w:r>
          </w:p>
        </w:tc>
      </w:tr>
      <w:tr w14:paraId="6337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6" w:type="pct"/>
            <w:vAlign w:val="center"/>
          </w:tcPr>
          <w:p w14:paraId="05EE5787">
            <w:pPr>
              <w:pStyle w:val="44"/>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823" w:type="pct"/>
            <w:vAlign w:val="center"/>
          </w:tcPr>
          <w:p w14:paraId="65AB8947">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3639" w:type="pct"/>
            <w:vAlign w:val="center"/>
          </w:tcPr>
          <w:p w14:paraId="6280D24C">
            <w:pPr>
              <w:pStyle w:val="43"/>
              <w:widowControl w:val="0"/>
              <w:spacing w:before="0" w:beforeAutospacing="0" w:after="0" w:afterAutospacing="0" w:line="360" w:lineRule="auto"/>
              <w:jc w:val="both"/>
              <w:rPr>
                <w:rFonts w:hint="default"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rPr>
              <w:t>投标截止时间后</w:t>
            </w:r>
            <w:r>
              <w:rPr>
                <w:rFonts w:hint="eastAsia" w:ascii="宋体" w:hAnsi="宋体" w:eastAsia="宋体"/>
                <w:b w:val="0"/>
                <w:color w:val="auto"/>
                <w:sz w:val="24"/>
                <w:highlight w:val="none"/>
                <w:u w:val="single"/>
                <w:lang w:val="en-US" w:eastAsia="zh-CN"/>
              </w:rPr>
              <w:t xml:space="preserve"> 60 </w:t>
            </w:r>
            <w:r>
              <w:rPr>
                <w:rFonts w:hint="eastAsia" w:ascii="宋体" w:hAnsi="宋体" w:eastAsia="宋体"/>
                <w:b w:val="0"/>
                <w:color w:val="auto"/>
                <w:sz w:val="24"/>
                <w:highlight w:val="none"/>
                <w:u w:val="none"/>
              </w:rPr>
              <w:t>分钟内</w:t>
            </w:r>
            <w:r>
              <w:rPr>
                <w:rFonts w:hint="eastAsia" w:ascii="宋体" w:hAnsi="宋体" w:eastAsia="宋体" w:cs="宋体"/>
                <w:b w:val="0"/>
                <w:color w:val="auto"/>
                <w:sz w:val="24"/>
                <w:highlight w:val="none"/>
                <w:u w:val="none"/>
              </w:rPr>
              <w:t>（以本项目网上招投标系统解密倒计时为准）</w:t>
            </w:r>
          </w:p>
        </w:tc>
      </w:tr>
      <w:tr w14:paraId="65C2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6" w:type="pct"/>
            <w:vAlign w:val="center"/>
          </w:tcPr>
          <w:p w14:paraId="1C5005F3">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823" w:type="pct"/>
            <w:vAlign w:val="center"/>
          </w:tcPr>
          <w:p w14:paraId="096C4419">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639" w:type="pct"/>
            <w:vAlign w:val="center"/>
          </w:tcPr>
          <w:p w14:paraId="7B7A520C">
            <w:pPr>
              <w:pStyle w:val="43"/>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0769FA36">
            <w:pPr>
              <w:pStyle w:val="43"/>
              <w:widowControl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342B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6" w:type="pct"/>
            <w:vAlign w:val="center"/>
          </w:tcPr>
          <w:p w14:paraId="07544248">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823" w:type="pct"/>
            <w:vAlign w:val="center"/>
          </w:tcPr>
          <w:p w14:paraId="14361BC6">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639" w:type="pct"/>
            <w:vAlign w:val="center"/>
          </w:tcPr>
          <w:p w14:paraId="3DCDCAA6">
            <w:pPr>
              <w:pStyle w:val="43"/>
              <w:widowControl w:val="0"/>
              <w:spacing w:before="0" w:beforeAutospacing="0" w:after="0" w:afterAutospacing="0" w:line="360" w:lineRule="auto"/>
              <w:jc w:val="both"/>
              <w:rPr>
                <w:rFonts w:ascii="宋体" w:hAnsi="宋体" w:eastAsia="宋体"/>
                <w:b w:val="0"/>
                <w:color w:val="auto"/>
                <w:sz w:val="24"/>
                <w:highlight w:val="none"/>
                <w:u w:val="none"/>
              </w:rPr>
            </w:pPr>
            <w:r>
              <w:rPr>
                <w:rFonts w:ascii="宋体" w:hAnsi="宋体" w:eastAsia="宋体"/>
                <w:b w:val="0"/>
                <w:bCs w:val="0"/>
                <w:color w:val="auto"/>
                <w:sz w:val="24"/>
                <w:szCs w:val="24"/>
                <w:highlight w:val="none"/>
                <w:u w:val="none"/>
              </w:rPr>
              <w:t>□</w:t>
            </w:r>
            <w:r>
              <w:rPr>
                <w:rFonts w:hint="eastAsia" w:ascii="宋体" w:hAnsi="宋体" w:eastAsia="宋体"/>
                <w:b w:val="0"/>
                <w:color w:val="auto"/>
                <w:sz w:val="24"/>
                <w:highlight w:val="none"/>
                <w:u w:val="none"/>
              </w:rPr>
              <w:t>最低评标价法</w:t>
            </w:r>
          </w:p>
          <w:p w14:paraId="30D5F750">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综合评分法</w:t>
            </w:r>
          </w:p>
        </w:tc>
      </w:tr>
      <w:tr w14:paraId="6085C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6" w:type="pct"/>
            <w:vAlign w:val="center"/>
          </w:tcPr>
          <w:p w14:paraId="265042D2">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.3</w:t>
            </w:r>
          </w:p>
        </w:tc>
        <w:tc>
          <w:tcPr>
            <w:tcW w:w="823" w:type="pct"/>
            <w:vAlign w:val="center"/>
          </w:tcPr>
          <w:p w14:paraId="7A48F42F">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24282B9F">
            <w:pPr>
              <w:pStyle w:val="43"/>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3639" w:type="pct"/>
            <w:vAlign w:val="center"/>
          </w:tcPr>
          <w:p w14:paraId="0B988EFD">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rPr>
              <w:t>对小型和微型企业产品的价格给予</w:t>
            </w:r>
            <w:r>
              <w:rPr>
                <w:rFonts w:hint="eastAsia" w:ascii="宋体" w:hAnsi="宋体" w:eastAsia="宋体"/>
                <w:b w:val="0"/>
                <w:color w:val="auto"/>
                <w:sz w:val="24"/>
                <w:highlight w:val="none"/>
                <w:u w:val="single"/>
                <w:lang w:val="en-US" w:eastAsia="zh-CN"/>
              </w:rPr>
              <w:t>10</w:t>
            </w:r>
            <w:r>
              <w:rPr>
                <w:rFonts w:hint="eastAsia" w:ascii="宋体" w:hAnsi="宋体" w:eastAsia="宋体"/>
                <w:b w:val="0"/>
                <w:color w:val="auto"/>
                <w:sz w:val="24"/>
                <w:highlight w:val="none"/>
                <w:u w:val="single"/>
              </w:rPr>
              <w:t>%的扣除后参与评审</w:t>
            </w:r>
            <w:r>
              <w:rPr>
                <w:rFonts w:hint="eastAsia" w:ascii="宋体" w:hAnsi="宋体" w:eastAsia="宋体"/>
                <w:b w:val="0"/>
                <w:color w:val="auto"/>
                <w:sz w:val="24"/>
                <w:highlight w:val="none"/>
                <w:u w:val="single"/>
                <w:lang w:eastAsia="zh-CN"/>
              </w:rPr>
              <w:t>；其评审价=最终响应报价*（90%）</w:t>
            </w:r>
            <w:r>
              <w:rPr>
                <w:rFonts w:hint="eastAsia" w:ascii="宋体" w:hAnsi="宋体" w:eastAsia="宋体"/>
                <w:b w:val="0"/>
                <w:color w:val="auto"/>
                <w:sz w:val="24"/>
                <w:highlight w:val="none"/>
                <w:u w:val="single"/>
              </w:rPr>
              <w:t>。</w:t>
            </w:r>
          </w:p>
          <w:p w14:paraId="77AE2312">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36159E14">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7DE8FA87">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sz w:val="24"/>
                <w:highlight w:val="none"/>
                <w:u w:val="single"/>
              </w:rPr>
              <w:t>联合体投标的，小型、微型企业的协议合同金额占联合体协议合同总金额30%以上的，价格给予联合体4%的扣除后参与评审；其评审价=投标报价*96%；联合体各方均为小型、微型企业的，联合体视同为小型、微型企业，其评审价按（1）款执行</w:t>
            </w:r>
            <w:r>
              <w:rPr>
                <w:rFonts w:hint="eastAsia" w:ascii="宋体" w:hAnsi="宋体" w:eastAsia="宋体"/>
                <w:b w:val="0"/>
                <w:color w:val="auto"/>
                <w:sz w:val="24"/>
                <w:highlight w:val="none"/>
              </w:rPr>
              <w:t>。</w:t>
            </w:r>
          </w:p>
          <w:p w14:paraId="549883A7">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62FA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6" w:type="pct"/>
            <w:vAlign w:val="center"/>
          </w:tcPr>
          <w:p w14:paraId="62B97303">
            <w:pPr>
              <w:pStyle w:val="44"/>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kern w:val="2"/>
                <w:highlight w:val="none"/>
                <w:lang w:val="en-US" w:eastAsia="zh-CN"/>
              </w:rPr>
              <w:t>17.4</w:t>
            </w:r>
          </w:p>
        </w:tc>
        <w:tc>
          <w:tcPr>
            <w:tcW w:w="823" w:type="pct"/>
            <w:vAlign w:val="center"/>
          </w:tcPr>
          <w:p w14:paraId="0526B8E0">
            <w:pPr>
              <w:spacing w:line="360" w:lineRule="auto"/>
              <w:rPr>
                <w:rFonts w:hint="eastAsia" w:ascii="宋体" w:hAnsi="宋体" w:eastAsia="宋体"/>
                <w:b w:val="0"/>
                <w:i/>
                <w:color w:val="auto"/>
                <w:sz w:val="24"/>
                <w:highlight w:val="none"/>
              </w:rPr>
            </w:pPr>
            <w:r>
              <w:rPr>
                <w:rFonts w:hint="eastAsia" w:ascii="宋体" w:hAnsi="宋体" w:eastAsia="宋体"/>
                <w:b w:val="0"/>
                <w:i w:val="0"/>
                <w:iCs w:val="0"/>
                <w:sz w:val="24"/>
                <w:highlight w:val="none"/>
                <w:lang w:val="en-US" w:eastAsia="zh-CN"/>
              </w:rPr>
              <w:t>本国产品价格扣除</w:t>
            </w:r>
            <w:r>
              <w:rPr>
                <w:rFonts w:hint="eastAsia" w:ascii="宋体" w:hAnsi="宋体" w:eastAsia="宋体" w:cs="Times New Roman"/>
                <w:i/>
                <w:iCs/>
                <w:color w:val="auto"/>
                <w:sz w:val="24"/>
                <w:highlight w:val="none"/>
                <w:lang w:val="en-US" w:eastAsia="zh-CN"/>
              </w:rPr>
              <w:t>（适用于</w:t>
            </w:r>
            <w:r>
              <w:rPr>
                <w:rFonts w:hint="eastAsia" w:ascii="宋体" w:hAnsi="宋体" w:eastAsia="宋体" w:cs="宋体"/>
                <w:b w:val="0"/>
                <w:bCs w:val="0"/>
                <w:i/>
                <w:iCs/>
                <w:caps w:val="0"/>
                <w:color w:val="auto"/>
                <w:spacing w:val="0"/>
                <w:sz w:val="24"/>
                <w:szCs w:val="24"/>
                <w:highlight w:val="none"/>
                <w:u w:val="none"/>
                <w:shd w:val="clear" w:color="auto" w:fill="FFFFFF"/>
                <w:vertAlign w:val="baseline"/>
              </w:rPr>
              <w:t>既有本国产品又有非本国产品参与竞争的</w:t>
            </w:r>
            <w:r>
              <w:rPr>
                <w:rFonts w:hint="eastAsia" w:ascii="宋体" w:hAnsi="宋体" w:eastAsia="宋体" w:cs="宋体"/>
                <w:b w:val="0"/>
                <w:bCs w:val="0"/>
                <w:i/>
                <w:iCs/>
                <w:caps w:val="0"/>
                <w:color w:val="auto"/>
                <w:spacing w:val="0"/>
                <w:sz w:val="24"/>
                <w:szCs w:val="24"/>
                <w:highlight w:val="none"/>
                <w:u w:val="none"/>
                <w:shd w:val="clear" w:color="auto" w:fill="FFFFFF"/>
                <w:vertAlign w:val="baseline"/>
                <w:lang w:val="en-US" w:eastAsia="zh-CN"/>
              </w:rPr>
              <w:t>货物项目</w:t>
            </w:r>
            <w:r>
              <w:rPr>
                <w:rFonts w:hint="eastAsia" w:ascii="宋体" w:hAnsi="宋体" w:eastAsia="宋体" w:cs="Times New Roman"/>
                <w:i/>
                <w:iCs/>
                <w:color w:val="auto"/>
                <w:sz w:val="24"/>
                <w:highlight w:val="none"/>
                <w:lang w:val="en-US" w:eastAsia="zh-CN"/>
              </w:rPr>
              <w:t>）</w:t>
            </w:r>
          </w:p>
        </w:tc>
        <w:tc>
          <w:tcPr>
            <w:tcW w:w="3639" w:type="pct"/>
            <w:vAlign w:val="center"/>
          </w:tcPr>
          <w:p w14:paraId="08D09935">
            <w:pPr>
              <w:pStyle w:val="4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sz w:val="24"/>
                <w:highlight w:val="none"/>
                <w:lang w:val="en-US" w:eastAsia="zh-CN"/>
              </w:rPr>
            </w:pPr>
            <w:r>
              <w:rPr>
                <w:rFonts w:hint="eastAsia" w:ascii="宋体" w:hAnsi="宋体" w:eastAsia="宋体"/>
                <w:b w:val="0"/>
                <w:i w:val="0"/>
                <w:iCs w:val="0"/>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sz w:val="24"/>
                <w:highlight w:val="none"/>
                <w:u w:val="single"/>
                <w:lang w:val="en-US" w:eastAsia="zh-CN"/>
              </w:rPr>
              <w:t>20%</w:t>
            </w:r>
            <w:r>
              <w:rPr>
                <w:rFonts w:hint="eastAsia" w:ascii="宋体" w:hAnsi="宋体" w:eastAsia="宋体"/>
                <w:b w:val="0"/>
                <w:i w:val="0"/>
                <w:iCs w:val="0"/>
                <w:sz w:val="24"/>
                <w:highlight w:val="none"/>
                <w:lang w:val="en-US" w:eastAsia="zh-CN"/>
              </w:rPr>
              <w:t>。</w:t>
            </w:r>
          </w:p>
          <w:p w14:paraId="4C6E1350">
            <w:pPr>
              <w:pStyle w:val="4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sz w:val="24"/>
                <w:highlight w:val="none"/>
                <w:lang w:val="en-US" w:eastAsia="zh-CN"/>
              </w:rPr>
              <w:t>（2）项目或者采购包中含有多种产品的，符合本国产品标准的产品成本之和占该投标人提供的全部产品成本之和的比例≥80%，所有产品价格扣除</w:t>
            </w:r>
            <w:r>
              <w:rPr>
                <w:rFonts w:hint="eastAsia" w:ascii="宋体" w:hAnsi="宋体" w:eastAsia="宋体"/>
                <w:b w:val="0"/>
                <w:i w:val="0"/>
                <w:iCs w:val="0"/>
                <w:sz w:val="24"/>
                <w:highlight w:val="none"/>
                <w:u w:val="single"/>
                <w:lang w:val="en-US" w:eastAsia="zh-CN"/>
              </w:rPr>
              <w:t>20%</w:t>
            </w:r>
            <w:r>
              <w:rPr>
                <w:rFonts w:hint="eastAsia" w:ascii="宋体" w:hAnsi="宋体" w:eastAsia="宋体"/>
                <w:b w:val="0"/>
                <w:i w:val="0"/>
                <w:iCs w:val="0"/>
                <w:sz w:val="24"/>
                <w:highlight w:val="none"/>
                <w:u w:val="none"/>
                <w:lang w:val="en-US" w:eastAsia="zh-CN"/>
              </w:rPr>
              <w:t>。</w:t>
            </w:r>
          </w:p>
        </w:tc>
      </w:tr>
      <w:tr w14:paraId="456E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6" w:type="pct"/>
            <w:vAlign w:val="center"/>
          </w:tcPr>
          <w:p w14:paraId="5F863C61">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823" w:type="pct"/>
            <w:vAlign w:val="center"/>
          </w:tcPr>
          <w:p w14:paraId="6422F33F">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639" w:type="pct"/>
            <w:vAlign w:val="center"/>
          </w:tcPr>
          <w:p w14:paraId="5289A58C">
            <w:pPr>
              <w:pStyle w:val="43"/>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cs="宋体"/>
                <w:b w:val="0"/>
                <w:color w:val="auto"/>
                <w:sz w:val="24"/>
                <w:highlight w:val="none"/>
                <w:u w:val="single"/>
                <w:lang w:val="en-US" w:eastAsia="zh-CN"/>
              </w:rPr>
              <w:t>推荐3名中标候选人</w:t>
            </w:r>
          </w:p>
        </w:tc>
      </w:tr>
      <w:tr w14:paraId="2B5E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6" w:type="pct"/>
            <w:vAlign w:val="center"/>
          </w:tcPr>
          <w:p w14:paraId="7857674C">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823" w:type="pct"/>
            <w:vAlign w:val="center"/>
          </w:tcPr>
          <w:p w14:paraId="4140DBC8">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639" w:type="pct"/>
            <w:vAlign w:val="center"/>
          </w:tcPr>
          <w:p w14:paraId="755F9CDB">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A8"/>
            </w:r>
            <w:r>
              <w:rPr>
                <w:rFonts w:hint="eastAsia" w:asciiTheme="minorEastAsia" w:hAnsiTheme="minorEastAsia" w:eastAsiaTheme="minorEastAsia"/>
                <w:color w:val="auto"/>
                <w:kern w:val="0"/>
                <w:sz w:val="24"/>
                <w:szCs w:val="24"/>
                <w:highlight w:val="none"/>
              </w:rPr>
              <w:t>采购人委托评标委员会确定</w:t>
            </w:r>
          </w:p>
          <w:p w14:paraId="2F273207">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lang w:eastAsia="zh-CN"/>
              </w:rPr>
              <w:t>☑</w:t>
            </w:r>
            <w:r>
              <w:rPr>
                <w:rFonts w:hint="eastAsia" w:asciiTheme="minorEastAsia" w:hAnsiTheme="minorEastAsia" w:eastAsiaTheme="minorEastAsia"/>
                <w:b w:val="0"/>
                <w:bCs w:val="0"/>
                <w:color w:val="auto"/>
                <w:kern w:val="2"/>
                <w:sz w:val="24"/>
                <w:szCs w:val="24"/>
                <w:highlight w:val="none"/>
              </w:rPr>
              <w:t>采购人确定</w:t>
            </w:r>
          </w:p>
        </w:tc>
      </w:tr>
      <w:tr w14:paraId="5B4F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6" w:type="pct"/>
            <w:vAlign w:val="center"/>
          </w:tcPr>
          <w:p w14:paraId="16926625">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823" w:type="pct"/>
            <w:vAlign w:val="center"/>
          </w:tcPr>
          <w:p w14:paraId="4F1035C0">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3639" w:type="pct"/>
            <w:vAlign w:val="center"/>
          </w:tcPr>
          <w:p w14:paraId="3BF38972">
            <w:pPr>
              <w:pStyle w:val="43"/>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r>
              <w:rPr>
                <w:rFonts w:hint="eastAsia" w:ascii="宋体" w:hAnsi="宋体" w:eastAsia="宋体"/>
                <w:b w:val="0"/>
                <w:i/>
                <w:iCs/>
                <w:color w:val="auto"/>
                <w:sz w:val="24"/>
                <w:highlight w:val="none"/>
                <w:u w:val="none"/>
              </w:rPr>
              <w:t>（如有）</w:t>
            </w:r>
          </w:p>
          <w:p w14:paraId="5F190F5E">
            <w:pPr>
              <w:pStyle w:val="43"/>
              <w:widowControl w:val="0"/>
              <w:spacing w:before="0" w:beforeAutospacing="0" w:after="0" w:afterAutospacing="0" w:line="360" w:lineRule="auto"/>
              <w:jc w:val="both"/>
              <w:rPr>
                <w:rFonts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iCs/>
                <w:color w:val="auto"/>
                <w:sz w:val="24"/>
                <w:highlight w:val="none"/>
                <w:u w:val="none"/>
              </w:rPr>
              <w:t>（如有）</w:t>
            </w:r>
          </w:p>
          <w:p w14:paraId="755D280A">
            <w:pPr>
              <w:pStyle w:val="43"/>
              <w:widowControl w:val="0"/>
              <w:spacing w:before="0" w:beforeAutospacing="0" w:after="0" w:afterAutospacing="0" w:line="360" w:lineRule="auto"/>
              <w:jc w:val="both"/>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r>
              <w:rPr>
                <w:rFonts w:hint="eastAsia" w:ascii="宋体" w:hAnsi="宋体" w:eastAsia="宋体"/>
                <w:b w:val="0"/>
                <w:color w:val="auto"/>
                <w:sz w:val="24"/>
                <w:highlight w:val="none"/>
                <w:u w:val="none"/>
                <w:lang w:eastAsia="zh-CN"/>
              </w:rPr>
              <w:t>；</w:t>
            </w:r>
          </w:p>
          <w:p w14:paraId="3D09C5C1">
            <w:pPr>
              <w:pStyle w:val="43"/>
              <w:widowControl w:val="0"/>
              <w:spacing w:before="0" w:beforeAutospacing="0" w:after="0" w:afterAutospacing="0" w:line="360" w:lineRule="auto"/>
              <w:jc w:val="both"/>
              <w:rPr>
                <w:rFonts w:hint="eastAsia" w:ascii="宋体" w:hAnsi="宋体" w:eastAsia="宋体"/>
                <w:b w:val="0"/>
                <w:i/>
                <w:iCs/>
                <w:color w:val="auto"/>
                <w:sz w:val="24"/>
                <w:highlight w:val="none"/>
                <w:u w:val="none"/>
                <w:lang w:eastAsia="zh-CN"/>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中标（成交）供应商的分项报价清单；</w:t>
            </w:r>
          </w:p>
          <w:p w14:paraId="1C2A357E">
            <w:pPr>
              <w:pStyle w:val="43"/>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5</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sz w:val="24"/>
                <w:szCs w:val="20"/>
                <w:highlight w:val="none"/>
                <w:u w:val="none"/>
              </w:rPr>
              <w:t>符合本国产品标准的声明函</w:t>
            </w:r>
            <w:r>
              <w:rPr>
                <w:rFonts w:hint="eastAsia" w:ascii="宋体" w:hAnsi="宋体" w:eastAsia="宋体" w:cs="@仿宋_GB2312"/>
                <w:b w:val="0"/>
                <w:bCs w:val="0"/>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val="en-US" w:eastAsia="zh-CN"/>
              </w:rPr>
              <w:t>如有</w:t>
            </w:r>
            <w:r>
              <w:rPr>
                <w:rFonts w:hint="eastAsia" w:ascii="宋体" w:hAnsi="宋体" w:eastAsia="宋体" w:cs="@仿宋_GB2312"/>
                <w:b w:val="0"/>
                <w:bCs w:val="0"/>
                <w:i/>
                <w:iCs/>
                <w:color w:val="auto"/>
                <w:sz w:val="24"/>
                <w:szCs w:val="20"/>
                <w:highlight w:val="none"/>
                <w:u w:val="none"/>
                <w:lang w:eastAsia="zh-CN"/>
              </w:rPr>
              <w:t>）</w:t>
            </w:r>
          </w:p>
        </w:tc>
      </w:tr>
      <w:tr w14:paraId="1A71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6" w:type="pct"/>
            <w:vAlign w:val="center"/>
          </w:tcPr>
          <w:p w14:paraId="575B88ED">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823" w:type="pct"/>
            <w:vAlign w:val="center"/>
          </w:tcPr>
          <w:p w14:paraId="2999B215">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639" w:type="pct"/>
            <w:vAlign w:val="center"/>
          </w:tcPr>
          <w:p w14:paraId="331BFCC4">
            <w:pPr>
              <w:pStyle w:val="43"/>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67938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6" w:type="pct"/>
            <w:vAlign w:val="center"/>
          </w:tcPr>
          <w:p w14:paraId="55D0FDD1">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823" w:type="pct"/>
            <w:vAlign w:val="center"/>
          </w:tcPr>
          <w:p w14:paraId="66EEB43F">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639" w:type="pct"/>
            <w:vAlign w:val="center"/>
          </w:tcPr>
          <w:p w14:paraId="5D19F76D">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661F44BA">
            <w:pPr>
              <w:pStyle w:val="4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□评标现场告知</w:t>
            </w:r>
          </w:p>
        </w:tc>
      </w:tr>
      <w:tr w14:paraId="6623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36" w:type="pct"/>
            <w:vAlign w:val="center"/>
          </w:tcPr>
          <w:p w14:paraId="71FB9405">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823" w:type="pct"/>
            <w:vAlign w:val="center"/>
          </w:tcPr>
          <w:p w14:paraId="0EDB3267">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639" w:type="pct"/>
          </w:tcPr>
          <w:p w14:paraId="1FEF7071">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169F9B66">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4146FF9E">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合同价的</w:t>
            </w:r>
            <w:r>
              <w:rPr>
                <w:rFonts w:hint="eastAsia" w:ascii="宋体" w:hAnsi="宋体" w:eastAsia="宋体"/>
                <w:bCs/>
                <w:color w:val="auto"/>
                <w:kern w:val="0"/>
                <w:sz w:val="24"/>
                <w:szCs w:val="28"/>
                <w:highlight w:val="none"/>
                <w:u w:val="single"/>
                <w:lang w:val="en-US" w:eastAsia="zh-CN"/>
              </w:rPr>
              <w:t>2.5</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00595823">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4927A143">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4C085E0F">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1EF6E8F6">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lang w:val="en-US" w:eastAsia="zh-CN"/>
              </w:rPr>
              <w:t>另行通知</w:t>
            </w:r>
            <w:r>
              <w:rPr>
                <w:rFonts w:hint="eastAsia" w:ascii="宋体" w:hAnsi="宋体" w:eastAsia="宋体"/>
                <w:bCs/>
                <w:color w:val="auto"/>
                <w:kern w:val="0"/>
                <w:sz w:val="24"/>
                <w:szCs w:val="28"/>
                <w:highlight w:val="none"/>
              </w:rPr>
              <w:t xml:space="preserve">              </w:t>
            </w:r>
          </w:p>
          <w:p w14:paraId="44A14F0B">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lang w:val="en-US" w:eastAsia="zh-CN"/>
              </w:rPr>
              <w:t>另行通知</w:t>
            </w:r>
          </w:p>
          <w:p w14:paraId="4F43E426">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szCs w:val="20"/>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cs="宋体"/>
                <w:bCs/>
                <w:color w:val="auto"/>
                <w:kern w:val="0"/>
                <w:sz w:val="24"/>
                <w:szCs w:val="28"/>
                <w:highlight w:val="none"/>
                <w:u w:val="single"/>
              </w:rPr>
              <w:t>①采用银行转账方式：政府采购验收合格后，一次性退还；②采用支票、汇票、本票、保函等方式：有效期为自合同签订之日起至供货期满后止</w:t>
            </w:r>
            <w:r>
              <w:rPr>
                <w:rFonts w:hint="eastAsia" w:ascii="宋体" w:hAnsi="宋体" w:eastAsia="宋体" w:cs="宋体"/>
                <w:bCs/>
                <w:color w:val="auto"/>
                <w:kern w:val="0"/>
                <w:sz w:val="24"/>
                <w:szCs w:val="28"/>
                <w:highlight w:val="none"/>
                <w:u w:val="single"/>
                <w:lang w:eastAsia="zh-CN"/>
              </w:rPr>
              <w:t>。</w:t>
            </w:r>
          </w:p>
          <w:p w14:paraId="56DFA4AA">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5B830159">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0DF45511">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05050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36" w:type="pct"/>
            <w:vAlign w:val="center"/>
          </w:tcPr>
          <w:p w14:paraId="691C91A2">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823" w:type="pct"/>
            <w:vAlign w:val="center"/>
          </w:tcPr>
          <w:p w14:paraId="1919AE48">
            <w:pPr>
              <w:pStyle w:val="43"/>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639" w:type="pct"/>
          </w:tcPr>
          <w:p w14:paraId="75CA5ABA">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（1）采购人与中标人应当自发出中标通知书之日起7个工作日内签订合同，采购合同签订之日起2个工作日内完成政府采购合同公开。</w:t>
            </w:r>
          </w:p>
          <w:p w14:paraId="3398A2F7">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b/>
                <w:bCs/>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（2）采购人与中标人</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不得擅自变更合同，依照政府采购法确需变更政府采购合同内容的，采购人应当自合同变更之日起2个工作日内</w:t>
            </w:r>
            <w:r>
              <w:rPr>
                <w:rFonts w:hint="eastAsia" w:ascii="宋体" w:hAnsi="宋体" w:eastAsia="宋体" w:cs="宋体"/>
                <w:b w:val="0"/>
                <w:bCs w:val="0"/>
                <w:color w:val="auto"/>
                <w:sz w:val="24"/>
                <w:szCs w:val="24"/>
                <w:highlight w:val="none"/>
                <w:lang w:val="en-US" w:eastAsia="zh-CN"/>
              </w:rPr>
              <w:t>在安徽省政府采购网</w:t>
            </w:r>
            <w:r>
              <w:rPr>
                <w:rFonts w:hint="default" w:ascii="宋体" w:hAnsi="宋体" w:eastAsia="宋体" w:cs="宋体"/>
                <w:b w:val="0"/>
                <w:bCs w:val="0"/>
                <w:color w:val="auto"/>
                <w:sz w:val="24"/>
                <w:szCs w:val="24"/>
                <w:highlight w:val="none"/>
                <w:lang w:val="en-US" w:eastAsia="zh-CN"/>
              </w:rPr>
              <w:t>发布政府采购合同变更公告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4F43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6" w:type="pct"/>
            <w:vAlign w:val="center"/>
          </w:tcPr>
          <w:p w14:paraId="59C4D0DD">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823" w:type="pct"/>
            <w:vAlign w:val="center"/>
          </w:tcPr>
          <w:p w14:paraId="1A987307">
            <w:pPr>
              <w:pStyle w:val="43"/>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3639" w:type="pct"/>
            <w:vAlign w:val="center"/>
          </w:tcPr>
          <w:p w14:paraId="6A116EFE">
            <w:pPr>
              <w:keepNext w:val="0"/>
              <w:keepLines w:val="0"/>
              <w:pageBreakBefore w:val="0"/>
              <w:widowControl w:val="0"/>
              <w:kinsoku/>
              <w:wordWrap/>
              <w:overflowPunct/>
              <w:topLinePunct w:val="0"/>
              <w:autoSpaceDE/>
              <w:autoSpaceDN/>
              <w:bidi w:val="0"/>
              <w:adjustRightInd/>
              <w:snapToGrid/>
              <w:spacing w:before="39" w:line="360" w:lineRule="auto"/>
              <w:textAlignment w:val="auto"/>
              <w:rPr>
                <w:rFonts w:ascii="宋体" w:hAnsi="宋体" w:eastAsia="宋体" w:cs="宋体"/>
                <w:sz w:val="24"/>
                <w:szCs w:val="24"/>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spacing w:val="14"/>
                <w:sz w:val="24"/>
                <w:szCs w:val="24"/>
                <w:highlight w:val="none"/>
              </w:rPr>
              <w:t>采购人</w:t>
            </w:r>
            <w:r>
              <w:rPr>
                <w:rFonts w:hint="eastAsia" w:ascii="宋体" w:hAnsi="宋体" w:eastAsia="宋体" w:cs="宋体"/>
                <w:spacing w:val="14"/>
                <w:sz w:val="24"/>
                <w:szCs w:val="24"/>
                <w:highlight w:val="none"/>
                <w:lang w:val="en-US" w:eastAsia="zh-CN"/>
              </w:rPr>
              <w:t xml:space="preserve">   </w:t>
            </w:r>
            <w:r>
              <w:rPr>
                <w:rFonts w:hint="eastAsia" w:ascii="宋体" w:hAnsi="宋体" w:eastAsia="宋体"/>
                <w:bCs/>
                <w:color w:val="auto"/>
                <w:kern w:val="0"/>
                <w:sz w:val="24"/>
                <w:szCs w:val="28"/>
                <w:highlight w:val="none"/>
              </w:rPr>
              <w:sym w:font="Wingdings" w:char="00A8"/>
            </w:r>
            <w:r>
              <w:rPr>
                <w:rFonts w:ascii="宋体" w:hAnsi="宋体" w:eastAsia="宋体" w:cs="宋体"/>
                <w:spacing w:val="14"/>
                <w:sz w:val="24"/>
                <w:szCs w:val="24"/>
                <w:highlight w:val="none"/>
              </w:rPr>
              <w:t>中标人</w:t>
            </w:r>
          </w:p>
          <w:p w14:paraId="0DE6A3B7">
            <w:pPr>
              <w:keepNext w:val="0"/>
              <w:keepLines w:val="0"/>
              <w:pageBreakBefore w:val="0"/>
              <w:widowControl w:val="0"/>
              <w:kinsoku/>
              <w:wordWrap/>
              <w:overflowPunct/>
              <w:topLinePunct w:val="0"/>
              <w:autoSpaceDE/>
              <w:autoSpaceDN/>
              <w:bidi w:val="0"/>
              <w:adjustRightInd/>
              <w:snapToGrid/>
              <w:spacing w:before="24" w:line="360" w:lineRule="auto"/>
              <w:textAlignment w:val="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hint="eastAsia" w:ascii="宋体" w:hAnsi="宋体" w:eastAsia="宋体"/>
                <w:bCs/>
                <w:color w:val="auto"/>
                <w:kern w:val="0"/>
                <w:sz w:val="24"/>
                <w:szCs w:val="28"/>
                <w:highlight w:val="none"/>
              </w:rPr>
              <w:t>/</w:t>
            </w:r>
          </w:p>
          <w:p w14:paraId="50CEC323">
            <w:pPr>
              <w:keepNext w:val="0"/>
              <w:keepLines w:val="0"/>
              <w:pageBreakBefore w:val="0"/>
              <w:widowControl w:val="0"/>
              <w:kinsoku/>
              <w:wordWrap/>
              <w:overflowPunct/>
              <w:topLinePunct w:val="0"/>
              <w:autoSpaceDE/>
              <w:autoSpaceDN/>
              <w:bidi w:val="0"/>
              <w:adjustRightInd/>
              <w:snapToGrid/>
              <w:spacing w:before="24" w:line="360" w:lineRule="auto"/>
              <w:textAlignment w:val="auto"/>
              <w:rPr>
                <w:rFonts w:ascii="宋体" w:hAnsi="宋体" w:eastAsia="宋体"/>
                <w:b w:val="0"/>
                <w:color w:val="auto"/>
                <w:sz w:val="24"/>
                <w:highlight w:val="none"/>
              </w:rPr>
            </w:pPr>
            <w:r>
              <w:rPr>
                <w:rFonts w:hint="eastAsia" w:ascii="宋体" w:hAnsi="宋体" w:eastAsia="宋体"/>
                <w:bCs/>
                <w:color w:val="auto"/>
                <w:kern w:val="0"/>
                <w:sz w:val="24"/>
                <w:szCs w:val="28"/>
                <w:highlight w:val="none"/>
              </w:rPr>
              <w:t>（3）</w:t>
            </w:r>
            <w:r>
              <w:rPr>
                <w:rFonts w:hint="default" w:ascii="宋体" w:hAnsi="宋体" w:eastAsia="宋体"/>
                <w:bCs/>
                <w:color w:val="auto"/>
                <w:kern w:val="0"/>
                <w:sz w:val="24"/>
                <w:szCs w:val="28"/>
                <w:highlight w:val="none"/>
                <w:lang w:val="en-US" w:eastAsia="zh-CN"/>
              </w:rPr>
              <w:t>收费标准：</w:t>
            </w:r>
            <w:r>
              <w:rPr>
                <w:rFonts w:hint="eastAsia" w:ascii="宋体" w:hAnsi="宋体" w:eastAsia="宋体"/>
                <w:bCs/>
                <w:color w:val="auto"/>
                <w:kern w:val="0"/>
                <w:sz w:val="24"/>
                <w:szCs w:val="28"/>
                <w:highlight w:val="none"/>
                <w:u w:val="single"/>
                <w:lang w:val="en-US" w:eastAsia="zh-CN"/>
              </w:rPr>
              <w:t>代理费8545元，参考《滁州市公共资源交易代理机构及从业人员管理暂行办法》滁公管〔2022〕5号标准及</w:t>
            </w:r>
            <w:r>
              <w:rPr>
                <w:rFonts w:hint="eastAsia" w:ascii="宋体" w:hAnsi="宋体" w:eastAsia="宋体"/>
                <w:bCs/>
                <w:color w:val="auto"/>
                <w:kern w:val="0"/>
                <w:sz w:val="24"/>
                <w:szCs w:val="28"/>
                <w:highlight w:val="none"/>
                <w:u w:val="single"/>
              </w:rPr>
              <w:t>《关于进一步明确代理费计取标准的通知》（滁公管综〔2023〕19号）文件</w:t>
            </w:r>
            <w:r>
              <w:rPr>
                <w:rFonts w:hint="eastAsia" w:ascii="宋体" w:hAnsi="宋体" w:eastAsia="宋体"/>
                <w:bCs/>
                <w:color w:val="auto"/>
                <w:kern w:val="0"/>
                <w:sz w:val="24"/>
                <w:szCs w:val="28"/>
                <w:highlight w:val="none"/>
                <w:lang w:val="en-US" w:eastAsia="zh-CN"/>
              </w:rPr>
              <w:t>。</w:t>
            </w:r>
          </w:p>
        </w:tc>
      </w:tr>
      <w:tr w14:paraId="07A8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6" w:type="pct"/>
            <w:vAlign w:val="center"/>
          </w:tcPr>
          <w:p w14:paraId="306EC6AE">
            <w:pPr>
              <w:pStyle w:val="44"/>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823" w:type="pct"/>
            <w:vAlign w:val="center"/>
          </w:tcPr>
          <w:p w14:paraId="56604392">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639" w:type="pct"/>
            <w:vAlign w:val="center"/>
          </w:tcPr>
          <w:p w14:paraId="7BD76FE2">
            <w:pPr>
              <w:pStyle w:val="4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b/>
                <w:bCs w:val="0"/>
                <w:color w:val="auto"/>
                <w:sz w:val="24"/>
                <w:highlight w:val="none"/>
                <w:u w:val="single"/>
                <w:lang w:val="en-US" w:eastAsia="zh-CN"/>
              </w:rPr>
            </w:pPr>
            <w:r>
              <w:rPr>
                <w:rFonts w:hint="eastAsia" w:ascii="宋体" w:hAnsi="宋体" w:eastAsia="宋体"/>
                <w:b w:val="0"/>
                <w:color w:val="auto"/>
                <w:sz w:val="24"/>
                <w:highlight w:val="none"/>
              </w:rPr>
              <w:t>递交方式：</w:t>
            </w:r>
            <w:r>
              <w:rPr>
                <w:rFonts w:hint="eastAsia" w:ascii="宋体" w:hAnsi="宋体" w:eastAsia="宋体"/>
                <w:b/>
                <w:bCs w:val="0"/>
                <w:color w:val="auto"/>
                <w:sz w:val="24"/>
                <w:highlight w:val="none"/>
                <w:u w:val="single"/>
              </w:rPr>
              <w:t>如投标人对招标文件有质疑，</w:t>
            </w:r>
            <w:r>
              <w:rPr>
                <w:rFonts w:hint="eastAsia" w:ascii="宋体" w:hAnsi="宋体" w:eastAsia="宋体"/>
                <w:b/>
                <w:bCs w:val="0"/>
                <w:color w:val="auto"/>
                <w:sz w:val="24"/>
                <w:highlight w:val="none"/>
                <w:u w:val="single"/>
                <w:lang w:val="en-US" w:eastAsia="zh-CN"/>
              </w:rPr>
              <w:t>依据中华人民共和国财政部令第94号《政府采购质疑和投诉办法》规定提出质疑；</w:t>
            </w:r>
          </w:p>
          <w:p w14:paraId="0815A1F6">
            <w:pPr>
              <w:pStyle w:val="4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b w:val="0"/>
                <w:color w:val="auto"/>
                <w:sz w:val="24"/>
                <w:highlight w:val="none"/>
              </w:rPr>
            </w:pPr>
            <w:r>
              <w:rPr>
                <w:rFonts w:hint="eastAsia" w:ascii="宋体" w:hAnsi="宋体" w:eastAsia="宋体"/>
                <w:b/>
                <w:bCs w:val="0"/>
                <w:color w:val="auto"/>
                <w:sz w:val="24"/>
                <w:highlight w:val="none"/>
                <w:u w:val="single"/>
                <w:lang w:val="en-US" w:eastAsia="zh-CN"/>
              </w:rPr>
              <w:t>投标人</w:t>
            </w:r>
            <w:r>
              <w:rPr>
                <w:rFonts w:hint="eastAsia" w:ascii="宋体" w:hAnsi="宋体" w:eastAsia="宋体"/>
                <w:b/>
                <w:bCs w:val="0"/>
                <w:color w:val="auto"/>
                <w:sz w:val="24"/>
                <w:highlight w:val="none"/>
                <w:u w:val="single"/>
              </w:rPr>
              <w:t>可以通过书面形式提出，也可以通过线上提出质疑</w:t>
            </w:r>
            <w:r>
              <w:rPr>
                <w:rFonts w:hint="eastAsia" w:ascii="宋体" w:hAnsi="宋体" w:eastAsia="宋体"/>
                <w:b/>
                <w:bCs w:val="0"/>
                <w:color w:val="auto"/>
                <w:sz w:val="24"/>
                <w:highlight w:val="none"/>
                <w:u w:val="single"/>
                <w:lang w:eastAsia="zh-CN"/>
              </w:rPr>
              <w:t>【</w:t>
            </w:r>
            <w:r>
              <w:rPr>
                <w:rFonts w:hint="eastAsia" w:ascii="宋体" w:hAnsi="宋体" w:eastAsia="宋体"/>
                <w:b/>
                <w:bCs w:val="0"/>
                <w:color w:val="auto"/>
                <w:sz w:val="24"/>
                <w:highlight w:val="none"/>
                <w:u w:val="single"/>
              </w:rPr>
              <w:t>通过线上向滁州市公共资源交易中心网电子交易系统提出质疑(具体操作步骤和程序请参见服务指南&gt;交易须知&gt;在线异议、质疑和投诉操作手册)</w:t>
            </w:r>
            <w:r>
              <w:rPr>
                <w:rFonts w:hint="eastAsia" w:ascii="宋体" w:hAnsi="宋体" w:eastAsia="宋体"/>
                <w:b/>
                <w:bCs w:val="0"/>
                <w:color w:val="auto"/>
                <w:sz w:val="24"/>
                <w:highlight w:val="none"/>
                <w:u w:val="single"/>
                <w:lang w:eastAsia="zh-CN"/>
              </w:rPr>
              <w:t>】</w:t>
            </w:r>
            <w:r>
              <w:rPr>
                <w:rFonts w:hint="eastAsia" w:ascii="宋体" w:hAnsi="宋体" w:eastAsia="宋体"/>
                <w:b/>
                <w:bCs w:val="0"/>
                <w:color w:val="auto"/>
                <w:sz w:val="24"/>
                <w:highlight w:val="none"/>
                <w:u w:val="single"/>
              </w:rPr>
              <w:t>。一份质疑函只能针对一个项目提出质疑，且针对同一采购程序环节的质疑应当</w:t>
            </w:r>
            <w:r>
              <w:rPr>
                <w:rFonts w:hint="eastAsia" w:ascii="宋体" w:hAnsi="宋体" w:eastAsia="宋体"/>
                <w:b/>
                <w:bCs w:val="0"/>
                <w:color w:val="auto"/>
                <w:sz w:val="24"/>
                <w:highlight w:val="none"/>
                <w:u w:val="single"/>
                <w:lang w:val="en-US" w:eastAsia="zh-CN"/>
              </w:rPr>
              <w:t>一</w:t>
            </w:r>
            <w:r>
              <w:rPr>
                <w:rFonts w:hint="eastAsia" w:ascii="宋体" w:hAnsi="宋体" w:eastAsia="宋体"/>
                <w:b/>
                <w:bCs w:val="0"/>
                <w:color w:val="auto"/>
                <w:sz w:val="24"/>
                <w:highlight w:val="none"/>
                <w:u w:val="single"/>
              </w:rPr>
              <w:t>次性提出</w:t>
            </w:r>
            <w:r>
              <w:rPr>
                <w:rFonts w:hint="eastAsia"/>
                <w:b/>
                <w:bCs w:val="0"/>
                <w:color w:val="auto"/>
                <w:sz w:val="24"/>
                <w:highlight w:val="none"/>
                <w:u w:val="single"/>
                <w:lang w:eastAsia="zh-CN"/>
              </w:rPr>
              <w:t>。</w:t>
            </w:r>
          </w:p>
          <w:p w14:paraId="1445BDB6">
            <w:pPr>
              <w:pStyle w:val="4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b w:val="0"/>
                <w:color w:val="auto"/>
                <w:sz w:val="24"/>
                <w:highlight w:val="none"/>
              </w:rPr>
            </w:pPr>
            <w:r>
              <w:rPr>
                <w:rFonts w:hint="eastAsia" w:ascii="宋体" w:hAnsi="宋体" w:eastAsia="宋体"/>
                <w:b w:val="0"/>
                <w:color w:val="auto"/>
                <w:sz w:val="24"/>
                <w:highlight w:val="none"/>
              </w:rPr>
              <w:t>接收部门：</w:t>
            </w:r>
            <w:r>
              <w:rPr>
                <w:rFonts w:hint="eastAsia" w:ascii="宋体" w:hAnsi="宋体" w:eastAsia="宋体"/>
                <w:b/>
                <w:bCs w:val="0"/>
                <w:color w:val="auto"/>
                <w:sz w:val="24"/>
                <w:highlight w:val="none"/>
                <w:u w:val="single"/>
                <w:lang w:eastAsia="zh-CN"/>
              </w:rPr>
              <w:t>滁州市机电工程学校</w:t>
            </w:r>
            <w:r>
              <w:rPr>
                <w:rFonts w:hint="eastAsia" w:ascii="宋体" w:hAnsi="宋体" w:eastAsia="宋体"/>
                <w:b/>
                <w:bCs w:val="0"/>
                <w:color w:val="auto"/>
                <w:sz w:val="24"/>
                <w:highlight w:val="none"/>
                <w:u w:val="single"/>
                <w:lang w:val="en-US" w:eastAsia="zh-CN"/>
              </w:rPr>
              <w:t>或滁州市政府采购中心</w:t>
            </w:r>
          </w:p>
          <w:p w14:paraId="5CC439EB">
            <w:pPr>
              <w:pStyle w:val="4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b/>
                <w:bCs w:val="0"/>
                <w:color w:val="auto"/>
                <w:sz w:val="24"/>
                <w:highlight w:val="none"/>
                <w:u w:val="single"/>
              </w:rPr>
            </w:pPr>
            <w:r>
              <w:rPr>
                <w:rFonts w:hint="eastAsia" w:ascii="宋体" w:hAnsi="宋体" w:eastAsia="宋体"/>
                <w:b w:val="0"/>
                <w:color w:val="auto"/>
                <w:sz w:val="24"/>
                <w:highlight w:val="none"/>
              </w:rPr>
              <w:t>联系电话：</w:t>
            </w:r>
            <w:r>
              <w:rPr>
                <w:rFonts w:hint="eastAsia" w:ascii="宋体" w:hAnsi="宋体" w:eastAsia="宋体"/>
                <w:b/>
                <w:bCs w:val="0"/>
                <w:color w:val="auto"/>
                <w:sz w:val="24"/>
                <w:highlight w:val="none"/>
                <w:u w:val="single"/>
                <w:lang w:eastAsia="zh-CN"/>
              </w:rPr>
              <w:t>18900505600、0550-3519512、19955012432</w:t>
            </w:r>
          </w:p>
          <w:p w14:paraId="454D68B2">
            <w:pPr>
              <w:pStyle w:val="4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通讯地址：</w:t>
            </w:r>
            <w:r>
              <w:rPr>
                <w:rFonts w:hint="eastAsia" w:ascii="宋体" w:hAnsi="宋体" w:eastAsia="宋体"/>
                <w:b/>
                <w:bCs w:val="0"/>
                <w:color w:val="auto"/>
                <w:sz w:val="24"/>
                <w:highlight w:val="none"/>
                <w:u w:val="single"/>
                <w:lang w:eastAsia="zh-CN"/>
              </w:rPr>
              <w:t>安徽省滁州市丰乐大道2238号</w:t>
            </w:r>
            <w:r>
              <w:rPr>
                <w:rFonts w:hint="eastAsia" w:ascii="宋体" w:hAnsi="宋体" w:eastAsia="宋体"/>
                <w:b/>
                <w:bCs w:val="0"/>
                <w:color w:val="auto"/>
                <w:sz w:val="24"/>
                <w:highlight w:val="none"/>
                <w:u w:val="single"/>
                <w:lang w:val="en-US" w:eastAsia="zh-CN"/>
              </w:rPr>
              <w:t>、</w:t>
            </w:r>
            <w:r>
              <w:rPr>
                <w:rFonts w:hint="eastAsia" w:ascii="宋体" w:hAnsi="宋体" w:eastAsia="宋体"/>
                <w:b/>
                <w:bCs w:val="0"/>
                <w:color w:val="auto"/>
                <w:sz w:val="24"/>
                <w:highlight w:val="none"/>
                <w:u w:val="single"/>
                <w:lang w:eastAsia="zh-CN"/>
              </w:rPr>
              <w:t>滁州市龙蟠大道109号房产商务大厦2楼</w:t>
            </w:r>
          </w:p>
        </w:tc>
      </w:tr>
      <w:tr w14:paraId="65AF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6" w:type="pct"/>
            <w:vAlign w:val="center"/>
          </w:tcPr>
          <w:p w14:paraId="7D80F19C">
            <w:pPr>
              <w:pStyle w:val="44"/>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823" w:type="pct"/>
            <w:vAlign w:val="center"/>
          </w:tcPr>
          <w:p w14:paraId="746E8AD2">
            <w:pPr>
              <w:pStyle w:val="43"/>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639" w:type="pct"/>
            <w:vAlign w:val="center"/>
          </w:tcPr>
          <w:p w14:paraId="23ADAA09">
            <w:pPr>
              <w:pStyle w:val="43"/>
              <w:widowControl w:val="0"/>
              <w:numPr>
                <w:ilvl w:val="0"/>
                <w:numId w:val="0"/>
              </w:numPr>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4EFA775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6B2FF78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07D71DD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6DD43B1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6FE872C5">
            <w:pPr>
              <w:pStyle w:val="43"/>
              <w:widowControl w:val="0"/>
              <w:numPr>
                <w:ilvl w:val="0"/>
                <w:numId w:val="0"/>
              </w:numPr>
              <w:spacing w:before="0" w:beforeAutospacing="0" w:after="0" w:afterAutospacing="0" w:line="360" w:lineRule="auto"/>
              <w:jc w:val="both"/>
              <w:rPr>
                <w:rFonts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p w14:paraId="2BEEF0F0">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56E101F0">
            <w:pPr>
              <w:pStyle w:val="43"/>
              <w:widowControl w:val="0"/>
              <w:numPr>
                <w:ilvl w:val="0"/>
                <w:numId w:val="0"/>
              </w:numPr>
              <w:spacing w:before="0" w:beforeAutospacing="0" w:after="0" w:afterAutospacing="0" w:line="360" w:lineRule="auto"/>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3、电子保函指引：中标人可访问安徽省政府采购网“融资/保函”栏目，申请办理电子保函（包括：履约保函、预付款保函）。</w:t>
            </w:r>
          </w:p>
          <w:p w14:paraId="75FB31B5">
            <w:pPr>
              <w:pStyle w:val="43"/>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4、部分可提供线下政采贷的金融机构</w:t>
            </w:r>
          </w:p>
          <w:p w14:paraId="248EB71E">
            <w:pPr>
              <w:pStyle w:val="43"/>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市本级</w:t>
            </w:r>
          </w:p>
          <w:p w14:paraId="77D1E7C2">
            <w:pPr>
              <w:pStyle w:val="43"/>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金融机构名称：兴业银行滁州分行</w:t>
            </w:r>
          </w:p>
          <w:p w14:paraId="702F0636">
            <w:pPr>
              <w:pStyle w:val="43"/>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安徽省滁州市琅琊区丰乐大道1090号</w:t>
            </w:r>
          </w:p>
          <w:p w14:paraId="7B2BCBAD">
            <w:pPr>
              <w:pStyle w:val="43"/>
              <w:widowControl w:val="0"/>
              <w:numPr>
                <w:ilvl w:val="0"/>
                <w:numId w:val="0"/>
              </w:numPr>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伏庚：17755080811</w:t>
            </w:r>
          </w:p>
          <w:p w14:paraId="4BB0A59A">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8" w:lineRule="auto"/>
              <w:ind w:left="0" w:right="0"/>
              <w:jc w:val="both"/>
              <w:textAlignment w:val="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5、特别提示：</w:t>
            </w:r>
          </w:p>
          <w:p w14:paraId="1AE99496">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8" w:lineRule="auto"/>
              <w:ind w:left="0" w:right="0"/>
              <w:jc w:val="both"/>
              <w:textAlignment w:val="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（1）投标人应填写投标信息并下载招标文件，否则无法上传投标文件。</w:t>
            </w:r>
          </w:p>
          <w:p w14:paraId="382B0747">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8" w:lineRule="auto"/>
              <w:ind w:left="0" w:right="0"/>
              <w:jc w:val="both"/>
              <w:textAlignment w:val="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注：投标人如为联合体的，牵头人必须完善投标人信息，并在上传投标文件环节添加联合体投标信息。</w:t>
            </w:r>
          </w:p>
          <w:p w14:paraId="3EF4776F">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8" w:lineRule="auto"/>
              <w:ind w:left="0" w:right="0"/>
              <w:jc w:val="both"/>
              <w:textAlignment w:val="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2）本项目采用电子招标投标，请投标人在滁州市公共资源交易中心网&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0512-58188516。</w:t>
            </w:r>
          </w:p>
          <w:p w14:paraId="4012FE13">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8" w:lineRule="auto"/>
              <w:ind w:left="0" w:right="0"/>
              <w:jc w:val="both"/>
              <w:textAlignment w:val="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（3）如果过程中出现招标文件更改，应以最后发布的招标答疑澄清文件中的模板制作本项目最新投标文件。</w:t>
            </w:r>
          </w:p>
          <w:p w14:paraId="1B51D9DA">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8" w:lineRule="auto"/>
              <w:ind w:left="0" w:right="0"/>
              <w:jc w:val="both"/>
              <w:textAlignment w:val="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 xml:space="preserve">（4）投标人应当用本单位CA数字证书制作投标文件，制作成功后进行投标文件上传。 </w:t>
            </w:r>
          </w:p>
          <w:p w14:paraId="39CB0B23">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8" w:lineRule="auto"/>
              <w:ind w:left="0" w:right="0"/>
              <w:jc w:val="both"/>
              <w:textAlignment w:val="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5）投标人须用CA数字证书盖章和加密投标文件，建议使用主锁。（如未办理CA数字证书请及时办理，网上办理和窗口办理均可。查看办理所需资料请登录滁州市公共资源交易中心网&gt;服务指南&gt;办事指南&gt;CA数字证书和电子签章。因未及时办理CA数字证书手续导致无法投标的，责任自负。</w:t>
            </w:r>
          </w:p>
          <w:p w14:paraId="5A2F5650">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8" w:lineRule="auto"/>
              <w:ind w:left="0" w:right="0"/>
              <w:jc w:val="both"/>
              <w:textAlignment w:val="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（6）请投标人注意加密投标文件CA数字证书的有效期，不在有效期的CA数字证书无法解密投标文件。</w:t>
            </w:r>
          </w:p>
          <w:p w14:paraId="0562AF6F">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8" w:lineRule="auto"/>
              <w:ind w:left="0" w:right="0"/>
              <w:jc w:val="both"/>
              <w:textAlignment w:val="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（7）投标人投标MAC地址一致，由评标委员会否决其投标。</w:t>
            </w:r>
          </w:p>
          <w:p w14:paraId="338F30F0">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8" w:lineRule="auto"/>
              <w:ind w:left="0" w:right="0"/>
              <w:jc w:val="both"/>
              <w:textAlignment w:val="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（8）投标人单方面出现其他投标人材料的，由评标委员会否决其投标。</w:t>
            </w:r>
          </w:p>
          <w:p w14:paraId="0DE7D47A">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8" w:lineRule="auto"/>
              <w:ind w:left="0" w:right="0"/>
              <w:jc w:val="both"/>
              <w:textAlignment w:val="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9）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2A9C3A38">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8" w:lineRule="auto"/>
              <w:ind w:left="0" w:right="0"/>
              <w:jc w:val="both"/>
              <w:textAlignment w:val="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（10）投标人联系人或联系电话相同的，由评标委员会否决其响应资格，并报告监管部门作不良行为处理和进一步调查。</w:t>
            </w:r>
          </w:p>
          <w:p w14:paraId="145E713C">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8" w:lineRule="auto"/>
              <w:ind w:left="0" w:right="0"/>
              <w:jc w:val="both"/>
              <w:textAlignment w:val="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（11）投标人以联合体名义参与投标的，其质疑投诉应当由联合体全体成员共同提出。联合体成员单独进行质疑投诉的，应当书面征得联合体其他成员同意，联合体成员之间投诉的除外。</w:t>
            </w:r>
          </w:p>
          <w:p w14:paraId="0124F256">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8" w:lineRule="auto"/>
              <w:ind w:left="0" w:right="0"/>
              <w:jc w:val="both"/>
              <w:textAlignment w:val="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12）电子加密响应文件上传到系统后，需要投标人和采购代理公司到截止时间后共同解锁，不存在商务报价等投标信息通过系统泄密的风险；截止时间前，已上传的投标文件也可以撤回修改。集中到开标截止时间前上传电子加密投标文件，可能出现由于投标企业制作电子投标文件不熟练、网络拥堵等不可预知的情况而且无法及时解决，丧失投标机会，请各投标企业提前制作、上传电子加密投标文件，否则由于无法及时上传电子加密投标文件而无效标的情况，责任自负！</w:t>
            </w:r>
          </w:p>
          <w:p w14:paraId="2BE7EC4C">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8" w:lineRule="auto"/>
              <w:ind w:left="0" w:right="0"/>
              <w:jc w:val="both"/>
              <w:textAlignment w:val="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6.评标过程中的澄清、说明或补正：</w:t>
            </w:r>
          </w:p>
          <w:p w14:paraId="4EFA00AA">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8" w:lineRule="auto"/>
              <w:ind w:left="0" w:right="0"/>
              <w:jc w:val="both"/>
              <w:textAlignment w:val="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（1）评标委员会通过网上招投标系统将需要澄清、说明或补正的内容以询标函的形式发送给投标人，投标人应安排专人登录网上招投标系统并保持在线状态，以便及时接收评标委员会可能发出的询标函。</w:t>
            </w:r>
          </w:p>
          <w:p w14:paraId="2EB024F7">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8" w:lineRule="auto"/>
              <w:ind w:left="0" w:right="0"/>
              <w:jc w:val="both"/>
              <w:textAlignment w:val="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p w14:paraId="177D7E95">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8" w:lineRule="auto"/>
              <w:ind w:left="0" w:right="0"/>
              <w:jc w:val="both"/>
              <w:textAlignment w:val="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7.同义词语：</w:t>
            </w:r>
          </w:p>
          <w:p w14:paraId="1B646503">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8" w:lineRule="auto"/>
              <w:ind w:left="0" w:right="0"/>
              <w:jc w:val="both"/>
              <w:textAlignment w:val="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招标文件第六章  投标文件格式、附件1“关于联合惩戒失信行为 加强信用查询管理的通知”等章节中 “招标人”、“供应商”，等同于“采购人”、“投标人”。</w:t>
            </w:r>
          </w:p>
          <w:p w14:paraId="3FE8405F">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8" w:lineRule="auto"/>
              <w:ind w:left="0" w:right="0"/>
              <w:jc w:val="both"/>
              <w:textAlignment w:val="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8.落实政府采购支持节能产品、环境标志产品政策。</w:t>
            </w:r>
          </w:p>
          <w:p w14:paraId="2B7C2000">
            <w:pPr>
              <w:pStyle w:val="43"/>
              <w:widowControl w:val="0"/>
              <w:numPr>
                <w:ilvl w:val="0"/>
                <w:numId w:val="0"/>
              </w:numPr>
              <w:spacing w:before="0" w:beforeAutospacing="0" w:after="0" w:afterAutospacing="0" w:line="360" w:lineRule="auto"/>
              <w:jc w:val="both"/>
              <w:rPr>
                <w:rFonts w:hint="default" w:asciiTheme="minorEastAsia" w:hAnsiTheme="minorEastAsia" w:eastAsiaTheme="minorEastAsia" w:cstheme="minorBidi"/>
                <w:b w:val="0"/>
                <w:bCs/>
                <w:color w:val="auto"/>
                <w:sz w:val="24"/>
                <w:szCs w:val="24"/>
                <w:highlight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9.系统中提供的表格与采购文件中不一致时，以采购文件中提供的表格格式为准。</w:t>
            </w:r>
          </w:p>
        </w:tc>
      </w:tr>
    </w:tbl>
    <w:p w14:paraId="5DC4CF9D">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13" w:name="_Toc24882"/>
      <w:bookmarkStart w:id="14" w:name="_Toc8850"/>
      <w:bookmarkStart w:id="15" w:name="_Toc14880"/>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13"/>
      <w:bookmarkEnd w:id="14"/>
      <w:bookmarkEnd w:id="15"/>
    </w:p>
    <w:p w14:paraId="1BF44B3B">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6447FD2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45B9DC9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5422A99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174AD00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7EB5FA6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2D5D32B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348DA65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59D57FE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7543ADC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48AB86BF">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0D5552E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5.2联合体各方均应符合《中华人民共和国政府采购法》第二十二条规定的条件。</w:t>
      </w:r>
    </w:p>
    <w:p w14:paraId="3AC83EF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6CBBC58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44326D0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65024E8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3F3C491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66A5B6E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3AF83CAD">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21683B0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ABFDD1D">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70F1B94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1833B6B2">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3CBE5DC4">
      <w:pPr>
        <w:spacing w:line="360" w:lineRule="auto"/>
        <w:ind w:firstLine="435"/>
        <w:rPr>
          <w:rFonts w:hint="eastAsia" w:asciiTheme="minorEastAsia" w:hAnsiTheme="minorEastAsia" w:eastAsiaTheme="minorEastAsia"/>
          <w:b/>
          <w:color w:val="auto"/>
          <w:sz w:val="24"/>
          <w:highlight w:val="none"/>
          <w:lang w:val="en-US" w:eastAsia="zh-CN"/>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w:t>
      </w:r>
      <w:r>
        <w:rPr>
          <w:rFonts w:hint="eastAsia" w:ascii="宋体" w:hAnsi="宋体" w:eastAsia="宋体"/>
          <w:color w:val="auto"/>
          <w:sz w:val="24"/>
          <w:highlight w:val="none"/>
          <w:lang w:val="en-US" w:eastAsia="zh-CN"/>
        </w:rPr>
        <w:t>及</w:t>
      </w:r>
      <w:r>
        <w:rPr>
          <w:rFonts w:hint="eastAsia" w:ascii="宋体" w:hAnsi="宋体" w:eastAsia="宋体"/>
          <w:color w:val="auto"/>
          <w:sz w:val="24"/>
          <w:highlight w:val="none"/>
        </w:rPr>
        <w:t>本项目本级和上级财政部门、政府采购监督管理部门的政府采购有关规定的约束，其权利受到上述法律法规的保护。</w:t>
      </w:r>
    </w:p>
    <w:p w14:paraId="6751937E">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5.招标文件构成</w:t>
      </w:r>
    </w:p>
    <w:p w14:paraId="0778BD5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4BA1FAD3">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5DE63B80">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6F799221">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1038F698">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01F50D0F">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0AE12362">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626B4731">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6F1B6A6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22F13DC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4A616D0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0E44888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投标人应认真阅读招标文件所有的事项、格式、条款和技术规范等。</w:t>
      </w:r>
    </w:p>
    <w:p w14:paraId="22E01125">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6.招标文件的澄清与修改</w:t>
      </w:r>
    </w:p>
    <w:p w14:paraId="6466F50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593F48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2064E36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1E10D61D">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22EC0309">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7.投标范围及投标文件中标准和计量单位的使用</w:t>
      </w:r>
    </w:p>
    <w:p w14:paraId="681763A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5A35AAF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49E23BA5">
      <w:pPr>
        <w:spacing w:line="360" w:lineRule="auto"/>
        <w:ind w:firstLine="435"/>
        <w:rPr>
          <w:rFonts w:asciiTheme="minorEastAsia" w:hAnsiTheme="minorEastAsia" w:eastAsiaTheme="minorEastAsia"/>
          <w:color w:val="auto"/>
          <w:sz w:val="24"/>
          <w:highlight w:val="none"/>
        </w:rPr>
      </w:pPr>
      <w:bookmarkStart w:id="16"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16"/>
    <w:p w14:paraId="2CE9092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2B000BC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3F5AC4E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25B292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254CF768">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17" w:name="_Hlk11703583"/>
      <w:r>
        <w:rPr>
          <w:rFonts w:hint="eastAsia" w:asciiTheme="minorEastAsia" w:hAnsiTheme="minorEastAsia" w:eastAsiaTheme="minorEastAsia"/>
          <w:color w:val="auto"/>
          <w:sz w:val="24"/>
          <w:highlight w:val="none"/>
          <w:lang w:val="en-US" w:eastAsia="zh-CN"/>
        </w:rPr>
        <w:t>等。</w:t>
      </w:r>
    </w:p>
    <w:bookmarkEnd w:id="17"/>
    <w:p w14:paraId="348224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7B3C4DA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2380048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08F587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1FF7AA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0323B7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4436AE6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2B006C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0405A4D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52B8EB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473D222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24BC8B8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69B2825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458F10A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3B85D6B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6184B10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3BF0DE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sz w:val="24"/>
          <w:szCs w:val="24"/>
          <w:highlight w:val="none"/>
        </w:rPr>
        <w:t>各投标人应在</w:t>
      </w:r>
      <w:r>
        <w:rPr>
          <w:rFonts w:ascii="宋体" w:hAnsi="宋体" w:eastAsia="宋体" w:cs="宋体"/>
          <w:sz w:val="24"/>
          <w:szCs w:val="24"/>
          <w:highlight w:val="none"/>
          <w:u w:val="single"/>
        </w:rPr>
        <w:t>投标人须知前附表</w:t>
      </w:r>
      <w:r>
        <w:rPr>
          <w:rFonts w:ascii="宋体" w:hAnsi="宋体" w:eastAsia="宋体" w:cs="宋体"/>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78BC477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680C78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2E08B26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3C118CB9">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78EA473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7B9682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772527BE">
      <w:pPr>
        <w:spacing w:line="360" w:lineRule="auto"/>
        <w:ind w:firstLine="435"/>
        <w:rPr>
          <w:rFonts w:hint="eastAsia" w:ascii="宋体" w:hAnsi="宋体" w:eastAsia="宋体" w:cs="宋体"/>
          <w:color w:val="auto"/>
          <w:sz w:val="24"/>
          <w:szCs w:val="24"/>
          <w:highlight w:val="none"/>
        </w:rPr>
      </w:pPr>
      <w:bookmarkStart w:id="18" w:name="_Hlk2466324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15CDAB1E">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5793C52B">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18"/>
    <w:p w14:paraId="32CF1F0F">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1677CDB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355060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1ECDC98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.2如一个分包内只有一种产品，不同投标人所投产品为同一品牌的，按如下方式处理：</w:t>
      </w:r>
    </w:p>
    <w:p w14:paraId="4B6A6FA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.2.1如本项目使用最低评标价法，提供相同品牌产品的不同投标人以其中通过资格审查、符合性审查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sz w:val="24"/>
          <w:highlight w:val="none"/>
          <w:lang w:val="en-US" w:eastAsia="zh-CN"/>
        </w:rPr>
        <w:t>异常低价投标审查</w:t>
      </w:r>
      <w:r>
        <w:rPr>
          <w:rFonts w:ascii="宋体" w:hAnsi="宋体" w:eastAsia="宋体"/>
          <w:color w:val="auto"/>
          <w:sz w:val="24"/>
          <w:highlight w:val="none"/>
        </w:rPr>
        <w:t>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84ED16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.2.2如本项目使用综合评分法，提供相同品牌产品且通过资格审查、符合性审查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sz w:val="24"/>
          <w:highlight w:val="none"/>
          <w:lang w:val="en-US" w:eastAsia="zh-CN"/>
        </w:rPr>
        <w:t>异常低价投标审查</w:t>
      </w:r>
      <w:r>
        <w:rPr>
          <w:rFonts w:ascii="宋体" w:hAnsi="宋体" w:eastAsia="宋体"/>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10BFB16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u w:val="none"/>
          <w:lang w:val="en-US" w:eastAsia="zh-CN"/>
        </w:rPr>
        <w:t>采购需求</w:t>
      </w:r>
      <w:r>
        <w:rPr>
          <w:rFonts w:asciiTheme="minorEastAsia" w:hAnsiTheme="minorEastAsia" w:eastAsiaTheme="minorEastAsia"/>
          <w:color w:val="auto"/>
          <w:sz w:val="24"/>
          <w:highlight w:val="none"/>
          <w:u w:val="none"/>
        </w:rPr>
        <w:t>中</w:t>
      </w:r>
      <w:r>
        <w:rPr>
          <w:rFonts w:asciiTheme="minorEastAsia" w:hAnsiTheme="minorEastAsia" w:eastAsiaTheme="minorEastAsia"/>
          <w:color w:val="auto"/>
          <w:sz w:val="24"/>
          <w:highlight w:val="none"/>
        </w:rPr>
        <w:t>载明核心产品，多家投标人提供的核心产品品牌相同的，按第</w:t>
      </w: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14:paraId="3AC51D0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1B14E3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439B149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r>
        <w:rPr>
          <w:rFonts w:hint="eastAsia" w:ascii="宋体" w:hAnsi="宋体" w:eastAsia="宋体" w:cs="宋体"/>
          <w:b/>
          <w:bCs/>
          <w:color w:val="auto"/>
          <w:sz w:val="24"/>
          <w:highlight w:val="none"/>
        </w:rPr>
        <w:t>本项目采用远程开标，具体操作方法详见服务指南&gt;交易须知&gt;开标大厅远程解密、质疑(异议)及回复以及评标过程中询标流程操作手册。</w:t>
      </w:r>
    </w:p>
    <w:p w14:paraId="2A1124F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asciiTheme="minorEastAsia" w:hAnsiTheme="minorEastAsia" w:eastAsiaTheme="minorEastAsia"/>
          <w:color w:val="auto"/>
          <w:sz w:val="24"/>
          <w:highlight w:val="none"/>
        </w:rPr>
        <w:t>4.2</w:t>
      </w:r>
      <w:r>
        <w:rPr>
          <w:rFonts w:hint="eastAsia" w:asciiTheme="minorEastAsia" w:hAnsiTheme="minorEastAsia" w:eastAsiaTheme="minorEastAsia"/>
          <w:color w:val="auto"/>
          <w:sz w:val="24"/>
          <w:highlight w:val="none"/>
        </w:rPr>
        <w:t>投标人的澄清、说明或补正将作为投标文件的一部分。</w:t>
      </w:r>
    </w:p>
    <w:p w14:paraId="20B8299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1668303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5投标文件报价出现前后不一致的，按照下列规定修正：</w:t>
      </w:r>
    </w:p>
    <w:p w14:paraId="5A45EFDF">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3DD6BC84">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0C911C7E">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29D58767">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1FB7194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45727384">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7CAFD64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0B4310A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482CA2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15BA0A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2BBE37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63282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27075D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59C0C8A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4BEDABA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755B073D">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7B4BAE0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2684790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656220C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7DA9149C">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217638C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7F8A219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405BDA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635B00E3">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220EF5B1">
      <w:pPr>
        <w:pStyle w:val="4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sz w:val="24"/>
          <w:szCs w:val="24"/>
          <w:highlight w:val="none"/>
          <w:lang w:val="en-US" w:eastAsia="zh-CN"/>
        </w:rPr>
      </w:pPr>
      <w:r>
        <w:rPr>
          <w:rFonts w:hint="eastAsia" w:ascii="宋体" w:hAnsi="宋体" w:eastAsia="宋体" w:cs="宋体"/>
          <w:b w:val="0"/>
          <w:i w:val="0"/>
          <w:iCs w:val="0"/>
          <w:sz w:val="24"/>
          <w:szCs w:val="24"/>
          <w:highlight w:val="none"/>
          <w:lang w:val="en-US" w:eastAsia="zh-CN"/>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16554BB">
      <w:pPr>
        <w:pStyle w:val="4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sz w:val="24"/>
          <w:szCs w:val="24"/>
          <w:highlight w:val="none"/>
          <w:lang w:val="en-US" w:eastAsia="zh-CN"/>
        </w:rPr>
      </w:pPr>
      <w:r>
        <w:rPr>
          <w:rFonts w:hint="eastAsia" w:ascii="宋体" w:hAnsi="宋体" w:eastAsia="宋体" w:cs="宋体"/>
          <w:b w:val="0"/>
          <w:i w:val="0"/>
          <w:iCs w:val="0"/>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6434D486">
      <w:pPr>
        <w:pStyle w:val="4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sz w:val="24"/>
          <w:szCs w:val="24"/>
          <w:highlight w:val="none"/>
          <w:lang w:val="en-US" w:eastAsia="zh-CN"/>
        </w:rPr>
      </w:pPr>
      <w:r>
        <w:rPr>
          <w:rFonts w:hint="eastAsia" w:ascii="宋体" w:hAnsi="宋体" w:eastAsia="宋体" w:cs="宋体"/>
          <w:b w:val="0"/>
          <w:i w:val="0"/>
          <w:iCs w:val="0"/>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D8A746B">
      <w:pPr>
        <w:pStyle w:val="4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sz w:val="24"/>
          <w:szCs w:val="24"/>
          <w:highlight w:val="none"/>
          <w:lang w:val="en-US" w:eastAsia="zh-CN"/>
        </w:rPr>
      </w:pPr>
      <w:r>
        <w:rPr>
          <w:rFonts w:hint="eastAsia" w:ascii="宋体" w:hAnsi="宋体" w:eastAsia="宋体" w:cs="宋体"/>
          <w:b w:val="0"/>
          <w:i w:val="0"/>
          <w:iCs w:val="0"/>
          <w:sz w:val="24"/>
          <w:szCs w:val="24"/>
          <w:highlight w:val="none"/>
          <w:lang w:val="en-US" w:eastAsia="zh-CN"/>
        </w:rPr>
        <w:t>17.5同时符合17.3和17.4的价格评审优惠时，评标价为投标报价分别扣除促进中小企业发展政策的价格评审优惠和本国产品支持政策的价格评审优惠后的价格。</w:t>
      </w:r>
    </w:p>
    <w:p w14:paraId="5CC32B4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06E065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2A56F4AA">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1EDF639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500D309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8EB54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1962E13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57C254C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3A7D17E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000000"/>
          <w:kern w:val="2"/>
          <w:sz w:val="24"/>
          <w:szCs w:val="24"/>
          <w:highlight w:val="none"/>
          <w:u w:val="none"/>
          <w:lang w:val="en-US" w:eastAsia="zh-CN" w:bidi="ar-SA"/>
        </w:rPr>
        <w:t>政府采购监督管理部门</w:t>
      </w:r>
      <w:r>
        <w:rPr>
          <w:rFonts w:hint="eastAsia" w:asciiTheme="minorEastAsia" w:hAnsiTheme="minorEastAsia" w:eastAsiaTheme="minorEastAsia"/>
          <w:color w:val="auto"/>
          <w:sz w:val="24"/>
          <w:highlight w:val="none"/>
        </w:rPr>
        <w:t>批准。</w:t>
      </w:r>
    </w:p>
    <w:p w14:paraId="2248A9B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487A3EE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2B9163E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20F65F2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64DA52B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291D26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16E9C88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，则所投产品为节能产品、环境标志产品、不发达地区或少数民族地区产品者优先；若</w:t>
      </w:r>
      <w:r>
        <w:rPr>
          <w:rFonts w:asciiTheme="minorEastAsia" w:hAnsiTheme="minorEastAsia" w:eastAsiaTheme="minorEastAsia"/>
          <w:color w:val="auto"/>
          <w:sz w:val="24"/>
          <w:highlight w:val="none"/>
        </w:rPr>
        <w:t>得分与投标报价均相同</w:t>
      </w:r>
      <w:r>
        <w:rPr>
          <w:rFonts w:hint="eastAsia" w:asciiTheme="minorEastAsia" w:hAnsiTheme="minorEastAsia" w:eastAsiaTheme="minorEastAsia"/>
          <w:color w:val="auto"/>
          <w:sz w:val="24"/>
          <w:highlight w:val="none"/>
        </w:rPr>
        <w:t>且所投产品同为节能产品、环境标志产品、不发达地区或少数民族地区产品的，则采取评标委员会随机抽取的方式确定中标候选顺序。</w:t>
      </w:r>
    </w:p>
    <w:p w14:paraId="03106BD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44B7C34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363C65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3147137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61A0A21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4A55E3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22E267C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064D10D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06D9CACA">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自中标人确定之日起2个工作日内，采购代理机构将在安徽省政府采购网（www.ccgp-anhui.gov.cn）上发布中标结果公告。</w:t>
      </w:r>
    </w:p>
    <w:p w14:paraId="3BC6F6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w:t>
      </w:r>
      <w:r>
        <w:rPr>
          <w:rFonts w:hint="eastAsia" w:ascii="宋体" w:hAnsi="宋体" w:eastAsia="宋体" w:cs="宋体"/>
          <w:color w:val="auto"/>
          <w:sz w:val="24"/>
          <w:highlight w:val="none"/>
        </w:rPr>
        <w:t>品牌（如有）、规格型号、数量、单价</w:t>
      </w:r>
      <w:r>
        <w:rPr>
          <w:rFonts w:asciiTheme="minorEastAsia" w:hAnsiTheme="minorEastAsia" w:eastAsiaTheme="minorEastAsia"/>
          <w:color w:val="auto"/>
          <w:sz w:val="24"/>
          <w:highlight w:val="none"/>
        </w:rPr>
        <w:t>，中标公告期限、评审专家名单以及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7C12106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52DE7CD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3A9F6F2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33F4987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1CC1499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1E4AE37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6C808E8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60A18F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55F6B442">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38D95CA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5383EA1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60CF480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4216231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65C36CF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2909804F">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2547649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7926190C">
      <w:pPr>
        <w:spacing w:line="360" w:lineRule="auto"/>
        <w:ind w:firstLine="437"/>
        <w:outlineLvl w:val="2"/>
        <w:rPr>
          <w:rFonts w:asciiTheme="minorEastAsia" w:hAnsiTheme="minorEastAsia" w:eastAsiaTheme="minorEastAsia"/>
          <w:b/>
          <w:color w:val="auto"/>
          <w:sz w:val="24"/>
          <w:highlight w:val="none"/>
        </w:rPr>
      </w:pPr>
      <w:bookmarkStart w:id="19" w:name="_Toc518923100"/>
      <w:bookmarkStart w:id="20" w:name="_Toc2583661"/>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19"/>
      <w:bookmarkEnd w:id="20"/>
    </w:p>
    <w:p w14:paraId="18C4DC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0322836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12C59DE8">
      <w:pPr>
        <w:spacing w:line="360" w:lineRule="auto"/>
        <w:ind w:firstLine="437"/>
        <w:outlineLvl w:val="2"/>
        <w:rPr>
          <w:rFonts w:asciiTheme="minorEastAsia" w:hAnsiTheme="minorEastAsia" w:eastAsiaTheme="minorEastAsia"/>
          <w:b/>
          <w:color w:val="auto"/>
          <w:sz w:val="24"/>
          <w:highlight w:val="none"/>
        </w:rPr>
      </w:pPr>
      <w:bookmarkStart w:id="21" w:name="_Toc518923101"/>
      <w:bookmarkStart w:id="22" w:name="_Toc2583662"/>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21"/>
      <w:bookmarkEnd w:id="22"/>
    </w:p>
    <w:p w14:paraId="0B1192DE">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471F191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6DF9776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03AEA0C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24D3F218">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6CCC8C4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4875B45E">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2</w:t>
      </w:r>
      <w:r>
        <w:rPr>
          <w:rFonts w:hint="eastAsia"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投诉</w:t>
      </w:r>
    </w:p>
    <w:p w14:paraId="24779597">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32.1质疑投标人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或者线上提交投诉材料（http://ggzy.chuzhou.gov.cn/fwzn/011001/011001001/011001001003/20200221/b079d9ca-90f2-4cce-aa7c-94a444e7ac91.html）。</w:t>
      </w:r>
    </w:p>
    <w:p w14:paraId="77A466E9">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32.2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1915A612">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32.3政府采购监督管理部门在处理投诉事项期间，可以视具体情况书面通知采购人暂停采购活动，但暂停时间最长不得超过30日。</w:t>
      </w:r>
    </w:p>
    <w:p w14:paraId="2258F86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1432393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7084582A">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46B29A95">
      <w:pPr>
        <w:spacing w:line="360" w:lineRule="auto"/>
        <w:jc w:val="center"/>
        <w:outlineLvl w:val="0"/>
        <w:rPr>
          <w:rFonts w:hint="eastAsia" w:asciiTheme="minorEastAsia" w:hAnsiTheme="minorEastAsia" w:eastAsiaTheme="minorEastAsia"/>
          <w:b/>
          <w:color w:val="auto"/>
          <w:sz w:val="28"/>
          <w:highlight w:val="none"/>
          <w:lang w:eastAsia="zh-CN"/>
        </w:rPr>
      </w:pPr>
      <w:bookmarkStart w:id="23" w:name="_Toc13685"/>
      <w:r>
        <w:rPr>
          <w:rFonts w:hint="eastAsia" w:asciiTheme="minorEastAsia" w:hAnsiTheme="minorEastAsia" w:eastAsiaTheme="minorEastAsia"/>
          <w:b/>
          <w:color w:val="auto"/>
          <w:sz w:val="28"/>
          <w:highlight w:val="none"/>
        </w:rPr>
        <w:t>第三章  采购需求</w:t>
      </w:r>
      <w:bookmarkEnd w:id="23"/>
    </w:p>
    <w:p w14:paraId="0D9E3639">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648A9894">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3D19009F">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sz w:val="24"/>
          <w:szCs w:val="24"/>
          <w:highlight w:val="none"/>
        </w:rPr>
        <w:t>政府采购政策（包括但不限于下列具体政策要求</w:t>
      </w:r>
      <w:r>
        <w:rPr>
          <w:rFonts w:hint="eastAsia" w:ascii="宋体" w:hAnsi="宋体" w:eastAsia="宋体" w:cs="宋体"/>
          <w:sz w:val="24"/>
          <w:szCs w:val="24"/>
          <w:highlight w:val="none"/>
          <w:lang w:eastAsia="zh-CN"/>
        </w:rPr>
        <w:t>）</w:t>
      </w:r>
      <w:r>
        <w:rPr>
          <w:rFonts w:hint="eastAsia" w:ascii="宋体" w:hAnsi="宋体" w:eastAsia="宋体"/>
          <w:color w:val="auto"/>
          <w:sz w:val="24"/>
          <w:szCs w:val="18"/>
          <w:highlight w:val="none"/>
        </w:rPr>
        <w:t>：</w:t>
      </w:r>
    </w:p>
    <w:p w14:paraId="33939EB8">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（1）如属于《节能产品政府采购品目清单》中政府强制采购的节能产品，则在投标文件中提供</w:t>
      </w:r>
      <w:r>
        <w:rPr>
          <w:rFonts w:hint="eastAsia" w:ascii="宋体" w:hAnsi="宋体" w:eastAsia="宋体" w:cs="宋体"/>
          <w:color w:val="auto"/>
          <w:sz w:val="24"/>
          <w:szCs w:val="24"/>
          <w:highlight w:val="none"/>
          <w:lang w:val="en-US" w:eastAsia="zh-CN"/>
        </w:rPr>
        <w:t>所投</w:t>
      </w:r>
      <w:r>
        <w:rPr>
          <w:rFonts w:hint="eastAsia" w:ascii="宋体" w:hAnsi="宋体" w:eastAsia="宋体" w:cs="宋体"/>
          <w:color w:val="auto"/>
          <w:sz w:val="24"/>
          <w:szCs w:val="24"/>
          <w:highlight w:val="none"/>
        </w:rPr>
        <w:t>产品须具有市场监管总局公布的《参与实施政府采购节能产品认证机构目录》中的认证机构出具的、处于有效期内的节能产品认证证书。</w:t>
      </w:r>
    </w:p>
    <w:p w14:paraId="799BB42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spacing w:line="360" w:lineRule="auto"/>
        <w:ind w:firstLine="435"/>
        <w:rPr>
          <w:color w:val="auto"/>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30B0ED33">
      <w:pPr>
        <w:spacing w:line="360" w:lineRule="auto"/>
        <w:ind w:firstLine="437"/>
        <w:outlineLvl w:val="1"/>
        <w:rPr>
          <w:rFonts w:ascii="宋体" w:hAnsi="宋体" w:eastAsia="宋体"/>
          <w:b/>
          <w:color w:val="auto"/>
          <w:sz w:val="24"/>
          <w:szCs w:val="18"/>
          <w:highlight w:val="none"/>
        </w:rPr>
      </w:pPr>
      <w:bookmarkStart w:id="24" w:name="_Toc32151"/>
      <w:bookmarkStart w:id="25" w:name="_Toc2554"/>
      <w:bookmarkStart w:id="26" w:name="_Toc16826"/>
      <w:r>
        <w:rPr>
          <w:rFonts w:hint="eastAsia" w:ascii="宋体" w:hAnsi="宋体" w:eastAsia="宋体"/>
          <w:b/>
          <w:color w:val="auto"/>
          <w:sz w:val="24"/>
          <w:szCs w:val="18"/>
          <w:highlight w:val="none"/>
        </w:rPr>
        <w:t>一、采购需求前附表</w:t>
      </w:r>
      <w:bookmarkEnd w:id="24"/>
      <w:bookmarkEnd w:id="25"/>
      <w:bookmarkEnd w:id="26"/>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2215"/>
        <w:gridCol w:w="5977"/>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44"/>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200C6B67">
            <w:pPr>
              <w:pStyle w:val="43"/>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E08E055">
            <w:pPr>
              <w:pStyle w:val="43"/>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EA999D1">
            <w:pPr>
              <w:pStyle w:val="43"/>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609B3175">
            <w:pPr>
              <w:pStyle w:val="43"/>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lang w:val="en-US" w:eastAsia="zh-CN"/>
              </w:rPr>
              <w:t>合同签订且具备实施条件后，支付合同价的40%预付款（预付款支付前，中标人须提供同等金额的见索即付保函），全部供货安装调试完毕并由采购人验收合格后，一次性付清结算价款。</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400801A7">
            <w:pPr>
              <w:pStyle w:val="43"/>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217" w:type="pct"/>
            <w:vAlign w:val="center"/>
          </w:tcPr>
          <w:p w14:paraId="008E1630">
            <w:pPr>
              <w:pStyle w:val="43"/>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cs="宋体"/>
                <w:b w:val="0"/>
                <w:color w:val="auto"/>
                <w:sz w:val="24"/>
                <w:highlight w:val="none"/>
                <w:u w:val="none"/>
              </w:rPr>
              <w:t>采购人指定地点</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28D0729D">
            <w:pPr>
              <w:pStyle w:val="43"/>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217" w:type="pct"/>
            <w:vAlign w:val="center"/>
          </w:tcPr>
          <w:p w14:paraId="79FDDCAC">
            <w:pPr>
              <w:pStyle w:val="43"/>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lang w:val="en-US" w:eastAsia="zh-CN"/>
              </w:rPr>
              <w:t>自合同签订并接到采购人通知之日起30个日历天内完成全部货物的供货、安装、调试。</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6BA5A37C">
            <w:pPr>
              <w:pStyle w:val="43"/>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3217" w:type="pct"/>
            <w:vAlign w:val="center"/>
          </w:tcPr>
          <w:p w14:paraId="757D9F25">
            <w:pPr>
              <w:pStyle w:val="43"/>
              <w:widowControl w:val="0"/>
              <w:spacing w:before="0" w:beforeAutospacing="0" w:after="0" w:afterAutospacing="0" w:line="360" w:lineRule="auto"/>
              <w:jc w:val="both"/>
              <w:rPr>
                <w:rFonts w:hint="eastAsia" w:ascii="宋体" w:hAnsi="宋体" w:eastAsia="宋体" w:cs="宋体"/>
                <w:b w:val="0"/>
                <w:color w:val="auto"/>
                <w:sz w:val="24"/>
                <w:highlight w:val="none"/>
                <w:u w:val="none"/>
                <w:lang w:val="en-US" w:eastAsia="zh-CN"/>
              </w:rPr>
            </w:pPr>
            <w:r>
              <w:rPr>
                <w:rFonts w:hint="eastAsia" w:ascii="宋体" w:hAnsi="宋体" w:eastAsia="宋体" w:cs="宋体"/>
                <w:b w:val="0"/>
                <w:color w:val="auto"/>
                <w:sz w:val="24"/>
                <w:highlight w:val="none"/>
                <w:u w:val="none"/>
                <w:lang w:val="en-US" w:eastAsia="zh-CN"/>
              </w:rPr>
              <w:t>提供至少3年的免费质保服务。</w:t>
            </w:r>
          </w:p>
          <w:p w14:paraId="0D94A51E">
            <w:pPr>
              <w:pStyle w:val="43"/>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cs="宋体"/>
                <w:b w:val="0"/>
                <w:color w:val="auto"/>
                <w:sz w:val="24"/>
                <w:highlight w:val="none"/>
                <w:u w:val="none"/>
                <w:lang w:val="en-US" w:eastAsia="zh-CN"/>
              </w:rPr>
              <w:t>投标人至少提供8年免费会议保障，根据采购人要求派驻人员到场进行会议保障</w:t>
            </w:r>
          </w:p>
        </w:tc>
      </w:tr>
    </w:tbl>
    <w:p w14:paraId="3E806DB2">
      <w:pPr>
        <w:numPr>
          <w:ilvl w:val="0"/>
          <w:numId w:val="1"/>
        </w:numPr>
        <w:spacing w:line="360" w:lineRule="auto"/>
        <w:ind w:firstLine="437"/>
        <w:outlineLvl w:val="1"/>
        <w:rPr>
          <w:rFonts w:hint="eastAsia" w:ascii="宋体" w:hAnsi="宋体" w:eastAsia="宋体"/>
          <w:b/>
          <w:bCs/>
          <w:color w:val="auto"/>
          <w:sz w:val="24"/>
          <w:szCs w:val="18"/>
          <w:highlight w:val="none"/>
        </w:rPr>
      </w:pPr>
      <w:bookmarkStart w:id="27" w:name="_Toc7671"/>
      <w:bookmarkStart w:id="28" w:name="_Toc5944"/>
      <w:bookmarkStart w:id="29" w:name="_Toc3599"/>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27"/>
      <w:bookmarkEnd w:id="28"/>
      <w:bookmarkEnd w:id="29"/>
    </w:p>
    <w:p w14:paraId="23E8E36F">
      <w:pPr>
        <w:widowControl w:val="0"/>
        <w:numPr>
          <w:ilvl w:val="0"/>
          <w:numId w:val="0"/>
        </w:numPr>
        <w:spacing w:line="360" w:lineRule="auto"/>
        <w:ind w:firstLine="480" w:firstLineChars="200"/>
        <w:jc w:val="both"/>
        <w:outlineLvl w:val="1"/>
        <w:rPr>
          <w:rFonts w:hint="eastAsia" w:ascii="宋体" w:hAnsi="宋体" w:eastAsia="宋体"/>
          <w:b w:val="0"/>
          <w:bCs w:val="0"/>
          <w:color w:val="auto"/>
          <w:sz w:val="24"/>
          <w:szCs w:val="18"/>
          <w:highlight w:val="none"/>
        </w:rPr>
      </w:pPr>
    </w:p>
    <w:p w14:paraId="3491A7D8">
      <w:pPr>
        <w:widowControl w:val="0"/>
        <w:numPr>
          <w:ilvl w:val="0"/>
          <w:numId w:val="0"/>
        </w:numPr>
        <w:spacing w:line="360" w:lineRule="auto"/>
        <w:ind w:firstLine="480" w:firstLineChars="200"/>
        <w:jc w:val="both"/>
        <w:outlineLvl w:val="1"/>
        <w:rPr>
          <w:rFonts w:hint="eastAsia" w:ascii="宋体" w:hAnsi="宋体" w:eastAsia="宋体"/>
          <w:b w:val="0"/>
          <w:bCs w:val="0"/>
          <w:color w:val="auto"/>
          <w:sz w:val="24"/>
          <w:szCs w:val="18"/>
          <w:highlight w:val="none"/>
        </w:rPr>
      </w:pPr>
    </w:p>
    <w:tbl>
      <w:tblPr>
        <w:tblStyle w:val="25"/>
        <w:tblW w:w="4999" w:type="pct"/>
        <w:tblInd w:w="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710"/>
        <w:gridCol w:w="4131"/>
        <w:gridCol w:w="1161"/>
        <w:gridCol w:w="833"/>
        <w:gridCol w:w="1259"/>
        <w:gridCol w:w="490"/>
      </w:tblGrid>
      <w:tr w14:paraId="7731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ign w:val="center"/>
          </w:tcPr>
          <w:p w14:paraId="49E7827F">
            <w:pPr>
              <w:widowControl/>
              <w:spacing w:line="400" w:lineRule="exact"/>
              <w:jc w:val="center"/>
              <w:textAlignment w:val="center"/>
              <w:rPr>
                <w:rFonts w:ascii="宋体" w:hAnsi="宋体" w:eastAsia="宋体" w:cs="宋体"/>
                <w:b/>
                <w:bCs/>
                <w:color w:val="auto"/>
                <w:szCs w:val="21"/>
              </w:rPr>
            </w:pPr>
            <w:r>
              <w:rPr>
                <w:rFonts w:hint="eastAsia" w:ascii="宋体" w:hAnsi="宋体" w:eastAsia="宋体" w:cs="宋体"/>
                <w:b/>
                <w:bCs/>
                <w:color w:val="auto"/>
                <w:kern w:val="0"/>
                <w:szCs w:val="21"/>
                <w:lang w:bidi="ar"/>
              </w:rPr>
              <w:t>序号</w:t>
            </w:r>
          </w:p>
        </w:tc>
        <w:tc>
          <w:tcPr>
            <w:tcW w:w="710" w:type="dxa"/>
            <w:shd w:val="clear" w:color="auto" w:fill="auto"/>
            <w:vAlign w:val="center"/>
          </w:tcPr>
          <w:p w14:paraId="195416F8">
            <w:pPr>
              <w:widowControl/>
              <w:spacing w:line="400" w:lineRule="exact"/>
              <w:jc w:val="center"/>
              <w:textAlignment w:val="center"/>
              <w:rPr>
                <w:rFonts w:ascii="宋体" w:hAnsi="宋体" w:eastAsia="宋体" w:cs="宋体"/>
                <w:b/>
                <w:bCs/>
                <w:color w:val="auto"/>
                <w:szCs w:val="21"/>
              </w:rPr>
            </w:pPr>
            <w:r>
              <w:rPr>
                <w:rFonts w:hint="eastAsia" w:ascii="宋体" w:hAnsi="宋体" w:eastAsia="宋体" w:cs="宋体"/>
                <w:b/>
                <w:bCs/>
                <w:color w:val="auto"/>
                <w:kern w:val="0"/>
                <w:szCs w:val="21"/>
                <w:lang w:bidi="ar"/>
              </w:rPr>
              <w:t>货物名称</w:t>
            </w:r>
          </w:p>
        </w:tc>
        <w:tc>
          <w:tcPr>
            <w:tcW w:w="4131" w:type="dxa"/>
            <w:shd w:val="clear" w:color="auto" w:fill="auto"/>
            <w:vAlign w:val="center"/>
          </w:tcPr>
          <w:p w14:paraId="7D513513">
            <w:pPr>
              <w:widowControl/>
              <w:spacing w:line="400" w:lineRule="exact"/>
              <w:jc w:val="center"/>
              <w:textAlignment w:val="center"/>
              <w:rPr>
                <w:rFonts w:ascii="宋体" w:hAnsi="宋体" w:eastAsia="宋体" w:cs="宋体"/>
                <w:b/>
                <w:bCs/>
                <w:color w:val="auto"/>
                <w:szCs w:val="21"/>
              </w:rPr>
            </w:pPr>
            <w:r>
              <w:rPr>
                <w:rFonts w:hint="eastAsia" w:ascii="宋体" w:hAnsi="宋体" w:eastAsia="宋体" w:cs="宋体"/>
                <w:b/>
                <w:bCs/>
                <w:color w:val="auto"/>
                <w:kern w:val="0"/>
                <w:szCs w:val="21"/>
                <w:lang w:bidi="ar"/>
              </w:rPr>
              <w:t>技术参数及要求</w:t>
            </w:r>
          </w:p>
        </w:tc>
        <w:tc>
          <w:tcPr>
            <w:tcW w:w="1161" w:type="dxa"/>
            <w:shd w:val="clear" w:color="auto" w:fill="auto"/>
            <w:noWrap/>
            <w:vAlign w:val="center"/>
          </w:tcPr>
          <w:p w14:paraId="46E3151D">
            <w:pPr>
              <w:widowControl/>
              <w:spacing w:line="400" w:lineRule="exact"/>
              <w:jc w:val="center"/>
              <w:textAlignment w:val="center"/>
              <w:rPr>
                <w:rFonts w:hint="eastAsia" w:ascii="宋体" w:hAnsi="宋体" w:eastAsia="宋体" w:cs="宋体"/>
                <w:b/>
                <w:bCs/>
                <w:color w:val="auto"/>
                <w:kern w:val="0"/>
                <w:szCs w:val="21"/>
                <w:lang w:bidi="ar"/>
              </w:rPr>
            </w:pPr>
            <w:r>
              <w:rPr>
                <w:rFonts w:hint="eastAsia" w:ascii="宋体" w:hAnsi="宋体" w:eastAsia="宋体" w:cs="宋体"/>
                <w:b/>
                <w:bCs/>
                <w:color w:val="auto"/>
                <w:kern w:val="0"/>
                <w:szCs w:val="21"/>
                <w:lang w:bidi="ar"/>
              </w:rPr>
              <w:t>数量</w:t>
            </w:r>
          </w:p>
          <w:p w14:paraId="015B845E">
            <w:pPr>
              <w:widowControl/>
              <w:spacing w:line="400" w:lineRule="exact"/>
              <w:jc w:val="center"/>
              <w:textAlignment w:val="center"/>
              <w:rPr>
                <w:rFonts w:ascii="宋体" w:hAnsi="宋体" w:eastAsia="宋体" w:cs="宋体"/>
                <w:b/>
                <w:bCs/>
                <w:color w:val="auto"/>
                <w:szCs w:val="21"/>
              </w:rPr>
            </w:pPr>
            <w:r>
              <w:rPr>
                <w:rFonts w:hint="eastAsia" w:ascii="宋体" w:hAnsi="宋体" w:eastAsia="宋体" w:cs="宋体"/>
                <w:b/>
                <w:bCs/>
                <w:color w:val="auto"/>
                <w:kern w:val="0"/>
                <w:szCs w:val="21"/>
                <w:lang w:bidi="ar"/>
              </w:rPr>
              <w:t>（单位）</w:t>
            </w:r>
          </w:p>
        </w:tc>
        <w:tc>
          <w:tcPr>
            <w:tcW w:w="833" w:type="dxa"/>
            <w:shd w:val="clear" w:color="auto" w:fill="auto"/>
            <w:vAlign w:val="center"/>
          </w:tcPr>
          <w:p w14:paraId="5B4D724B">
            <w:pPr>
              <w:widowControl/>
              <w:spacing w:line="400" w:lineRule="exact"/>
              <w:jc w:val="center"/>
              <w:textAlignment w:val="center"/>
              <w:rPr>
                <w:rFonts w:ascii="宋体" w:hAnsi="宋体" w:eastAsia="宋体" w:cs="宋体"/>
                <w:b/>
                <w:bCs/>
                <w:color w:val="auto"/>
                <w:szCs w:val="21"/>
              </w:rPr>
            </w:pPr>
            <w:r>
              <w:rPr>
                <w:rFonts w:hint="eastAsia" w:ascii="宋体" w:hAnsi="宋体" w:eastAsia="宋体" w:cs="宋体"/>
                <w:b/>
                <w:bCs/>
                <w:color w:val="auto"/>
                <w:kern w:val="0"/>
                <w:szCs w:val="21"/>
                <w:lang w:bidi="ar"/>
              </w:rPr>
              <w:t>所属行业</w:t>
            </w:r>
          </w:p>
        </w:tc>
        <w:tc>
          <w:tcPr>
            <w:tcW w:w="1259" w:type="dxa"/>
            <w:shd w:val="clear" w:color="auto" w:fill="auto"/>
            <w:vAlign w:val="center"/>
          </w:tcPr>
          <w:p w14:paraId="38A47EC5">
            <w:pPr>
              <w:widowControl/>
              <w:spacing w:line="400" w:lineRule="exact"/>
              <w:jc w:val="center"/>
              <w:textAlignment w:val="center"/>
              <w:rPr>
                <w:rFonts w:ascii="宋体" w:hAnsi="宋体" w:eastAsia="宋体" w:cs="宋体"/>
                <w:b/>
                <w:bCs/>
                <w:color w:val="auto"/>
                <w:szCs w:val="21"/>
              </w:rPr>
            </w:pPr>
            <w:r>
              <w:rPr>
                <w:rFonts w:hint="eastAsia" w:ascii="宋体" w:hAnsi="宋体" w:eastAsia="宋体" w:cs="宋体"/>
                <w:b/>
                <w:bCs/>
                <w:color w:val="auto"/>
                <w:kern w:val="0"/>
                <w:szCs w:val="21"/>
                <w:lang w:bidi="ar"/>
              </w:rPr>
              <w:t>是否为核心产品</w:t>
            </w:r>
          </w:p>
        </w:tc>
        <w:tc>
          <w:tcPr>
            <w:tcW w:w="490" w:type="dxa"/>
            <w:shd w:val="clear" w:color="auto" w:fill="auto"/>
            <w:vAlign w:val="center"/>
          </w:tcPr>
          <w:p w14:paraId="5D1723BB">
            <w:pPr>
              <w:widowControl/>
              <w:spacing w:line="400" w:lineRule="exact"/>
              <w:jc w:val="center"/>
              <w:textAlignment w:val="center"/>
              <w:rPr>
                <w:rFonts w:ascii="宋体" w:hAnsi="宋体" w:eastAsia="宋体" w:cs="宋体"/>
                <w:b/>
                <w:bCs/>
                <w:color w:val="auto"/>
                <w:szCs w:val="21"/>
              </w:rPr>
            </w:pPr>
            <w:r>
              <w:rPr>
                <w:rFonts w:hint="eastAsia" w:ascii="宋体" w:hAnsi="宋体" w:eastAsia="宋体" w:cs="宋体"/>
                <w:b/>
                <w:bCs/>
                <w:color w:val="auto"/>
                <w:kern w:val="0"/>
                <w:szCs w:val="21"/>
                <w:lang w:bidi="ar"/>
              </w:rPr>
              <w:t>备注</w:t>
            </w:r>
          </w:p>
        </w:tc>
      </w:tr>
      <w:tr w14:paraId="16E01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4" w:hRule="atLeast"/>
        </w:trPr>
        <w:tc>
          <w:tcPr>
            <w:tcW w:w="703" w:type="dxa"/>
            <w:shd w:val="clear" w:color="auto" w:fill="auto"/>
            <w:noWrap/>
            <w:vAlign w:val="center"/>
          </w:tcPr>
          <w:p w14:paraId="0B663AAA">
            <w:pPr>
              <w:widowControl/>
              <w:spacing w:line="400" w:lineRule="exact"/>
              <w:jc w:val="center"/>
              <w:textAlignment w:val="center"/>
              <w:rPr>
                <w:rFonts w:ascii="宋体" w:hAnsi="宋体" w:eastAsia="宋体" w:cs="宋体"/>
                <w:b/>
                <w:bCs/>
                <w:color w:val="auto"/>
                <w:szCs w:val="21"/>
              </w:rPr>
            </w:pPr>
            <w:r>
              <w:rPr>
                <w:rFonts w:hint="eastAsia" w:ascii="宋体" w:hAnsi="宋体" w:eastAsia="宋体" w:cs="宋体"/>
                <w:b/>
                <w:bCs/>
                <w:color w:val="auto"/>
                <w:kern w:val="0"/>
                <w:szCs w:val="21"/>
                <w:lang w:bidi="ar"/>
              </w:rPr>
              <w:t>1</w:t>
            </w:r>
          </w:p>
        </w:tc>
        <w:tc>
          <w:tcPr>
            <w:tcW w:w="710" w:type="dxa"/>
            <w:shd w:val="clear" w:color="auto" w:fill="auto"/>
            <w:vAlign w:val="center"/>
          </w:tcPr>
          <w:p w14:paraId="299D0F29">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LED显示屏主屏</w:t>
            </w:r>
          </w:p>
        </w:tc>
        <w:tc>
          <w:tcPr>
            <w:tcW w:w="4131" w:type="dxa"/>
            <w:shd w:val="clear" w:color="auto" w:fill="auto"/>
            <w:vAlign w:val="center"/>
          </w:tcPr>
          <w:p w14:paraId="38503046">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屏体尺寸：10.8m*4.05m；分辨率不低于8640*3240；</w:t>
            </w:r>
          </w:p>
          <w:p w14:paraId="58CA9794">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★1.像素构成 表贴三合一，1R1G1B 封装；点间距 (mm)≤1.25；</w:t>
            </w:r>
          </w:p>
          <w:p w14:paraId="4EB92F70">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2.箱体尺寸：600mm*337.5mm；</w:t>
            </w:r>
          </w:p>
          <w:p w14:paraId="0FBA8FF8">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3.</w:t>
            </w:r>
            <w:r>
              <w:rPr>
                <w:rFonts w:hint="eastAsia" w:ascii="宋体" w:hAnsi="宋体" w:eastAsia="宋体" w:cs="宋体"/>
                <w:b/>
                <w:bCs/>
                <w:color w:val="auto"/>
                <w:kern w:val="0"/>
                <w:szCs w:val="21"/>
                <w:lang w:bidi="ar"/>
              </w:rPr>
              <w:t>▲亮度≥850nits,支持通过配套软件0-100%无级调节；刷新频率≥4200Hz</w:t>
            </w:r>
            <w:r>
              <w:rPr>
                <w:rFonts w:hint="eastAsia" w:ascii="宋体" w:hAnsi="宋体" w:eastAsia="宋体" w:cs="宋体"/>
                <w:color w:val="auto"/>
                <w:kern w:val="0"/>
                <w:szCs w:val="21"/>
                <w:lang w:bidi="ar"/>
              </w:rPr>
              <w:t xml:space="preserve"> (</w:t>
            </w:r>
            <w:r>
              <w:rPr>
                <w:rFonts w:hint="eastAsia" w:ascii="宋体" w:hAnsi="宋体" w:eastAsia="宋体" w:cs="宋体"/>
                <w:color w:val="auto"/>
                <w:kern w:val="0"/>
                <w:szCs w:val="21"/>
                <w:lang w:eastAsia="zh-CN" w:bidi="ar"/>
              </w:rPr>
              <w:t>提供有效的第三方检测报告扫描件或产品说明书扫描件或官网截图扫描件等其他证明材料</w:t>
            </w:r>
            <w:r>
              <w:rPr>
                <w:rFonts w:hint="eastAsia" w:ascii="宋体" w:hAnsi="宋体" w:eastAsia="宋体" w:cs="宋体"/>
                <w:color w:val="auto"/>
                <w:kern w:val="0"/>
                <w:szCs w:val="21"/>
                <w:lang w:bidi="ar"/>
              </w:rPr>
              <w:t>)；</w:t>
            </w:r>
          </w:p>
          <w:p w14:paraId="3E118B9C">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4.</w:t>
            </w:r>
            <w:r>
              <w:rPr>
                <w:rFonts w:hint="eastAsia" w:ascii="宋体" w:hAnsi="宋体" w:eastAsia="宋体" w:cs="宋体"/>
                <w:b/>
                <w:bCs/>
                <w:color w:val="auto"/>
                <w:kern w:val="0"/>
                <w:szCs w:val="21"/>
                <w:lang w:bidi="ar"/>
              </w:rPr>
              <w:t>▲水平视角 ≥175° 垂直视角 ≥175°；最大对比度 ≥ 12000:1(全白/全黑，环境照度 0.05lux)</w:t>
            </w:r>
            <w:r>
              <w:rPr>
                <w:rFonts w:hint="eastAsia" w:ascii="宋体" w:hAnsi="宋体" w:eastAsia="宋体" w:cs="宋体"/>
                <w:color w:val="auto"/>
                <w:kern w:val="0"/>
                <w:szCs w:val="21"/>
                <w:lang w:bidi="ar"/>
              </w:rPr>
              <w:t xml:space="preserve"> (</w:t>
            </w:r>
            <w:r>
              <w:rPr>
                <w:rFonts w:hint="eastAsia" w:ascii="宋体" w:hAnsi="宋体" w:eastAsia="宋体" w:cs="宋体"/>
                <w:color w:val="auto"/>
                <w:kern w:val="0"/>
                <w:szCs w:val="21"/>
                <w:lang w:eastAsia="zh-CN" w:bidi="ar"/>
              </w:rPr>
              <w:t>提供有效的第三方检测报告扫描件或产品说明书扫描件或官网截图扫描件等其他证明材料</w:t>
            </w:r>
            <w:r>
              <w:rPr>
                <w:rFonts w:hint="eastAsia" w:ascii="宋体" w:hAnsi="宋体" w:eastAsia="宋体" w:cs="宋体"/>
                <w:color w:val="auto"/>
                <w:kern w:val="0"/>
                <w:szCs w:val="21"/>
                <w:lang w:bidi="ar"/>
              </w:rPr>
              <w:t>)；</w:t>
            </w:r>
          </w:p>
          <w:p w14:paraId="4C7481EC">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5.显示单元平整度偏差≤0.05mm(垂直偏差JX≤5%；水平偏差：CS≤5%) ；单元拼接间隙≤0.05mm；</w:t>
            </w:r>
          </w:p>
          <w:p w14:paraId="74B1830B">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6.色温≥2000-15000K 可调，色温误差：色温为 6500K 时，100%，75%，50%，25% 四档电平白场调节色温误差≤200K；</w:t>
            </w:r>
          </w:p>
          <w:p w14:paraId="7DB62C74">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 xml:space="preserve">7.亮度均匀性(校正后)≥98%；亮度均匀性LMG≤5%；发光点中心跑偏差≤1%；色度均匀性±0.002Cx,Cy；灰度等级256级；换帧频率50&amp;60Hz； </w:t>
            </w:r>
          </w:p>
          <w:p w14:paraId="58C00625">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8.</w:t>
            </w:r>
            <w:r>
              <w:rPr>
                <w:rFonts w:hint="eastAsia" w:ascii="宋体" w:hAnsi="宋体" w:eastAsia="宋体" w:cs="宋体"/>
                <w:b/>
                <w:bCs/>
                <w:color w:val="auto"/>
                <w:kern w:val="0"/>
                <w:szCs w:val="21"/>
                <w:lang w:bidi="ar"/>
              </w:rPr>
              <w:t>▲灰度分层校正 依据 LED 灯发光曲线参数，一级一级的灰度进行亮度、色度修正。分段多套校正数据，实现显示自动匹灰阶校正数据</w:t>
            </w:r>
            <w:r>
              <w:rPr>
                <w:rFonts w:hint="eastAsia" w:ascii="宋体" w:hAnsi="宋体" w:eastAsia="宋体" w:cs="宋体"/>
                <w:color w:val="auto"/>
                <w:kern w:val="0"/>
                <w:szCs w:val="21"/>
                <w:lang w:bidi="ar"/>
              </w:rPr>
              <w:t>(</w:t>
            </w:r>
            <w:r>
              <w:rPr>
                <w:rFonts w:hint="eastAsia" w:ascii="宋体" w:hAnsi="宋体" w:eastAsia="宋体" w:cs="宋体"/>
                <w:color w:val="auto"/>
                <w:kern w:val="0"/>
                <w:szCs w:val="21"/>
                <w:lang w:eastAsia="zh-CN" w:bidi="ar"/>
              </w:rPr>
              <w:t>提供有效的第三方检测报告扫描件或产品说明书扫描件或官网截图扫描件等其他证明材料</w:t>
            </w:r>
            <w:r>
              <w:rPr>
                <w:rFonts w:hint="eastAsia" w:ascii="宋体" w:hAnsi="宋体" w:eastAsia="宋体" w:cs="宋体"/>
                <w:color w:val="auto"/>
                <w:kern w:val="0"/>
                <w:szCs w:val="21"/>
                <w:lang w:bidi="ar"/>
              </w:rPr>
              <w:t>)；</w:t>
            </w:r>
          </w:p>
          <w:p w14:paraId="7F8FDBEF">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 xml:space="preserve">9.峰值功耗≤500W/m²平均功率≤200W/m² </w:t>
            </w:r>
          </w:p>
          <w:p w14:paraId="008A1A7C">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10.</w:t>
            </w:r>
            <w:r>
              <w:rPr>
                <w:rFonts w:hint="eastAsia" w:ascii="宋体" w:hAnsi="宋体" w:eastAsia="宋体" w:cs="宋体"/>
                <w:b/>
                <w:bCs/>
                <w:color w:val="auto"/>
                <w:kern w:val="0"/>
                <w:szCs w:val="21"/>
                <w:lang w:bidi="ar"/>
              </w:rPr>
              <w:t>▲智能节电功能：具备智能(黑屏)节电功能，开启智能节电功能比和没有开启节能50%以上；LED显示屏符合相关标准,能效一级。</w:t>
            </w:r>
            <w:r>
              <w:rPr>
                <w:rFonts w:hint="eastAsia" w:ascii="宋体" w:hAnsi="宋体" w:eastAsia="宋体" w:cs="宋体"/>
                <w:color w:val="auto"/>
                <w:kern w:val="0"/>
                <w:szCs w:val="21"/>
                <w:lang w:bidi="ar"/>
              </w:rPr>
              <w:t>(</w:t>
            </w:r>
            <w:r>
              <w:rPr>
                <w:rFonts w:hint="eastAsia" w:ascii="宋体" w:hAnsi="宋体" w:eastAsia="宋体" w:cs="宋体"/>
                <w:color w:val="auto"/>
                <w:kern w:val="0"/>
                <w:szCs w:val="21"/>
                <w:lang w:eastAsia="zh-CN" w:bidi="ar"/>
              </w:rPr>
              <w:t>提供有效的第三方检测报告扫描件或产品说明书扫描件或官网截图扫描件等其他证明材料</w:t>
            </w:r>
            <w:r>
              <w:rPr>
                <w:rFonts w:hint="eastAsia" w:ascii="宋体" w:hAnsi="宋体" w:eastAsia="宋体" w:cs="宋体"/>
                <w:color w:val="auto"/>
                <w:kern w:val="0"/>
                <w:szCs w:val="21"/>
                <w:lang w:bidi="ar"/>
              </w:rPr>
              <w:t>)；</w:t>
            </w:r>
          </w:p>
          <w:p w14:paraId="4BAAFB84">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11.</w:t>
            </w:r>
            <w:r>
              <w:rPr>
                <w:rFonts w:hint="eastAsia" w:ascii="宋体" w:hAnsi="宋体" w:eastAsia="宋体" w:cs="宋体"/>
                <w:b/>
                <w:bCs/>
                <w:color w:val="auto"/>
                <w:kern w:val="0"/>
                <w:szCs w:val="21"/>
                <w:lang w:bidi="ar"/>
              </w:rPr>
              <w:t xml:space="preserve">▲色彩管理 屏幕支持色域范围调节，可任意按标准色域显示(如设置为 NTSC、REC709、DCI-P3 等) </w:t>
            </w:r>
            <w:r>
              <w:rPr>
                <w:rFonts w:hint="eastAsia" w:ascii="宋体" w:hAnsi="宋体" w:eastAsia="宋体" w:cs="宋体"/>
                <w:color w:val="auto"/>
                <w:kern w:val="0"/>
                <w:szCs w:val="21"/>
                <w:lang w:bidi="ar"/>
              </w:rPr>
              <w:t xml:space="preserve"> (</w:t>
            </w:r>
            <w:r>
              <w:rPr>
                <w:rFonts w:hint="eastAsia" w:ascii="宋体" w:hAnsi="宋体" w:eastAsia="宋体" w:cs="宋体"/>
                <w:color w:val="auto"/>
                <w:kern w:val="0"/>
                <w:szCs w:val="21"/>
                <w:lang w:eastAsia="zh-CN" w:bidi="ar"/>
              </w:rPr>
              <w:t>提供有效的第三方检测报告扫描件或产品说明书扫描件或官网截图扫描件等其他证明材料</w:t>
            </w:r>
            <w:r>
              <w:rPr>
                <w:rFonts w:hint="eastAsia" w:ascii="宋体" w:hAnsi="宋体" w:eastAsia="宋体" w:cs="宋体"/>
                <w:color w:val="auto"/>
                <w:kern w:val="0"/>
                <w:szCs w:val="21"/>
                <w:lang w:bidi="ar"/>
              </w:rPr>
              <w:t>)；</w:t>
            </w:r>
          </w:p>
          <w:p w14:paraId="5817F29B">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 xml:space="preserve">12.故障告警 LED显示屏可实时监控显示屏工作状态，具有计时功能及信号运行监测功能，具有坏点检测系统，具体故障自动告警功能，发生故障立即发消息到指定邮箱及时处理； </w:t>
            </w:r>
          </w:p>
          <w:p w14:paraId="5674442F">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13.▲</w:t>
            </w:r>
            <w:r>
              <w:rPr>
                <w:rFonts w:hint="eastAsia" w:ascii="宋体" w:hAnsi="宋体" w:eastAsia="宋体" w:cs="宋体"/>
                <w:b/>
                <w:bCs/>
                <w:color w:val="auto"/>
                <w:kern w:val="0"/>
                <w:szCs w:val="21"/>
                <w:lang w:bidi="ar"/>
              </w:rPr>
              <w:t>支持双电网供电；支持热备份；支持信号备份及电源备份；显示产品单元模组电源、信号传输采用一体化传输；</w:t>
            </w:r>
            <w:r>
              <w:rPr>
                <w:rFonts w:hint="eastAsia" w:ascii="宋体" w:hAnsi="宋体" w:eastAsia="宋体" w:cs="宋体"/>
                <w:color w:val="auto"/>
                <w:kern w:val="0"/>
                <w:szCs w:val="21"/>
                <w:lang w:bidi="ar"/>
              </w:rPr>
              <w:t>（</w:t>
            </w:r>
            <w:r>
              <w:rPr>
                <w:rFonts w:hint="eastAsia" w:ascii="宋体" w:hAnsi="宋体" w:eastAsia="宋体" w:cs="宋体"/>
                <w:color w:val="auto"/>
                <w:kern w:val="0"/>
                <w:szCs w:val="21"/>
                <w:lang w:eastAsia="zh-CN" w:bidi="ar"/>
              </w:rPr>
              <w:t>提供有效的第三方检测报告扫描件或产品说明书扫描件或官网截图扫描件等其他证明材料</w:t>
            </w:r>
            <w:r>
              <w:rPr>
                <w:rFonts w:hint="eastAsia" w:ascii="宋体" w:hAnsi="宋体" w:eastAsia="宋体" w:cs="宋体"/>
                <w:color w:val="auto"/>
                <w:kern w:val="0"/>
                <w:szCs w:val="21"/>
                <w:lang w:bidi="ar"/>
              </w:rPr>
              <w:t>）；</w:t>
            </w:r>
          </w:p>
          <w:p w14:paraId="6214E03B">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14.像素失控率 LED 像素失控率：≤0.000001，区域像素失控率≤0.000003，无连续失控点，出厂时为0；平均无故障时间(MTBF值)≥100,000小时；图像处理 图像有降噪、增强、运动补偿、色坐标变换处理、钝化处理；故障平均修复时间MTTR不超过5分钟；</w:t>
            </w:r>
          </w:p>
          <w:p w14:paraId="1694D767">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15.</w:t>
            </w:r>
            <w:r>
              <w:rPr>
                <w:rFonts w:hint="eastAsia" w:ascii="宋体" w:hAnsi="宋体" w:eastAsia="宋体" w:cs="宋体"/>
                <w:b/>
                <w:bCs/>
                <w:color w:val="auto"/>
                <w:kern w:val="0"/>
                <w:szCs w:val="21"/>
                <w:lang w:bidi="ar"/>
              </w:rPr>
              <w:t>▲系统稳定抗干扰选用的产品9层PCB板结构设计，同时采用35μ镀金接插件</w:t>
            </w:r>
            <w:r>
              <w:rPr>
                <w:rFonts w:hint="eastAsia" w:ascii="宋体" w:hAnsi="宋体" w:eastAsia="宋体" w:cs="宋体"/>
                <w:color w:val="auto"/>
                <w:kern w:val="0"/>
                <w:szCs w:val="21"/>
                <w:lang w:bidi="ar"/>
              </w:rPr>
              <w:t>(</w:t>
            </w:r>
            <w:r>
              <w:rPr>
                <w:rFonts w:hint="eastAsia" w:ascii="宋体" w:hAnsi="宋体" w:eastAsia="宋体" w:cs="宋体"/>
                <w:color w:val="auto"/>
                <w:kern w:val="0"/>
                <w:szCs w:val="21"/>
                <w:lang w:eastAsia="zh-CN" w:bidi="ar"/>
              </w:rPr>
              <w:t>提供有效的第三方检测报告扫描件或产品说明书扫描件或官网截图扫描件等其他证明材料</w:t>
            </w:r>
            <w:r>
              <w:rPr>
                <w:rFonts w:hint="eastAsia" w:ascii="宋体" w:hAnsi="宋体" w:eastAsia="宋体" w:cs="宋体"/>
                <w:color w:val="auto"/>
                <w:kern w:val="0"/>
                <w:szCs w:val="21"/>
                <w:lang w:bidi="ar"/>
              </w:rPr>
              <w:t>)；</w:t>
            </w:r>
          </w:p>
          <w:p w14:paraId="504F3D15">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16.</w:t>
            </w:r>
            <w:r>
              <w:rPr>
                <w:rFonts w:hint="eastAsia" w:ascii="宋体" w:hAnsi="宋体" w:eastAsia="宋体" w:cs="宋体"/>
                <w:b/>
                <w:bCs/>
                <w:color w:val="auto"/>
                <w:kern w:val="0"/>
                <w:szCs w:val="21"/>
                <w:lang w:bidi="ar"/>
              </w:rPr>
              <w:t>▲图像处理 快速运动补偿、灰度非线性变换、色度校正、低灰降噪处理、黑电平稳定 处理、缩放平滑处理、高频白噪声滤波、梳状滤波处理等</w:t>
            </w:r>
            <w:r>
              <w:rPr>
                <w:rFonts w:hint="eastAsia" w:ascii="宋体" w:hAnsi="宋体" w:eastAsia="宋体" w:cs="宋体"/>
                <w:color w:val="auto"/>
                <w:kern w:val="0"/>
                <w:szCs w:val="21"/>
                <w:lang w:bidi="ar"/>
              </w:rPr>
              <w:t>(</w:t>
            </w:r>
            <w:r>
              <w:rPr>
                <w:rFonts w:hint="eastAsia" w:ascii="宋体" w:hAnsi="宋体" w:eastAsia="宋体" w:cs="宋体"/>
                <w:color w:val="auto"/>
                <w:kern w:val="0"/>
                <w:szCs w:val="21"/>
                <w:lang w:eastAsia="zh-CN" w:bidi="ar"/>
              </w:rPr>
              <w:t>提供有效的第三方检测报告扫描件或产品说明书扫描件或官网截图扫描件等其他证明材料</w:t>
            </w:r>
            <w:r>
              <w:rPr>
                <w:rFonts w:hint="eastAsia" w:ascii="宋体" w:hAnsi="宋体" w:eastAsia="宋体" w:cs="宋体"/>
                <w:color w:val="auto"/>
                <w:kern w:val="0"/>
                <w:szCs w:val="21"/>
                <w:lang w:bidi="ar"/>
              </w:rPr>
              <w:t>)；</w:t>
            </w:r>
          </w:p>
          <w:p w14:paraId="1612B3FA">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17.</w:t>
            </w:r>
            <w:r>
              <w:rPr>
                <w:rFonts w:hint="eastAsia" w:ascii="宋体" w:hAnsi="宋体" w:eastAsia="宋体" w:cs="宋体"/>
                <w:b/>
                <w:bCs/>
                <w:color w:val="auto"/>
                <w:kern w:val="0"/>
                <w:szCs w:val="21"/>
                <w:lang w:bidi="ar"/>
              </w:rPr>
              <w:t>▲传输方式：显示产品单元，模组电源、信号传输采用一体化传输</w:t>
            </w:r>
            <w:r>
              <w:rPr>
                <w:rFonts w:hint="eastAsia" w:ascii="宋体" w:hAnsi="宋体" w:eastAsia="宋体" w:cs="宋体"/>
                <w:color w:val="auto"/>
                <w:kern w:val="0"/>
                <w:szCs w:val="21"/>
                <w:lang w:bidi="ar"/>
              </w:rPr>
              <w:t xml:space="preserve"> (</w:t>
            </w:r>
            <w:r>
              <w:rPr>
                <w:rFonts w:hint="eastAsia" w:ascii="宋体" w:hAnsi="宋体" w:eastAsia="宋体" w:cs="宋体"/>
                <w:color w:val="auto"/>
                <w:kern w:val="0"/>
                <w:szCs w:val="21"/>
                <w:lang w:eastAsia="zh-CN" w:bidi="ar"/>
              </w:rPr>
              <w:t>提供有效的第三方检测报告扫描件或产品说明书扫描件或官网截图扫描件等其他证明材料</w:t>
            </w:r>
            <w:r>
              <w:rPr>
                <w:rFonts w:hint="eastAsia" w:ascii="宋体" w:hAnsi="宋体" w:eastAsia="宋体" w:cs="宋体"/>
                <w:color w:val="auto"/>
                <w:kern w:val="0"/>
                <w:szCs w:val="21"/>
                <w:lang w:bidi="ar"/>
              </w:rPr>
              <w:t>)</w:t>
            </w:r>
          </w:p>
          <w:p w14:paraId="19023618">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18.LED 显示屏供电电源功率因数≥96%，转换效率≥88%；屏体亚黑处理，反光率≤0.7%；</w:t>
            </w:r>
          </w:p>
          <w:p w14:paraId="37434239">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19</w:t>
            </w:r>
            <w:r>
              <w:rPr>
                <w:rFonts w:hint="eastAsia" w:ascii="宋体" w:hAnsi="宋体" w:eastAsia="宋体" w:cs="宋体"/>
                <w:b/>
                <w:bCs/>
                <w:color w:val="auto"/>
                <w:kern w:val="0"/>
                <w:szCs w:val="21"/>
                <w:lang w:bidi="ar"/>
              </w:rPr>
              <w:t>.▲屏体精度控制 LED 箱体支持 X/Y/Z 六向调节；驱动IC≥16路通道，具备点检 (开路检测)；箱体抗拉力≥7000 N/㎡；箱体抗压力≥7200 N/㎡；模组机械强度≥32MPa</w:t>
            </w:r>
            <w:r>
              <w:rPr>
                <w:rFonts w:hint="eastAsia" w:ascii="宋体" w:hAnsi="宋体" w:eastAsia="宋体" w:cs="宋体"/>
                <w:color w:val="auto"/>
                <w:kern w:val="0"/>
                <w:szCs w:val="21"/>
                <w:lang w:bidi="ar"/>
              </w:rPr>
              <w:t>(</w:t>
            </w:r>
            <w:r>
              <w:rPr>
                <w:rFonts w:hint="eastAsia" w:ascii="宋体" w:hAnsi="宋体" w:eastAsia="宋体" w:cs="宋体"/>
                <w:color w:val="auto"/>
                <w:kern w:val="0"/>
                <w:szCs w:val="21"/>
                <w:lang w:eastAsia="zh-CN" w:bidi="ar"/>
              </w:rPr>
              <w:t>提供有效的第三方检测报告扫描件或产品说明书扫描件或官网截图扫描件等其他证明材料</w:t>
            </w:r>
            <w:r>
              <w:rPr>
                <w:rFonts w:hint="eastAsia" w:ascii="宋体" w:hAnsi="宋体" w:eastAsia="宋体" w:cs="宋体"/>
                <w:color w:val="auto"/>
                <w:kern w:val="0"/>
                <w:szCs w:val="21"/>
                <w:lang w:bidi="ar"/>
              </w:rPr>
              <w:t>)；</w:t>
            </w:r>
          </w:p>
          <w:p w14:paraId="03699DE8">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20.</w:t>
            </w:r>
            <w:r>
              <w:rPr>
                <w:rFonts w:hint="eastAsia" w:ascii="宋体" w:hAnsi="宋体" w:eastAsia="宋体" w:cs="宋体"/>
                <w:b/>
                <w:bCs/>
                <w:color w:val="auto"/>
                <w:kern w:val="0"/>
                <w:szCs w:val="21"/>
                <w:lang w:bidi="ar"/>
              </w:rPr>
              <w:t>▲LED 显示屏支持单电自检、通讯检测、电源检测、温度监控；实现故障快速自诊断及排查功能；模块级校正 模组自带校正功能，带 flash 芯片，支持数据存储及回读</w:t>
            </w:r>
            <w:r>
              <w:rPr>
                <w:rFonts w:hint="eastAsia" w:ascii="宋体" w:hAnsi="宋体" w:eastAsia="宋体" w:cs="宋体"/>
                <w:color w:val="auto"/>
                <w:kern w:val="0"/>
                <w:szCs w:val="21"/>
                <w:lang w:bidi="ar"/>
              </w:rPr>
              <w:t>(</w:t>
            </w:r>
            <w:r>
              <w:rPr>
                <w:rFonts w:hint="eastAsia" w:ascii="宋体" w:hAnsi="宋体" w:eastAsia="宋体" w:cs="宋体"/>
                <w:color w:val="auto"/>
                <w:kern w:val="0"/>
                <w:szCs w:val="21"/>
                <w:lang w:eastAsia="zh-CN" w:bidi="ar"/>
              </w:rPr>
              <w:t>提供有效的第三方检测报告扫描件或产品说明书扫描件或官网截图扫描件等其他证明材料</w:t>
            </w:r>
            <w:r>
              <w:rPr>
                <w:rFonts w:hint="eastAsia" w:ascii="宋体" w:hAnsi="宋体" w:eastAsia="宋体" w:cs="宋体"/>
                <w:color w:val="auto"/>
                <w:kern w:val="0"/>
                <w:szCs w:val="21"/>
                <w:lang w:bidi="ar"/>
              </w:rPr>
              <w:t>)；</w:t>
            </w:r>
          </w:p>
          <w:p w14:paraId="619FA513">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21.★一体式箱体,箱体为压铸铝或镁铝合金材质，箱体背板为一次性整体压铸成型，背板和后盖均为压铸铝或镁铝合金材质，全金属自然散热结构，静音无风扇；</w:t>
            </w:r>
          </w:p>
          <w:p w14:paraId="3ED9A794">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22</w:t>
            </w:r>
            <w:r>
              <w:rPr>
                <w:rFonts w:hint="eastAsia" w:ascii="宋体" w:hAnsi="宋体" w:eastAsia="宋体" w:cs="宋体"/>
                <w:b/>
                <w:bCs/>
                <w:color w:val="auto"/>
                <w:kern w:val="0"/>
                <w:szCs w:val="21"/>
                <w:lang w:bidi="ar"/>
              </w:rPr>
              <w:t>.▲ 90°直角拼装箱体可实现90直角无缝拼装；箱体连接美观整洁，不占用箱体外部空间</w:t>
            </w:r>
            <w:r>
              <w:rPr>
                <w:rFonts w:hint="eastAsia" w:ascii="宋体" w:hAnsi="宋体" w:eastAsia="宋体" w:cs="宋体"/>
                <w:color w:val="auto"/>
                <w:kern w:val="0"/>
                <w:szCs w:val="21"/>
                <w:lang w:bidi="ar"/>
              </w:rPr>
              <w:t xml:space="preserve"> (</w:t>
            </w:r>
            <w:r>
              <w:rPr>
                <w:rFonts w:hint="eastAsia" w:ascii="宋体" w:hAnsi="宋体" w:eastAsia="宋体" w:cs="宋体"/>
                <w:color w:val="auto"/>
                <w:kern w:val="0"/>
                <w:szCs w:val="21"/>
                <w:lang w:eastAsia="zh-CN" w:bidi="ar"/>
              </w:rPr>
              <w:t>提供有效的第三方检测报告扫描件或产品说明书扫描件或官网截图扫描件等其他证明材料</w:t>
            </w:r>
            <w:r>
              <w:rPr>
                <w:rFonts w:hint="eastAsia" w:ascii="宋体" w:hAnsi="宋体" w:eastAsia="宋体" w:cs="宋体"/>
                <w:color w:val="auto"/>
                <w:kern w:val="0"/>
                <w:szCs w:val="21"/>
                <w:lang w:bidi="ar"/>
              </w:rPr>
              <w:t>)；</w:t>
            </w:r>
          </w:p>
          <w:p w14:paraId="6EC8DBB5">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23.</w:t>
            </w:r>
            <w:r>
              <w:rPr>
                <w:rFonts w:hint="eastAsia" w:ascii="宋体" w:hAnsi="宋体" w:eastAsia="宋体" w:cs="宋体"/>
                <w:b/>
                <w:bCs/>
                <w:color w:val="auto"/>
                <w:kern w:val="0"/>
                <w:szCs w:val="21"/>
                <w:lang w:bidi="ar"/>
              </w:rPr>
              <w:t>▲星型连接 模组供电电源和信号采用星型连接方式</w:t>
            </w:r>
            <w:r>
              <w:rPr>
                <w:rFonts w:hint="eastAsia" w:ascii="宋体" w:hAnsi="宋体" w:eastAsia="宋体" w:cs="宋体"/>
                <w:color w:val="auto"/>
                <w:kern w:val="0"/>
                <w:szCs w:val="21"/>
                <w:lang w:bidi="ar"/>
              </w:rPr>
              <w:t xml:space="preserve"> (</w:t>
            </w:r>
            <w:r>
              <w:rPr>
                <w:rFonts w:hint="eastAsia" w:ascii="宋体" w:hAnsi="宋体" w:eastAsia="宋体" w:cs="宋体"/>
                <w:color w:val="auto"/>
                <w:kern w:val="0"/>
                <w:szCs w:val="21"/>
                <w:lang w:eastAsia="zh-CN" w:bidi="ar"/>
              </w:rPr>
              <w:t>提供有效的第三方检测报告扫描件或产品说明书扫描件或官网截图扫描件等其他证明材料</w:t>
            </w:r>
            <w:r>
              <w:rPr>
                <w:rFonts w:hint="eastAsia" w:ascii="宋体" w:hAnsi="宋体" w:eastAsia="宋体" w:cs="宋体"/>
                <w:color w:val="auto"/>
                <w:kern w:val="0"/>
                <w:szCs w:val="21"/>
                <w:lang w:bidi="ar"/>
              </w:rPr>
              <w:t>)；</w:t>
            </w:r>
          </w:p>
          <w:p w14:paraId="1FEE400F">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24.LED 显示屏正常工作时显示画面无重影和拖影现象；显示效果无失真LED显示屏正常工作时显示画面无几何失真和非线性失真；具备故障自诊断及排查功能；</w:t>
            </w:r>
          </w:p>
          <w:p w14:paraId="4BC4D06D">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25.振动试验模拟9级强度地震2行 2 列单元组成拼接显示屏，垂直、水平振动,5~55~5Hz，峰值加速0.25g，1倍频程，每一轴向循环扫频50次，每次时间5min；</w:t>
            </w:r>
          </w:p>
          <w:p w14:paraId="672A848D">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26.</w:t>
            </w:r>
            <w:r>
              <w:rPr>
                <w:rFonts w:hint="eastAsia" w:ascii="宋体" w:hAnsi="宋体" w:eastAsia="宋体" w:cs="宋体"/>
                <w:b/>
                <w:bCs/>
                <w:color w:val="auto"/>
                <w:kern w:val="0"/>
                <w:szCs w:val="21"/>
                <w:lang w:bidi="ar"/>
              </w:rPr>
              <w:t>▲抗电强度显示模组或LED显示屏应承受50Hz 1500VAC (交流有效值) 的试验电压60S 不发生绝缘击穿。</w:t>
            </w:r>
            <w:r>
              <w:rPr>
                <w:rFonts w:hint="eastAsia" w:ascii="宋体" w:hAnsi="宋体" w:eastAsia="宋体" w:cs="宋体"/>
                <w:color w:val="auto"/>
                <w:kern w:val="0"/>
                <w:szCs w:val="21"/>
                <w:lang w:bidi="ar"/>
              </w:rPr>
              <w:t>(</w:t>
            </w:r>
            <w:r>
              <w:rPr>
                <w:rFonts w:hint="eastAsia" w:ascii="宋体" w:hAnsi="宋体" w:eastAsia="宋体" w:cs="宋体"/>
                <w:color w:val="auto"/>
                <w:kern w:val="0"/>
                <w:szCs w:val="21"/>
                <w:lang w:eastAsia="zh-CN" w:bidi="ar"/>
              </w:rPr>
              <w:t>提供有效的第三方检测报告扫描件或产品说明书扫描件或官网截图扫描件等其他证明材料</w:t>
            </w:r>
            <w:r>
              <w:rPr>
                <w:rFonts w:hint="eastAsia" w:ascii="宋体" w:hAnsi="宋体" w:eastAsia="宋体" w:cs="宋体"/>
                <w:color w:val="auto"/>
                <w:kern w:val="0"/>
                <w:szCs w:val="21"/>
                <w:lang w:bidi="ar"/>
              </w:rPr>
              <w:t>)；</w:t>
            </w:r>
          </w:p>
          <w:p w14:paraId="09CF3B17">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 xml:space="preserve">27.★为了保证产品质量，LED 全彩色屏，原厂生产，不得使用OEM产品,投标人需提供承诺函。 </w:t>
            </w:r>
          </w:p>
        </w:tc>
        <w:tc>
          <w:tcPr>
            <w:tcW w:w="1161" w:type="dxa"/>
            <w:shd w:val="clear" w:color="auto" w:fill="auto"/>
            <w:noWrap/>
            <w:vAlign w:val="center"/>
          </w:tcPr>
          <w:p w14:paraId="4C579A7C">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43.74平方米</w:t>
            </w:r>
          </w:p>
        </w:tc>
        <w:tc>
          <w:tcPr>
            <w:tcW w:w="833" w:type="dxa"/>
            <w:shd w:val="clear" w:color="auto" w:fill="auto"/>
            <w:noWrap/>
            <w:vAlign w:val="center"/>
          </w:tcPr>
          <w:p w14:paraId="56EE8192">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59F66E7F">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是</w:t>
            </w:r>
          </w:p>
        </w:tc>
        <w:tc>
          <w:tcPr>
            <w:tcW w:w="490" w:type="dxa"/>
            <w:shd w:val="clear" w:color="auto" w:fill="auto"/>
            <w:noWrap/>
            <w:vAlign w:val="center"/>
          </w:tcPr>
          <w:p w14:paraId="3935DFB4">
            <w:pPr>
              <w:widowControl/>
              <w:spacing w:line="400" w:lineRule="exact"/>
              <w:rPr>
                <w:rFonts w:ascii="宋体" w:hAnsi="宋体" w:eastAsia="宋体" w:cs="宋体"/>
                <w:color w:val="auto"/>
                <w:szCs w:val="21"/>
              </w:rPr>
            </w:pPr>
          </w:p>
        </w:tc>
      </w:tr>
      <w:tr w14:paraId="055F0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4" w:hRule="atLeast"/>
        </w:trPr>
        <w:tc>
          <w:tcPr>
            <w:tcW w:w="703" w:type="dxa"/>
            <w:shd w:val="clear" w:color="auto" w:fill="auto"/>
            <w:noWrap/>
            <w:vAlign w:val="center"/>
          </w:tcPr>
          <w:p w14:paraId="70BA7224">
            <w:pPr>
              <w:widowControl/>
              <w:spacing w:line="400" w:lineRule="exact"/>
              <w:jc w:val="center"/>
              <w:textAlignment w:val="center"/>
              <w:rPr>
                <w:rFonts w:ascii="宋体" w:hAnsi="宋体" w:eastAsia="宋体" w:cs="宋体"/>
                <w:b/>
                <w:bCs/>
                <w:color w:val="auto"/>
                <w:kern w:val="0"/>
                <w:szCs w:val="21"/>
                <w:lang w:bidi="ar"/>
              </w:rPr>
            </w:pPr>
            <w:r>
              <w:rPr>
                <w:rFonts w:hint="eastAsia" w:ascii="宋体" w:hAnsi="宋体" w:eastAsia="宋体" w:cs="宋体"/>
                <w:b/>
                <w:bCs/>
                <w:color w:val="auto"/>
                <w:kern w:val="0"/>
                <w:szCs w:val="21"/>
                <w:lang w:bidi="ar"/>
              </w:rPr>
              <w:t>2</w:t>
            </w:r>
          </w:p>
        </w:tc>
        <w:tc>
          <w:tcPr>
            <w:tcW w:w="710" w:type="dxa"/>
            <w:shd w:val="clear" w:color="auto" w:fill="auto"/>
            <w:vAlign w:val="center"/>
          </w:tcPr>
          <w:p w14:paraId="727D4421">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LED显示屏侧屏</w:t>
            </w:r>
          </w:p>
        </w:tc>
        <w:tc>
          <w:tcPr>
            <w:tcW w:w="4131" w:type="dxa"/>
            <w:shd w:val="clear" w:color="auto" w:fill="auto"/>
            <w:vAlign w:val="center"/>
          </w:tcPr>
          <w:p w14:paraId="0A93A168">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屏体尺寸：1.2m*4.05m*4块；分辨率：不低于960*3240；</w:t>
            </w:r>
          </w:p>
          <w:p w14:paraId="1C674AC9">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★1.像素间距≤1.25；模组尺寸300mm*337.5mm；</w:t>
            </w:r>
          </w:p>
          <w:p w14:paraId="7A74836E">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2.模拟9级烈度地震2行2列单元组成拼接显示屏，垂直、水平振动5〜55〜5Hz, 峰值加速度0.25g, 1倍频程，每一轴向循环扫频50次，每次时间5min；试后正常工作；</w:t>
            </w:r>
          </w:p>
          <w:p w14:paraId="0658821C">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3</w:t>
            </w:r>
            <w:r>
              <w:rPr>
                <w:rFonts w:hint="eastAsia" w:ascii="宋体" w:hAnsi="宋体" w:eastAsia="宋体" w:cs="宋体"/>
                <w:b/>
                <w:bCs/>
                <w:color w:val="auto"/>
                <w:kern w:val="0"/>
                <w:szCs w:val="21"/>
                <w:lang w:bidi="ar"/>
              </w:rPr>
              <w:t>.▲亮度≥850nits,支持通过配套软件0-100%无级调节；刷新率≥4200Hz；最大对比度 (全白/全黑，环 境照度0.05lux)≥12000：1</w:t>
            </w:r>
            <w:r>
              <w:rPr>
                <w:rFonts w:hint="eastAsia" w:ascii="宋体" w:hAnsi="宋体" w:eastAsia="宋体" w:cs="宋体"/>
                <w:color w:val="auto"/>
                <w:kern w:val="0"/>
                <w:szCs w:val="21"/>
                <w:lang w:bidi="ar"/>
              </w:rPr>
              <w:t>（</w:t>
            </w:r>
            <w:r>
              <w:rPr>
                <w:rFonts w:hint="eastAsia" w:ascii="宋体" w:hAnsi="宋体" w:eastAsia="宋体" w:cs="宋体"/>
                <w:color w:val="auto"/>
                <w:kern w:val="0"/>
                <w:szCs w:val="21"/>
                <w:lang w:eastAsia="zh-CN" w:bidi="ar"/>
              </w:rPr>
              <w:t>提供有效的第三方检测报告扫描件或产品说明书扫描件或官网截图扫描件等其他证明材料</w:t>
            </w:r>
            <w:r>
              <w:rPr>
                <w:rFonts w:hint="eastAsia" w:ascii="宋体" w:hAnsi="宋体" w:eastAsia="宋体" w:cs="宋体"/>
                <w:color w:val="auto"/>
                <w:kern w:val="0"/>
                <w:szCs w:val="21"/>
                <w:lang w:bidi="ar"/>
              </w:rPr>
              <w:t>）；</w:t>
            </w:r>
          </w:p>
          <w:p w14:paraId="25A20D1F">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4.显示单元平整度偏差≤0.05mm（垂直偏差JX≤5% ； 水平偏差：CS≤5%）；平整度、单元拼接间隙、相邻像素之间平整度、相邻模块之间平整度：≤0.05mm；模组底壳材质：矿纤基增强镁合金复合材料或铝</w:t>
            </w:r>
          </w:p>
          <w:p w14:paraId="3486BEF5">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5. 峰值功率≤460W/㎡；平均功率≤155W/㎡；</w:t>
            </w:r>
          </w:p>
          <w:p w14:paraId="520DCE30">
            <w:pPr>
              <w:widowControl/>
              <w:spacing w:line="400" w:lineRule="exact"/>
              <w:jc w:val="left"/>
              <w:textAlignment w:val="center"/>
              <w:rPr>
                <w:rFonts w:hint="eastAsia" w:ascii="宋体" w:hAnsi="宋体" w:eastAsia="宋体" w:cs="宋体"/>
                <w:b/>
                <w:bCs/>
                <w:color w:val="auto"/>
                <w:kern w:val="0"/>
                <w:szCs w:val="21"/>
                <w:lang w:bidi="ar"/>
              </w:rPr>
            </w:pPr>
            <w:r>
              <w:rPr>
                <w:rFonts w:hint="eastAsia" w:ascii="宋体" w:hAnsi="宋体" w:eastAsia="宋体" w:cs="宋体"/>
                <w:color w:val="auto"/>
                <w:kern w:val="0"/>
                <w:szCs w:val="21"/>
                <w:lang w:bidi="ar"/>
              </w:rPr>
              <w:t>6</w:t>
            </w:r>
            <w:r>
              <w:rPr>
                <w:rFonts w:hint="eastAsia" w:ascii="宋体" w:hAnsi="宋体" w:eastAsia="宋体" w:cs="宋体"/>
                <w:b/>
                <w:bCs/>
                <w:color w:val="auto"/>
                <w:kern w:val="0"/>
                <w:szCs w:val="21"/>
                <w:lang w:bidi="ar"/>
              </w:rPr>
              <w:t>.▲ 黑屏功率≤30W/单元 ；视角水平:≥175°垂直:≥175°；产品具备智能（黑屏）节电功能，开启智能节电功能比没有开启节能50%; LED显示屏符合相关标准,能效一级；（</w:t>
            </w:r>
            <w:r>
              <w:rPr>
                <w:rFonts w:hint="eastAsia" w:ascii="宋体" w:hAnsi="宋体" w:eastAsia="宋体" w:cs="宋体"/>
                <w:b/>
                <w:bCs/>
                <w:color w:val="auto"/>
                <w:kern w:val="0"/>
                <w:szCs w:val="21"/>
                <w:lang w:eastAsia="zh-CN" w:bidi="ar"/>
              </w:rPr>
              <w:t>提供有效的第三方检测报告扫描件或产品说明书扫描件或官网截图扫描件等其他证明材料</w:t>
            </w:r>
            <w:r>
              <w:rPr>
                <w:rFonts w:hint="eastAsia" w:ascii="宋体" w:hAnsi="宋体" w:eastAsia="宋体" w:cs="宋体"/>
                <w:b/>
                <w:bCs/>
                <w:color w:val="auto"/>
                <w:kern w:val="0"/>
                <w:szCs w:val="21"/>
                <w:lang w:bidi="ar"/>
              </w:rPr>
              <w:t>）；</w:t>
            </w:r>
          </w:p>
          <w:p w14:paraId="3A793320">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7.支持EPWM灰阶控制技术提升低灰视觉效果:支持软件实现不同亮度情况下灰度8-16bit任意设置0-100%亮度时.8-16bits任意灰度设置；</w:t>
            </w:r>
          </w:p>
          <w:p w14:paraId="3984B3BE">
            <w:pPr>
              <w:widowControl/>
              <w:spacing w:line="400" w:lineRule="exact"/>
              <w:jc w:val="left"/>
              <w:textAlignment w:val="center"/>
              <w:rPr>
                <w:rFonts w:hint="eastAsia" w:ascii="宋体" w:hAnsi="宋体" w:eastAsia="宋体" w:cs="宋体"/>
                <w:b/>
                <w:bCs/>
                <w:color w:val="auto"/>
                <w:kern w:val="0"/>
                <w:szCs w:val="21"/>
                <w:lang w:bidi="ar"/>
              </w:rPr>
            </w:pPr>
            <w:r>
              <w:rPr>
                <w:rFonts w:hint="eastAsia" w:ascii="宋体" w:hAnsi="宋体" w:eastAsia="宋体" w:cs="宋体"/>
                <w:b/>
                <w:bCs/>
                <w:color w:val="auto"/>
                <w:kern w:val="0"/>
                <w:szCs w:val="21"/>
                <w:lang w:bidi="ar"/>
              </w:rPr>
              <w:t>8.▲模组供电电源和信号采用星型连接方式；驱动IC≥16路通道，具备点检 (开路检测)（</w:t>
            </w:r>
            <w:r>
              <w:rPr>
                <w:rFonts w:hint="eastAsia" w:ascii="宋体" w:hAnsi="宋体" w:eastAsia="宋体" w:cs="宋体"/>
                <w:b/>
                <w:bCs/>
                <w:color w:val="auto"/>
                <w:kern w:val="0"/>
                <w:szCs w:val="21"/>
                <w:lang w:eastAsia="zh-CN" w:bidi="ar"/>
              </w:rPr>
              <w:t>提供有效的第三方检测报告扫描件或产品说明书扫描件或官网截图扫描件等其他证明材料</w:t>
            </w:r>
            <w:r>
              <w:rPr>
                <w:rFonts w:hint="eastAsia" w:ascii="宋体" w:hAnsi="宋体" w:eastAsia="宋体" w:cs="宋体"/>
                <w:b/>
                <w:bCs/>
                <w:color w:val="auto"/>
                <w:kern w:val="0"/>
                <w:szCs w:val="21"/>
                <w:lang w:bidi="ar"/>
              </w:rPr>
              <w:t>）；</w:t>
            </w:r>
          </w:p>
          <w:p w14:paraId="42F50E66">
            <w:pPr>
              <w:widowControl/>
              <w:spacing w:line="400" w:lineRule="exact"/>
              <w:jc w:val="left"/>
              <w:textAlignment w:val="center"/>
              <w:rPr>
                <w:rFonts w:hint="eastAsia" w:ascii="宋体" w:hAnsi="宋体" w:eastAsia="宋体" w:cs="宋体"/>
                <w:b/>
                <w:bCs/>
                <w:color w:val="auto"/>
                <w:kern w:val="0"/>
                <w:szCs w:val="21"/>
                <w:lang w:bidi="ar"/>
              </w:rPr>
            </w:pPr>
            <w:r>
              <w:rPr>
                <w:rFonts w:hint="eastAsia" w:ascii="宋体" w:hAnsi="宋体" w:eastAsia="宋体" w:cs="宋体"/>
                <w:b/>
                <w:bCs/>
                <w:color w:val="auto"/>
                <w:kern w:val="0"/>
                <w:szCs w:val="21"/>
                <w:lang w:bidi="ar"/>
              </w:rPr>
              <w:t>9.▲箱体使用宽电压:100-240V~。模组供电:4.0V-4.5VDC，搭配定制3C电源满足市场对节能环保需求，具备PFC电源，提供电源证书号；（</w:t>
            </w:r>
            <w:r>
              <w:rPr>
                <w:rFonts w:hint="eastAsia" w:ascii="宋体" w:hAnsi="宋体" w:eastAsia="宋体" w:cs="宋体"/>
                <w:b/>
                <w:bCs/>
                <w:color w:val="auto"/>
                <w:kern w:val="0"/>
                <w:szCs w:val="21"/>
                <w:lang w:eastAsia="zh-CN" w:bidi="ar"/>
              </w:rPr>
              <w:t>提供有效的第三方检测报告扫描件或产品说明书扫描件或官网截图扫描件等其他证明材料</w:t>
            </w:r>
            <w:r>
              <w:rPr>
                <w:rFonts w:hint="eastAsia" w:ascii="宋体" w:hAnsi="宋体" w:eastAsia="宋体" w:cs="宋体"/>
                <w:b/>
                <w:bCs/>
                <w:color w:val="auto"/>
                <w:kern w:val="0"/>
                <w:szCs w:val="21"/>
                <w:lang w:bidi="ar"/>
              </w:rPr>
              <w:t>）；</w:t>
            </w:r>
          </w:p>
          <w:p w14:paraId="5DEDB7E6">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10</w:t>
            </w:r>
            <w:r>
              <w:rPr>
                <w:rFonts w:hint="eastAsia" w:ascii="宋体" w:hAnsi="宋体" w:eastAsia="宋体" w:cs="宋体"/>
                <w:b/>
                <w:bCs/>
                <w:color w:val="auto"/>
                <w:kern w:val="0"/>
                <w:szCs w:val="21"/>
                <w:lang w:bidi="ar"/>
              </w:rPr>
              <w:t>.</w:t>
            </w:r>
            <w:r>
              <w:rPr>
                <w:rFonts w:hint="eastAsia" w:ascii="宋体" w:hAnsi="宋体" w:eastAsia="宋体" w:cs="宋体"/>
                <w:color w:val="auto"/>
                <w:kern w:val="0"/>
                <w:szCs w:val="21"/>
                <w:lang w:bidi="ar"/>
              </w:rPr>
              <w:t>显示屏具有LED驱动器，包括其的LED显示屏及LED驱动芯片的驱动方法，具有LED显示屏拼接误差的检测方法和装置；</w:t>
            </w:r>
          </w:p>
          <w:p w14:paraId="3D79E54D">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w:t>
            </w:r>
            <w:r>
              <w:rPr>
                <w:rFonts w:hint="eastAsia" w:ascii="宋体" w:hAnsi="宋体" w:eastAsia="宋体" w:cs="宋体"/>
                <w:b/>
                <w:bCs/>
                <w:color w:val="auto"/>
                <w:kern w:val="0"/>
                <w:szCs w:val="21"/>
                <w:lang w:bidi="ar"/>
              </w:rPr>
              <w:t>1.▲搭配HDR系统卡，可实现即高动态范围图像显示屏效果，支持4K、8K超高清显示；（</w:t>
            </w:r>
            <w:r>
              <w:rPr>
                <w:rFonts w:hint="eastAsia" w:ascii="宋体" w:hAnsi="宋体" w:eastAsia="宋体" w:cs="宋体"/>
                <w:b/>
                <w:bCs/>
                <w:color w:val="auto"/>
                <w:kern w:val="0"/>
                <w:szCs w:val="21"/>
                <w:lang w:eastAsia="zh-CN" w:bidi="ar"/>
              </w:rPr>
              <w:t>提供有效的第三方检测报告扫描件或产品说明书扫描件或官网截图扫描件等其他证明材料</w:t>
            </w:r>
            <w:r>
              <w:rPr>
                <w:rFonts w:hint="eastAsia" w:ascii="宋体" w:hAnsi="宋体" w:eastAsia="宋体" w:cs="宋体"/>
                <w:b/>
                <w:bCs/>
                <w:color w:val="auto"/>
                <w:kern w:val="0"/>
                <w:szCs w:val="21"/>
                <w:lang w:bidi="ar"/>
              </w:rPr>
              <w:t>）；</w:t>
            </w:r>
          </w:p>
          <w:p w14:paraId="264DB848">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12.LED显示屏平均故障时间间隔(MTBF)≥12000 小时；支持7x24h连续工作；故障平均修复时间不超过5分钟 ；</w:t>
            </w:r>
          </w:p>
          <w:p w14:paraId="37CA854D">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13.支持动态节能，降低功耗；具有亮度调节，对比度调节，色饱和度调节，色温调节功能；快速运动补偿、灰度非线性变换、色度校正、低灰降噪处理、黑电平稳定处理，缩放平滑处理、高频白噪声滤波、梳状滤波处理等；</w:t>
            </w:r>
          </w:p>
          <w:p w14:paraId="6FB73F98">
            <w:pPr>
              <w:widowControl/>
              <w:spacing w:line="400" w:lineRule="exact"/>
              <w:jc w:val="left"/>
              <w:textAlignment w:val="center"/>
              <w:rPr>
                <w:rFonts w:hint="eastAsia" w:ascii="宋体" w:hAnsi="宋体" w:eastAsia="宋体" w:cs="宋体"/>
                <w:b/>
                <w:bCs/>
                <w:color w:val="auto"/>
                <w:kern w:val="0"/>
                <w:szCs w:val="21"/>
                <w:lang w:bidi="ar"/>
              </w:rPr>
            </w:pPr>
            <w:r>
              <w:rPr>
                <w:rFonts w:hint="eastAsia" w:ascii="宋体" w:hAnsi="宋体" w:eastAsia="宋体" w:cs="宋体"/>
                <w:b/>
                <w:bCs/>
                <w:color w:val="auto"/>
                <w:kern w:val="0"/>
                <w:szCs w:val="21"/>
                <w:lang w:bidi="ar"/>
              </w:rPr>
              <w:t>14.▲支持双电网供电；支持热备份；支持信号备份及电源备份；显示产品单元模组电源、信号传输采用一体化传输；（</w:t>
            </w:r>
            <w:r>
              <w:rPr>
                <w:rFonts w:hint="eastAsia" w:ascii="宋体" w:hAnsi="宋体" w:eastAsia="宋体" w:cs="宋体"/>
                <w:b/>
                <w:bCs/>
                <w:color w:val="auto"/>
                <w:kern w:val="0"/>
                <w:szCs w:val="21"/>
                <w:lang w:eastAsia="zh-CN" w:bidi="ar"/>
              </w:rPr>
              <w:t>提供有效的第三方检测报告扫描件或产品说明书扫描件或官网截图扫描件等其他证明材料</w:t>
            </w:r>
            <w:r>
              <w:rPr>
                <w:rFonts w:hint="eastAsia" w:ascii="宋体" w:hAnsi="宋体" w:eastAsia="宋体" w:cs="宋体"/>
                <w:b/>
                <w:bCs/>
                <w:color w:val="auto"/>
                <w:kern w:val="0"/>
                <w:szCs w:val="21"/>
                <w:lang w:bidi="ar"/>
              </w:rPr>
              <w:t>）；</w:t>
            </w:r>
          </w:p>
          <w:p w14:paraId="19346559">
            <w:pPr>
              <w:widowControl/>
              <w:spacing w:line="400" w:lineRule="exact"/>
              <w:jc w:val="left"/>
              <w:textAlignment w:val="center"/>
              <w:rPr>
                <w:rFonts w:hint="eastAsia" w:ascii="宋体" w:hAnsi="宋体" w:eastAsia="宋体" w:cs="宋体"/>
                <w:b/>
                <w:bCs/>
                <w:color w:val="auto"/>
                <w:kern w:val="0"/>
                <w:szCs w:val="21"/>
                <w:lang w:bidi="ar"/>
              </w:rPr>
            </w:pPr>
            <w:r>
              <w:rPr>
                <w:rFonts w:hint="eastAsia" w:ascii="宋体" w:hAnsi="宋体" w:eastAsia="宋体" w:cs="宋体"/>
                <w:b/>
                <w:bCs/>
                <w:color w:val="auto"/>
                <w:kern w:val="0"/>
                <w:szCs w:val="21"/>
                <w:lang w:bidi="ar"/>
              </w:rPr>
              <w:t>15.▲电源能效LED显示屏供电电源功率因数≥98%，转换效率≥90%（</w:t>
            </w:r>
            <w:r>
              <w:rPr>
                <w:rFonts w:hint="eastAsia" w:ascii="宋体" w:hAnsi="宋体" w:eastAsia="宋体" w:cs="宋体"/>
                <w:b/>
                <w:bCs/>
                <w:color w:val="auto"/>
                <w:kern w:val="0"/>
                <w:szCs w:val="21"/>
                <w:lang w:eastAsia="zh-CN" w:bidi="ar"/>
              </w:rPr>
              <w:t>提供有效的第三方检测报告扫描件或产品说明书扫描件或官网截图扫描件等其他证明材料</w:t>
            </w:r>
            <w:r>
              <w:rPr>
                <w:rFonts w:hint="eastAsia" w:ascii="宋体" w:hAnsi="宋体" w:eastAsia="宋体" w:cs="宋体"/>
                <w:b/>
                <w:bCs/>
                <w:color w:val="auto"/>
                <w:kern w:val="0"/>
                <w:szCs w:val="21"/>
                <w:lang w:bidi="ar"/>
              </w:rPr>
              <w:t>）；</w:t>
            </w:r>
          </w:p>
          <w:p w14:paraId="370BC783">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16. 屏体亚黑处理，反光率≤1%；</w:t>
            </w:r>
          </w:p>
          <w:p w14:paraId="13149B85">
            <w:pPr>
              <w:widowControl/>
              <w:spacing w:line="400" w:lineRule="exact"/>
              <w:jc w:val="left"/>
              <w:textAlignment w:val="center"/>
              <w:rPr>
                <w:rFonts w:hint="eastAsia" w:ascii="宋体" w:hAnsi="宋体" w:eastAsia="宋体" w:cs="宋体"/>
                <w:b/>
                <w:bCs/>
                <w:color w:val="auto"/>
                <w:kern w:val="0"/>
                <w:szCs w:val="21"/>
                <w:lang w:bidi="ar"/>
              </w:rPr>
            </w:pPr>
            <w:r>
              <w:rPr>
                <w:rFonts w:hint="eastAsia" w:ascii="宋体" w:hAnsi="宋体" w:eastAsia="宋体" w:cs="宋体"/>
                <w:b/>
                <w:bCs/>
                <w:color w:val="auto"/>
                <w:kern w:val="0"/>
                <w:szCs w:val="21"/>
                <w:lang w:bidi="ar"/>
              </w:rPr>
              <w:t>17.▲支持网络同步控制，点点对应；支持屏体拼缝亮暗线校正；LED显示屏支持单电自检、通讯检测、电源检测、温度监控:实现故障快速自诊断及排查功能；具有远程监控功能；（</w:t>
            </w:r>
            <w:r>
              <w:rPr>
                <w:rFonts w:hint="eastAsia" w:ascii="宋体" w:hAnsi="宋体" w:eastAsia="宋体" w:cs="宋体"/>
                <w:b/>
                <w:bCs/>
                <w:color w:val="auto"/>
                <w:kern w:val="0"/>
                <w:szCs w:val="21"/>
                <w:lang w:eastAsia="zh-CN" w:bidi="ar"/>
              </w:rPr>
              <w:t>提供有效的第三方检测报告扫描件或产品说明书扫描件或官网截图扫描件等其他证明材料</w:t>
            </w:r>
            <w:r>
              <w:rPr>
                <w:rFonts w:hint="eastAsia" w:ascii="宋体" w:hAnsi="宋体" w:eastAsia="宋体" w:cs="宋体"/>
                <w:b/>
                <w:bCs/>
                <w:color w:val="auto"/>
                <w:kern w:val="0"/>
                <w:szCs w:val="21"/>
                <w:lang w:bidi="ar"/>
              </w:rPr>
              <w:t>）；</w:t>
            </w:r>
          </w:p>
          <w:p w14:paraId="19373753">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b/>
                <w:bCs/>
                <w:color w:val="auto"/>
                <w:kern w:val="0"/>
                <w:szCs w:val="21"/>
                <w:lang w:bidi="ar"/>
              </w:rPr>
              <w:t>18.▲模块级校正 模组自带校正功能，带flash芯片。支持数据存储及回读；模组、接收卡与主板采用硬接口设计，接插件镀金&gt;50μ厚度；（</w:t>
            </w:r>
            <w:r>
              <w:rPr>
                <w:rFonts w:hint="eastAsia" w:ascii="宋体" w:hAnsi="宋体" w:eastAsia="宋体" w:cs="宋体"/>
                <w:b/>
                <w:bCs/>
                <w:color w:val="auto"/>
                <w:kern w:val="0"/>
                <w:szCs w:val="21"/>
                <w:lang w:eastAsia="zh-CN" w:bidi="ar"/>
              </w:rPr>
              <w:t>提供有效的第三方检测报告扫描件或产品说明书扫描件或官网截图扫描件等其他证明材料</w:t>
            </w:r>
            <w:r>
              <w:rPr>
                <w:rFonts w:hint="eastAsia" w:ascii="宋体" w:hAnsi="宋体" w:eastAsia="宋体" w:cs="宋体"/>
                <w:b/>
                <w:bCs/>
                <w:color w:val="auto"/>
                <w:kern w:val="0"/>
                <w:szCs w:val="21"/>
                <w:lang w:bidi="ar"/>
              </w:rPr>
              <w:t>）。</w:t>
            </w:r>
          </w:p>
        </w:tc>
        <w:tc>
          <w:tcPr>
            <w:tcW w:w="1161" w:type="dxa"/>
            <w:shd w:val="clear" w:color="auto" w:fill="auto"/>
            <w:noWrap/>
            <w:vAlign w:val="center"/>
          </w:tcPr>
          <w:p w14:paraId="2DDE43B6">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19.44平方米</w:t>
            </w:r>
          </w:p>
        </w:tc>
        <w:tc>
          <w:tcPr>
            <w:tcW w:w="833" w:type="dxa"/>
            <w:shd w:val="clear" w:color="auto" w:fill="auto"/>
            <w:noWrap/>
            <w:vAlign w:val="center"/>
          </w:tcPr>
          <w:p w14:paraId="6616B7FD">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6AE997C1">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19AE8EA1">
            <w:pPr>
              <w:widowControl/>
              <w:spacing w:line="400" w:lineRule="exact"/>
              <w:rPr>
                <w:rFonts w:ascii="宋体" w:hAnsi="宋体" w:eastAsia="宋体" w:cs="宋体"/>
                <w:color w:val="auto"/>
                <w:szCs w:val="21"/>
              </w:rPr>
            </w:pPr>
          </w:p>
        </w:tc>
      </w:tr>
      <w:tr w14:paraId="28BD3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9" w:hRule="atLeast"/>
        </w:trPr>
        <w:tc>
          <w:tcPr>
            <w:tcW w:w="703" w:type="dxa"/>
            <w:shd w:val="clear" w:color="auto" w:fill="auto"/>
            <w:noWrap/>
            <w:vAlign w:val="center"/>
          </w:tcPr>
          <w:p w14:paraId="1972E4F7">
            <w:pPr>
              <w:widowControl/>
              <w:spacing w:line="400" w:lineRule="exact"/>
              <w:jc w:val="center"/>
              <w:textAlignment w:val="center"/>
              <w:rPr>
                <w:rFonts w:hint="eastAsia" w:ascii="宋体" w:hAnsi="宋体" w:eastAsia="宋体" w:cs="宋体"/>
                <w:b/>
                <w:bCs/>
                <w:color w:val="auto"/>
                <w:kern w:val="0"/>
                <w:szCs w:val="21"/>
                <w:lang w:val="en-US" w:eastAsia="zh-CN" w:bidi="ar"/>
              </w:rPr>
            </w:pPr>
            <w:r>
              <w:rPr>
                <w:rFonts w:hint="eastAsia" w:ascii="宋体" w:hAnsi="宋体" w:eastAsia="宋体" w:cs="宋体"/>
                <w:b/>
                <w:bCs/>
                <w:color w:val="auto"/>
                <w:kern w:val="0"/>
                <w:szCs w:val="21"/>
                <w:lang w:bidi="ar"/>
              </w:rPr>
              <w:t>3</w:t>
            </w:r>
          </w:p>
        </w:tc>
        <w:tc>
          <w:tcPr>
            <w:tcW w:w="710" w:type="dxa"/>
            <w:shd w:val="clear" w:color="auto" w:fill="auto"/>
            <w:vAlign w:val="center"/>
          </w:tcPr>
          <w:p w14:paraId="2A4A566E">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LED条屏</w:t>
            </w:r>
          </w:p>
          <w:p w14:paraId="5FC7DF42">
            <w:pPr>
              <w:widowControl/>
              <w:spacing w:line="400" w:lineRule="exact"/>
              <w:jc w:val="center"/>
              <w:textAlignment w:val="center"/>
              <w:rPr>
                <w:rFonts w:hint="eastAsia" w:ascii="宋体" w:hAnsi="宋体" w:eastAsia="宋体" w:cs="宋体"/>
                <w:color w:val="auto"/>
                <w:kern w:val="0"/>
                <w:szCs w:val="21"/>
                <w:lang w:bidi="ar"/>
              </w:rPr>
            </w:pPr>
          </w:p>
        </w:tc>
        <w:tc>
          <w:tcPr>
            <w:tcW w:w="4131" w:type="dxa"/>
            <w:shd w:val="clear" w:color="auto" w:fill="auto"/>
            <w:vAlign w:val="center"/>
          </w:tcPr>
          <w:p w14:paraId="68F992B5">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屏体尺寸：16.72*0.456；分辨率不低于3520*96。</w:t>
            </w:r>
          </w:p>
          <w:p w14:paraId="1C503507">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1.LED显示屏像素间距≤4.75mm；发光点颜色： RG；像素密度≥44321点/㎡。</w:t>
            </w:r>
          </w:p>
          <w:p w14:paraId="3941701C">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2.表面贴封装技术：SMD封装。驱动方式：恒流驱动16S。</w:t>
            </w:r>
          </w:p>
          <w:p w14:paraId="66B57193">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3.白平衡亮度≥600cd/㎡。</w:t>
            </w:r>
          </w:p>
          <w:p w14:paraId="4D67666E">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4.可视角度：水平≥150度，垂直≥130度。</w:t>
            </w:r>
          </w:p>
          <w:p w14:paraId="4468D5D3">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5.刷新频率≥120HZ；对比度≥5000:1。</w:t>
            </w:r>
          </w:p>
          <w:p w14:paraId="39E46FBF">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6.峰值功耗：≤320W/㎡；平均功耗：≤110W/㎡。</w:t>
            </w:r>
          </w:p>
          <w:p w14:paraId="20B1B011">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7.换帧频率50&amp;60Hz。</w:t>
            </w:r>
          </w:p>
          <w:p w14:paraId="789CDED3">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8.含配套发送卡及发布软件。</w:t>
            </w:r>
          </w:p>
        </w:tc>
        <w:tc>
          <w:tcPr>
            <w:tcW w:w="1161" w:type="dxa"/>
            <w:shd w:val="clear" w:color="auto" w:fill="auto"/>
            <w:noWrap/>
            <w:vAlign w:val="center"/>
          </w:tcPr>
          <w:p w14:paraId="763825B1">
            <w:pPr>
              <w:widowControl/>
              <w:spacing w:line="400" w:lineRule="exact"/>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bidi="ar"/>
              </w:rPr>
              <w:t>7.624平方米</w:t>
            </w:r>
          </w:p>
        </w:tc>
        <w:tc>
          <w:tcPr>
            <w:tcW w:w="833" w:type="dxa"/>
            <w:shd w:val="clear" w:color="auto" w:fill="auto"/>
            <w:noWrap/>
            <w:vAlign w:val="center"/>
          </w:tcPr>
          <w:p w14:paraId="673EB090">
            <w:pPr>
              <w:widowControl/>
              <w:spacing w:line="400" w:lineRule="exact"/>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62930E32">
            <w:pPr>
              <w:widowControl/>
              <w:spacing w:line="400" w:lineRule="exact"/>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203F2258">
            <w:pPr>
              <w:widowControl/>
              <w:spacing w:line="400" w:lineRule="exact"/>
              <w:rPr>
                <w:rFonts w:hint="eastAsia" w:ascii="宋体" w:hAnsi="宋体" w:eastAsia="宋体" w:cs="宋体"/>
                <w:color w:val="auto"/>
                <w:kern w:val="2"/>
                <w:sz w:val="21"/>
                <w:szCs w:val="21"/>
                <w:lang w:val="en-US" w:eastAsia="zh-CN" w:bidi="ar-SA"/>
              </w:rPr>
            </w:pPr>
          </w:p>
        </w:tc>
      </w:tr>
      <w:tr w14:paraId="62A6E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703" w:type="dxa"/>
            <w:shd w:val="clear" w:color="auto" w:fill="auto"/>
            <w:noWrap/>
            <w:vAlign w:val="center"/>
          </w:tcPr>
          <w:p w14:paraId="449680E2">
            <w:pPr>
              <w:widowControl/>
              <w:spacing w:line="400" w:lineRule="exact"/>
              <w:jc w:val="center"/>
              <w:textAlignment w:val="center"/>
              <w:rPr>
                <w:rFonts w:hint="eastAsia" w:ascii="宋体" w:hAnsi="宋体" w:eastAsia="宋体" w:cs="宋体"/>
                <w:b/>
                <w:bCs/>
                <w:color w:val="auto"/>
                <w:kern w:val="0"/>
                <w:szCs w:val="21"/>
                <w:lang w:eastAsia="zh-CN" w:bidi="ar"/>
              </w:rPr>
            </w:pPr>
            <w:r>
              <w:rPr>
                <w:rFonts w:hint="eastAsia" w:ascii="宋体" w:hAnsi="宋体" w:eastAsia="宋体" w:cs="宋体"/>
                <w:b/>
                <w:bCs/>
                <w:color w:val="auto"/>
                <w:kern w:val="0"/>
                <w:szCs w:val="21"/>
                <w:lang w:bidi="ar"/>
              </w:rPr>
              <w:t>4</w:t>
            </w:r>
          </w:p>
        </w:tc>
        <w:tc>
          <w:tcPr>
            <w:tcW w:w="710" w:type="dxa"/>
            <w:shd w:val="clear" w:color="auto" w:fill="auto"/>
            <w:vAlign w:val="center"/>
          </w:tcPr>
          <w:p w14:paraId="073F29D8">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多媒体服务器</w:t>
            </w:r>
          </w:p>
        </w:tc>
        <w:tc>
          <w:tcPr>
            <w:tcW w:w="4131" w:type="dxa"/>
            <w:shd w:val="clear" w:color="auto" w:fill="auto"/>
            <w:vAlign w:val="center"/>
          </w:tcPr>
          <w:p w14:paraId="31E00D78">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1、19英寸标准机架安装，金属结构机箱，外壳防护等级符合GB/T4208-2017中IP20的要求；</w:t>
            </w:r>
          </w:p>
          <w:p w14:paraId="1776492C">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2、采用X86嵌入式系统架构，内存不低于32G、硬盘不低于500G SSD；</w:t>
            </w:r>
          </w:p>
          <w:p w14:paraId="75F97C28">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3、不少于1路MIC IN ，1路Line IN ，1路Line OUT音频接口，支持接口扩展；</w:t>
            </w:r>
          </w:p>
          <w:p w14:paraId="7C533324">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4、支持不少于4台服务器之间进行拼接输出，通过主机实现对全部从机的集中控制；</w:t>
            </w:r>
          </w:p>
          <w:p w14:paraId="1545C871">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5、支持接口虚拟放大缩小，支持输出接口标记，定位输出接口位置；</w:t>
            </w:r>
          </w:p>
          <w:p w14:paraId="41ABD0EF">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6、支持通过平板或手机端控制软件对多媒体服务器进行播放、暂停、停止、节目切换、音量调节、黑屏等功能操作；</w:t>
            </w:r>
          </w:p>
          <w:p w14:paraId="5D9BE6AE">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7、支持3D视频源播放输出，分辨率不低于3840x2160@60Hz；</w:t>
            </w:r>
          </w:p>
          <w:p w14:paraId="7617560A">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8、支持设备热备份，播放画面实时同步，切换无黑屏、闪屏；</w:t>
            </w:r>
          </w:p>
          <w:p w14:paraId="37B7A498">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9、支持多画面同时播放时按照主计时媒体进行跳转；</w:t>
            </w:r>
          </w:p>
          <w:p w14:paraId="060B5F1F">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10、支持预编辑输出，可在预览编辑成后再进行媒体素材的一键输出播放，支持切换特效及抠像功能；</w:t>
            </w:r>
          </w:p>
          <w:p w14:paraId="3F3DC061">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11、支持输出画面拆分重组，实现画面任意排序，支持输出任意角度旋转，满足对不规则显示屏的拼接带载；</w:t>
            </w:r>
          </w:p>
          <w:p w14:paraId="3A8964BE">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12、支持对节目中任意一个媒体按区域进行画质调节、裁剪，遮罩。</w:t>
            </w:r>
          </w:p>
        </w:tc>
        <w:tc>
          <w:tcPr>
            <w:tcW w:w="1161" w:type="dxa"/>
            <w:shd w:val="clear" w:color="auto" w:fill="auto"/>
            <w:noWrap/>
            <w:vAlign w:val="center"/>
          </w:tcPr>
          <w:p w14:paraId="4D58F504">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1台</w:t>
            </w:r>
          </w:p>
        </w:tc>
        <w:tc>
          <w:tcPr>
            <w:tcW w:w="833" w:type="dxa"/>
            <w:shd w:val="clear" w:color="auto" w:fill="auto"/>
            <w:noWrap/>
            <w:vAlign w:val="center"/>
          </w:tcPr>
          <w:p w14:paraId="19C75A6C">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5FC4960E">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2961BC42">
            <w:pPr>
              <w:widowControl/>
              <w:spacing w:line="400" w:lineRule="exact"/>
              <w:rPr>
                <w:rFonts w:ascii="宋体" w:hAnsi="宋体" w:eastAsia="宋体" w:cs="宋体"/>
                <w:color w:val="auto"/>
                <w:szCs w:val="21"/>
              </w:rPr>
            </w:pPr>
          </w:p>
        </w:tc>
      </w:tr>
      <w:tr w14:paraId="218A8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778F6195">
            <w:pPr>
              <w:widowControl/>
              <w:spacing w:line="400" w:lineRule="exact"/>
              <w:jc w:val="center"/>
              <w:textAlignment w:val="center"/>
              <w:rPr>
                <w:rFonts w:hint="eastAsia" w:ascii="宋体" w:hAnsi="宋体" w:eastAsia="宋体" w:cs="宋体"/>
                <w:b/>
                <w:bCs/>
                <w:color w:val="auto"/>
                <w:kern w:val="0"/>
                <w:szCs w:val="21"/>
                <w:lang w:eastAsia="zh-CN" w:bidi="ar"/>
              </w:rPr>
            </w:pPr>
            <w:r>
              <w:rPr>
                <w:rFonts w:hint="eastAsia" w:ascii="宋体" w:hAnsi="宋体" w:eastAsia="宋体" w:cs="宋体"/>
                <w:b/>
                <w:bCs/>
                <w:color w:val="auto"/>
                <w:kern w:val="0"/>
                <w:szCs w:val="21"/>
                <w:lang w:bidi="ar"/>
              </w:rPr>
              <w:t>5</w:t>
            </w:r>
          </w:p>
        </w:tc>
        <w:tc>
          <w:tcPr>
            <w:tcW w:w="710" w:type="dxa"/>
            <w:shd w:val="clear" w:color="auto" w:fill="auto"/>
            <w:vAlign w:val="center"/>
          </w:tcPr>
          <w:p w14:paraId="23281A5F">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视频处理器</w:t>
            </w:r>
          </w:p>
        </w:tc>
        <w:tc>
          <w:tcPr>
            <w:tcW w:w="4131" w:type="dxa"/>
            <w:shd w:val="clear" w:color="auto" w:fill="auto"/>
            <w:vAlign w:val="center"/>
          </w:tcPr>
          <w:p w14:paraId="15AE3BD6">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6路HDMI2.0输入；96网口输出，4路HDMI输出；</w:t>
            </w:r>
          </w:p>
          <w:p w14:paraId="1EF642A7">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1.样机正常工作时，噪声不大于45dB(A)（距离样机1m处）；</w:t>
            </w:r>
          </w:p>
          <w:p w14:paraId="1BF041F3">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2.样机前面板内嵌7英寸液晶显示屏，可通过显示屏显示设备运行参数与状态，包括：设备型号、设备SN、设备接口连接状态、运行状态（温度、电压、风扇）、IP地址、固件版本、公司信息、当前屏幕内容的预监回显；支持触摸设置设备IP地址、中控串口参数、固件升级、U盘文件的导入导出、屏幕亮度调节、中英文显示内容切换等；</w:t>
            </w:r>
          </w:p>
          <w:p w14:paraId="76771F3D">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3.样机采用插卡式结构，内置数据交换背板，可监测设备温度、电压、风扇在线状态；可自动自适应识别板卡类型；</w:t>
            </w:r>
          </w:p>
          <w:p w14:paraId="2D162074">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4.单台设备最大支持同时接入30个输入卡和10个输出卡。单路光纤最大支持传输8路网口数据，可同时支持网口传输和光口传输，板卡支持光口和网口之间的复制/热备；</w:t>
            </w:r>
          </w:p>
          <w:p w14:paraId="3243E554">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5.支持自检功能，包括：运行情况、CPU、EMMC、交叉点通信、内存、电压、温度等状态；</w:t>
            </w:r>
          </w:p>
          <w:p w14:paraId="55049BF0">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6.DVI和HDMI输出卡最大支持创建4个屏幕，单台样机最大支持创建40个屏幕；支持非规则建屏，可单卡单接口建屏；</w:t>
            </w:r>
          </w:p>
          <w:p w14:paraId="626F7DE8">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7.单个输出板卡最大支持16个图层，每个图层可放大到4K显示；支持图层在输出接口间漫游，可进行图层参数设置，包括：无极缩放、图层画面截取、水平和垂直镜像翻转、冻结、叠加、图层优先级；可对 图层无极缩放、图层全屏和自适应接口全屏；</w:t>
            </w:r>
          </w:p>
          <w:p w14:paraId="1703F3A5">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8.单拼接屏幕支持1个背景图叠加显示，背景图不占图层资源，支持重命名设置，且可全屏缩放，单张背景图最大支持15360×4096显示；</w:t>
            </w:r>
          </w:p>
          <w:p w14:paraId="3CF08D02">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9.单拼接屏幕支持1个OSD叠加显示，OSD可为文字或图片，最大尺寸支持19200×3240,且透明度和位置可调，支持对字体间距、颜色、位置、透明度、运动特效等参数设置，支持任意比例缩放；</w:t>
            </w:r>
          </w:p>
          <w:p w14:paraId="402A8134">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10.屏幕画质调节支持4种调节模式：标准模 式、文档模式、会议模式、视频模式，每种模式下均支持护眼模式开关设置，护眼 模式关闭时，可对亮度、对比度、饱和度、色调、色温、Gamma进行自定义调节。输出接口画质支持亮度、对比度、饱和度、色调、色温、Gamma调节，可添加22种测 试画面图像，支持间距、速度、亮度调节。</w:t>
            </w:r>
          </w:p>
        </w:tc>
        <w:tc>
          <w:tcPr>
            <w:tcW w:w="1161" w:type="dxa"/>
            <w:shd w:val="clear" w:color="auto" w:fill="auto"/>
            <w:noWrap/>
            <w:vAlign w:val="center"/>
          </w:tcPr>
          <w:p w14:paraId="458AC2AD">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1台</w:t>
            </w:r>
          </w:p>
        </w:tc>
        <w:tc>
          <w:tcPr>
            <w:tcW w:w="833" w:type="dxa"/>
            <w:shd w:val="clear" w:color="auto" w:fill="auto"/>
            <w:noWrap/>
            <w:vAlign w:val="center"/>
          </w:tcPr>
          <w:p w14:paraId="15C52A7D">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29C3B2A4">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276B2366">
            <w:pPr>
              <w:widowControl/>
              <w:spacing w:line="400" w:lineRule="exact"/>
              <w:rPr>
                <w:rFonts w:ascii="宋体" w:hAnsi="宋体" w:eastAsia="宋体" w:cs="宋体"/>
                <w:color w:val="auto"/>
                <w:szCs w:val="21"/>
              </w:rPr>
            </w:pPr>
          </w:p>
        </w:tc>
      </w:tr>
      <w:tr w14:paraId="37B0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37B4590E">
            <w:pPr>
              <w:widowControl/>
              <w:spacing w:line="400" w:lineRule="exact"/>
              <w:jc w:val="center"/>
              <w:textAlignment w:val="center"/>
              <w:rPr>
                <w:rFonts w:hint="eastAsia" w:ascii="宋体" w:hAnsi="宋体" w:eastAsia="宋体" w:cs="宋体"/>
                <w:b/>
                <w:bCs/>
                <w:color w:val="auto"/>
                <w:kern w:val="0"/>
                <w:szCs w:val="21"/>
                <w:lang w:eastAsia="zh-CN" w:bidi="ar"/>
              </w:rPr>
            </w:pPr>
            <w:r>
              <w:rPr>
                <w:rFonts w:hint="eastAsia" w:ascii="宋体" w:hAnsi="宋体" w:eastAsia="宋体" w:cs="宋体"/>
                <w:b/>
                <w:bCs/>
                <w:color w:val="auto"/>
                <w:kern w:val="0"/>
                <w:szCs w:val="21"/>
                <w:lang w:bidi="ar"/>
              </w:rPr>
              <w:t>6</w:t>
            </w:r>
          </w:p>
        </w:tc>
        <w:tc>
          <w:tcPr>
            <w:tcW w:w="710" w:type="dxa"/>
            <w:shd w:val="clear" w:color="auto" w:fill="auto"/>
            <w:vAlign w:val="center"/>
          </w:tcPr>
          <w:p w14:paraId="3A401570">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播放软件</w:t>
            </w:r>
          </w:p>
        </w:tc>
        <w:tc>
          <w:tcPr>
            <w:tcW w:w="4131" w:type="dxa"/>
            <w:shd w:val="clear" w:color="auto" w:fill="auto"/>
            <w:vAlign w:val="center"/>
          </w:tcPr>
          <w:p w14:paraId="18A81C80">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1.支持载入配置、设置输入源、点亮显示屏、显示屏连接设置、冗余备份设置、启用3D设置、工作模式设置、性能参数设置；</w:t>
            </w:r>
          </w:p>
          <w:p w14:paraId="2C56B3A9">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2.可连接多媒体播放器，调试与媒体播放器的屏体参数。支持升级接收卡、发送卡的硬件程序，支持密码修改；</w:t>
            </w:r>
          </w:p>
          <w:p w14:paraId="0B73445B">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3.对智能配电柜PLC模块实行远程控制，控制屏体的开关状态。主界面具有画质引擎设置功能；</w:t>
            </w:r>
          </w:p>
          <w:p w14:paraId="2B7EB86C">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4.支持添加100个显示屏，分别对其进行控制管理。支持检测显示屏LED灯珠的工作状态软件显示点检状态，显示问题点位置；</w:t>
            </w:r>
          </w:p>
          <w:p w14:paraId="684A347B">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5.支持选中灯板并且给灯板设置ID。支持将液晶模块显示的接收卡运行时间清零；</w:t>
            </w:r>
          </w:p>
          <w:p w14:paraId="3BC833F5">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6.支持通过软件对灯点进行亮度校正；</w:t>
            </w:r>
          </w:p>
          <w:p w14:paraId="71D3BDEB">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7.软件具备误码率检测功能；在关于界面中可以查看软件的版本信息和更新日志；</w:t>
            </w:r>
          </w:p>
          <w:p w14:paraId="64D50C05">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8.支持为发送卡设置除湿模式，使控制系统上电后屏体亮度逐渐变化到目标值。</w:t>
            </w:r>
          </w:p>
        </w:tc>
        <w:tc>
          <w:tcPr>
            <w:tcW w:w="1161" w:type="dxa"/>
            <w:shd w:val="clear" w:color="auto" w:fill="auto"/>
            <w:noWrap/>
            <w:vAlign w:val="center"/>
          </w:tcPr>
          <w:p w14:paraId="78FBE28E">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1套</w:t>
            </w:r>
          </w:p>
        </w:tc>
        <w:tc>
          <w:tcPr>
            <w:tcW w:w="833" w:type="dxa"/>
            <w:shd w:val="clear" w:color="auto" w:fill="auto"/>
            <w:noWrap/>
            <w:vAlign w:val="center"/>
          </w:tcPr>
          <w:p w14:paraId="4C35D035">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软件和信息技术服务业</w:t>
            </w:r>
          </w:p>
        </w:tc>
        <w:tc>
          <w:tcPr>
            <w:tcW w:w="1259" w:type="dxa"/>
            <w:shd w:val="clear" w:color="auto" w:fill="auto"/>
            <w:noWrap/>
            <w:vAlign w:val="center"/>
          </w:tcPr>
          <w:p w14:paraId="03E3510F">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74B0632C">
            <w:pPr>
              <w:widowControl/>
              <w:spacing w:line="400" w:lineRule="exact"/>
              <w:rPr>
                <w:rFonts w:ascii="宋体" w:hAnsi="宋体" w:eastAsia="宋体" w:cs="宋体"/>
                <w:color w:val="auto"/>
                <w:szCs w:val="21"/>
              </w:rPr>
            </w:pPr>
          </w:p>
        </w:tc>
      </w:tr>
      <w:tr w14:paraId="18F2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66E266DE">
            <w:pPr>
              <w:widowControl/>
              <w:spacing w:line="400" w:lineRule="exact"/>
              <w:jc w:val="center"/>
              <w:textAlignment w:val="center"/>
              <w:rPr>
                <w:rFonts w:hint="eastAsia" w:ascii="宋体" w:hAnsi="宋体" w:eastAsia="宋体" w:cs="宋体"/>
                <w:b/>
                <w:bCs/>
                <w:color w:val="auto"/>
                <w:kern w:val="0"/>
                <w:szCs w:val="21"/>
                <w:lang w:eastAsia="zh-CN" w:bidi="ar"/>
              </w:rPr>
            </w:pPr>
            <w:r>
              <w:rPr>
                <w:rFonts w:hint="eastAsia" w:ascii="宋体" w:hAnsi="宋体" w:eastAsia="宋体" w:cs="宋体"/>
                <w:b/>
                <w:bCs/>
                <w:color w:val="auto"/>
                <w:kern w:val="0"/>
                <w:szCs w:val="21"/>
                <w:lang w:bidi="ar"/>
              </w:rPr>
              <w:t>7</w:t>
            </w:r>
          </w:p>
        </w:tc>
        <w:tc>
          <w:tcPr>
            <w:tcW w:w="710" w:type="dxa"/>
            <w:shd w:val="clear" w:color="auto" w:fill="auto"/>
            <w:vAlign w:val="center"/>
          </w:tcPr>
          <w:p w14:paraId="0633B530">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显示屏钢结构</w:t>
            </w:r>
          </w:p>
        </w:tc>
        <w:tc>
          <w:tcPr>
            <w:tcW w:w="4131" w:type="dxa"/>
            <w:shd w:val="clear" w:color="auto" w:fill="auto"/>
            <w:vAlign w:val="center"/>
          </w:tcPr>
          <w:p w14:paraId="22B105DA">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根据现场情况定制（主屏+两块侧屏+一块条屏固装）</w:t>
            </w:r>
          </w:p>
        </w:tc>
        <w:tc>
          <w:tcPr>
            <w:tcW w:w="1161" w:type="dxa"/>
            <w:shd w:val="clear" w:color="auto" w:fill="auto"/>
            <w:noWrap/>
            <w:vAlign w:val="center"/>
          </w:tcPr>
          <w:p w14:paraId="26F8FC77">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1套</w:t>
            </w:r>
          </w:p>
        </w:tc>
        <w:tc>
          <w:tcPr>
            <w:tcW w:w="833" w:type="dxa"/>
            <w:shd w:val="clear" w:color="auto" w:fill="auto"/>
            <w:noWrap/>
            <w:vAlign w:val="center"/>
          </w:tcPr>
          <w:p w14:paraId="523F42EF">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3CDA1DFB">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269456BE">
            <w:pPr>
              <w:widowControl/>
              <w:spacing w:line="400" w:lineRule="exact"/>
              <w:rPr>
                <w:rFonts w:ascii="宋体" w:hAnsi="宋体" w:eastAsia="宋体" w:cs="宋体"/>
                <w:color w:val="auto"/>
                <w:szCs w:val="21"/>
              </w:rPr>
            </w:pPr>
          </w:p>
        </w:tc>
      </w:tr>
      <w:tr w14:paraId="4E92E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6E0B3784">
            <w:pPr>
              <w:widowControl/>
              <w:spacing w:line="400" w:lineRule="exact"/>
              <w:jc w:val="center"/>
              <w:textAlignment w:val="center"/>
              <w:rPr>
                <w:rFonts w:hint="default" w:ascii="宋体" w:hAnsi="宋体" w:eastAsia="宋体" w:cs="宋体"/>
                <w:b/>
                <w:bCs/>
                <w:color w:val="auto"/>
                <w:kern w:val="0"/>
                <w:szCs w:val="21"/>
                <w:lang w:val="en-US" w:eastAsia="zh-CN" w:bidi="ar"/>
              </w:rPr>
            </w:pPr>
            <w:r>
              <w:rPr>
                <w:rFonts w:hint="eastAsia" w:ascii="宋体" w:hAnsi="宋体" w:eastAsia="宋体" w:cs="宋体"/>
                <w:b/>
                <w:bCs/>
                <w:color w:val="auto"/>
                <w:kern w:val="0"/>
                <w:szCs w:val="21"/>
                <w:lang w:bidi="ar"/>
              </w:rPr>
              <w:t>8</w:t>
            </w:r>
          </w:p>
        </w:tc>
        <w:tc>
          <w:tcPr>
            <w:tcW w:w="710" w:type="dxa"/>
            <w:shd w:val="clear" w:color="auto" w:fill="auto"/>
            <w:vAlign w:val="center"/>
          </w:tcPr>
          <w:p w14:paraId="2AE6EF60">
            <w:pPr>
              <w:widowControl/>
              <w:spacing w:line="400" w:lineRule="exact"/>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显示屏安装调试</w:t>
            </w:r>
          </w:p>
        </w:tc>
        <w:tc>
          <w:tcPr>
            <w:tcW w:w="4131" w:type="dxa"/>
            <w:shd w:val="clear" w:color="auto" w:fill="auto"/>
            <w:vAlign w:val="center"/>
          </w:tcPr>
          <w:p w14:paraId="49CD5F0E">
            <w:pPr>
              <w:widowControl/>
              <w:spacing w:line="400" w:lineRule="exact"/>
              <w:jc w:val="left"/>
              <w:textAlignment w:val="center"/>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bidi="ar"/>
              </w:rPr>
              <w:t>根据现场情况定制。</w:t>
            </w:r>
          </w:p>
        </w:tc>
        <w:tc>
          <w:tcPr>
            <w:tcW w:w="1161" w:type="dxa"/>
            <w:shd w:val="clear" w:color="auto" w:fill="auto"/>
            <w:noWrap/>
            <w:vAlign w:val="center"/>
          </w:tcPr>
          <w:p w14:paraId="77B64925">
            <w:pPr>
              <w:widowControl/>
              <w:spacing w:line="400" w:lineRule="exact"/>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Cs w:val="21"/>
                <w:lang w:bidi="ar"/>
              </w:rPr>
              <w:t>1套</w:t>
            </w:r>
          </w:p>
        </w:tc>
        <w:tc>
          <w:tcPr>
            <w:tcW w:w="833" w:type="dxa"/>
            <w:shd w:val="clear" w:color="auto" w:fill="auto"/>
            <w:noWrap/>
            <w:vAlign w:val="center"/>
          </w:tcPr>
          <w:p w14:paraId="7F5284C3">
            <w:pPr>
              <w:widowControl/>
              <w:spacing w:line="400" w:lineRule="exact"/>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2D6A07DF">
            <w:pPr>
              <w:widowControl/>
              <w:spacing w:line="400" w:lineRule="exact"/>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7980FBD4">
            <w:pPr>
              <w:widowControl/>
              <w:spacing w:line="400" w:lineRule="exact"/>
              <w:rPr>
                <w:rFonts w:ascii="宋体" w:hAnsi="宋体" w:eastAsia="宋体" w:cs="宋体"/>
                <w:color w:val="auto"/>
                <w:szCs w:val="21"/>
              </w:rPr>
            </w:pPr>
          </w:p>
        </w:tc>
      </w:tr>
      <w:tr w14:paraId="72C0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096625B7">
            <w:pPr>
              <w:widowControl/>
              <w:spacing w:line="400" w:lineRule="exact"/>
              <w:jc w:val="center"/>
              <w:textAlignment w:val="center"/>
              <w:rPr>
                <w:rFonts w:hint="eastAsia" w:ascii="宋体" w:hAnsi="宋体" w:eastAsia="宋体" w:cs="宋体"/>
                <w:b/>
                <w:bCs/>
                <w:color w:val="auto"/>
                <w:kern w:val="0"/>
                <w:szCs w:val="21"/>
                <w:lang w:eastAsia="zh-CN" w:bidi="ar"/>
              </w:rPr>
            </w:pPr>
            <w:r>
              <w:rPr>
                <w:rFonts w:hint="eastAsia" w:ascii="宋体" w:hAnsi="宋体" w:eastAsia="宋体" w:cs="宋体"/>
                <w:b/>
                <w:bCs/>
                <w:color w:val="auto"/>
                <w:kern w:val="0"/>
                <w:szCs w:val="21"/>
                <w:lang w:bidi="ar"/>
              </w:rPr>
              <w:t>9</w:t>
            </w:r>
          </w:p>
        </w:tc>
        <w:tc>
          <w:tcPr>
            <w:tcW w:w="710" w:type="dxa"/>
            <w:shd w:val="clear" w:color="auto" w:fill="auto"/>
            <w:vAlign w:val="center"/>
          </w:tcPr>
          <w:p w14:paraId="57F166FA">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移动侧屏舞台机械控制系统</w:t>
            </w:r>
          </w:p>
        </w:tc>
        <w:tc>
          <w:tcPr>
            <w:tcW w:w="4131" w:type="dxa"/>
            <w:shd w:val="clear" w:color="auto" w:fill="auto"/>
            <w:vAlign w:val="center"/>
          </w:tcPr>
          <w:p w14:paraId="4F2322C6">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2路PLC控制系统；由触摸屏、PLC等组成，控制系统技术先进，可靠性高，系统可扩展性好；触摸屏具有人性化的操作界面，可操作控制侧屏左右移动；具有点控、急停控制功能；</w:t>
            </w:r>
          </w:p>
        </w:tc>
        <w:tc>
          <w:tcPr>
            <w:tcW w:w="1161" w:type="dxa"/>
            <w:shd w:val="clear" w:color="auto" w:fill="auto"/>
            <w:noWrap/>
            <w:vAlign w:val="center"/>
          </w:tcPr>
          <w:p w14:paraId="5588821D">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1套</w:t>
            </w:r>
          </w:p>
        </w:tc>
        <w:tc>
          <w:tcPr>
            <w:tcW w:w="833" w:type="dxa"/>
            <w:shd w:val="clear" w:color="auto" w:fill="auto"/>
            <w:noWrap/>
            <w:vAlign w:val="center"/>
          </w:tcPr>
          <w:p w14:paraId="7E5CA9D4">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软件和信息技术服务业</w:t>
            </w:r>
          </w:p>
        </w:tc>
        <w:tc>
          <w:tcPr>
            <w:tcW w:w="1259" w:type="dxa"/>
            <w:shd w:val="clear" w:color="auto" w:fill="auto"/>
            <w:noWrap/>
            <w:vAlign w:val="center"/>
          </w:tcPr>
          <w:p w14:paraId="00DC5DE5">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5FBD1B13">
            <w:pPr>
              <w:widowControl/>
              <w:spacing w:line="400" w:lineRule="exact"/>
              <w:rPr>
                <w:rFonts w:ascii="宋体" w:hAnsi="宋体" w:eastAsia="宋体" w:cs="宋体"/>
                <w:color w:val="auto"/>
                <w:szCs w:val="21"/>
              </w:rPr>
            </w:pPr>
          </w:p>
        </w:tc>
      </w:tr>
      <w:tr w14:paraId="7DBC2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004B3050">
            <w:pPr>
              <w:widowControl/>
              <w:spacing w:line="400" w:lineRule="exact"/>
              <w:jc w:val="center"/>
              <w:textAlignment w:val="center"/>
              <w:rPr>
                <w:rFonts w:hint="default" w:ascii="宋体" w:hAnsi="宋体" w:eastAsia="宋体" w:cs="宋体"/>
                <w:b/>
                <w:bCs/>
                <w:color w:val="auto"/>
                <w:kern w:val="0"/>
                <w:szCs w:val="21"/>
                <w:lang w:val="en-US" w:eastAsia="zh-CN" w:bidi="ar"/>
              </w:rPr>
            </w:pPr>
            <w:r>
              <w:rPr>
                <w:rFonts w:hint="eastAsia" w:ascii="宋体" w:hAnsi="宋体" w:eastAsia="宋体" w:cs="宋体"/>
                <w:b/>
                <w:bCs/>
                <w:color w:val="auto"/>
                <w:kern w:val="0"/>
                <w:szCs w:val="21"/>
                <w:lang w:bidi="ar"/>
              </w:rPr>
              <w:t>10</w:t>
            </w:r>
          </w:p>
        </w:tc>
        <w:tc>
          <w:tcPr>
            <w:tcW w:w="710" w:type="dxa"/>
            <w:shd w:val="clear" w:color="auto" w:fill="auto"/>
            <w:vAlign w:val="center"/>
          </w:tcPr>
          <w:p w14:paraId="322B21BA">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移动侧屏机械装置</w:t>
            </w:r>
          </w:p>
        </w:tc>
        <w:tc>
          <w:tcPr>
            <w:tcW w:w="4131" w:type="dxa"/>
            <w:shd w:val="clear" w:color="auto" w:fill="auto"/>
            <w:vAlign w:val="center"/>
          </w:tcPr>
          <w:p w14:paraId="7D388540">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驱动类型：电动；驱动方式：自行走传动；功率：1.1kw；行程：3m（具体以实际需求为准）；速度：0.05-0.5m/s；定位精度：±2mm；同步精度：±3mm；噪音控制：≤48dB(A)；含电机、减速机、静音轮、辅助轮、轨道结构、轨道安装组件等等，不含屏体钢架</w:t>
            </w:r>
          </w:p>
        </w:tc>
        <w:tc>
          <w:tcPr>
            <w:tcW w:w="1161" w:type="dxa"/>
            <w:shd w:val="clear" w:color="auto" w:fill="auto"/>
            <w:noWrap/>
            <w:vAlign w:val="center"/>
          </w:tcPr>
          <w:p w14:paraId="54E7C689">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2套</w:t>
            </w:r>
          </w:p>
        </w:tc>
        <w:tc>
          <w:tcPr>
            <w:tcW w:w="833" w:type="dxa"/>
            <w:shd w:val="clear" w:color="auto" w:fill="auto"/>
            <w:noWrap/>
            <w:vAlign w:val="center"/>
          </w:tcPr>
          <w:p w14:paraId="7FFF82D4">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01F39CDB">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1A3B0925">
            <w:pPr>
              <w:widowControl/>
              <w:spacing w:line="400" w:lineRule="exact"/>
              <w:rPr>
                <w:rFonts w:ascii="宋体" w:hAnsi="宋体" w:eastAsia="宋体" w:cs="宋体"/>
                <w:color w:val="auto"/>
                <w:szCs w:val="21"/>
              </w:rPr>
            </w:pPr>
          </w:p>
        </w:tc>
      </w:tr>
      <w:tr w14:paraId="30622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4F45CC70">
            <w:pPr>
              <w:widowControl/>
              <w:spacing w:line="400" w:lineRule="exact"/>
              <w:jc w:val="center"/>
              <w:textAlignment w:val="center"/>
              <w:rPr>
                <w:rFonts w:hint="default" w:ascii="宋体" w:hAnsi="宋体" w:eastAsia="宋体" w:cs="宋体"/>
                <w:b/>
                <w:bCs/>
                <w:color w:val="auto"/>
                <w:kern w:val="0"/>
                <w:szCs w:val="21"/>
                <w:lang w:val="en-US" w:eastAsia="zh-CN" w:bidi="ar"/>
              </w:rPr>
            </w:pPr>
            <w:r>
              <w:rPr>
                <w:rFonts w:hint="eastAsia" w:ascii="宋体" w:hAnsi="宋体" w:eastAsia="宋体" w:cs="宋体"/>
                <w:b/>
                <w:bCs/>
                <w:color w:val="auto"/>
                <w:kern w:val="0"/>
                <w:szCs w:val="21"/>
                <w:lang w:bidi="ar"/>
              </w:rPr>
              <w:t>11</w:t>
            </w:r>
          </w:p>
        </w:tc>
        <w:tc>
          <w:tcPr>
            <w:tcW w:w="710" w:type="dxa"/>
            <w:shd w:val="clear" w:color="auto" w:fill="auto"/>
            <w:vAlign w:val="center"/>
          </w:tcPr>
          <w:p w14:paraId="4D465CF4">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移动侧屏吊挂结构</w:t>
            </w:r>
          </w:p>
        </w:tc>
        <w:tc>
          <w:tcPr>
            <w:tcW w:w="4131" w:type="dxa"/>
            <w:shd w:val="clear" w:color="auto" w:fill="auto"/>
            <w:vAlign w:val="center"/>
          </w:tcPr>
          <w:p w14:paraId="1EFA4A7A">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角铁、槽钢现场定制，满足使用需求</w:t>
            </w:r>
          </w:p>
        </w:tc>
        <w:tc>
          <w:tcPr>
            <w:tcW w:w="1161" w:type="dxa"/>
            <w:shd w:val="clear" w:color="auto" w:fill="auto"/>
            <w:noWrap/>
            <w:vAlign w:val="center"/>
          </w:tcPr>
          <w:p w14:paraId="4C147438">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1套</w:t>
            </w:r>
          </w:p>
        </w:tc>
        <w:tc>
          <w:tcPr>
            <w:tcW w:w="833" w:type="dxa"/>
            <w:shd w:val="clear" w:color="auto" w:fill="auto"/>
            <w:noWrap/>
            <w:vAlign w:val="center"/>
          </w:tcPr>
          <w:p w14:paraId="7D97BA0F">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2B582C1F">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1608B14D">
            <w:pPr>
              <w:widowControl/>
              <w:spacing w:line="400" w:lineRule="exact"/>
              <w:rPr>
                <w:rFonts w:ascii="宋体" w:hAnsi="宋体" w:eastAsia="宋体" w:cs="宋体"/>
                <w:color w:val="auto"/>
                <w:szCs w:val="21"/>
              </w:rPr>
            </w:pPr>
          </w:p>
        </w:tc>
      </w:tr>
      <w:tr w14:paraId="2867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087BA41D">
            <w:pPr>
              <w:widowControl/>
              <w:spacing w:line="400" w:lineRule="exact"/>
              <w:jc w:val="center"/>
              <w:textAlignment w:val="center"/>
              <w:rPr>
                <w:rFonts w:hint="eastAsia" w:ascii="宋体" w:hAnsi="宋体" w:eastAsia="宋体" w:cs="宋体"/>
                <w:b/>
                <w:bCs/>
                <w:color w:val="auto"/>
                <w:kern w:val="0"/>
                <w:szCs w:val="21"/>
                <w:lang w:eastAsia="zh-CN" w:bidi="ar"/>
              </w:rPr>
            </w:pPr>
            <w:r>
              <w:rPr>
                <w:rFonts w:hint="eastAsia" w:ascii="宋体" w:hAnsi="宋体" w:eastAsia="宋体" w:cs="宋体"/>
                <w:b/>
                <w:bCs/>
                <w:color w:val="auto"/>
                <w:kern w:val="0"/>
                <w:szCs w:val="21"/>
                <w:lang w:bidi="ar"/>
              </w:rPr>
              <w:t>12</w:t>
            </w:r>
          </w:p>
        </w:tc>
        <w:tc>
          <w:tcPr>
            <w:tcW w:w="710" w:type="dxa"/>
            <w:shd w:val="clear" w:color="auto" w:fill="auto"/>
            <w:vAlign w:val="center"/>
          </w:tcPr>
          <w:p w14:paraId="45007BFB">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配电柜</w:t>
            </w:r>
          </w:p>
        </w:tc>
        <w:tc>
          <w:tcPr>
            <w:tcW w:w="4131" w:type="dxa"/>
            <w:shd w:val="clear" w:color="auto" w:fill="auto"/>
            <w:vAlign w:val="center"/>
          </w:tcPr>
          <w:p w14:paraId="65339320">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规格：80KW</w:t>
            </w:r>
          </w:p>
          <w:p w14:paraId="5BB6E720">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含PLC控制系统；</w:t>
            </w:r>
          </w:p>
          <w:p w14:paraId="1A521534">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采用三相五线制即TN-S供电方式，配电柜输入电压为交流380V±10%，工频50HZ；</w:t>
            </w:r>
          </w:p>
          <w:p w14:paraId="6425DFD7">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配电柜材质为冷轧钢板，外表喷塑，具备防水、防锈、防腐能力。</w:t>
            </w:r>
          </w:p>
        </w:tc>
        <w:tc>
          <w:tcPr>
            <w:tcW w:w="1161" w:type="dxa"/>
            <w:shd w:val="clear" w:color="auto" w:fill="auto"/>
            <w:noWrap/>
            <w:vAlign w:val="center"/>
          </w:tcPr>
          <w:p w14:paraId="30E1B55B">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1台</w:t>
            </w:r>
          </w:p>
        </w:tc>
        <w:tc>
          <w:tcPr>
            <w:tcW w:w="833" w:type="dxa"/>
            <w:shd w:val="clear" w:color="auto" w:fill="auto"/>
            <w:noWrap/>
            <w:vAlign w:val="center"/>
          </w:tcPr>
          <w:p w14:paraId="2C9E0759">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5CCA2E67">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33452650">
            <w:pPr>
              <w:widowControl/>
              <w:spacing w:line="400" w:lineRule="exact"/>
              <w:rPr>
                <w:rFonts w:ascii="宋体" w:hAnsi="宋体" w:eastAsia="宋体" w:cs="宋体"/>
                <w:color w:val="auto"/>
                <w:szCs w:val="21"/>
              </w:rPr>
            </w:pPr>
          </w:p>
        </w:tc>
      </w:tr>
      <w:tr w14:paraId="05314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604380B9">
            <w:pPr>
              <w:widowControl/>
              <w:spacing w:line="400" w:lineRule="exact"/>
              <w:jc w:val="center"/>
              <w:textAlignment w:val="center"/>
              <w:rPr>
                <w:rFonts w:hint="eastAsia" w:ascii="宋体" w:hAnsi="宋体" w:eastAsia="宋体" w:cs="宋体"/>
                <w:b/>
                <w:bCs/>
                <w:color w:val="auto"/>
                <w:kern w:val="0"/>
                <w:szCs w:val="21"/>
                <w:lang w:eastAsia="zh-CN" w:bidi="ar"/>
              </w:rPr>
            </w:pPr>
            <w:r>
              <w:rPr>
                <w:rFonts w:hint="eastAsia" w:ascii="宋体" w:hAnsi="宋体" w:eastAsia="宋体" w:cs="宋体"/>
                <w:b/>
                <w:bCs/>
                <w:color w:val="auto"/>
                <w:kern w:val="0"/>
                <w:szCs w:val="21"/>
                <w:lang w:bidi="ar"/>
              </w:rPr>
              <w:t>13</w:t>
            </w:r>
          </w:p>
        </w:tc>
        <w:tc>
          <w:tcPr>
            <w:tcW w:w="710" w:type="dxa"/>
            <w:shd w:val="clear" w:color="auto" w:fill="auto"/>
            <w:vAlign w:val="center"/>
          </w:tcPr>
          <w:p w14:paraId="1CD60D90">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开合帘电机</w:t>
            </w:r>
          </w:p>
        </w:tc>
        <w:tc>
          <w:tcPr>
            <w:tcW w:w="4131" w:type="dxa"/>
            <w:shd w:val="clear" w:color="auto" w:fill="auto"/>
            <w:vAlign w:val="center"/>
          </w:tcPr>
          <w:p w14:paraId="3BEE01FE">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额定电压:110-240v额定扭矩:1.2N.m;</w:t>
            </w:r>
          </w:p>
          <w:p w14:paraId="49DAFC8C">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最大功率:45W。</w:t>
            </w:r>
          </w:p>
          <w:p w14:paraId="1E08A8D5">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运行速度:14cm/s;控制方式：433射频、485控制、干触点控制;内置接收，直流电机、停电手拉、手拉启动、缓启缓停。</w:t>
            </w:r>
          </w:p>
          <w:p w14:paraId="309D079F">
            <w:pPr>
              <w:widowControl/>
              <w:spacing w:line="400" w:lineRule="exact"/>
              <w:jc w:val="left"/>
              <w:textAlignment w:val="center"/>
              <w:rPr>
                <w:rFonts w:hint="eastAsia" w:ascii="宋体" w:hAnsi="宋体" w:eastAsia="宋体" w:cs="宋体"/>
                <w:b/>
                <w:bCs/>
                <w:color w:val="auto"/>
                <w:kern w:val="0"/>
                <w:szCs w:val="21"/>
                <w:lang w:eastAsia="zh-CN" w:bidi="ar"/>
              </w:rPr>
            </w:pPr>
            <w:r>
              <w:rPr>
                <w:rFonts w:hint="eastAsia" w:ascii="宋体" w:hAnsi="宋体" w:eastAsia="宋体" w:cs="宋体"/>
                <w:b/>
                <w:bCs/>
                <w:color w:val="auto"/>
                <w:kern w:val="0"/>
                <w:szCs w:val="21"/>
                <w:lang w:bidi="ar"/>
              </w:rPr>
              <w:t>▲绝缘等级A级，提供第三方测试报告或产品说明书扫描件或官网截图扫描件等其他证明材料</w:t>
            </w:r>
            <w:r>
              <w:rPr>
                <w:rFonts w:hint="eastAsia" w:ascii="宋体" w:hAnsi="宋体" w:eastAsia="宋体" w:cs="宋体"/>
                <w:b/>
                <w:bCs/>
                <w:color w:val="auto"/>
                <w:kern w:val="0"/>
                <w:szCs w:val="21"/>
                <w:lang w:eastAsia="zh-CN" w:bidi="ar"/>
              </w:rPr>
              <w:t>。</w:t>
            </w:r>
          </w:p>
          <w:p w14:paraId="245090A9">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具有3C强制性产品认证证书。</w:t>
            </w:r>
          </w:p>
        </w:tc>
        <w:tc>
          <w:tcPr>
            <w:tcW w:w="1161" w:type="dxa"/>
            <w:shd w:val="clear" w:color="auto" w:fill="auto"/>
            <w:noWrap/>
            <w:vAlign w:val="center"/>
          </w:tcPr>
          <w:p w14:paraId="0FEAB5E5">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14台</w:t>
            </w:r>
          </w:p>
        </w:tc>
        <w:tc>
          <w:tcPr>
            <w:tcW w:w="833" w:type="dxa"/>
            <w:shd w:val="clear" w:color="auto" w:fill="auto"/>
            <w:noWrap/>
            <w:vAlign w:val="center"/>
          </w:tcPr>
          <w:p w14:paraId="6355EA2A">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112DA80B">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3B103B64">
            <w:pPr>
              <w:widowControl/>
              <w:spacing w:line="400" w:lineRule="exact"/>
              <w:rPr>
                <w:rFonts w:ascii="宋体" w:hAnsi="宋体" w:eastAsia="宋体" w:cs="宋体"/>
                <w:color w:val="auto"/>
                <w:szCs w:val="21"/>
              </w:rPr>
            </w:pPr>
          </w:p>
        </w:tc>
      </w:tr>
      <w:tr w14:paraId="32554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7ADEAAB5">
            <w:pPr>
              <w:widowControl/>
              <w:spacing w:line="400" w:lineRule="exact"/>
              <w:jc w:val="center"/>
              <w:textAlignment w:val="center"/>
              <w:rPr>
                <w:rFonts w:hint="eastAsia" w:ascii="宋体" w:hAnsi="宋体" w:eastAsia="宋体" w:cs="宋体"/>
                <w:b/>
                <w:bCs/>
                <w:color w:val="auto"/>
                <w:kern w:val="0"/>
                <w:szCs w:val="21"/>
                <w:lang w:eastAsia="zh-CN" w:bidi="ar"/>
              </w:rPr>
            </w:pPr>
            <w:r>
              <w:rPr>
                <w:rFonts w:hint="eastAsia" w:ascii="宋体" w:hAnsi="宋体" w:eastAsia="宋体" w:cs="宋体"/>
                <w:b/>
                <w:bCs/>
                <w:color w:val="auto"/>
                <w:kern w:val="0"/>
                <w:szCs w:val="21"/>
                <w:lang w:bidi="ar"/>
              </w:rPr>
              <w:t>14</w:t>
            </w:r>
          </w:p>
        </w:tc>
        <w:tc>
          <w:tcPr>
            <w:tcW w:w="710" w:type="dxa"/>
            <w:shd w:val="clear" w:color="auto" w:fill="auto"/>
            <w:vAlign w:val="center"/>
          </w:tcPr>
          <w:p w14:paraId="417D532B">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电动开合帘轨道</w:t>
            </w:r>
          </w:p>
        </w:tc>
        <w:tc>
          <w:tcPr>
            <w:tcW w:w="4131" w:type="dxa"/>
            <w:shd w:val="clear" w:color="auto" w:fill="auto"/>
            <w:vAlign w:val="center"/>
          </w:tcPr>
          <w:p w14:paraId="38D2FFD8">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材质:镁铝合金。</w:t>
            </w:r>
          </w:p>
          <w:p w14:paraId="576A3D49">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壁厚:1.4mm。</w:t>
            </w:r>
          </w:p>
          <w:p w14:paraId="30BD3C3C">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表面工艺:电泳内置含8根钢丝同步带。</w:t>
            </w:r>
          </w:p>
        </w:tc>
        <w:tc>
          <w:tcPr>
            <w:tcW w:w="1161" w:type="dxa"/>
            <w:shd w:val="clear" w:color="auto" w:fill="auto"/>
            <w:noWrap/>
            <w:vAlign w:val="center"/>
          </w:tcPr>
          <w:p w14:paraId="6B8BFB2F">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58.04米</w:t>
            </w:r>
          </w:p>
        </w:tc>
        <w:tc>
          <w:tcPr>
            <w:tcW w:w="833" w:type="dxa"/>
            <w:shd w:val="clear" w:color="auto" w:fill="auto"/>
            <w:noWrap/>
            <w:vAlign w:val="center"/>
          </w:tcPr>
          <w:p w14:paraId="0E68C6CE">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4A8F2EB8">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4EF4D0C0">
            <w:pPr>
              <w:widowControl/>
              <w:spacing w:line="400" w:lineRule="exact"/>
              <w:rPr>
                <w:rFonts w:ascii="宋体" w:hAnsi="宋体" w:eastAsia="宋体" w:cs="宋体"/>
                <w:color w:val="auto"/>
                <w:szCs w:val="21"/>
              </w:rPr>
            </w:pPr>
          </w:p>
        </w:tc>
      </w:tr>
      <w:tr w14:paraId="0C117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5E773829">
            <w:pPr>
              <w:widowControl/>
              <w:spacing w:line="400" w:lineRule="exact"/>
              <w:jc w:val="center"/>
              <w:textAlignment w:val="center"/>
              <w:rPr>
                <w:rFonts w:hint="eastAsia" w:ascii="宋体" w:hAnsi="宋体" w:eastAsia="宋体" w:cs="宋体"/>
                <w:b/>
                <w:bCs/>
                <w:color w:val="auto"/>
                <w:kern w:val="0"/>
                <w:szCs w:val="21"/>
                <w:lang w:eastAsia="zh-CN" w:bidi="ar"/>
              </w:rPr>
            </w:pPr>
            <w:r>
              <w:rPr>
                <w:rFonts w:hint="eastAsia" w:ascii="宋体" w:hAnsi="宋体" w:eastAsia="宋体" w:cs="宋体"/>
                <w:b/>
                <w:bCs/>
                <w:color w:val="auto"/>
                <w:kern w:val="0"/>
                <w:szCs w:val="21"/>
                <w:lang w:bidi="ar"/>
              </w:rPr>
              <w:t>15</w:t>
            </w:r>
          </w:p>
        </w:tc>
        <w:tc>
          <w:tcPr>
            <w:tcW w:w="710" w:type="dxa"/>
            <w:shd w:val="clear" w:color="auto" w:fill="auto"/>
            <w:vAlign w:val="center"/>
          </w:tcPr>
          <w:p w14:paraId="39CDE31C">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墙面遥控器</w:t>
            </w:r>
          </w:p>
        </w:tc>
        <w:tc>
          <w:tcPr>
            <w:tcW w:w="4131" w:type="dxa"/>
            <w:shd w:val="clear" w:color="auto" w:fill="auto"/>
            <w:vAlign w:val="center"/>
          </w:tcPr>
          <w:p w14:paraId="2AB31F49">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15通道，可以单独控制每套窗帘，可以群控。</w:t>
            </w:r>
          </w:p>
        </w:tc>
        <w:tc>
          <w:tcPr>
            <w:tcW w:w="1161" w:type="dxa"/>
            <w:shd w:val="clear" w:color="auto" w:fill="auto"/>
            <w:noWrap/>
            <w:vAlign w:val="center"/>
          </w:tcPr>
          <w:p w14:paraId="3DE8CA65">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1个</w:t>
            </w:r>
          </w:p>
        </w:tc>
        <w:tc>
          <w:tcPr>
            <w:tcW w:w="833" w:type="dxa"/>
            <w:shd w:val="clear" w:color="auto" w:fill="auto"/>
            <w:noWrap/>
            <w:vAlign w:val="center"/>
          </w:tcPr>
          <w:p w14:paraId="3CFE701A">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6DF36282">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1F5C811A">
            <w:pPr>
              <w:widowControl/>
              <w:spacing w:line="400" w:lineRule="exact"/>
              <w:rPr>
                <w:rFonts w:ascii="宋体" w:hAnsi="宋体" w:eastAsia="宋体" w:cs="宋体"/>
                <w:color w:val="auto"/>
                <w:szCs w:val="21"/>
              </w:rPr>
            </w:pPr>
          </w:p>
        </w:tc>
      </w:tr>
      <w:tr w14:paraId="53BB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484974A3">
            <w:pPr>
              <w:widowControl/>
              <w:spacing w:line="400" w:lineRule="exact"/>
              <w:jc w:val="center"/>
              <w:textAlignment w:val="center"/>
              <w:rPr>
                <w:rFonts w:hint="eastAsia" w:ascii="宋体" w:hAnsi="宋体" w:eastAsia="宋体" w:cs="宋体"/>
                <w:b/>
                <w:bCs/>
                <w:color w:val="auto"/>
                <w:kern w:val="0"/>
                <w:szCs w:val="21"/>
                <w:lang w:eastAsia="zh-CN" w:bidi="ar"/>
              </w:rPr>
            </w:pPr>
            <w:r>
              <w:rPr>
                <w:rFonts w:hint="eastAsia" w:ascii="宋体" w:hAnsi="宋体" w:eastAsia="宋体" w:cs="宋体"/>
                <w:b/>
                <w:bCs/>
                <w:color w:val="auto"/>
                <w:kern w:val="0"/>
                <w:szCs w:val="21"/>
                <w:lang w:bidi="ar"/>
              </w:rPr>
              <w:t>16</w:t>
            </w:r>
          </w:p>
        </w:tc>
        <w:tc>
          <w:tcPr>
            <w:tcW w:w="710" w:type="dxa"/>
            <w:shd w:val="clear" w:color="auto" w:fill="auto"/>
            <w:vAlign w:val="center"/>
          </w:tcPr>
          <w:p w14:paraId="0968B89F">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手持式遥控器</w:t>
            </w:r>
          </w:p>
        </w:tc>
        <w:tc>
          <w:tcPr>
            <w:tcW w:w="4131" w:type="dxa"/>
            <w:shd w:val="clear" w:color="auto" w:fill="auto"/>
            <w:vAlign w:val="center"/>
          </w:tcPr>
          <w:p w14:paraId="5EF8FFE2">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15通道，可以单独控制每套窗帘，可以群控。</w:t>
            </w:r>
          </w:p>
        </w:tc>
        <w:tc>
          <w:tcPr>
            <w:tcW w:w="1161" w:type="dxa"/>
            <w:shd w:val="clear" w:color="auto" w:fill="auto"/>
            <w:noWrap/>
            <w:vAlign w:val="center"/>
          </w:tcPr>
          <w:p w14:paraId="24690937">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1个</w:t>
            </w:r>
          </w:p>
        </w:tc>
        <w:tc>
          <w:tcPr>
            <w:tcW w:w="833" w:type="dxa"/>
            <w:shd w:val="clear" w:color="auto" w:fill="auto"/>
            <w:noWrap/>
            <w:vAlign w:val="center"/>
          </w:tcPr>
          <w:p w14:paraId="46986BB3">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64C1A3A0">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528226C7">
            <w:pPr>
              <w:widowControl/>
              <w:spacing w:line="400" w:lineRule="exact"/>
              <w:rPr>
                <w:rFonts w:ascii="宋体" w:hAnsi="宋体" w:eastAsia="宋体" w:cs="宋体"/>
                <w:color w:val="auto"/>
                <w:szCs w:val="21"/>
              </w:rPr>
            </w:pPr>
          </w:p>
        </w:tc>
      </w:tr>
      <w:tr w14:paraId="0117E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3B9E9AA8">
            <w:pPr>
              <w:widowControl/>
              <w:spacing w:line="400" w:lineRule="exact"/>
              <w:jc w:val="center"/>
              <w:textAlignment w:val="center"/>
              <w:rPr>
                <w:rFonts w:hint="eastAsia" w:ascii="宋体" w:hAnsi="宋体" w:eastAsia="宋体" w:cs="宋体"/>
                <w:b/>
                <w:bCs/>
                <w:color w:val="auto"/>
                <w:kern w:val="0"/>
                <w:szCs w:val="21"/>
                <w:lang w:eastAsia="zh-CN" w:bidi="ar"/>
              </w:rPr>
            </w:pPr>
            <w:r>
              <w:rPr>
                <w:rFonts w:hint="eastAsia" w:ascii="宋体" w:hAnsi="宋体" w:eastAsia="宋体" w:cs="宋体"/>
                <w:b/>
                <w:bCs/>
                <w:color w:val="auto"/>
                <w:kern w:val="0"/>
                <w:szCs w:val="21"/>
                <w:lang w:bidi="ar"/>
              </w:rPr>
              <w:t>17</w:t>
            </w:r>
          </w:p>
        </w:tc>
        <w:tc>
          <w:tcPr>
            <w:tcW w:w="710" w:type="dxa"/>
            <w:shd w:val="clear" w:color="auto" w:fill="auto"/>
            <w:vAlign w:val="center"/>
          </w:tcPr>
          <w:p w14:paraId="7DD0DE6C">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窗帘</w:t>
            </w:r>
          </w:p>
        </w:tc>
        <w:tc>
          <w:tcPr>
            <w:tcW w:w="4131" w:type="dxa"/>
            <w:shd w:val="clear" w:color="auto" w:fill="auto"/>
            <w:vAlign w:val="center"/>
          </w:tcPr>
          <w:p w14:paraId="477C8FF8">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1、遮光率需达到100%，褶皱倍数不低于2.0。</w:t>
            </w:r>
          </w:p>
          <w:p w14:paraId="14EC46BB">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2、窗帘颜色、样式以现场小样，门幅：280cm。</w:t>
            </w:r>
          </w:p>
          <w:p w14:paraId="29C76BB2">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3、耐久度:20年。</w:t>
            </w:r>
          </w:p>
          <w:p w14:paraId="057D7328">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4、特性:防紫外线不变黄，防水、不缩水。</w:t>
            </w:r>
          </w:p>
        </w:tc>
        <w:tc>
          <w:tcPr>
            <w:tcW w:w="1161" w:type="dxa"/>
            <w:shd w:val="clear" w:color="auto" w:fill="auto"/>
            <w:noWrap/>
            <w:vAlign w:val="center"/>
          </w:tcPr>
          <w:p w14:paraId="0DE673FB">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186.4米</w:t>
            </w:r>
          </w:p>
        </w:tc>
        <w:tc>
          <w:tcPr>
            <w:tcW w:w="833" w:type="dxa"/>
            <w:shd w:val="clear" w:color="auto" w:fill="auto"/>
            <w:noWrap/>
            <w:vAlign w:val="center"/>
          </w:tcPr>
          <w:p w14:paraId="1CACCE16">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4A5C5047">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6536AD4A">
            <w:pPr>
              <w:widowControl/>
              <w:spacing w:line="400" w:lineRule="exact"/>
              <w:rPr>
                <w:rFonts w:ascii="宋体" w:hAnsi="宋体" w:eastAsia="宋体" w:cs="宋体"/>
                <w:color w:val="auto"/>
                <w:szCs w:val="21"/>
              </w:rPr>
            </w:pPr>
          </w:p>
        </w:tc>
      </w:tr>
      <w:tr w14:paraId="39CE5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63D73D06">
            <w:pPr>
              <w:widowControl/>
              <w:spacing w:line="400" w:lineRule="exact"/>
              <w:jc w:val="center"/>
              <w:textAlignment w:val="center"/>
              <w:rPr>
                <w:rFonts w:hint="eastAsia" w:ascii="宋体" w:hAnsi="宋体" w:eastAsia="宋体" w:cs="宋体"/>
                <w:b/>
                <w:bCs/>
                <w:color w:val="auto"/>
                <w:kern w:val="0"/>
                <w:szCs w:val="21"/>
                <w:lang w:eastAsia="zh-CN" w:bidi="ar"/>
              </w:rPr>
            </w:pPr>
            <w:r>
              <w:rPr>
                <w:rFonts w:hint="eastAsia" w:ascii="宋体" w:hAnsi="宋体" w:eastAsia="宋体" w:cs="宋体"/>
                <w:b/>
                <w:bCs/>
                <w:color w:val="auto"/>
                <w:kern w:val="0"/>
                <w:szCs w:val="21"/>
                <w:lang w:bidi="ar"/>
              </w:rPr>
              <w:t>18</w:t>
            </w:r>
          </w:p>
        </w:tc>
        <w:tc>
          <w:tcPr>
            <w:tcW w:w="710" w:type="dxa"/>
            <w:shd w:val="clear" w:color="auto" w:fill="auto"/>
            <w:vAlign w:val="center"/>
          </w:tcPr>
          <w:p w14:paraId="7901B921">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导轨式继电器</w:t>
            </w:r>
          </w:p>
        </w:tc>
        <w:tc>
          <w:tcPr>
            <w:tcW w:w="4131" w:type="dxa"/>
            <w:shd w:val="clear" w:color="auto" w:fill="auto"/>
            <w:vAlign w:val="center"/>
          </w:tcPr>
          <w:p w14:paraId="52A58F13">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 提供8路输出，每路采用10A触点继电器，满足大功率系统供电需求。</w:t>
            </w:r>
          </w:p>
          <w:p w14:paraId="3F06A042">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2. 支持设备级联使用导轨式结构，可直接安装于配电箱内，产品具备8个手动按键。</w:t>
            </w:r>
          </w:p>
          <w:p w14:paraId="72B47CB5">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3. 1路RS485输入接口，1路RS485输出接口。</w:t>
            </w:r>
          </w:p>
          <w:p w14:paraId="2A3C62AD">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4. 具有面板手动按键，可单独开关每路通道。</w:t>
            </w:r>
          </w:p>
          <w:p w14:paraId="637F067A">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5. RS485通讯，可与第三方品牌控制系统对接。</w:t>
            </w:r>
          </w:p>
          <w:p w14:paraId="2FC44E67">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6. 支持100-250V宽电压开关电源供电，使系统在电压不稳定地区也能稳压工作。</w:t>
            </w:r>
          </w:p>
        </w:tc>
        <w:tc>
          <w:tcPr>
            <w:tcW w:w="1161" w:type="dxa"/>
            <w:shd w:val="clear" w:color="auto" w:fill="auto"/>
            <w:noWrap/>
            <w:vAlign w:val="center"/>
          </w:tcPr>
          <w:p w14:paraId="3C95710B">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4台</w:t>
            </w:r>
          </w:p>
        </w:tc>
        <w:tc>
          <w:tcPr>
            <w:tcW w:w="833" w:type="dxa"/>
            <w:shd w:val="clear" w:color="auto" w:fill="auto"/>
            <w:noWrap/>
            <w:vAlign w:val="center"/>
          </w:tcPr>
          <w:p w14:paraId="3BC104F3">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48CAAB5B">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4ECCF642">
            <w:pPr>
              <w:widowControl/>
              <w:spacing w:line="400" w:lineRule="exact"/>
              <w:rPr>
                <w:rFonts w:ascii="宋体" w:hAnsi="宋体" w:eastAsia="宋体" w:cs="宋体"/>
                <w:color w:val="auto"/>
                <w:szCs w:val="21"/>
              </w:rPr>
            </w:pPr>
          </w:p>
        </w:tc>
      </w:tr>
      <w:tr w14:paraId="0248A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56AD093C">
            <w:pPr>
              <w:widowControl/>
              <w:spacing w:line="400" w:lineRule="exact"/>
              <w:jc w:val="center"/>
              <w:textAlignment w:val="center"/>
              <w:rPr>
                <w:rFonts w:hint="eastAsia" w:ascii="宋体" w:hAnsi="宋体" w:eastAsia="宋体" w:cs="宋体"/>
                <w:b/>
                <w:bCs/>
                <w:color w:val="auto"/>
                <w:kern w:val="0"/>
                <w:szCs w:val="21"/>
                <w:lang w:eastAsia="zh-CN" w:bidi="ar"/>
              </w:rPr>
            </w:pPr>
            <w:r>
              <w:rPr>
                <w:rFonts w:hint="eastAsia" w:ascii="宋体" w:hAnsi="宋体" w:eastAsia="宋体" w:cs="宋体"/>
                <w:b/>
                <w:bCs/>
                <w:color w:val="auto"/>
                <w:kern w:val="0"/>
                <w:szCs w:val="21"/>
                <w:lang w:bidi="ar"/>
              </w:rPr>
              <w:t>19</w:t>
            </w:r>
          </w:p>
        </w:tc>
        <w:tc>
          <w:tcPr>
            <w:tcW w:w="710" w:type="dxa"/>
            <w:shd w:val="clear" w:color="auto" w:fill="auto"/>
            <w:vAlign w:val="center"/>
          </w:tcPr>
          <w:p w14:paraId="6947E5FE">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强电控制器</w:t>
            </w:r>
          </w:p>
        </w:tc>
        <w:tc>
          <w:tcPr>
            <w:tcW w:w="4131" w:type="dxa"/>
            <w:shd w:val="clear" w:color="auto" w:fill="auto"/>
            <w:vAlign w:val="center"/>
          </w:tcPr>
          <w:p w14:paraId="04591F5F">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1.提供8路输出，每路采用30A触点继电器，满足大功率系统供电需求。</w:t>
            </w:r>
          </w:p>
          <w:p w14:paraId="0A68BA2D">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2.8路常开常闭触点，采用25A接线端子，适用各种强弱电控制方式。</w:t>
            </w:r>
          </w:p>
          <w:p w14:paraId="01E5DF64">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3.支持RS232控制、外部开关控制、外部电平（5V-12V）控制、级联控制、TCP/IP控制。</w:t>
            </w:r>
          </w:p>
          <w:p w14:paraId="7CC3D41F">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4.具有标准RS232控制功能，可设置255个ID地址，最大可支持255台设备同时使用。</w:t>
            </w:r>
          </w:p>
          <w:p w14:paraId="4E502872">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5.前面板具有8个按键，可对每路进行手动控制，同时具备键盘锁（LOCK）功能，防止误操作。</w:t>
            </w:r>
          </w:p>
          <w:p w14:paraId="765293FB">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6.前面板可数码LED电压显示，误差小于1V，具备超压、欠压警示功能，当电压高于245V或低于195V闪亮警示。</w:t>
            </w:r>
          </w:p>
          <w:p w14:paraId="76292B45">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7.前面板具备(5V/100mA)USB供电接口，可通过按键控制USB供电。</w:t>
            </w:r>
          </w:p>
          <w:p w14:paraId="13078BBD">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8.支持100-250V宽电压开关电源供电，使系统在电压不稳定地区也能稳压工作。</w:t>
            </w:r>
          </w:p>
          <w:p w14:paraId="5AF615B7">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9.通过按键可将设备恢复出厂设置。</w:t>
            </w:r>
          </w:p>
          <w:p w14:paraId="7FE0FC2A">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10.支持设备级联使用。</w:t>
            </w:r>
          </w:p>
          <w:p w14:paraId="3A7FA2D8">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11.可控制通道时序开关，延时时间可设置；支持对独立通道进行开关控制。</w:t>
            </w:r>
          </w:p>
        </w:tc>
        <w:tc>
          <w:tcPr>
            <w:tcW w:w="1161" w:type="dxa"/>
            <w:shd w:val="clear" w:color="auto" w:fill="auto"/>
            <w:noWrap/>
            <w:vAlign w:val="center"/>
          </w:tcPr>
          <w:p w14:paraId="183A6DC3">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2台</w:t>
            </w:r>
          </w:p>
        </w:tc>
        <w:tc>
          <w:tcPr>
            <w:tcW w:w="833" w:type="dxa"/>
            <w:shd w:val="clear" w:color="auto" w:fill="auto"/>
            <w:noWrap/>
            <w:vAlign w:val="center"/>
          </w:tcPr>
          <w:p w14:paraId="0222CD13">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59C9BD9A">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422EE685">
            <w:pPr>
              <w:widowControl/>
              <w:spacing w:line="400" w:lineRule="exact"/>
              <w:rPr>
                <w:rFonts w:ascii="宋体" w:hAnsi="宋体" w:eastAsia="宋体" w:cs="宋体"/>
                <w:color w:val="auto"/>
                <w:szCs w:val="21"/>
              </w:rPr>
            </w:pPr>
          </w:p>
        </w:tc>
      </w:tr>
      <w:tr w14:paraId="1F3A8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36829024">
            <w:pPr>
              <w:widowControl/>
              <w:spacing w:line="400" w:lineRule="exact"/>
              <w:jc w:val="center"/>
              <w:textAlignment w:val="center"/>
              <w:rPr>
                <w:rFonts w:hint="default" w:ascii="宋体" w:hAnsi="宋体" w:eastAsia="宋体" w:cs="宋体"/>
                <w:b/>
                <w:bCs/>
                <w:color w:val="auto"/>
                <w:kern w:val="0"/>
                <w:szCs w:val="21"/>
                <w:lang w:val="en-US" w:eastAsia="zh-CN" w:bidi="ar"/>
              </w:rPr>
            </w:pPr>
            <w:r>
              <w:rPr>
                <w:rFonts w:hint="eastAsia" w:ascii="宋体" w:hAnsi="宋体" w:eastAsia="宋体" w:cs="宋体"/>
                <w:b/>
                <w:bCs/>
                <w:color w:val="auto"/>
                <w:kern w:val="0"/>
                <w:szCs w:val="21"/>
                <w:lang w:bidi="ar"/>
              </w:rPr>
              <w:t>20</w:t>
            </w:r>
          </w:p>
        </w:tc>
        <w:tc>
          <w:tcPr>
            <w:tcW w:w="710" w:type="dxa"/>
            <w:shd w:val="clear" w:color="auto" w:fill="auto"/>
            <w:vAlign w:val="center"/>
          </w:tcPr>
          <w:p w14:paraId="7D83F801">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三工位操作台</w:t>
            </w:r>
          </w:p>
        </w:tc>
        <w:tc>
          <w:tcPr>
            <w:tcW w:w="4131" w:type="dxa"/>
            <w:shd w:val="clear" w:color="auto" w:fill="auto"/>
            <w:vAlign w:val="center"/>
          </w:tcPr>
          <w:p w14:paraId="34C4F74E">
            <w:pPr>
              <w:widowControl/>
              <w:spacing w:line="400" w:lineRule="exact"/>
              <w:jc w:val="left"/>
              <w:textAlignment w:val="center"/>
              <w:rPr>
                <w:rFonts w:hint="eastAsia" w:ascii="宋体" w:hAnsi="宋体" w:eastAsia="宋体" w:cs="宋体"/>
                <w:b/>
                <w:bCs/>
                <w:color w:val="auto"/>
                <w:kern w:val="0"/>
                <w:szCs w:val="21"/>
                <w:lang w:bidi="ar"/>
              </w:rPr>
            </w:pPr>
            <w:r>
              <w:rPr>
                <w:rFonts w:hint="eastAsia" w:ascii="宋体" w:hAnsi="宋体" w:eastAsia="宋体" w:cs="宋体"/>
                <w:b/>
                <w:bCs/>
                <w:color w:val="auto"/>
                <w:kern w:val="0"/>
                <w:szCs w:val="21"/>
                <w:lang w:bidi="ar"/>
              </w:rPr>
              <w:t>1、▲控制台符合GB/T15395—1994《电子设备机柜通用技术条件》，提供有效的检验报告或产品说明书扫描件或官网截图扫描件等其他证明材料。</w:t>
            </w:r>
          </w:p>
          <w:p w14:paraId="21C1C8A8">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2、控制台符合(GB/T 13668-2015、GB/T 3325-20</w:t>
            </w:r>
            <w:r>
              <w:rPr>
                <w:rFonts w:hint="eastAsia" w:ascii="宋体" w:hAnsi="宋体" w:eastAsia="宋体" w:cs="宋体"/>
                <w:color w:val="auto"/>
                <w:kern w:val="0"/>
                <w:szCs w:val="21"/>
                <w:lang w:val="en-US" w:eastAsia="zh-CN" w:bidi="ar"/>
              </w:rPr>
              <w:t>24</w:t>
            </w:r>
            <w:r>
              <w:rPr>
                <w:rFonts w:hint="eastAsia" w:ascii="宋体" w:hAnsi="宋体" w:eastAsia="宋体" w:cs="宋体"/>
                <w:color w:val="auto"/>
                <w:kern w:val="0"/>
                <w:szCs w:val="21"/>
                <w:lang w:bidi="ar"/>
              </w:rPr>
              <w:t>)标准，主承重结构采用不小于1.5mm厚冷轧钢板加工，一般受力配件应采用不小于1.0mm厚优质冷轧钢板钣金加工 ，面板下部有壁厚不低于1.5mm优质钢板折弯的支臂支撑，经裁剪、冲孔、折弯、电焊、打磨、校形、除油、除锈、静电喷涂、高温固化、冷却等工艺流程所有钣金配件均做R圆角处理，外表面使用静电吸塑工艺，整体结构稳固防腐，耐划伤。</w:t>
            </w:r>
          </w:p>
          <w:p w14:paraId="2C13C309">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3、通过YD5083-2005《电信设备抗地震性能检测规范》标准检测，达到9级抗震烈度标准。</w:t>
            </w:r>
          </w:p>
          <w:p w14:paraId="62C45904">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4、台面预留出现接口，供显示器及其它台面设备的电源线及信号线，电话线，鼠标线等通过。台面使用实木颗粒板采用防火板加工，HL覆盖层额定厚度不小于1.0厚度误差为土0.12mm以内(含本数);损阻抗不小于ITITS400周期，整体厚度应不低于26mm，台面边缘设计与台面一体化延伸的不大于20mm的黑色软聚氨酯封边。</w:t>
            </w:r>
          </w:p>
        </w:tc>
        <w:tc>
          <w:tcPr>
            <w:tcW w:w="1161" w:type="dxa"/>
            <w:shd w:val="clear" w:color="auto" w:fill="auto"/>
            <w:noWrap/>
            <w:vAlign w:val="center"/>
          </w:tcPr>
          <w:p w14:paraId="2BB8898A">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1套</w:t>
            </w:r>
          </w:p>
        </w:tc>
        <w:tc>
          <w:tcPr>
            <w:tcW w:w="833" w:type="dxa"/>
            <w:shd w:val="clear" w:color="auto" w:fill="auto"/>
            <w:noWrap/>
            <w:vAlign w:val="center"/>
          </w:tcPr>
          <w:p w14:paraId="000EF130">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05DEE211">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21BBCE33">
            <w:pPr>
              <w:widowControl/>
              <w:spacing w:line="400" w:lineRule="exact"/>
              <w:rPr>
                <w:rFonts w:ascii="宋体" w:hAnsi="宋体" w:eastAsia="宋体" w:cs="宋体"/>
                <w:color w:val="auto"/>
                <w:szCs w:val="21"/>
              </w:rPr>
            </w:pPr>
          </w:p>
        </w:tc>
      </w:tr>
      <w:tr w14:paraId="70F21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31626BB7">
            <w:pPr>
              <w:widowControl/>
              <w:spacing w:line="400" w:lineRule="exact"/>
              <w:jc w:val="center"/>
              <w:textAlignment w:val="center"/>
              <w:rPr>
                <w:rFonts w:hint="default" w:ascii="宋体" w:hAnsi="宋体" w:eastAsia="宋体" w:cs="宋体"/>
                <w:b/>
                <w:bCs/>
                <w:color w:val="auto"/>
                <w:kern w:val="0"/>
                <w:szCs w:val="21"/>
                <w:lang w:val="en-US" w:eastAsia="zh-CN" w:bidi="ar"/>
              </w:rPr>
            </w:pPr>
            <w:r>
              <w:rPr>
                <w:rFonts w:hint="eastAsia" w:ascii="宋体" w:hAnsi="宋体" w:eastAsia="宋体" w:cs="宋体"/>
                <w:b/>
                <w:bCs/>
                <w:color w:val="auto"/>
                <w:kern w:val="0"/>
                <w:szCs w:val="21"/>
                <w:lang w:bidi="ar"/>
              </w:rPr>
              <w:t>21</w:t>
            </w:r>
          </w:p>
        </w:tc>
        <w:tc>
          <w:tcPr>
            <w:tcW w:w="710" w:type="dxa"/>
            <w:shd w:val="clear" w:color="auto" w:fill="auto"/>
            <w:vAlign w:val="center"/>
          </w:tcPr>
          <w:p w14:paraId="3BB4F873">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监听音响</w:t>
            </w:r>
          </w:p>
        </w:tc>
        <w:tc>
          <w:tcPr>
            <w:tcW w:w="4131" w:type="dxa"/>
            <w:shd w:val="clear" w:color="auto" w:fill="auto"/>
            <w:vAlign w:val="center"/>
          </w:tcPr>
          <w:p w14:paraId="1C5C8907">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1.额定输出功率：≥2×25W(含主箱和副箱)。</w:t>
            </w:r>
          </w:p>
          <w:p w14:paraId="79FF81A3">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2.输出阻抗：4-8Ω；频率响应：40Hz~20KHz(≤±2dB)。</w:t>
            </w:r>
          </w:p>
          <w:p w14:paraId="232BB3FF">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3.自带1个MIC 音量调节，1个AUX音量调节。</w:t>
            </w:r>
          </w:p>
          <w:p w14:paraId="20C3B1AB">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4.输入灵敏度：AUX  IN ：350Mv±20MV/10KΩ；MIC ：5MV±0.5MV。</w:t>
            </w:r>
          </w:p>
          <w:p w14:paraId="56927A6F">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5.信噪比：≥70dB；线路输出：≥1V。</w:t>
            </w:r>
          </w:p>
          <w:p w14:paraId="3C22BDBE">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6.谐波失真：≤1%。</w:t>
            </w:r>
          </w:p>
          <w:p w14:paraId="3FC72E4B">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7.工作温度：5℃～40℃；工作湿度：20%～80%相对湿度，无结露。</w:t>
            </w:r>
          </w:p>
          <w:p w14:paraId="74C03784">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8.电源功耗：≤60W，供电电压：~ 220V 50Hz。</w:t>
            </w:r>
          </w:p>
          <w:p w14:paraId="08D4110C">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9.尺寸（W×H×D）mm：162×240×225。</w:t>
            </w:r>
          </w:p>
          <w:p w14:paraId="48B0D296">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10.重量：7.5kg。</w:t>
            </w:r>
          </w:p>
        </w:tc>
        <w:tc>
          <w:tcPr>
            <w:tcW w:w="1161" w:type="dxa"/>
            <w:shd w:val="clear" w:color="auto" w:fill="auto"/>
            <w:noWrap/>
            <w:vAlign w:val="center"/>
          </w:tcPr>
          <w:p w14:paraId="28A63FDB">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1台</w:t>
            </w:r>
          </w:p>
        </w:tc>
        <w:tc>
          <w:tcPr>
            <w:tcW w:w="833" w:type="dxa"/>
            <w:shd w:val="clear" w:color="auto" w:fill="auto"/>
            <w:noWrap/>
            <w:vAlign w:val="center"/>
          </w:tcPr>
          <w:p w14:paraId="7E105914">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44DF8BCE">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0CD7CD9D">
            <w:pPr>
              <w:widowControl/>
              <w:spacing w:line="400" w:lineRule="exact"/>
              <w:rPr>
                <w:rFonts w:ascii="宋体" w:hAnsi="宋体" w:eastAsia="宋体" w:cs="宋体"/>
                <w:color w:val="auto"/>
                <w:szCs w:val="21"/>
              </w:rPr>
            </w:pPr>
          </w:p>
        </w:tc>
      </w:tr>
      <w:tr w14:paraId="6728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7FF4391D">
            <w:pPr>
              <w:widowControl/>
              <w:spacing w:line="400" w:lineRule="exact"/>
              <w:jc w:val="center"/>
              <w:textAlignment w:val="center"/>
              <w:rPr>
                <w:rFonts w:hint="eastAsia" w:ascii="宋体" w:hAnsi="宋体" w:eastAsia="宋体" w:cs="宋体"/>
                <w:b/>
                <w:bCs/>
                <w:color w:val="auto"/>
                <w:kern w:val="0"/>
                <w:szCs w:val="21"/>
                <w:lang w:eastAsia="zh-CN" w:bidi="ar"/>
              </w:rPr>
            </w:pPr>
            <w:r>
              <w:rPr>
                <w:rFonts w:hint="eastAsia" w:ascii="宋体" w:hAnsi="宋体" w:eastAsia="宋体" w:cs="宋体"/>
                <w:b/>
                <w:bCs/>
                <w:color w:val="auto"/>
                <w:kern w:val="0"/>
                <w:szCs w:val="21"/>
                <w:lang w:bidi="ar"/>
              </w:rPr>
              <w:t>22</w:t>
            </w:r>
          </w:p>
        </w:tc>
        <w:tc>
          <w:tcPr>
            <w:tcW w:w="710" w:type="dxa"/>
            <w:shd w:val="clear" w:color="auto" w:fill="auto"/>
            <w:vAlign w:val="center"/>
          </w:tcPr>
          <w:p w14:paraId="1E4BB66C">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显示器</w:t>
            </w:r>
          </w:p>
        </w:tc>
        <w:tc>
          <w:tcPr>
            <w:tcW w:w="4131" w:type="dxa"/>
            <w:shd w:val="clear" w:color="auto" w:fill="auto"/>
            <w:vAlign w:val="center"/>
          </w:tcPr>
          <w:p w14:paraId="37C29877">
            <w:pPr>
              <w:widowControl/>
              <w:spacing w:line="400" w:lineRule="exact"/>
              <w:jc w:val="left"/>
              <w:textAlignment w:val="center"/>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bidi="ar"/>
              </w:rPr>
              <w:t>≥23.8寸显示器</w:t>
            </w:r>
            <w:r>
              <w:rPr>
                <w:rFonts w:hint="eastAsia" w:ascii="宋体" w:hAnsi="宋体" w:eastAsia="宋体" w:cs="宋体"/>
                <w:color w:val="auto"/>
                <w:kern w:val="0"/>
                <w:szCs w:val="21"/>
                <w:lang w:eastAsia="zh-CN" w:bidi="ar"/>
              </w:rPr>
              <w:t>；分辨率不低于1920</w:t>
            </w:r>
            <w:r>
              <w:rPr>
                <w:rFonts w:hint="eastAsia" w:ascii="宋体" w:hAnsi="宋体" w:eastAsia="宋体" w:cs="宋体"/>
                <w:color w:val="auto"/>
                <w:kern w:val="0"/>
                <w:szCs w:val="21"/>
                <w:lang w:val="en-US" w:eastAsia="zh-CN" w:bidi="ar"/>
              </w:rPr>
              <w:t>×</w:t>
            </w:r>
          </w:p>
          <w:p w14:paraId="35E1DAD4">
            <w:pPr>
              <w:widowControl/>
              <w:spacing w:line="400" w:lineRule="exact"/>
              <w:jc w:val="left"/>
              <w:textAlignment w:val="center"/>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eastAsia="zh-CN" w:bidi="ar"/>
              </w:rPr>
              <w:t>1080</w:t>
            </w:r>
          </w:p>
        </w:tc>
        <w:tc>
          <w:tcPr>
            <w:tcW w:w="1161" w:type="dxa"/>
            <w:shd w:val="clear" w:color="auto" w:fill="auto"/>
            <w:noWrap/>
            <w:vAlign w:val="center"/>
          </w:tcPr>
          <w:p w14:paraId="33A0526F">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1台</w:t>
            </w:r>
          </w:p>
        </w:tc>
        <w:tc>
          <w:tcPr>
            <w:tcW w:w="833" w:type="dxa"/>
            <w:shd w:val="clear" w:color="auto" w:fill="auto"/>
            <w:noWrap/>
            <w:vAlign w:val="center"/>
          </w:tcPr>
          <w:p w14:paraId="3BA4F475">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14BC8A89">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036C98CC">
            <w:pPr>
              <w:widowControl/>
              <w:spacing w:line="400" w:lineRule="exact"/>
              <w:rPr>
                <w:rFonts w:ascii="宋体" w:hAnsi="宋体" w:eastAsia="宋体" w:cs="宋体"/>
                <w:color w:val="auto"/>
                <w:szCs w:val="21"/>
              </w:rPr>
            </w:pPr>
            <w:r>
              <w:rPr>
                <w:rFonts w:hint="eastAsia" w:ascii="宋体" w:hAnsi="宋体" w:eastAsia="宋体" w:cs="宋体"/>
                <w:color w:val="auto"/>
                <w:szCs w:val="21"/>
              </w:rPr>
              <w:t>政府强制采购的节能产品</w:t>
            </w:r>
          </w:p>
        </w:tc>
      </w:tr>
      <w:tr w14:paraId="2FD8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75352573">
            <w:pPr>
              <w:widowControl/>
              <w:spacing w:line="400" w:lineRule="exact"/>
              <w:jc w:val="center"/>
              <w:textAlignment w:val="center"/>
              <w:rPr>
                <w:rFonts w:hint="eastAsia" w:ascii="宋体" w:hAnsi="宋体" w:eastAsia="宋体" w:cs="宋体"/>
                <w:b/>
                <w:bCs/>
                <w:color w:val="auto"/>
                <w:kern w:val="0"/>
                <w:szCs w:val="21"/>
                <w:lang w:eastAsia="zh-CN" w:bidi="ar"/>
              </w:rPr>
            </w:pPr>
            <w:r>
              <w:rPr>
                <w:rFonts w:hint="eastAsia" w:ascii="宋体" w:hAnsi="宋体" w:eastAsia="宋体" w:cs="宋体"/>
                <w:b/>
                <w:bCs/>
                <w:color w:val="auto"/>
                <w:kern w:val="0"/>
                <w:szCs w:val="21"/>
                <w:lang w:bidi="ar"/>
              </w:rPr>
              <w:t>23</w:t>
            </w:r>
          </w:p>
        </w:tc>
        <w:tc>
          <w:tcPr>
            <w:tcW w:w="710" w:type="dxa"/>
            <w:shd w:val="clear" w:color="auto" w:fill="auto"/>
            <w:vAlign w:val="center"/>
          </w:tcPr>
          <w:p w14:paraId="3953EB2B">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半球摄像机</w:t>
            </w:r>
          </w:p>
        </w:tc>
        <w:tc>
          <w:tcPr>
            <w:tcW w:w="4131" w:type="dxa"/>
            <w:shd w:val="clear" w:color="auto" w:fill="auto"/>
            <w:vAlign w:val="center"/>
          </w:tcPr>
          <w:p w14:paraId="32785184">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1、400万白光全彩海螺型网络摄像机。</w:t>
            </w:r>
          </w:p>
          <w:p w14:paraId="2116833A">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2、白光全彩海螺型网络摄像机，最高分辨率可达400万像素，并在此分辨率下可输出25 fps实时图像。</w:t>
            </w:r>
          </w:p>
          <w:p w14:paraId="06ADA1C3">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3、支持1个RJ45 10 M/100 M自适应以太网口，1个内置麦克风。</w:t>
            </w:r>
          </w:p>
          <w:p w14:paraId="54DFDCA8">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4、移动侦测（支持人形检测）与异常侦测；</w:t>
            </w:r>
          </w:p>
          <w:p w14:paraId="37182059">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适用于道路、仓库、地下停车场、酒吧、管道、园区等光线较暗或无光照环境且要求高清画质的场所。</w:t>
            </w:r>
          </w:p>
          <w:p w14:paraId="3CDC2EE4">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5、支持背光补偿，强光抑制，3D数字降噪，数字宽动态，适应不同环境；</w:t>
            </w:r>
          </w:p>
          <w:p w14:paraId="666D2813">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6、支持萤石平台，互联接入；</w:t>
            </w:r>
          </w:p>
          <w:p w14:paraId="30B303F0">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7、支持ROI感兴趣区域增强编码；</w:t>
            </w:r>
          </w:p>
          <w:p w14:paraId="66F69631">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8、支持智能补光，实现彩色记录报警事件，可在白光补光/红外补光模式之间切换，白光最远可达20米，红外光最远可达30米；</w:t>
            </w:r>
          </w:p>
          <w:p w14:paraId="41EC8D6F">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符合IP66防尘防水设计，可靠性高；</w:t>
            </w:r>
          </w:p>
          <w:p w14:paraId="1126557D">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9、传感器类型：1/2.7" Progressive Scan CMOS；</w:t>
            </w:r>
          </w:p>
          <w:p w14:paraId="3C95BC64">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10、最低照度：彩色：0.01 Lux @（F1.2，AGC ON），0 Lux with IR；</w:t>
            </w:r>
          </w:p>
          <w:p w14:paraId="407D6BF8">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11、宽动态：数字宽动态；</w:t>
            </w:r>
          </w:p>
          <w:p w14:paraId="2CDC673B">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12、调节角度：水平：0°~360°，垂直：0°~75°，旋转：0°~360° 。</w:t>
            </w:r>
          </w:p>
        </w:tc>
        <w:tc>
          <w:tcPr>
            <w:tcW w:w="1161" w:type="dxa"/>
            <w:shd w:val="clear" w:color="auto" w:fill="auto"/>
            <w:noWrap/>
            <w:vAlign w:val="center"/>
          </w:tcPr>
          <w:p w14:paraId="1EDBB00A">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2台</w:t>
            </w:r>
          </w:p>
        </w:tc>
        <w:tc>
          <w:tcPr>
            <w:tcW w:w="833" w:type="dxa"/>
            <w:shd w:val="clear" w:color="auto" w:fill="auto"/>
            <w:noWrap/>
            <w:vAlign w:val="center"/>
          </w:tcPr>
          <w:p w14:paraId="606118CC">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4FF70575">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47C5EBD0">
            <w:pPr>
              <w:widowControl/>
              <w:spacing w:line="400" w:lineRule="exact"/>
              <w:rPr>
                <w:rFonts w:ascii="宋体" w:hAnsi="宋体" w:eastAsia="宋体" w:cs="宋体"/>
                <w:color w:val="auto"/>
                <w:szCs w:val="21"/>
              </w:rPr>
            </w:pPr>
          </w:p>
        </w:tc>
      </w:tr>
      <w:tr w14:paraId="6D7B6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3E40682A">
            <w:pPr>
              <w:widowControl/>
              <w:spacing w:line="400" w:lineRule="exact"/>
              <w:jc w:val="center"/>
              <w:textAlignment w:val="center"/>
              <w:rPr>
                <w:rFonts w:hint="eastAsia" w:ascii="宋体" w:hAnsi="宋体" w:eastAsia="宋体" w:cs="宋体"/>
                <w:b/>
                <w:bCs/>
                <w:color w:val="auto"/>
                <w:kern w:val="0"/>
                <w:szCs w:val="21"/>
                <w:lang w:eastAsia="zh-CN" w:bidi="ar"/>
              </w:rPr>
            </w:pPr>
            <w:r>
              <w:rPr>
                <w:rFonts w:hint="eastAsia" w:ascii="宋体" w:hAnsi="宋体" w:eastAsia="宋体" w:cs="宋体"/>
                <w:b/>
                <w:bCs/>
                <w:color w:val="auto"/>
                <w:kern w:val="0"/>
                <w:szCs w:val="21"/>
                <w:lang w:bidi="ar"/>
              </w:rPr>
              <w:t>24</w:t>
            </w:r>
          </w:p>
        </w:tc>
        <w:tc>
          <w:tcPr>
            <w:tcW w:w="710" w:type="dxa"/>
            <w:shd w:val="clear" w:color="auto" w:fill="auto"/>
            <w:vAlign w:val="center"/>
          </w:tcPr>
          <w:p w14:paraId="3911F196">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硬盘录像机</w:t>
            </w:r>
          </w:p>
        </w:tc>
        <w:tc>
          <w:tcPr>
            <w:tcW w:w="4131" w:type="dxa"/>
            <w:shd w:val="clear" w:color="auto" w:fill="auto"/>
            <w:vAlign w:val="center"/>
          </w:tcPr>
          <w:p w14:paraId="76FA961A">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1盘位嵌入式网络硬盘录像机；</w:t>
            </w:r>
          </w:p>
          <w:p w14:paraId="6A1E9407">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1、存储接口：1个SATA接口，可满配6TB硬盘；</w:t>
            </w:r>
          </w:p>
          <w:p w14:paraId="0DB5DC3A">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2、视频接口：1×HDMI，1×VGA；</w:t>
            </w:r>
          </w:p>
          <w:p w14:paraId="63F450A7">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3、网络接口：1×RJ45 10/100Mbps自适应以太网口；</w:t>
            </w:r>
          </w:p>
          <w:p w14:paraId="0C5213BE">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4、USB接口：2×USB 2.0；</w:t>
            </w:r>
          </w:p>
          <w:p w14:paraId="41949ECA">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5、含一块2T硬盘；</w:t>
            </w:r>
          </w:p>
        </w:tc>
        <w:tc>
          <w:tcPr>
            <w:tcW w:w="1161" w:type="dxa"/>
            <w:shd w:val="clear" w:color="auto" w:fill="auto"/>
            <w:noWrap/>
            <w:vAlign w:val="center"/>
          </w:tcPr>
          <w:p w14:paraId="5F4405C2">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1台</w:t>
            </w:r>
          </w:p>
        </w:tc>
        <w:tc>
          <w:tcPr>
            <w:tcW w:w="833" w:type="dxa"/>
            <w:shd w:val="clear" w:color="auto" w:fill="auto"/>
            <w:noWrap/>
            <w:vAlign w:val="center"/>
          </w:tcPr>
          <w:p w14:paraId="30CA946E">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2C8E1542">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0A00BC0A">
            <w:pPr>
              <w:widowControl/>
              <w:spacing w:line="400" w:lineRule="exact"/>
              <w:rPr>
                <w:rFonts w:ascii="宋体" w:hAnsi="宋体" w:eastAsia="宋体" w:cs="宋体"/>
                <w:color w:val="auto"/>
                <w:szCs w:val="21"/>
              </w:rPr>
            </w:pPr>
          </w:p>
        </w:tc>
      </w:tr>
      <w:tr w14:paraId="07B00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4415873E">
            <w:pPr>
              <w:widowControl/>
              <w:spacing w:line="400" w:lineRule="exact"/>
              <w:jc w:val="center"/>
              <w:textAlignment w:val="center"/>
              <w:rPr>
                <w:rFonts w:hint="eastAsia" w:ascii="宋体" w:hAnsi="宋体" w:eastAsia="宋体" w:cs="宋体"/>
                <w:b/>
                <w:bCs/>
                <w:color w:val="auto"/>
                <w:kern w:val="0"/>
                <w:szCs w:val="21"/>
                <w:lang w:eastAsia="zh-CN" w:bidi="ar"/>
              </w:rPr>
            </w:pPr>
            <w:r>
              <w:rPr>
                <w:rFonts w:hint="eastAsia" w:ascii="宋体" w:hAnsi="宋体" w:eastAsia="宋体" w:cs="宋体"/>
                <w:b/>
                <w:bCs/>
                <w:color w:val="auto"/>
                <w:kern w:val="0"/>
                <w:szCs w:val="21"/>
                <w:lang w:bidi="ar"/>
              </w:rPr>
              <w:t>25</w:t>
            </w:r>
          </w:p>
        </w:tc>
        <w:tc>
          <w:tcPr>
            <w:tcW w:w="710" w:type="dxa"/>
            <w:shd w:val="clear" w:color="auto" w:fill="auto"/>
            <w:vAlign w:val="center"/>
          </w:tcPr>
          <w:p w14:paraId="0BEE8847">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耳挂对讲器</w:t>
            </w:r>
          </w:p>
        </w:tc>
        <w:tc>
          <w:tcPr>
            <w:tcW w:w="4131" w:type="dxa"/>
            <w:shd w:val="clear" w:color="auto" w:fill="auto"/>
            <w:vAlign w:val="center"/>
          </w:tcPr>
          <w:p w14:paraId="28EEA63B">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1、频道数：25（出厂原设定）为22个信道）；</w:t>
            </w:r>
          </w:p>
          <w:p w14:paraId="55CC253C">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2、工作温度范围：-20℃~60℃；</w:t>
            </w:r>
          </w:p>
          <w:p w14:paraId="08B703D4">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3、额定电压：DS3.7V；</w:t>
            </w:r>
          </w:p>
          <w:p w14:paraId="2EFBADE8">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4、电池容量：280mAh；</w:t>
            </w:r>
          </w:p>
          <w:p w14:paraId="567E74AF">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5、信道间隔：12.5K/25KHz；</w:t>
            </w:r>
          </w:p>
          <w:p w14:paraId="320F34E4">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6、外形尺寸（不含背扣）：53*21.5*15mm；</w:t>
            </w:r>
          </w:p>
          <w:p w14:paraId="1698A64F">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7、天线阻抗：50Ω。</w:t>
            </w:r>
          </w:p>
        </w:tc>
        <w:tc>
          <w:tcPr>
            <w:tcW w:w="1161" w:type="dxa"/>
            <w:shd w:val="clear" w:color="auto" w:fill="auto"/>
            <w:noWrap/>
            <w:vAlign w:val="center"/>
          </w:tcPr>
          <w:p w14:paraId="1A167087">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3台</w:t>
            </w:r>
          </w:p>
        </w:tc>
        <w:tc>
          <w:tcPr>
            <w:tcW w:w="833" w:type="dxa"/>
            <w:shd w:val="clear" w:color="auto" w:fill="auto"/>
            <w:noWrap/>
            <w:vAlign w:val="center"/>
          </w:tcPr>
          <w:p w14:paraId="5A77DC62">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730AEE4C">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47A2326C">
            <w:pPr>
              <w:widowControl/>
              <w:spacing w:line="400" w:lineRule="exact"/>
              <w:rPr>
                <w:rFonts w:ascii="宋体" w:hAnsi="宋体" w:eastAsia="宋体" w:cs="宋体"/>
                <w:color w:val="auto"/>
                <w:szCs w:val="21"/>
              </w:rPr>
            </w:pPr>
          </w:p>
        </w:tc>
      </w:tr>
      <w:tr w14:paraId="3263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4900F818">
            <w:pPr>
              <w:widowControl/>
              <w:spacing w:line="400" w:lineRule="exact"/>
              <w:jc w:val="center"/>
              <w:textAlignment w:val="center"/>
              <w:rPr>
                <w:rFonts w:hint="eastAsia" w:ascii="宋体" w:hAnsi="宋体" w:eastAsia="宋体" w:cs="宋体"/>
                <w:b/>
                <w:bCs/>
                <w:color w:val="auto"/>
                <w:kern w:val="0"/>
                <w:szCs w:val="21"/>
                <w:lang w:eastAsia="zh-CN" w:bidi="ar"/>
              </w:rPr>
            </w:pPr>
            <w:r>
              <w:rPr>
                <w:rFonts w:hint="eastAsia" w:ascii="宋体" w:hAnsi="宋体" w:eastAsia="宋体" w:cs="宋体"/>
                <w:b/>
                <w:bCs/>
                <w:color w:val="auto"/>
                <w:kern w:val="0"/>
                <w:szCs w:val="21"/>
                <w:lang w:bidi="ar"/>
              </w:rPr>
              <w:t>26</w:t>
            </w:r>
          </w:p>
        </w:tc>
        <w:tc>
          <w:tcPr>
            <w:tcW w:w="710" w:type="dxa"/>
            <w:shd w:val="clear" w:color="auto" w:fill="auto"/>
            <w:vAlign w:val="center"/>
          </w:tcPr>
          <w:p w14:paraId="46893DED">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控制线缆</w:t>
            </w:r>
          </w:p>
        </w:tc>
        <w:tc>
          <w:tcPr>
            <w:tcW w:w="4131" w:type="dxa"/>
            <w:shd w:val="clear" w:color="auto" w:fill="auto"/>
            <w:vAlign w:val="center"/>
          </w:tcPr>
          <w:p w14:paraId="511A14C5">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1、名称：通讯线。</w:t>
            </w:r>
          </w:p>
          <w:p w14:paraId="65D314F7">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2、配线形式：管内或桥架敷设。</w:t>
            </w:r>
          </w:p>
          <w:p w14:paraId="0A0DB39B">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3、规格：RVVP2*1.5mm2 。</w:t>
            </w:r>
          </w:p>
        </w:tc>
        <w:tc>
          <w:tcPr>
            <w:tcW w:w="1161" w:type="dxa"/>
            <w:shd w:val="clear" w:color="auto" w:fill="auto"/>
            <w:noWrap/>
            <w:vAlign w:val="center"/>
          </w:tcPr>
          <w:p w14:paraId="5EF2F4DD">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250米</w:t>
            </w:r>
          </w:p>
        </w:tc>
        <w:tc>
          <w:tcPr>
            <w:tcW w:w="833" w:type="dxa"/>
            <w:shd w:val="clear" w:color="auto" w:fill="auto"/>
            <w:noWrap/>
            <w:vAlign w:val="center"/>
          </w:tcPr>
          <w:p w14:paraId="0DCF7328">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073BAC6A">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7E01C01D">
            <w:pPr>
              <w:widowControl/>
              <w:spacing w:line="400" w:lineRule="exact"/>
              <w:rPr>
                <w:rFonts w:ascii="宋体" w:hAnsi="宋体" w:eastAsia="宋体" w:cs="宋体"/>
                <w:color w:val="auto"/>
                <w:szCs w:val="21"/>
              </w:rPr>
            </w:pPr>
          </w:p>
        </w:tc>
      </w:tr>
      <w:tr w14:paraId="214D3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7974A161">
            <w:pPr>
              <w:widowControl/>
              <w:spacing w:line="400" w:lineRule="exact"/>
              <w:jc w:val="center"/>
              <w:textAlignment w:val="center"/>
              <w:rPr>
                <w:rFonts w:hint="eastAsia" w:ascii="宋体" w:hAnsi="宋体" w:eastAsia="宋体" w:cs="宋体"/>
                <w:b/>
                <w:bCs/>
                <w:color w:val="auto"/>
                <w:kern w:val="0"/>
                <w:szCs w:val="21"/>
                <w:lang w:eastAsia="zh-CN" w:bidi="ar"/>
              </w:rPr>
            </w:pPr>
            <w:r>
              <w:rPr>
                <w:rFonts w:hint="eastAsia" w:ascii="宋体" w:hAnsi="宋体" w:eastAsia="宋体" w:cs="宋体"/>
                <w:b/>
                <w:bCs/>
                <w:color w:val="auto"/>
                <w:kern w:val="0"/>
                <w:szCs w:val="21"/>
                <w:lang w:bidi="ar"/>
              </w:rPr>
              <w:t>27</w:t>
            </w:r>
          </w:p>
        </w:tc>
        <w:tc>
          <w:tcPr>
            <w:tcW w:w="710" w:type="dxa"/>
            <w:shd w:val="clear" w:color="auto" w:fill="auto"/>
            <w:vAlign w:val="center"/>
          </w:tcPr>
          <w:p w14:paraId="065CDED5">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网线</w:t>
            </w:r>
          </w:p>
        </w:tc>
        <w:tc>
          <w:tcPr>
            <w:tcW w:w="4131" w:type="dxa"/>
            <w:shd w:val="clear" w:color="auto" w:fill="auto"/>
            <w:vAlign w:val="center"/>
          </w:tcPr>
          <w:p w14:paraId="76101BB8">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1、护套材质：LSZH,护套颜色：灰色,电缆外径：6.2±0.3mm,护套厚度：0.55±0.05mm。</w:t>
            </w:r>
          </w:p>
          <w:p w14:paraId="03529DA4">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2、导体材质：无氧圆铜,导体直径：23AWG,导体绝缘外径：1.04±0.05mm,绝缘材料 HDPE（实心聚烯烃）带撕裂绳,芯数：4对8芯。</w:t>
            </w:r>
          </w:p>
          <w:p w14:paraId="0C391B63">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3、单根导体最大电阻≤7.6Ω/100m,特性阻抗 100±15Ω,绝缘电阻 ≧5000MΩ/km,线对直流电阻不平衡 ≤2.5% ,工作电容 ≤5.6nF/100m。</w:t>
            </w:r>
          </w:p>
          <w:p w14:paraId="43F32FA8">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4、烟密度，最小透光率（IEC 61034-2)：≥60%,卤酸气体总量（IEC 60754-1)：≤5mg/g,护套PH值（IEC 60754-2)：≥4.3,护套电导率（IEC 60754-2）：≤10μs/mm。</w:t>
            </w:r>
          </w:p>
          <w:p w14:paraId="439A0D23">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5、敷设弯曲半径：建议敷设弯曲半径&gt;8倍线缆外径,敷设拉力：建议敷设时短期拉力&lt;110N ；使用拉力：建议使用时长期拉力&lt;20N 。</w:t>
            </w:r>
          </w:p>
        </w:tc>
        <w:tc>
          <w:tcPr>
            <w:tcW w:w="1161" w:type="dxa"/>
            <w:shd w:val="clear" w:color="auto" w:fill="auto"/>
            <w:noWrap/>
            <w:vAlign w:val="center"/>
          </w:tcPr>
          <w:p w14:paraId="0DF45922">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1900米</w:t>
            </w:r>
          </w:p>
        </w:tc>
        <w:tc>
          <w:tcPr>
            <w:tcW w:w="833" w:type="dxa"/>
            <w:shd w:val="clear" w:color="auto" w:fill="auto"/>
            <w:noWrap/>
            <w:vAlign w:val="center"/>
          </w:tcPr>
          <w:p w14:paraId="55569409">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4A3FBF0A">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7D63E0A2">
            <w:pPr>
              <w:widowControl/>
              <w:spacing w:line="400" w:lineRule="exact"/>
              <w:rPr>
                <w:rFonts w:ascii="宋体" w:hAnsi="宋体" w:eastAsia="宋体" w:cs="宋体"/>
                <w:color w:val="auto"/>
                <w:szCs w:val="21"/>
              </w:rPr>
            </w:pPr>
          </w:p>
        </w:tc>
      </w:tr>
      <w:tr w14:paraId="78A50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49C88E33">
            <w:pPr>
              <w:widowControl/>
              <w:spacing w:line="400" w:lineRule="exact"/>
              <w:jc w:val="center"/>
              <w:textAlignment w:val="center"/>
              <w:rPr>
                <w:rFonts w:hint="eastAsia" w:ascii="宋体" w:hAnsi="宋体" w:eastAsia="宋体" w:cs="宋体"/>
                <w:b/>
                <w:bCs/>
                <w:color w:val="auto"/>
                <w:kern w:val="0"/>
                <w:szCs w:val="21"/>
                <w:lang w:eastAsia="zh-CN" w:bidi="ar"/>
              </w:rPr>
            </w:pPr>
            <w:r>
              <w:rPr>
                <w:rFonts w:hint="eastAsia" w:ascii="宋体" w:hAnsi="宋体" w:eastAsia="宋体" w:cs="宋体"/>
                <w:b/>
                <w:bCs/>
                <w:color w:val="auto"/>
                <w:kern w:val="0"/>
                <w:szCs w:val="21"/>
                <w:lang w:bidi="ar"/>
              </w:rPr>
              <w:t>28</w:t>
            </w:r>
          </w:p>
        </w:tc>
        <w:tc>
          <w:tcPr>
            <w:tcW w:w="710" w:type="dxa"/>
            <w:shd w:val="clear" w:color="auto" w:fill="auto"/>
            <w:vAlign w:val="center"/>
          </w:tcPr>
          <w:p w14:paraId="4274B611">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音频线</w:t>
            </w:r>
          </w:p>
        </w:tc>
        <w:tc>
          <w:tcPr>
            <w:tcW w:w="4131" w:type="dxa"/>
            <w:shd w:val="clear" w:color="auto" w:fill="auto"/>
            <w:vAlign w:val="center"/>
          </w:tcPr>
          <w:p w14:paraId="53092E47">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RVPE2*0.5</w:t>
            </w:r>
          </w:p>
        </w:tc>
        <w:tc>
          <w:tcPr>
            <w:tcW w:w="1161" w:type="dxa"/>
            <w:shd w:val="clear" w:color="auto" w:fill="auto"/>
            <w:noWrap/>
            <w:vAlign w:val="center"/>
          </w:tcPr>
          <w:p w14:paraId="4CA035FE">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2000米</w:t>
            </w:r>
          </w:p>
        </w:tc>
        <w:tc>
          <w:tcPr>
            <w:tcW w:w="833" w:type="dxa"/>
            <w:shd w:val="clear" w:color="auto" w:fill="auto"/>
            <w:noWrap/>
            <w:vAlign w:val="center"/>
          </w:tcPr>
          <w:p w14:paraId="52FD1522">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7B6B08E3">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70429B47">
            <w:pPr>
              <w:widowControl/>
              <w:spacing w:line="400" w:lineRule="exact"/>
              <w:rPr>
                <w:rFonts w:ascii="宋体" w:hAnsi="宋体" w:eastAsia="宋体" w:cs="宋体"/>
                <w:color w:val="auto"/>
                <w:szCs w:val="21"/>
              </w:rPr>
            </w:pPr>
          </w:p>
        </w:tc>
      </w:tr>
      <w:tr w14:paraId="7002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77ACFBFE">
            <w:pPr>
              <w:widowControl/>
              <w:spacing w:line="400" w:lineRule="exact"/>
              <w:jc w:val="center"/>
              <w:textAlignment w:val="center"/>
              <w:rPr>
                <w:rFonts w:hint="eastAsia" w:ascii="宋体" w:hAnsi="宋体" w:eastAsia="宋体" w:cs="宋体"/>
                <w:b/>
                <w:bCs/>
                <w:color w:val="auto"/>
                <w:kern w:val="0"/>
                <w:szCs w:val="21"/>
                <w:lang w:eastAsia="zh-CN" w:bidi="ar"/>
              </w:rPr>
            </w:pPr>
            <w:r>
              <w:rPr>
                <w:rFonts w:hint="eastAsia" w:ascii="宋体" w:hAnsi="宋体" w:eastAsia="宋体" w:cs="宋体"/>
                <w:b/>
                <w:bCs/>
                <w:color w:val="auto"/>
                <w:kern w:val="0"/>
                <w:szCs w:val="21"/>
                <w:lang w:bidi="ar"/>
              </w:rPr>
              <w:t>29</w:t>
            </w:r>
          </w:p>
        </w:tc>
        <w:tc>
          <w:tcPr>
            <w:tcW w:w="710" w:type="dxa"/>
            <w:shd w:val="clear" w:color="auto" w:fill="auto"/>
            <w:vAlign w:val="center"/>
          </w:tcPr>
          <w:p w14:paraId="2C5AD5CC">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光纤HDMI线</w:t>
            </w:r>
          </w:p>
        </w:tc>
        <w:tc>
          <w:tcPr>
            <w:tcW w:w="4131" w:type="dxa"/>
            <w:shd w:val="clear" w:color="auto" w:fill="auto"/>
            <w:vAlign w:val="center"/>
          </w:tcPr>
          <w:p w14:paraId="54E2FBF9">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光纤放大线8K 2.1版本</w:t>
            </w:r>
          </w:p>
        </w:tc>
        <w:tc>
          <w:tcPr>
            <w:tcW w:w="1161" w:type="dxa"/>
            <w:shd w:val="clear" w:color="auto" w:fill="auto"/>
            <w:noWrap/>
            <w:vAlign w:val="center"/>
          </w:tcPr>
          <w:p w14:paraId="60BCAF92">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6根</w:t>
            </w:r>
          </w:p>
        </w:tc>
        <w:tc>
          <w:tcPr>
            <w:tcW w:w="833" w:type="dxa"/>
            <w:shd w:val="clear" w:color="auto" w:fill="auto"/>
            <w:noWrap/>
            <w:vAlign w:val="center"/>
          </w:tcPr>
          <w:p w14:paraId="5FAB7F12">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133EDA34">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74678A60">
            <w:pPr>
              <w:widowControl/>
              <w:spacing w:line="400" w:lineRule="exact"/>
              <w:rPr>
                <w:rFonts w:ascii="宋体" w:hAnsi="宋体" w:eastAsia="宋体" w:cs="宋体"/>
                <w:color w:val="auto"/>
                <w:szCs w:val="21"/>
              </w:rPr>
            </w:pPr>
          </w:p>
        </w:tc>
      </w:tr>
      <w:tr w14:paraId="29806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2E0683CB">
            <w:pPr>
              <w:widowControl/>
              <w:spacing w:line="400" w:lineRule="exact"/>
              <w:jc w:val="center"/>
              <w:textAlignment w:val="center"/>
              <w:rPr>
                <w:rFonts w:hint="default" w:ascii="宋体" w:hAnsi="宋体" w:eastAsia="宋体" w:cs="宋体"/>
                <w:b/>
                <w:bCs/>
                <w:color w:val="auto"/>
                <w:kern w:val="0"/>
                <w:szCs w:val="21"/>
                <w:lang w:val="en-US" w:eastAsia="zh-CN" w:bidi="ar"/>
              </w:rPr>
            </w:pPr>
            <w:r>
              <w:rPr>
                <w:rFonts w:hint="eastAsia" w:ascii="宋体" w:hAnsi="宋体" w:eastAsia="宋体" w:cs="宋体"/>
                <w:b/>
                <w:bCs/>
                <w:color w:val="auto"/>
                <w:kern w:val="0"/>
                <w:szCs w:val="21"/>
                <w:lang w:bidi="ar"/>
              </w:rPr>
              <w:t>30</w:t>
            </w:r>
          </w:p>
        </w:tc>
        <w:tc>
          <w:tcPr>
            <w:tcW w:w="710" w:type="dxa"/>
            <w:shd w:val="clear" w:color="auto" w:fill="auto"/>
            <w:vAlign w:val="center"/>
          </w:tcPr>
          <w:p w14:paraId="7A005464">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HDMI线</w:t>
            </w:r>
          </w:p>
        </w:tc>
        <w:tc>
          <w:tcPr>
            <w:tcW w:w="4131" w:type="dxa"/>
            <w:shd w:val="clear" w:color="auto" w:fill="auto"/>
            <w:vAlign w:val="center"/>
          </w:tcPr>
          <w:p w14:paraId="31C2DFAF">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10米HDMI线</w:t>
            </w:r>
          </w:p>
        </w:tc>
        <w:tc>
          <w:tcPr>
            <w:tcW w:w="1161" w:type="dxa"/>
            <w:shd w:val="clear" w:color="auto" w:fill="auto"/>
            <w:noWrap/>
            <w:vAlign w:val="center"/>
          </w:tcPr>
          <w:p w14:paraId="08AFF0B4">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3根</w:t>
            </w:r>
          </w:p>
        </w:tc>
        <w:tc>
          <w:tcPr>
            <w:tcW w:w="833" w:type="dxa"/>
            <w:shd w:val="clear" w:color="auto" w:fill="auto"/>
            <w:noWrap/>
            <w:vAlign w:val="center"/>
          </w:tcPr>
          <w:p w14:paraId="08CAA3D5">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46A01FA4">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7F5BD24D">
            <w:pPr>
              <w:widowControl/>
              <w:spacing w:line="400" w:lineRule="exact"/>
              <w:rPr>
                <w:rFonts w:ascii="宋体" w:hAnsi="宋体" w:eastAsia="宋体" w:cs="宋体"/>
                <w:color w:val="auto"/>
                <w:szCs w:val="21"/>
              </w:rPr>
            </w:pPr>
          </w:p>
        </w:tc>
      </w:tr>
      <w:tr w14:paraId="65F1F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47AA0D55">
            <w:pPr>
              <w:widowControl/>
              <w:spacing w:line="400" w:lineRule="exact"/>
              <w:jc w:val="center"/>
              <w:textAlignment w:val="center"/>
              <w:rPr>
                <w:rFonts w:hint="default" w:ascii="宋体" w:hAnsi="宋体" w:eastAsia="宋体" w:cs="宋体"/>
                <w:b/>
                <w:bCs/>
                <w:color w:val="auto"/>
                <w:kern w:val="0"/>
                <w:szCs w:val="21"/>
                <w:lang w:val="en-US" w:eastAsia="zh-CN" w:bidi="ar"/>
              </w:rPr>
            </w:pPr>
            <w:r>
              <w:rPr>
                <w:rFonts w:hint="eastAsia" w:ascii="宋体" w:hAnsi="宋体" w:eastAsia="宋体" w:cs="宋体"/>
                <w:b/>
                <w:bCs/>
                <w:color w:val="auto"/>
                <w:kern w:val="0"/>
                <w:szCs w:val="21"/>
                <w:lang w:bidi="ar"/>
              </w:rPr>
              <w:t>31</w:t>
            </w:r>
          </w:p>
        </w:tc>
        <w:tc>
          <w:tcPr>
            <w:tcW w:w="710" w:type="dxa"/>
            <w:shd w:val="clear" w:color="auto" w:fill="auto"/>
            <w:vAlign w:val="center"/>
          </w:tcPr>
          <w:p w14:paraId="3F7512F8">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卡侬头-3.5音频头</w:t>
            </w:r>
          </w:p>
        </w:tc>
        <w:tc>
          <w:tcPr>
            <w:tcW w:w="4131" w:type="dxa"/>
            <w:shd w:val="clear" w:color="auto" w:fill="auto"/>
            <w:vAlign w:val="center"/>
          </w:tcPr>
          <w:p w14:paraId="3635C537">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3.5双声-卡侬公</w:t>
            </w:r>
          </w:p>
        </w:tc>
        <w:tc>
          <w:tcPr>
            <w:tcW w:w="1161" w:type="dxa"/>
            <w:shd w:val="clear" w:color="auto" w:fill="auto"/>
            <w:noWrap/>
            <w:vAlign w:val="center"/>
          </w:tcPr>
          <w:p w14:paraId="0E59C7DF">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1根</w:t>
            </w:r>
          </w:p>
        </w:tc>
        <w:tc>
          <w:tcPr>
            <w:tcW w:w="833" w:type="dxa"/>
            <w:shd w:val="clear" w:color="auto" w:fill="auto"/>
            <w:noWrap/>
            <w:vAlign w:val="center"/>
          </w:tcPr>
          <w:p w14:paraId="230113F1">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2C5E84C4">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5A3839D3">
            <w:pPr>
              <w:widowControl/>
              <w:spacing w:line="400" w:lineRule="exact"/>
              <w:rPr>
                <w:rFonts w:ascii="宋体" w:hAnsi="宋体" w:eastAsia="宋体" w:cs="宋体"/>
                <w:color w:val="auto"/>
                <w:szCs w:val="21"/>
              </w:rPr>
            </w:pPr>
          </w:p>
        </w:tc>
      </w:tr>
      <w:tr w14:paraId="10623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04BB9DFF">
            <w:pPr>
              <w:widowControl/>
              <w:spacing w:line="400" w:lineRule="exact"/>
              <w:jc w:val="center"/>
              <w:textAlignment w:val="center"/>
              <w:rPr>
                <w:rFonts w:hint="default" w:ascii="宋体" w:hAnsi="宋体" w:eastAsia="宋体" w:cs="宋体"/>
                <w:b/>
                <w:bCs/>
                <w:color w:val="auto"/>
                <w:kern w:val="0"/>
                <w:szCs w:val="21"/>
                <w:lang w:val="en-US" w:eastAsia="zh-CN" w:bidi="ar"/>
              </w:rPr>
            </w:pPr>
            <w:r>
              <w:rPr>
                <w:rFonts w:hint="eastAsia" w:ascii="宋体" w:hAnsi="宋体" w:eastAsia="宋体" w:cs="宋体"/>
                <w:b/>
                <w:bCs/>
                <w:color w:val="auto"/>
                <w:kern w:val="0"/>
                <w:szCs w:val="21"/>
                <w:lang w:bidi="ar"/>
              </w:rPr>
              <w:t>32</w:t>
            </w:r>
          </w:p>
        </w:tc>
        <w:tc>
          <w:tcPr>
            <w:tcW w:w="710" w:type="dxa"/>
            <w:shd w:val="clear" w:color="auto" w:fill="auto"/>
            <w:vAlign w:val="center"/>
          </w:tcPr>
          <w:p w14:paraId="146FA0F4">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卡侬头-*双6.35音频头</w:t>
            </w:r>
          </w:p>
        </w:tc>
        <w:tc>
          <w:tcPr>
            <w:tcW w:w="4131" w:type="dxa"/>
            <w:shd w:val="clear" w:color="auto" w:fill="auto"/>
            <w:vAlign w:val="center"/>
          </w:tcPr>
          <w:p w14:paraId="21083E82">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卡农公-双6.35；定制1.5米</w:t>
            </w:r>
          </w:p>
        </w:tc>
        <w:tc>
          <w:tcPr>
            <w:tcW w:w="1161" w:type="dxa"/>
            <w:shd w:val="clear" w:color="auto" w:fill="auto"/>
            <w:noWrap/>
            <w:vAlign w:val="center"/>
          </w:tcPr>
          <w:p w14:paraId="0E81563D">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2根</w:t>
            </w:r>
          </w:p>
        </w:tc>
        <w:tc>
          <w:tcPr>
            <w:tcW w:w="833" w:type="dxa"/>
            <w:shd w:val="clear" w:color="auto" w:fill="auto"/>
            <w:noWrap/>
            <w:vAlign w:val="center"/>
          </w:tcPr>
          <w:p w14:paraId="0F0A3AD0">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08EBC7F5">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0DAE3A9E">
            <w:pPr>
              <w:widowControl/>
              <w:spacing w:line="400" w:lineRule="exact"/>
              <w:rPr>
                <w:rFonts w:ascii="宋体" w:hAnsi="宋体" w:eastAsia="宋体" w:cs="宋体"/>
                <w:color w:val="auto"/>
                <w:szCs w:val="21"/>
              </w:rPr>
            </w:pPr>
          </w:p>
        </w:tc>
      </w:tr>
      <w:tr w14:paraId="1E7D8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16812781">
            <w:pPr>
              <w:widowControl/>
              <w:spacing w:line="400" w:lineRule="exact"/>
              <w:jc w:val="center"/>
              <w:textAlignment w:val="center"/>
              <w:rPr>
                <w:rFonts w:hint="default" w:ascii="宋体" w:hAnsi="宋体" w:eastAsia="宋体" w:cs="宋体"/>
                <w:b/>
                <w:bCs/>
                <w:color w:val="auto"/>
                <w:kern w:val="0"/>
                <w:szCs w:val="21"/>
                <w:lang w:val="en-US" w:eastAsia="zh-CN" w:bidi="ar"/>
              </w:rPr>
            </w:pPr>
            <w:r>
              <w:rPr>
                <w:rFonts w:hint="eastAsia" w:ascii="宋体" w:hAnsi="宋体" w:eastAsia="宋体" w:cs="宋体"/>
                <w:b/>
                <w:bCs/>
                <w:color w:val="auto"/>
                <w:kern w:val="0"/>
                <w:szCs w:val="21"/>
                <w:lang w:bidi="ar"/>
              </w:rPr>
              <w:t>33</w:t>
            </w:r>
          </w:p>
        </w:tc>
        <w:tc>
          <w:tcPr>
            <w:tcW w:w="710" w:type="dxa"/>
            <w:shd w:val="clear" w:color="auto" w:fill="auto"/>
            <w:vAlign w:val="center"/>
          </w:tcPr>
          <w:p w14:paraId="2063B85C">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卡侬头-6.35音频头</w:t>
            </w:r>
          </w:p>
        </w:tc>
        <w:tc>
          <w:tcPr>
            <w:tcW w:w="4131" w:type="dxa"/>
            <w:shd w:val="clear" w:color="auto" w:fill="auto"/>
            <w:vAlign w:val="center"/>
          </w:tcPr>
          <w:p w14:paraId="29CDD4FE">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6.35单声-卡侬公</w:t>
            </w:r>
          </w:p>
        </w:tc>
        <w:tc>
          <w:tcPr>
            <w:tcW w:w="1161" w:type="dxa"/>
            <w:shd w:val="clear" w:color="auto" w:fill="auto"/>
            <w:noWrap/>
            <w:vAlign w:val="center"/>
          </w:tcPr>
          <w:p w14:paraId="64DA1895">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4根</w:t>
            </w:r>
          </w:p>
        </w:tc>
        <w:tc>
          <w:tcPr>
            <w:tcW w:w="833" w:type="dxa"/>
            <w:shd w:val="clear" w:color="auto" w:fill="auto"/>
            <w:noWrap/>
            <w:vAlign w:val="center"/>
          </w:tcPr>
          <w:p w14:paraId="0DC0B1A3">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2F6BBB1B">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50FDF6F3">
            <w:pPr>
              <w:widowControl/>
              <w:spacing w:line="400" w:lineRule="exact"/>
              <w:rPr>
                <w:rFonts w:ascii="宋体" w:hAnsi="宋体" w:eastAsia="宋体" w:cs="宋体"/>
                <w:color w:val="auto"/>
                <w:szCs w:val="21"/>
              </w:rPr>
            </w:pPr>
          </w:p>
        </w:tc>
      </w:tr>
      <w:tr w14:paraId="0B78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38F3CC68">
            <w:pPr>
              <w:widowControl/>
              <w:spacing w:line="400" w:lineRule="exact"/>
              <w:jc w:val="center"/>
              <w:textAlignment w:val="center"/>
              <w:rPr>
                <w:rFonts w:hint="default" w:ascii="宋体" w:hAnsi="宋体" w:eastAsia="宋体" w:cs="宋体"/>
                <w:b/>
                <w:bCs/>
                <w:color w:val="auto"/>
                <w:kern w:val="0"/>
                <w:szCs w:val="21"/>
                <w:lang w:val="en-US" w:eastAsia="zh-CN" w:bidi="ar"/>
              </w:rPr>
            </w:pPr>
            <w:r>
              <w:rPr>
                <w:rFonts w:hint="eastAsia" w:ascii="宋体" w:hAnsi="宋体" w:eastAsia="宋体" w:cs="宋体"/>
                <w:b/>
                <w:bCs/>
                <w:color w:val="auto"/>
                <w:kern w:val="0"/>
                <w:szCs w:val="21"/>
                <w:lang w:bidi="ar"/>
              </w:rPr>
              <w:t>34</w:t>
            </w:r>
          </w:p>
        </w:tc>
        <w:tc>
          <w:tcPr>
            <w:tcW w:w="710" w:type="dxa"/>
            <w:shd w:val="clear" w:color="auto" w:fill="auto"/>
            <w:vAlign w:val="center"/>
          </w:tcPr>
          <w:p w14:paraId="440B7B4D">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卡侬头</w:t>
            </w:r>
          </w:p>
        </w:tc>
        <w:tc>
          <w:tcPr>
            <w:tcW w:w="4131" w:type="dxa"/>
            <w:shd w:val="clear" w:color="auto" w:fill="auto"/>
            <w:vAlign w:val="center"/>
          </w:tcPr>
          <w:p w14:paraId="4EB0F1EF">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卡农头</w:t>
            </w:r>
          </w:p>
        </w:tc>
        <w:tc>
          <w:tcPr>
            <w:tcW w:w="1161" w:type="dxa"/>
            <w:shd w:val="clear" w:color="auto" w:fill="auto"/>
            <w:noWrap/>
            <w:vAlign w:val="center"/>
          </w:tcPr>
          <w:p w14:paraId="0CF6B79E">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40对</w:t>
            </w:r>
          </w:p>
        </w:tc>
        <w:tc>
          <w:tcPr>
            <w:tcW w:w="833" w:type="dxa"/>
            <w:shd w:val="clear" w:color="auto" w:fill="auto"/>
            <w:noWrap/>
            <w:vAlign w:val="center"/>
          </w:tcPr>
          <w:p w14:paraId="0AD0D685">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15B7FA15">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48735DCC">
            <w:pPr>
              <w:widowControl/>
              <w:spacing w:line="400" w:lineRule="exact"/>
              <w:rPr>
                <w:rFonts w:ascii="宋体" w:hAnsi="宋体" w:eastAsia="宋体" w:cs="宋体"/>
                <w:color w:val="auto"/>
                <w:szCs w:val="21"/>
              </w:rPr>
            </w:pPr>
          </w:p>
        </w:tc>
      </w:tr>
      <w:tr w14:paraId="4E8E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550CB55B">
            <w:pPr>
              <w:widowControl/>
              <w:spacing w:line="400" w:lineRule="exact"/>
              <w:jc w:val="center"/>
              <w:textAlignment w:val="center"/>
              <w:rPr>
                <w:rFonts w:hint="default" w:ascii="宋体" w:hAnsi="宋体" w:eastAsia="宋体" w:cs="宋体"/>
                <w:b/>
                <w:bCs/>
                <w:color w:val="auto"/>
                <w:kern w:val="0"/>
                <w:szCs w:val="21"/>
                <w:lang w:val="en-US" w:eastAsia="zh-CN" w:bidi="ar"/>
              </w:rPr>
            </w:pPr>
            <w:r>
              <w:rPr>
                <w:rFonts w:hint="eastAsia" w:ascii="宋体" w:hAnsi="宋体" w:eastAsia="宋体" w:cs="宋体"/>
                <w:b/>
                <w:bCs/>
                <w:color w:val="auto"/>
                <w:kern w:val="0"/>
                <w:szCs w:val="21"/>
                <w:lang w:bidi="ar"/>
              </w:rPr>
              <w:t>35</w:t>
            </w:r>
          </w:p>
        </w:tc>
        <w:tc>
          <w:tcPr>
            <w:tcW w:w="710" w:type="dxa"/>
            <w:shd w:val="clear" w:color="auto" w:fill="auto"/>
            <w:vAlign w:val="center"/>
          </w:tcPr>
          <w:p w14:paraId="686DEA9E">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五孔插座</w:t>
            </w:r>
          </w:p>
        </w:tc>
        <w:tc>
          <w:tcPr>
            <w:tcW w:w="4131" w:type="dxa"/>
            <w:shd w:val="clear" w:color="auto" w:fill="auto"/>
            <w:vAlign w:val="center"/>
          </w:tcPr>
          <w:p w14:paraId="6717063F">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五孔明装插座</w:t>
            </w:r>
          </w:p>
        </w:tc>
        <w:tc>
          <w:tcPr>
            <w:tcW w:w="1161" w:type="dxa"/>
            <w:shd w:val="clear" w:color="auto" w:fill="auto"/>
            <w:noWrap/>
            <w:vAlign w:val="center"/>
          </w:tcPr>
          <w:p w14:paraId="1F9F65C7">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16个</w:t>
            </w:r>
          </w:p>
        </w:tc>
        <w:tc>
          <w:tcPr>
            <w:tcW w:w="833" w:type="dxa"/>
            <w:shd w:val="clear" w:color="auto" w:fill="auto"/>
            <w:noWrap/>
            <w:vAlign w:val="center"/>
          </w:tcPr>
          <w:p w14:paraId="68C1FB6F">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70EFDD6D">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6CB1135A">
            <w:pPr>
              <w:widowControl/>
              <w:spacing w:line="400" w:lineRule="exact"/>
              <w:rPr>
                <w:rFonts w:ascii="宋体" w:hAnsi="宋体" w:eastAsia="宋体" w:cs="宋体"/>
                <w:color w:val="auto"/>
                <w:szCs w:val="21"/>
              </w:rPr>
            </w:pPr>
          </w:p>
        </w:tc>
      </w:tr>
      <w:tr w14:paraId="10279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610DF001">
            <w:pPr>
              <w:widowControl/>
              <w:spacing w:line="400" w:lineRule="exact"/>
              <w:jc w:val="center"/>
              <w:textAlignment w:val="center"/>
              <w:rPr>
                <w:rFonts w:hint="eastAsia" w:ascii="宋体" w:hAnsi="宋体" w:eastAsia="宋体" w:cs="宋体"/>
                <w:b/>
                <w:bCs/>
                <w:color w:val="auto"/>
                <w:kern w:val="0"/>
                <w:szCs w:val="21"/>
                <w:lang w:eastAsia="zh-CN" w:bidi="ar"/>
              </w:rPr>
            </w:pPr>
            <w:r>
              <w:rPr>
                <w:rFonts w:hint="eastAsia" w:ascii="宋体" w:hAnsi="宋体" w:eastAsia="宋体" w:cs="宋体"/>
                <w:b/>
                <w:bCs/>
                <w:color w:val="auto"/>
                <w:kern w:val="0"/>
                <w:szCs w:val="21"/>
                <w:lang w:bidi="ar"/>
              </w:rPr>
              <w:t>36</w:t>
            </w:r>
          </w:p>
        </w:tc>
        <w:tc>
          <w:tcPr>
            <w:tcW w:w="710" w:type="dxa"/>
            <w:shd w:val="clear" w:color="auto" w:fill="auto"/>
            <w:vAlign w:val="center"/>
          </w:tcPr>
          <w:p w14:paraId="3564B5BE">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舞台机械通讯线</w:t>
            </w:r>
          </w:p>
        </w:tc>
        <w:tc>
          <w:tcPr>
            <w:tcW w:w="4131" w:type="dxa"/>
            <w:shd w:val="clear" w:color="auto" w:fill="auto"/>
            <w:vAlign w:val="center"/>
          </w:tcPr>
          <w:p w14:paraId="0BCAFF9D">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AVVR+RVVP12x0.3+3X0.3</w:t>
            </w:r>
          </w:p>
        </w:tc>
        <w:tc>
          <w:tcPr>
            <w:tcW w:w="1161" w:type="dxa"/>
            <w:shd w:val="clear" w:color="auto" w:fill="auto"/>
            <w:noWrap/>
            <w:vAlign w:val="center"/>
          </w:tcPr>
          <w:p w14:paraId="7AB4A3C8">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1项</w:t>
            </w:r>
          </w:p>
        </w:tc>
        <w:tc>
          <w:tcPr>
            <w:tcW w:w="833" w:type="dxa"/>
            <w:shd w:val="clear" w:color="auto" w:fill="auto"/>
            <w:noWrap/>
            <w:vAlign w:val="center"/>
          </w:tcPr>
          <w:p w14:paraId="1572FE05">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489F87B9">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41BE697B">
            <w:pPr>
              <w:widowControl/>
              <w:spacing w:line="400" w:lineRule="exact"/>
              <w:rPr>
                <w:rFonts w:ascii="宋体" w:hAnsi="宋体" w:eastAsia="宋体" w:cs="宋体"/>
                <w:color w:val="auto"/>
                <w:szCs w:val="21"/>
              </w:rPr>
            </w:pPr>
          </w:p>
        </w:tc>
      </w:tr>
      <w:tr w14:paraId="40A2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13182BBA">
            <w:pPr>
              <w:widowControl/>
              <w:spacing w:line="400" w:lineRule="exact"/>
              <w:jc w:val="center"/>
              <w:textAlignment w:val="center"/>
              <w:rPr>
                <w:rFonts w:hint="default" w:ascii="宋体" w:hAnsi="宋体" w:eastAsia="宋体" w:cs="宋体"/>
                <w:b/>
                <w:bCs/>
                <w:color w:val="auto"/>
                <w:kern w:val="0"/>
                <w:szCs w:val="21"/>
                <w:lang w:val="en-US" w:eastAsia="zh-CN" w:bidi="ar"/>
              </w:rPr>
            </w:pPr>
            <w:r>
              <w:rPr>
                <w:rFonts w:hint="eastAsia" w:ascii="宋体" w:hAnsi="宋体" w:eastAsia="宋体" w:cs="宋体"/>
                <w:b/>
                <w:bCs/>
                <w:color w:val="auto"/>
                <w:kern w:val="0"/>
                <w:szCs w:val="21"/>
                <w:lang w:bidi="ar"/>
              </w:rPr>
              <w:t>37</w:t>
            </w:r>
          </w:p>
        </w:tc>
        <w:tc>
          <w:tcPr>
            <w:tcW w:w="710" w:type="dxa"/>
            <w:shd w:val="clear" w:color="auto" w:fill="auto"/>
            <w:vAlign w:val="center"/>
          </w:tcPr>
          <w:p w14:paraId="6B041742">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货架</w:t>
            </w:r>
          </w:p>
        </w:tc>
        <w:tc>
          <w:tcPr>
            <w:tcW w:w="4131" w:type="dxa"/>
            <w:shd w:val="clear" w:color="auto" w:fill="auto"/>
            <w:vAlign w:val="center"/>
          </w:tcPr>
          <w:p w14:paraId="230F0C76">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长1.5米，宽0.6米，高1.5米，金属货架。</w:t>
            </w:r>
          </w:p>
        </w:tc>
        <w:tc>
          <w:tcPr>
            <w:tcW w:w="1161" w:type="dxa"/>
            <w:shd w:val="clear" w:color="auto" w:fill="auto"/>
            <w:noWrap/>
            <w:vAlign w:val="center"/>
          </w:tcPr>
          <w:p w14:paraId="1B4CACCC">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1套</w:t>
            </w:r>
          </w:p>
        </w:tc>
        <w:tc>
          <w:tcPr>
            <w:tcW w:w="833" w:type="dxa"/>
            <w:shd w:val="clear" w:color="auto" w:fill="auto"/>
            <w:noWrap/>
            <w:vAlign w:val="center"/>
          </w:tcPr>
          <w:p w14:paraId="6B7D065D">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19265BEC">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56BD11B5">
            <w:pPr>
              <w:widowControl/>
              <w:spacing w:line="400" w:lineRule="exact"/>
              <w:rPr>
                <w:rFonts w:ascii="宋体" w:hAnsi="宋体" w:eastAsia="宋体" w:cs="宋体"/>
                <w:color w:val="auto"/>
                <w:szCs w:val="21"/>
              </w:rPr>
            </w:pPr>
          </w:p>
        </w:tc>
      </w:tr>
      <w:tr w14:paraId="300F5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2CF36052">
            <w:pPr>
              <w:widowControl/>
              <w:spacing w:line="400" w:lineRule="exact"/>
              <w:jc w:val="center"/>
              <w:textAlignment w:val="center"/>
              <w:rPr>
                <w:rFonts w:hint="default" w:ascii="宋体" w:hAnsi="宋体" w:eastAsia="宋体" w:cs="宋体"/>
                <w:b/>
                <w:bCs/>
                <w:color w:val="auto"/>
                <w:kern w:val="0"/>
                <w:szCs w:val="21"/>
                <w:lang w:val="en-US" w:eastAsia="zh-CN" w:bidi="ar"/>
              </w:rPr>
            </w:pPr>
            <w:r>
              <w:rPr>
                <w:rFonts w:hint="eastAsia" w:ascii="宋体" w:hAnsi="宋体" w:eastAsia="宋体" w:cs="宋体"/>
                <w:b/>
                <w:bCs/>
                <w:color w:val="auto"/>
                <w:kern w:val="0"/>
                <w:szCs w:val="21"/>
                <w:lang w:bidi="ar"/>
              </w:rPr>
              <w:t>38</w:t>
            </w:r>
          </w:p>
        </w:tc>
        <w:tc>
          <w:tcPr>
            <w:tcW w:w="710" w:type="dxa"/>
            <w:shd w:val="clear" w:color="auto" w:fill="auto"/>
            <w:vAlign w:val="center"/>
          </w:tcPr>
          <w:p w14:paraId="3F2C58E5">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电力电缆</w:t>
            </w:r>
          </w:p>
        </w:tc>
        <w:tc>
          <w:tcPr>
            <w:tcW w:w="4131" w:type="dxa"/>
            <w:shd w:val="clear" w:color="auto" w:fill="auto"/>
            <w:vAlign w:val="center"/>
          </w:tcPr>
          <w:p w14:paraId="245C9E33">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1、规格：ZC-YJV3*2.5mm2 。</w:t>
            </w:r>
          </w:p>
          <w:p w14:paraId="3637B14B">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2、敷设方式、部位：管内或桥架敷设 。</w:t>
            </w:r>
          </w:p>
        </w:tc>
        <w:tc>
          <w:tcPr>
            <w:tcW w:w="1161" w:type="dxa"/>
            <w:shd w:val="clear" w:color="auto" w:fill="auto"/>
            <w:noWrap/>
            <w:vAlign w:val="center"/>
          </w:tcPr>
          <w:p w14:paraId="3AFFD328">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850米</w:t>
            </w:r>
          </w:p>
        </w:tc>
        <w:tc>
          <w:tcPr>
            <w:tcW w:w="833" w:type="dxa"/>
            <w:shd w:val="clear" w:color="auto" w:fill="auto"/>
            <w:noWrap/>
            <w:vAlign w:val="center"/>
          </w:tcPr>
          <w:p w14:paraId="322C4FD9">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6D045395">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500C8620">
            <w:pPr>
              <w:widowControl/>
              <w:spacing w:line="400" w:lineRule="exact"/>
              <w:rPr>
                <w:rFonts w:ascii="宋体" w:hAnsi="宋体" w:eastAsia="宋体" w:cs="宋体"/>
                <w:color w:val="auto"/>
                <w:szCs w:val="21"/>
              </w:rPr>
            </w:pPr>
          </w:p>
        </w:tc>
      </w:tr>
      <w:tr w14:paraId="28F34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5084975D">
            <w:pPr>
              <w:widowControl/>
              <w:spacing w:line="400" w:lineRule="exact"/>
              <w:jc w:val="center"/>
              <w:textAlignment w:val="center"/>
              <w:rPr>
                <w:rFonts w:hint="eastAsia" w:ascii="宋体" w:hAnsi="宋体" w:eastAsia="宋体" w:cs="宋体"/>
                <w:b/>
                <w:bCs/>
                <w:color w:val="auto"/>
                <w:kern w:val="0"/>
                <w:szCs w:val="21"/>
                <w:lang w:eastAsia="zh-CN" w:bidi="ar"/>
              </w:rPr>
            </w:pPr>
            <w:r>
              <w:rPr>
                <w:rFonts w:hint="eastAsia" w:ascii="宋体" w:hAnsi="宋体" w:eastAsia="宋体" w:cs="宋体"/>
                <w:b/>
                <w:bCs/>
                <w:color w:val="auto"/>
                <w:kern w:val="0"/>
                <w:szCs w:val="21"/>
                <w:lang w:bidi="ar"/>
              </w:rPr>
              <w:t>39</w:t>
            </w:r>
          </w:p>
        </w:tc>
        <w:tc>
          <w:tcPr>
            <w:tcW w:w="710" w:type="dxa"/>
            <w:shd w:val="clear" w:color="auto" w:fill="auto"/>
            <w:vAlign w:val="center"/>
          </w:tcPr>
          <w:p w14:paraId="082DE2C5">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电力电缆</w:t>
            </w:r>
          </w:p>
        </w:tc>
        <w:tc>
          <w:tcPr>
            <w:tcW w:w="4131" w:type="dxa"/>
            <w:shd w:val="clear" w:color="auto" w:fill="auto"/>
            <w:vAlign w:val="center"/>
          </w:tcPr>
          <w:p w14:paraId="2AAC1866">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1、规格：ZC-YJV4*50+1*25mm2 。</w:t>
            </w:r>
          </w:p>
          <w:p w14:paraId="79F2BB9C">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2、敷设方式、部位：管内或桥架敷设 。</w:t>
            </w:r>
          </w:p>
        </w:tc>
        <w:tc>
          <w:tcPr>
            <w:tcW w:w="1161" w:type="dxa"/>
            <w:shd w:val="clear" w:color="auto" w:fill="auto"/>
            <w:noWrap/>
            <w:vAlign w:val="center"/>
          </w:tcPr>
          <w:p w14:paraId="3B1D36CF">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45米</w:t>
            </w:r>
          </w:p>
        </w:tc>
        <w:tc>
          <w:tcPr>
            <w:tcW w:w="833" w:type="dxa"/>
            <w:shd w:val="clear" w:color="auto" w:fill="auto"/>
            <w:noWrap/>
            <w:vAlign w:val="center"/>
          </w:tcPr>
          <w:p w14:paraId="74B7FAC8">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0A5532E2">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3846028D">
            <w:pPr>
              <w:widowControl/>
              <w:spacing w:line="400" w:lineRule="exact"/>
              <w:rPr>
                <w:rFonts w:ascii="宋体" w:hAnsi="宋体" w:eastAsia="宋体" w:cs="宋体"/>
                <w:color w:val="auto"/>
                <w:szCs w:val="21"/>
              </w:rPr>
            </w:pPr>
          </w:p>
        </w:tc>
      </w:tr>
      <w:tr w14:paraId="30370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46154ED9">
            <w:pPr>
              <w:widowControl/>
              <w:spacing w:line="400" w:lineRule="exact"/>
              <w:jc w:val="center"/>
              <w:textAlignment w:val="center"/>
              <w:rPr>
                <w:rFonts w:hint="default" w:ascii="宋体" w:hAnsi="宋体" w:eastAsia="宋体" w:cs="宋体"/>
                <w:b/>
                <w:bCs/>
                <w:color w:val="auto"/>
                <w:kern w:val="0"/>
                <w:szCs w:val="21"/>
                <w:lang w:val="en-US" w:eastAsia="zh-CN" w:bidi="ar"/>
              </w:rPr>
            </w:pPr>
            <w:r>
              <w:rPr>
                <w:rFonts w:hint="eastAsia" w:ascii="宋体" w:hAnsi="宋体" w:eastAsia="宋体" w:cs="宋体"/>
                <w:b/>
                <w:bCs/>
                <w:color w:val="auto"/>
                <w:kern w:val="0"/>
                <w:szCs w:val="21"/>
                <w:lang w:bidi="ar"/>
              </w:rPr>
              <w:t>40</w:t>
            </w:r>
          </w:p>
        </w:tc>
        <w:tc>
          <w:tcPr>
            <w:tcW w:w="710" w:type="dxa"/>
            <w:shd w:val="clear" w:color="auto" w:fill="auto"/>
            <w:vAlign w:val="center"/>
          </w:tcPr>
          <w:p w14:paraId="2F71DA01">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管材</w:t>
            </w:r>
          </w:p>
        </w:tc>
        <w:tc>
          <w:tcPr>
            <w:tcW w:w="4131" w:type="dxa"/>
            <w:shd w:val="clear" w:color="auto" w:fill="auto"/>
            <w:vAlign w:val="center"/>
          </w:tcPr>
          <w:p w14:paraId="13C38341">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pvc25</w:t>
            </w:r>
          </w:p>
        </w:tc>
        <w:tc>
          <w:tcPr>
            <w:tcW w:w="1161" w:type="dxa"/>
            <w:shd w:val="clear" w:color="auto" w:fill="auto"/>
            <w:noWrap/>
            <w:vAlign w:val="center"/>
          </w:tcPr>
          <w:p w14:paraId="5C75AFC4">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380米</w:t>
            </w:r>
          </w:p>
        </w:tc>
        <w:tc>
          <w:tcPr>
            <w:tcW w:w="833" w:type="dxa"/>
            <w:shd w:val="clear" w:color="auto" w:fill="auto"/>
            <w:noWrap/>
            <w:vAlign w:val="center"/>
          </w:tcPr>
          <w:p w14:paraId="303E59E6">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1CA761AC">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6FE66AB9">
            <w:pPr>
              <w:widowControl/>
              <w:spacing w:line="400" w:lineRule="exact"/>
              <w:rPr>
                <w:rFonts w:ascii="宋体" w:hAnsi="宋体" w:eastAsia="宋体" w:cs="宋体"/>
                <w:color w:val="auto"/>
                <w:szCs w:val="21"/>
              </w:rPr>
            </w:pPr>
          </w:p>
        </w:tc>
      </w:tr>
      <w:tr w14:paraId="7B7F7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13B97820">
            <w:pPr>
              <w:widowControl/>
              <w:spacing w:line="400" w:lineRule="exact"/>
              <w:jc w:val="center"/>
              <w:textAlignment w:val="center"/>
              <w:rPr>
                <w:rFonts w:hint="default" w:ascii="宋体" w:hAnsi="宋体" w:eastAsia="宋体" w:cs="宋体"/>
                <w:b/>
                <w:bCs/>
                <w:color w:val="auto"/>
                <w:kern w:val="0"/>
                <w:szCs w:val="21"/>
                <w:lang w:val="en-US" w:eastAsia="zh-CN" w:bidi="ar"/>
              </w:rPr>
            </w:pPr>
            <w:r>
              <w:rPr>
                <w:rFonts w:hint="eastAsia" w:ascii="宋体" w:hAnsi="宋体" w:eastAsia="宋体" w:cs="宋体"/>
                <w:b/>
                <w:bCs/>
                <w:color w:val="auto"/>
                <w:kern w:val="0"/>
                <w:szCs w:val="21"/>
                <w:lang w:bidi="ar"/>
              </w:rPr>
              <w:t>41</w:t>
            </w:r>
          </w:p>
        </w:tc>
        <w:tc>
          <w:tcPr>
            <w:tcW w:w="710" w:type="dxa"/>
            <w:shd w:val="clear" w:color="auto" w:fill="auto"/>
            <w:vAlign w:val="center"/>
          </w:tcPr>
          <w:p w14:paraId="29CAC6CB">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桥架</w:t>
            </w:r>
          </w:p>
        </w:tc>
        <w:tc>
          <w:tcPr>
            <w:tcW w:w="4131" w:type="dxa"/>
            <w:shd w:val="clear" w:color="auto" w:fill="auto"/>
            <w:vAlign w:val="center"/>
          </w:tcPr>
          <w:p w14:paraId="21B5FD24">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1、名称：弱电桥架</w:t>
            </w:r>
          </w:p>
          <w:p w14:paraId="0E35FDEC">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2、规格：200*100mm</w:t>
            </w:r>
          </w:p>
          <w:p w14:paraId="3DB43E69">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3、中间加隔板</w:t>
            </w:r>
          </w:p>
        </w:tc>
        <w:tc>
          <w:tcPr>
            <w:tcW w:w="1161" w:type="dxa"/>
            <w:shd w:val="clear" w:color="auto" w:fill="auto"/>
            <w:noWrap/>
            <w:vAlign w:val="center"/>
          </w:tcPr>
          <w:p w14:paraId="632A7C28">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80米</w:t>
            </w:r>
          </w:p>
        </w:tc>
        <w:tc>
          <w:tcPr>
            <w:tcW w:w="833" w:type="dxa"/>
            <w:shd w:val="clear" w:color="auto" w:fill="auto"/>
            <w:noWrap/>
            <w:vAlign w:val="center"/>
          </w:tcPr>
          <w:p w14:paraId="0C2CCF60">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工业</w:t>
            </w:r>
          </w:p>
        </w:tc>
        <w:tc>
          <w:tcPr>
            <w:tcW w:w="1259" w:type="dxa"/>
            <w:shd w:val="clear" w:color="auto" w:fill="auto"/>
            <w:noWrap/>
            <w:vAlign w:val="center"/>
          </w:tcPr>
          <w:p w14:paraId="7D8463D8">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20A1D74D">
            <w:pPr>
              <w:widowControl/>
              <w:spacing w:line="400" w:lineRule="exact"/>
              <w:rPr>
                <w:rFonts w:ascii="宋体" w:hAnsi="宋体" w:eastAsia="宋体" w:cs="宋体"/>
                <w:color w:val="auto"/>
                <w:szCs w:val="21"/>
              </w:rPr>
            </w:pPr>
          </w:p>
        </w:tc>
      </w:tr>
      <w:tr w14:paraId="43FA3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27D65CC2">
            <w:pPr>
              <w:widowControl/>
              <w:spacing w:line="400" w:lineRule="exact"/>
              <w:jc w:val="center"/>
              <w:textAlignment w:val="center"/>
              <w:rPr>
                <w:rFonts w:hint="default" w:ascii="宋体" w:hAnsi="宋体" w:eastAsia="宋体" w:cs="宋体"/>
                <w:b/>
                <w:bCs/>
                <w:color w:val="auto"/>
                <w:kern w:val="0"/>
                <w:szCs w:val="21"/>
                <w:lang w:val="en-US" w:eastAsia="zh-CN" w:bidi="ar"/>
              </w:rPr>
            </w:pPr>
            <w:r>
              <w:rPr>
                <w:rFonts w:hint="eastAsia" w:ascii="宋体" w:hAnsi="宋体" w:eastAsia="宋体" w:cs="宋体"/>
                <w:b/>
                <w:bCs/>
                <w:color w:val="auto"/>
                <w:kern w:val="0"/>
                <w:szCs w:val="21"/>
                <w:lang w:bidi="ar"/>
              </w:rPr>
              <w:t>42</w:t>
            </w:r>
          </w:p>
        </w:tc>
        <w:tc>
          <w:tcPr>
            <w:tcW w:w="710" w:type="dxa"/>
            <w:shd w:val="clear" w:color="auto" w:fill="auto"/>
            <w:vAlign w:val="center"/>
          </w:tcPr>
          <w:p w14:paraId="2CF6C55E">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系统对接</w:t>
            </w:r>
          </w:p>
        </w:tc>
        <w:tc>
          <w:tcPr>
            <w:tcW w:w="4131" w:type="dxa"/>
            <w:shd w:val="clear" w:color="auto" w:fill="auto"/>
            <w:vAlign w:val="center"/>
          </w:tcPr>
          <w:p w14:paraId="2D219480">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★1、要求提供一套集成舞台大屏系统、窗帘及现有音响、灯光等设备的一体化集成控制系统，能便捷控制舞台灯光、音响和大屏等设备，控制方式多样，操作简便，具备丰富灯光效果预设。</w:t>
            </w:r>
          </w:p>
          <w:p w14:paraId="7FD812AC">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★2、利旧原有网络型可编程中央控制主机对新增加大屏系统（主屏+侧屏）、电动动窗帘系统赋予远程控制功能，并对原有缺失的礼堂普通照明及舞台灯光供电完善控制方式，实现平板远程控制，集中统一管理。</w:t>
            </w:r>
          </w:p>
          <w:p w14:paraId="4F07ADD8">
            <w:pPr>
              <w:widowControl/>
              <w:spacing w:line="400" w:lineRule="exact"/>
              <w:jc w:val="left"/>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★3、系统集中灯光、机械、视音频控制手段于一体，为使用者提供简单、直接的控制界面，方便地掌握整个空间环境各设备的状态及功能。</w:t>
            </w:r>
          </w:p>
          <w:p w14:paraId="70D61948">
            <w:pPr>
              <w:widowControl/>
              <w:spacing w:line="400" w:lineRule="exact"/>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★4、中央集中控制系统的构成包括但不限于用户操作平台(人机界面）、控制系统主机（控制信息处理中心）和传递控制信息的接口设备等。</w:t>
            </w:r>
          </w:p>
        </w:tc>
        <w:tc>
          <w:tcPr>
            <w:tcW w:w="1161" w:type="dxa"/>
            <w:shd w:val="clear" w:color="auto" w:fill="auto"/>
            <w:noWrap/>
            <w:vAlign w:val="center"/>
          </w:tcPr>
          <w:p w14:paraId="7B875E1C">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1套</w:t>
            </w:r>
          </w:p>
        </w:tc>
        <w:tc>
          <w:tcPr>
            <w:tcW w:w="833" w:type="dxa"/>
            <w:shd w:val="clear" w:color="auto" w:fill="auto"/>
            <w:noWrap/>
            <w:vAlign w:val="center"/>
          </w:tcPr>
          <w:p w14:paraId="77349566">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软件和信息技术服务业</w:t>
            </w:r>
          </w:p>
        </w:tc>
        <w:tc>
          <w:tcPr>
            <w:tcW w:w="1259" w:type="dxa"/>
            <w:shd w:val="clear" w:color="auto" w:fill="auto"/>
            <w:noWrap/>
            <w:vAlign w:val="center"/>
          </w:tcPr>
          <w:p w14:paraId="58EBEFB7">
            <w:pPr>
              <w:widowControl/>
              <w:spacing w:line="40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否</w:t>
            </w:r>
          </w:p>
        </w:tc>
        <w:tc>
          <w:tcPr>
            <w:tcW w:w="490" w:type="dxa"/>
            <w:shd w:val="clear" w:color="auto" w:fill="auto"/>
            <w:noWrap/>
            <w:vAlign w:val="center"/>
          </w:tcPr>
          <w:p w14:paraId="1B023AEE">
            <w:pPr>
              <w:widowControl/>
              <w:spacing w:line="400" w:lineRule="exact"/>
              <w:rPr>
                <w:rFonts w:ascii="宋体" w:hAnsi="宋体" w:eastAsia="宋体" w:cs="宋体"/>
                <w:color w:val="auto"/>
                <w:szCs w:val="21"/>
              </w:rPr>
            </w:pPr>
          </w:p>
        </w:tc>
      </w:tr>
      <w:tr w14:paraId="071F0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2C268FF1">
            <w:pPr>
              <w:widowControl/>
              <w:spacing w:line="400" w:lineRule="exact"/>
              <w:jc w:val="center"/>
              <w:textAlignment w:val="center"/>
              <w:rPr>
                <w:rFonts w:hint="default" w:ascii="宋体" w:hAnsi="宋体" w:eastAsia="宋体" w:cs="宋体"/>
                <w:b/>
                <w:bCs/>
                <w:color w:val="auto"/>
                <w:kern w:val="0"/>
                <w:szCs w:val="21"/>
                <w:lang w:val="en-US" w:eastAsia="zh-CN" w:bidi="ar"/>
              </w:rPr>
            </w:pPr>
            <w:r>
              <w:rPr>
                <w:rFonts w:hint="eastAsia" w:ascii="宋体" w:hAnsi="宋体" w:eastAsia="宋体" w:cs="宋体"/>
                <w:b/>
                <w:bCs/>
                <w:color w:val="auto"/>
                <w:kern w:val="0"/>
                <w:szCs w:val="21"/>
                <w:lang w:bidi="ar"/>
              </w:rPr>
              <w:t>43</w:t>
            </w:r>
          </w:p>
        </w:tc>
        <w:tc>
          <w:tcPr>
            <w:tcW w:w="710" w:type="dxa"/>
            <w:shd w:val="clear" w:color="auto" w:fill="auto"/>
            <w:vAlign w:val="center"/>
          </w:tcPr>
          <w:p w14:paraId="4FB998D0">
            <w:pPr>
              <w:widowControl/>
              <w:spacing w:line="400" w:lineRule="exact"/>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bidi="ar"/>
              </w:rPr>
              <w:t>脚手架搭拆</w:t>
            </w:r>
          </w:p>
        </w:tc>
        <w:tc>
          <w:tcPr>
            <w:tcW w:w="4131" w:type="dxa"/>
            <w:shd w:val="clear" w:color="auto" w:fill="auto"/>
            <w:vAlign w:val="center"/>
          </w:tcPr>
          <w:p w14:paraId="4DE38BEB">
            <w:pPr>
              <w:widowControl/>
              <w:spacing w:line="400" w:lineRule="exact"/>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脚手架搭拆</w:t>
            </w:r>
          </w:p>
        </w:tc>
        <w:tc>
          <w:tcPr>
            <w:tcW w:w="1161" w:type="dxa"/>
            <w:shd w:val="clear" w:color="auto" w:fill="auto"/>
            <w:noWrap/>
            <w:vAlign w:val="center"/>
          </w:tcPr>
          <w:p w14:paraId="1B1F1639">
            <w:pPr>
              <w:widowControl/>
              <w:spacing w:line="400" w:lineRule="exact"/>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bidi="ar"/>
              </w:rPr>
              <w:t>1项</w:t>
            </w:r>
          </w:p>
        </w:tc>
        <w:tc>
          <w:tcPr>
            <w:tcW w:w="833" w:type="dxa"/>
            <w:shd w:val="clear" w:color="auto" w:fill="auto"/>
            <w:noWrap/>
            <w:vAlign w:val="center"/>
          </w:tcPr>
          <w:p w14:paraId="165F6046">
            <w:pPr>
              <w:widowControl/>
              <w:spacing w:line="400" w:lineRule="exact"/>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val="en-US" w:eastAsia="zh-CN" w:bidi="ar"/>
              </w:rPr>
              <w:t>建筑业</w:t>
            </w:r>
          </w:p>
        </w:tc>
        <w:tc>
          <w:tcPr>
            <w:tcW w:w="1259" w:type="dxa"/>
            <w:shd w:val="clear" w:color="auto" w:fill="auto"/>
            <w:noWrap/>
            <w:vAlign w:val="center"/>
          </w:tcPr>
          <w:p w14:paraId="71A1C7F7">
            <w:pPr>
              <w:widowControl/>
              <w:spacing w:line="400" w:lineRule="exact"/>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bidi="ar"/>
              </w:rPr>
              <w:t>否</w:t>
            </w:r>
          </w:p>
        </w:tc>
        <w:tc>
          <w:tcPr>
            <w:tcW w:w="490" w:type="dxa"/>
            <w:shd w:val="clear" w:color="auto" w:fill="auto"/>
            <w:noWrap/>
            <w:vAlign w:val="center"/>
          </w:tcPr>
          <w:p w14:paraId="15E42C62">
            <w:pPr>
              <w:widowControl/>
              <w:spacing w:line="400" w:lineRule="exact"/>
              <w:rPr>
                <w:rFonts w:ascii="宋体" w:hAnsi="宋体" w:eastAsia="宋体" w:cs="宋体"/>
                <w:color w:val="auto"/>
                <w:szCs w:val="21"/>
              </w:rPr>
            </w:pPr>
          </w:p>
        </w:tc>
      </w:tr>
      <w:tr w14:paraId="0F2C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3" w:type="dxa"/>
            <w:shd w:val="clear" w:color="auto" w:fill="auto"/>
            <w:noWrap/>
            <w:vAlign w:val="center"/>
          </w:tcPr>
          <w:p w14:paraId="373D2F67">
            <w:pPr>
              <w:widowControl/>
              <w:spacing w:line="400" w:lineRule="exact"/>
              <w:jc w:val="center"/>
              <w:textAlignment w:val="center"/>
              <w:rPr>
                <w:rFonts w:hint="default" w:ascii="宋体" w:hAnsi="宋体" w:eastAsia="宋体" w:cs="宋体"/>
                <w:b/>
                <w:bCs/>
                <w:color w:val="auto"/>
                <w:kern w:val="0"/>
                <w:szCs w:val="21"/>
                <w:lang w:val="en-US" w:eastAsia="zh-CN" w:bidi="ar"/>
              </w:rPr>
            </w:pPr>
            <w:r>
              <w:rPr>
                <w:rFonts w:hint="eastAsia" w:ascii="宋体" w:hAnsi="宋体" w:eastAsia="宋体" w:cs="宋体"/>
                <w:b/>
                <w:bCs/>
                <w:color w:val="auto"/>
                <w:kern w:val="0"/>
                <w:szCs w:val="21"/>
                <w:lang w:bidi="ar"/>
              </w:rPr>
              <w:t>44</w:t>
            </w:r>
          </w:p>
        </w:tc>
        <w:tc>
          <w:tcPr>
            <w:tcW w:w="710" w:type="dxa"/>
            <w:shd w:val="clear" w:color="auto" w:fill="auto"/>
            <w:vAlign w:val="center"/>
          </w:tcPr>
          <w:p w14:paraId="555A4FCB">
            <w:pPr>
              <w:widowControl/>
              <w:spacing w:line="400" w:lineRule="exact"/>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装饰墙面拆除</w:t>
            </w:r>
          </w:p>
        </w:tc>
        <w:tc>
          <w:tcPr>
            <w:tcW w:w="4131" w:type="dxa"/>
            <w:shd w:val="clear" w:color="auto" w:fill="auto"/>
            <w:vAlign w:val="center"/>
          </w:tcPr>
          <w:p w14:paraId="0A59E028">
            <w:pPr>
              <w:widowControl/>
              <w:spacing w:line="400" w:lineRule="exact"/>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定制</w:t>
            </w:r>
          </w:p>
        </w:tc>
        <w:tc>
          <w:tcPr>
            <w:tcW w:w="1161" w:type="dxa"/>
            <w:shd w:val="clear" w:color="auto" w:fill="auto"/>
            <w:noWrap/>
            <w:vAlign w:val="center"/>
          </w:tcPr>
          <w:p w14:paraId="023929C6">
            <w:pPr>
              <w:widowControl/>
              <w:spacing w:line="400" w:lineRule="exact"/>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bidi="ar"/>
              </w:rPr>
              <w:t>1项</w:t>
            </w:r>
          </w:p>
        </w:tc>
        <w:tc>
          <w:tcPr>
            <w:tcW w:w="833" w:type="dxa"/>
            <w:shd w:val="clear" w:color="auto" w:fill="auto"/>
            <w:noWrap/>
            <w:vAlign w:val="center"/>
          </w:tcPr>
          <w:p w14:paraId="0CA4F2F8">
            <w:pPr>
              <w:widowControl/>
              <w:spacing w:line="400" w:lineRule="exact"/>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val="en-US" w:eastAsia="zh-CN" w:bidi="ar"/>
              </w:rPr>
              <w:t>建筑业</w:t>
            </w:r>
          </w:p>
        </w:tc>
        <w:tc>
          <w:tcPr>
            <w:tcW w:w="1259" w:type="dxa"/>
            <w:shd w:val="clear" w:color="auto" w:fill="auto"/>
            <w:noWrap/>
            <w:vAlign w:val="center"/>
          </w:tcPr>
          <w:p w14:paraId="6C01497C">
            <w:pPr>
              <w:widowControl/>
              <w:spacing w:line="400" w:lineRule="exact"/>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bidi="ar"/>
              </w:rPr>
              <w:t>否</w:t>
            </w:r>
          </w:p>
        </w:tc>
        <w:tc>
          <w:tcPr>
            <w:tcW w:w="490" w:type="dxa"/>
            <w:shd w:val="clear" w:color="auto" w:fill="auto"/>
            <w:noWrap/>
            <w:vAlign w:val="center"/>
          </w:tcPr>
          <w:p w14:paraId="26EA9A3D">
            <w:pPr>
              <w:widowControl/>
              <w:spacing w:line="400" w:lineRule="exact"/>
              <w:rPr>
                <w:rFonts w:ascii="宋体" w:hAnsi="宋体" w:eastAsia="宋体" w:cs="宋体"/>
                <w:color w:val="auto"/>
                <w:szCs w:val="21"/>
              </w:rPr>
            </w:pPr>
          </w:p>
        </w:tc>
      </w:tr>
    </w:tbl>
    <w:p w14:paraId="75DF73B9">
      <w:pPr>
        <w:spacing w:line="360" w:lineRule="auto"/>
        <w:ind w:firstLine="435"/>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注：1.投标人自行勘察本项目实施现场，核对现场可能影响货物后期安装的全部因素，确保所投货物满足现场实际安装要求；因未勘察现场而引起的一切责任由投标人自行承担。</w:t>
      </w:r>
    </w:p>
    <w:p w14:paraId="136F812A">
      <w:pPr>
        <w:spacing w:line="360" w:lineRule="auto"/>
        <w:ind w:firstLine="435"/>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2.清单中非定制货物、设备尺寸允许有细微偏差，但如果在后期安装过程中出现不符合现场实际安装情况，中标人则需无条件更换货物、设备。</w:t>
      </w:r>
    </w:p>
    <w:p w14:paraId="3DC4414E">
      <w:pPr>
        <w:spacing w:line="360" w:lineRule="auto"/>
        <w:ind w:firstLine="435"/>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3.产品验收前必须保证合格；按招标人要求送检，招标人有权委托第三方进行产品质量、规格要求等检测，检测不合格的更换所有产品并承担违约责任及损失。</w:t>
      </w:r>
    </w:p>
    <w:p w14:paraId="3CD6A953">
      <w:pPr>
        <w:spacing w:line="360" w:lineRule="auto"/>
        <w:ind w:firstLine="435"/>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4.上述所有设备均须提供专业安装。</w:t>
      </w:r>
    </w:p>
    <w:p w14:paraId="1AB88668">
      <w:pPr>
        <w:spacing w:line="360" w:lineRule="auto"/>
        <w:ind w:firstLine="435"/>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三、报价要求</w:t>
      </w:r>
    </w:p>
    <w:p w14:paraId="78309AF4">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包括对应本项目需求的全部货物及所需附件购置费、包装费、运输费、人工费、保险费、安装调试费、各种税费、资料费、售后服务费及完成项目应有的全部费用。采购人后期不予追加任何费用，请投标人综合考虑各种风险，谨慎报价。</w:t>
      </w:r>
    </w:p>
    <w:p w14:paraId="4A85E8D8">
      <w:pPr>
        <w:spacing w:line="360" w:lineRule="auto"/>
        <w:ind w:firstLine="435"/>
        <w:rPr>
          <w:rFonts w:hint="eastAsia" w:ascii="宋体" w:hAnsi="宋体" w:eastAsia="宋体" w:cs="宋体"/>
          <w:b/>
          <w:bCs/>
          <w:color w:val="auto"/>
          <w:sz w:val="24"/>
          <w:szCs w:val="24"/>
          <w:highlight w:val="none"/>
        </w:rPr>
      </w:pPr>
      <w:bookmarkStart w:id="30" w:name="_Toc14698"/>
      <w:bookmarkStart w:id="31" w:name="_Toc15293"/>
      <w:r>
        <w:rPr>
          <w:rFonts w:hint="eastAsia" w:ascii="宋体" w:hAnsi="宋体" w:eastAsia="宋体" w:cs="宋体"/>
          <w:b/>
          <w:bCs/>
          <w:color w:val="auto"/>
          <w:sz w:val="24"/>
          <w:szCs w:val="24"/>
          <w:highlight w:val="none"/>
        </w:rPr>
        <w:t>四、其他要求</w:t>
      </w:r>
      <w:bookmarkEnd w:id="30"/>
      <w:bookmarkEnd w:id="31"/>
    </w:p>
    <w:p w14:paraId="3AC0AF58">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（一）货物的生产、安装、维修、检验、验收等按照以下原则执行：有国家标准的执行国家标准；无国家标准的执行行业标准；无行业标准的执行地方标准；无地方标准的执行企业标准。</w:t>
      </w:r>
    </w:p>
    <w:p w14:paraId="75A85C69">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如果在技术参数或配置中标明了品牌或产地，则仅供参考，并非指定，但投标人提供的货物必须满足主要技术参数及配置要求，投标人可以选用替代的方案，但这种替代整体上要优于或相当于招标文件的相关要求。</w:t>
      </w:r>
    </w:p>
    <w:p w14:paraId="2EB4AFE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供货时所有货物（包括零部件）须为全新的、未使用过的原装正品，并完全符合国家质量标准，提供厂家出具的合格证书、有国家强制性认证要求的产品须提供相应证书，货物的技术参数及配置情况必须由投标人提供国家相关检测机构出具的检验报告、生产厂家公开发布的印刷资料等技术资料予以支持。没有技术资料支持的技术参数及配置不能视为响应。 (厂家出具的合格证书供货时提供)</w:t>
      </w:r>
    </w:p>
    <w:p w14:paraId="04E3B339">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（四）技术支持</w:t>
      </w:r>
    </w:p>
    <w:p w14:paraId="07C9EEB9">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1.中标人应向采购人提供全方位、及时而有效的技术支持和服务。</w:t>
      </w:r>
    </w:p>
    <w:p w14:paraId="7FE38B4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2.中标人负责供货、安装、调试。</w:t>
      </w:r>
    </w:p>
    <w:p w14:paraId="780EBFC7">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中标人负责将货物的全部有关技术文件（外文应提供中文翻译资料，下同）、施工图纸、资料、测试、验收报告等汇集成册交付采购人，涉及进口的产品或部件配件软件等须提供中国海关进口货物报关单、完税证明及商检证明等材料。</w:t>
      </w:r>
    </w:p>
    <w:p w14:paraId="61CF5317">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（五）质保及售后服务：</w:t>
      </w:r>
    </w:p>
    <w:p w14:paraId="6DF8792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1.中标人须提供至少</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年的免费质保服务，</w:t>
      </w:r>
      <w:r>
        <w:rPr>
          <w:rFonts w:hint="eastAsia" w:ascii="宋体" w:hAnsi="宋体" w:eastAsia="宋体" w:cs="宋体"/>
          <w:color w:val="auto"/>
          <w:sz w:val="24"/>
          <w:szCs w:val="24"/>
          <w:highlight w:val="none"/>
          <w:lang w:val="en-US" w:eastAsia="zh-CN"/>
        </w:rPr>
        <w:t>中标人至少提供8年免费会议保障，根据采购人要求派驻人员到场进行会议保障。</w:t>
      </w:r>
      <w:r>
        <w:rPr>
          <w:rFonts w:hint="eastAsia" w:ascii="宋体" w:hAnsi="宋体" w:eastAsia="宋体" w:cs="宋体"/>
          <w:color w:val="auto"/>
          <w:sz w:val="24"/>
          <w:szCs w:val="24"/>
          <w:highlight w:val="none"/>
        </w:rPr>
        <w:t>所有质保费用均已包含在投标报价中，质保期满后，应提供优先的有偿售后服务及按不高于投标文件中主要配件、易损件清单所报价格供应原厂零配件等。软件终身免费升级服务。</w:t>
      </w:r>
    </w:p>
    <w:p w14:paraId="754215DC">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2.中标人须设有维修服务电话，负责解答用户在货物使用中遇到的问题，及时提出解决问题的建议和操作方法。</w:t>
      </w:r>
    </w:p>
    <w:p w14:paraId="6952C2D6">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3.售后服务响应时间：如货物出现故障，电话响应无法解决，中标人必须在接报修电话24小时内到现场并解决问题。</w:t>
      </w:r>
    </w:p>
    <w:p w14:paraId="3C56CBEC">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（六）培训：中标人负责为采购人操作人员提供操作及维护培训，直至其能熟练独立操作及日常维护与保养，简单故障诊断与排除。</w:t>
      </w:r>
    </w:p>
    <w:p w14:paraId="186AB7BC">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（七）交货地点：采购人指定地点。</w:t>
      </w:r>
    </w:p>
    <w:p w14:paraId="7BC2F81A">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（八）验收：</w:t>
      </w:r>
    </w:p>
    <w:p w14:paraId="6B3C1A74">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和相关部门按照国家规定标准验收，没有国家标准的按行业标准验收，无行业标准的按地方或企业标准验收，中标人予以配合。涉及食药监、安全、消防、环保等其他需要由质检或行业主管部门验收的项目，采购人须约请相关部门和专家参加项目验收。</w:t>
      </w:r>
    </w:p>
    <w:p w14:paraId="0E2172F1">
      <w:pPr>
        <w:spacing w:line="360" w:lineRule="auto"/>
        <w:ind w:firstLine="435"/>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2.货物在验收时，投标人应提供发票、制造厂家出具的产品合格证书、装箱清单等, 涉及进口的产品、部件、配件等须提供中国海关进口货物报关单、完税证明及商检证明等材料；提供有关货物的操作规程和使用说明书，维护手册、保养修理所需的各种随机工具及相关设计、制造、检验、安装、技术性指导等文件和应由投标人提供的必要文件。</w:t>
      </w:r>
    </w:p>
    <w:p w14:paraId="279C25AF">
      <w:pPr>
        <w:spacing w:line="360" w:lineRule="auto"/>
        <w:jc w:val="center"/>
        <w:outlineLvl w:val="0"/>
        <w:rPr>
          <w:rFonts w:asciiTheme="minorEastAsia" w:hAnsiTheme="minorEastAsia" w:eastAsiaTheme="minorEastAsia"/>
          <w:b/>
          <w:color w:val="auto"/>
          <w:sz w:val="28"/>
          <w:highlight w:val="none"/>
        </w:rPr>
      </w:pPr>
      <w:bookmarkStart w:id="32" w:name="_Toc15604"/>
      <w:r>
        <w:rPr>
          <w:rFonts w:hint="eastAsia" w:asciiTheme="minorEastAsia" w:hAnsiTheme="minorEastAsia" w:eastAsiaTheme="minorEastAsia"/>
          <w:b/>
          <w:color w:val="auto"/>
          <w:sz w:val="28"/>
          <w:highlight w:val="none"/>
        </w:rPr>
        <w:t>第四章  评标方法和标准（综合评分法）</w:t>
      </w:r>
      <w:bookmarkEnd w:id="32"/>
    </w:p>
    <w:p w14:paraId="36FB348D">
      <w:pPr>
        <w:spacing w:line="360" w:lineRule="auto"/>
        <w:ind w:firstLine="437"/>
        <w:outlineLvl w:val="1"/>
        <w:rPr>
          <w:rFonts w:asciiTheme="minorEastAsia" w:hAnsiTheme="minorEastAsia" w:eastAsiaTheme="minorEastAsia"/>
          <w:b/>
          <w:color w:val="auto"/>
          <w:sz w:val="24"/>
          <w:highlight w:val="none"/>
        </w:rPr>
      </w:pPr>
      <w:bookmarkStart w:id="33" w:name="_Toc18154"/>
      <w:bookmarkStart w:id="34" w:name="_Toc11823"/>
      <w:bookmarkStart w:id="35" w:name="_Toc1246"/>
      <w:r>
        <w:rPr>
          <w:rFonts w:hint="eastAsia" w:asciiTheme="minorEastAsia" w:hAnsiTheme="minorEastAsia" w:eastAsiaTheme="minorEastAsia"/>
          <w:b/>
          <w:color w:val="auto"/>
          <w:sz w:val="24"/>
          <w:highlight w:val="none"/>
        </w:rPr>
        <w:t>一、总则</w:t>
      </w:r>
      <w:bookmarkEnd w:id="33"/>
      <w:bookmarkEnd w:id="34"/>
      <w:bookmarkEnd w:id="35"/>
    </w:p>
    <w:p w14:paraId="19F1BC4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7527F94B">
      <w:pPr>
        <w:spacing w:line="360" w:lineRule="auto"/>
        <w:ind w:firstLine="437"/>
        <w:outlineLvl w:val="1"/>
        <w:rPr>
          <w:rFonts w:asciiTheme="minorEastAsia" w:hAnsiTheme="minorEastAsia" w:eastAsiaTheme="minorEastAsia"/>
          <w:b/>
          <w:color w:val="auto"/>
          <w:sz w:val="24"/>
          <w:highlight w:val="none"/>
        </w:rPr>
      </w:pPr>
      <w:bookmarkStart w:id="36" w:name="_Toc20760"/>
      <w:bookmarkStart w:id="37" w:name="_Toc31871"/>
      <w:bookmarkStart w:id="38" w:name="_Toc13117"/>
      <w:r>
        <w:rPr>
          <w:rFonts w:hint="eastAsia" w:asciiTheme="minorEastAsia" w:hAnsiTheme="minorEastAsia" w:eastAsiaTheme="minorEastAsia"/>
          <w:b/>
          <w:color w:val="auto"/>
          <w:sz w:val="24"/>
          <w:highlight w:val="none"/>
        </w:rPr>
        <w:t>二、评标方法</w:t>
      </w:r>
      <w:bookmarkEnd w:id="36"/>
      <w:bookmarkEnd w:id="37"/>
      <w:bookmarkEnd w:id="38"/>
    </w:p>
    <w:p w14:paraId="40AD420F">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5"/>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1799"/>
        <w:gridCol w:w="4971"/>
        <w:gridCol w:w="2059"/>
      </w:tblGrid>
      <w:tr w14:paraId="7F0E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6AE99113">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5EDA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7" w:type="pct"/>
            <w:tcBorders>
              <w:bottom w:val="single" w:color="auto" w:sz="4" w:space="0"/>
            </w:tcBorders>
            <w:vAlign w:val="center"/>
          </w:tcPr>
          <w:p w14:paraId="6EF5068C">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42" w:type="pct"/>
            <w:tcBorders>
              <w:bottom w:val="single" w:color="auto" w:sz="4" w:space="0"/>
            </w:tcBorders>
            <w:vAlign w:val="center"/>
          </w:tcPr>
          <w:p w14:paraId="11869532">
            <w:pPr>
              <w:pStyle w:val="44"/>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审查因素</w:t>
            </w:r>
          </w:p>
        </w:tc>
        <w:tc>
          <w:tcPr>
            <w:tcW w:w="2603" w:type="pct"/>
            <w:tcBorders>
              <w:bottom w:val="single" w:color="auto" w:sz="4" w:space="0"/>
            </w:tcBorders>
            <w:vAlign w:val="center"/>
          </w:tcPr>
          <w:p w14:paraId="42B470F8">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审查内容</w:t>
            </w:r>
          </w:p>
        </w:tc>
        <w:tc>
          <w:tcPr>
            <w:tcW w:w="1076" w:type="pct"/>
            <w:tcBorders>
              <w:bottom w:val="single" w:color="auto" w:sz="4" w:space="0"/>
            </w:tcBorders>
            <w:vAlign w:val="center"/>
          </w:tcPr>
          <w:p w14:paraId="55DEE12A">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629B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77" w:type="pct"/>
            <w:tcBorders>
              <w:bottom w:val="single" w:color="auto" w:sz="4" w:space="0"/>
            </w:tcBorders>
            <w:vAlign w:val="center"/>
          </w:tcPr>
          <w:p w14:paraId="694D4209">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42" w:type="pct"/>
            <w:tcBorders>
              <w:bottom w:val="single" w:color="auto" w:sz="4" w:space="0"/>
            </w:tcBorders>
            <w:vAlign w:val="center"/>
          </w:tcPr>
          <w:p w14:paraId="07E3D5CB">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2603" w:type="pct"/>
            <w:tcBorders>
              <w:bottom w:val="single" w:color="auto" w:sz="4" w:space="0"/>
            </w:tcBorders>
            <w:vAlign w:val="center"/>
          </w:tcPr>
          <w:p w14:paraId="2D206A20">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投标人为企业（包括合伙企业）的，应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供有效的营业执照；</w:t>
            </w:r>
          </w:p>
          <w:p w14:paraId="1AD42113">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投标人为事业单位的，应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供有效的事业单位法人证书；</w:t>
            </w:r>
          </w:p>
          <w:p w14:paraId="6E619164">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投标人是非企业机构的，应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ascii="宋体" w:hAnsi="宋体" w:eastAsia="宋体" w:cs="宋体"/>
                <w:sz w:val="24"/>
                <w:szCs w:val="24"/>
                <w:highlight w:val="none"/>
              </w:rPr>
              <w:t>登记证书等证明文件；</w:t>
            </w:r>
          </w:p>
          <w:p w14:paraId="11D3135A">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投标人是个体工商户的，应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供有效的个体工商户营业执照；</w:t>
            </w:r>
          </w:p>
          <w:p w14:paraId="29D30936">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投标人是自然人的，应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供有效的自然人身份证明。</w:t>
            </w:r>
          </w:p>
        </w:tc>
        <w:tc>
          <w:tcPr>
            <w:tcW w:w="1076" w:type="pct"/>
            <w:vAlign w:val="center"/>
          </w:tcPr>
          <w:p w14:paraId="6B7C513F">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5B23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77" w:type="pct"/>
            <w:tcBorders>
              <w:bottom w:val="single" w:color="auto" w:sz="4" w:space="0"/>
            </w:tcBorders>
            <w:vAlign w:val="center"/>
          </w:tcPr>
          <w:p w14:paraId="02DEF098">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42" w:type="pct"/>
            <w:tcBorders>
              <w:bottom w:val="single" w:color="auto" w:sz="4" w:space="0"/>
            </w:tcBorders>
            <w:vAlign w:val="center"/>
          </w:tcPr>
          <w:p w14:paraId="4FE2BB42">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603" w:type="pct"/>
            <w:tcBorders>
              <w:bottom w:val="single" w:color="auto" w:sz="4" w:space="0"/>
            </w:tcBorders>
            <w:vAlign w:val="center"/>
          </w:tcPr>
          <w:p w14:paraId="696248A5">
            <w:pPr>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供符合招标文件要求的《投标人资格声明书》</w:t>
            </w:r>
            <w:r>
              <w:rPr>
                <w:rFonts w:hint="eastAsia" w:ascii="宋体" w:hAnsi="宋体" w:eastAsia="宋体" w:cs="宋体"/>
                <w:sz w:val="24"/>
                <w:szCs w:val="24"/>
                <w:highlight w:val="none"/>
                <w:lang w:eastAsia="zh-CN"/>
              </w:rPr>
              <w:t>。</w:t>
            </w:r>
          </w:p>
        </w:tc>
        <w:tc>
          <w:tcPr>
            <w:tcW w:w="1076" w:type="pct"/>
            <w:vAlign w:val="center"/>
          </w:tcPr>
          <w:p w14:paraId="75138E7F">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773D7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7" w:type="pct"/>
            <w:tcBorders>
              <w:bottom w:val="single" w:color="auto" w:sz="4" w:space="0"/>
            </w:tcBorders>
            <w:vAlign w:val="center"/>
          </w:tcPr>
          <w:p w14:paraId="7FF1CBD9">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42" w:type="pct"/>
            <w:tcBorders>
              <w:bottom w:val="single" w:color="auto" w:sz="4" w:space="0"/>
            </w:tcBorders>
            <w:vAlign w:val="center"/>
          </w:tcPr>
          <w:p w14:paraId="0E70A6B6">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603" w:type="pct"/>
            <w:tcBorders>
              <w:bottom w:val="single" w:color="auto" w:sz="4" w:space="0"/>
            </w:tcBorders>
            <w:vAlign w:val="center"/>
          </w:tcPr>
          <w:p w14:paraId="090CE335">
            <w:pPr>
              <w:spacing w:after="50" w:line="360" w:lineRule="auto"/>
              <w:ind w:right="-10" w:rightChars="0"/>
              <w:jc w:val="left"/>
              <w:rPr>
                <w:highlight w:val="none"/>
              </w:rPr>
            </w:pPr>
            <w:r>
              <w:rPr>
                <w:rFonts w:hint="eastAsia" w:ascii="宋体" w:hAnsi="宋体" w:eastAsia="宋体" w:cs="宋体"/>
                <w:sz w:val="24"/>
                <w:szCs w:val="24"/>
                <w:highlight w:val="none"/>
                <w:lang w:val="zh-CN" w:eastAsia="zh-CN"/>
              </w:rPr>
              <w:t>投标人不得存在</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投标邀请</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中信誉要求和</w:t>
            </w:r>
            <w:r>
              <w:rPr>
                <w:rFonts w:hint="eastAsia" w:ascii="宋体" w:hAnsi="宋体" w:eastAsia="宋体" w:cs="宋体"/>
                <w:sz w:val="24"/>
                <w:szCs w:val="24"/>
                <w:highlight w:val="none"/>
                <w:lang w:val="zh-CN" w:eastAsia="zh-CN"/>
              </w:rPr>
              <w:t>投标人须知正文第1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val="zh-CN" w:eastAsia="zh-CN"/>
              </w:rPr>
              <w:t>.2</w:t>
            </w:r>
            <w:r>
              <w:rPr>
                <w:rFonts w:hint="eastAsia" w:ascii="宋体" w:hAnsi="宋体" w:eastAsia="宋体" w:cs="宋体"/>
                <w:sz w:val="24"/>
                <w:szCs w:val="24"/>
                <w:highlight w:val="none"/>
                <w:lang w:val="en-US" w:eastAsia="zh-CN"/>
              </w:rPr>
              <w:t>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076" w:type="pct"/>
            <w:tcBorders>
              <w:bottom w:val="single" w:color="auto" w:sz="4" w:space="0"/>
            </w:tcBorders>
            <w:vAlign w:val="center"/>
          </w:tcPr>
          <w:p w14:paraId="5CD1505C">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sz w:val="24"/>
                <w:szCs w:val="24"/>
                <w:highlight w:val="none"/>
              </w:rPr>
              <w:t>无须投标人</w:t>
            </w:r>
            <w:r>
              <w:rPr>
                <w:rFonts w:hint="eastAsia" w:ascii="宋体" w:hAnsi="宋体" w:eastAsia="宋体" w:cs="宋体"/>
                <w:sz w:val="24"/>
                <w:szCs w:val="24"/>
                <w:highlight w:val="none"/>
                <w:lang w:val="en-US" w:eastAsia="zh-CN"/>
              </w:rPr>
              <w:t>提</w:t>
            </w:r>
            <w:r>
              <w:rPr>
                <w:rFonts w:hint="eastAsia" w:ascii="宋体" w:hAnsi="宋体" w:eastAsia="宋体" w:cs="宋体"/>
                <w:sz w:val="24"/>
                <w:szCs w:val="24"/>
                <w:highlight w:val="none"/>
              </w:rPr>
              <w:t>供，由采购人或采购代理机构查询。</w:t>
            </w:r>
          </w:p>
        </w:tc>
      </w:tr>
      <w:tr w14:paraId="6F1F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7" w:type="pct"/>
            <w:vAlign w:val="center"/>
          </w:tcPr>
          <w:p w14:paraId="1E140DA6">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4</w:t>
            </w:r>
          </w:p>
        </w:tc>
        <w:tc>
          <w:tcPr>
            <w:tcW w:w="942" w:type="pct"/>
            <w:vAlign w:val="center"/>
          </w:tcPr>
          <w:p w14:paraId="34D8973F">
            <w:pPr>
              <w:spacing w:after="50" w:line="360" w:lineRule="auto"/>
              <w:ind w:right="-10"/>
              <w:jc w:val="center"/>
              <w:rPr>
                <w:rFonts w:ascii="宋体" w:hAnsi="宋体" w:eastAsia="宋体" w:cs="宋体"/>
                <w:spacing w:val="10"/>
                <w:sz w:val="24"/>
                <w:szCs w:val="24"/>
                <w:highlight w:val="none"/>
                <w:lang w:val="en-US" w:eastAsia="zh-CN"/>
              </w:rPr>
            </w:pPr>
            <w:r>
              <w:rPr>
                <w:rFonts w:ascii="宋体" w:hAnsi="宋体" w:eastAsia="宋体" w:cs="宋体"/>
                <w:spacing w:val="10"/>
                <w:sz w:val="24"/>
                <w:szCs w:val="24"/>
                <w:highlight w:val="none"/>
              </w:rPr>
              <w:t>本项目的特定资格要求</w:t>
            </w:r>
          </w:p>
        </w:tc>
        <w:tc>
          <w:tcPr>
            <w:tcW w:w="2603" w:type="pct"/>
            <w:vAlign w:val="center"/>
          </w:tcPr>
          <w:p w14:paraId="6E4DCC4D">
            <w:pPr>
              <w:spacing w:after="50" w:line="360" w:lineRule="auto"/>
              <w:ind w:right="-10"/>
              <w:jc w:val="both"/>
              <w:rPr>
                <w:rFonts w:ascii="宋体" w:hAnsi="宋体" w:eastAsia="宋体" w:cs="宋体"/>
                <w:spacing w:val="10"/>
                <w:sz w:val="24"/>
                <w:szCs w:val="24"/>
                <w:highlight w:val="none"/>
              </w:rPr>
            </w:pPr>
            <w:r>
              <w:rPr>
                <w:rFonts w:ascii="宋体" w:hAnsi="宋体" w:eastAsia="宋体" w:cs="宋体"/>
                <w:spacing w:val="10"/>
                <w:sz w:val="24"/>
                <w:szCs w:val="24"/>
                <w:highlight w:val="none"/>
              </w:rPr>
              <w:t>如有，见第一章《投标邀请》</w:t>
            </w:r>
          </w:p>
        </w:tc>
        <w:tc>
          <w:tcPr>
            <w:tcW w:w="1076" w:type="pct"/>
            <w:vAlign w:val="center"/>
          </w:tcPr>
          <w:p w14:paraId="7EAB58B4">
            <w:pPr>
              <w:spacing w:after="50" w:line="360" w:lineRule="auto"/>
              <w:ind w:right="-10"/>
              <w:jc w:val="both"/>
              <w:rPr>
                <w:rFonts w:ascii="宋体" w:hAnsi="宋体" w:eastAsia="宋体" w:cs="宋体"/>
                <w:spacing w:val="10"/>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58FF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7" w:type="pct"/>
            <w:vAlign w:val="center"/>
          </w:tcPr>
          <w:p w14:paraId="72495B8A">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5</w:t>
            </w:r>
          </w:p>
        </w:tc>
        <w:tc>
          <w:tcPr>
            <w:tcW w:w="942" w:type="pct"/>
            <w:vAlign w:val="center"/>
          </w:tcPr>
          <w:p w14:paraId="0ADA7F9A">
            <w:pPr>
              <w:spacing w:after="50" w:line="360" w:lineRule="auto"/>
              <w:ind w:right="-10"/>
              <w:jc w:val="center"/>
              <w:rPr>
                <w:rFonts w:ascii="宋体" w:hAnsi="宋体" w:eastAsia="宋体" w:cs="宋体"/>
                <w:spacing w:val="10"/>
                <w:sz w:val="24"/>
                <w:szCs w:val="24"/>
                <w:highlight w:val="none"/>
              </w:rPr>
            </w:pPr>
            <w:r>
              <w:rPr>
                <w:rFonts w:hint="eastAsia" w:ascii="宋体" w:hAnsi="宋体" w:eastAsia="宋体" w:cs="宋体"/>
                <w:spacing w:val="10"/>
                <w:sz w:val="24"/>
                <w:szCs w:val="24"/>
                <w:highlight w:val="none"/>
                <w:lang w:val="en-US" w:eastAsia="zh-CN"/>
              </w:rPr>
              <w:t>诚信投标承诺书</w:t>
            </w:r>
          </w:p>
        </w:tc>
        <w:tc>
          <w:tcPr>
            <w:tcW w:w="4561" w:type="dxa"/>
            <w:vAlign w:val="center"/>
          </w:tcPr>
          <w:p w14:paraId="4DDD0DE3">
            <w:pPr>
              <w:spacing w:after="50" w:line="360" w:lineRule="auto"/>
              <w:ind w:right="-10" w:rightChars="0"/>
              <w:jc w:val="left"/>
              <w:rPr>
                <w:rFonts w:ascii="宋体" w:hAnsi="宋体" w:eastAsia="宋体" w:cs="宋体"/>
                <w:spacing w:val="10"/>
                <w:sz w:val="24"/>
                <w:szCs w:val="24"/>
                <w:highlight w:val="none"/>
              </w:rPr>
            </w:pPr>
            <w:r>
              <w:rPr>
                <w:rFonts w:hint="eastAsia" w:asciiTheme="minorEastAsia" w:hAnsiTheme="minorEastAsia" w:eastAsiaTheme="minorEastAsia"/>
                <w:sz w:val="24"/>
                <w:szCs w:val="28"/>
                <w:highlight w:val="none"/>
              </w:rPr>
              <w:t>格式、填写要求符合</w:t>
            </w:r>
            <w:r>
              <w:rPr>
                <w:rFonts w:hint="eastAsia" w:asciiTheme="minorEastAsia" w:hAnsiTheme="minorEastAsia" w:eastAsiaTheme="minorEastAsia"/>
                <w:sz w:val="24"/>
                <w:szCs w:val="28"/>
                <w:highlight w:val="none"/>
                <w:lang w:val="en-US" w:eastAsia="zh-CN"/>
              </w:rPr>
              <w:t>招标</w:t>
            </w:r>
            <w:r>
              <w:rPr>
                <w:rFonts w:hint="eastAsia" w:asciiTheme="minorEastAsia" w:hAnsiTheme="minorEastAsia" w:eastAsiaTheme="minorEastAsia"/>
                <w:sz w:val="24"/>
                <w:szCs w:val="28"/>
                <w:highlight w:val="none"/>
              </w:rPr>
              <w:t>文件规定并加盖</w:t>
            </w:r>
            <w:r>
              <w:rPr>
                <w:rFonts w:hint="eastAsia" w:asciiTheme="minorEastAsia" w:hAnsiTheme="minorEastAsia" w:eastAsiaTheme="minorEastAsia"/>
                <w:sz w:val="24"/>
                <w:szCs w:val="28"/>
                <w:highlight w:val="none"/>
                <w:lang w:val="en-US" w:eastAsia="zh-CN"/>
              </w:rPr>
              <w:t>投标人</w:t>
            </w:r>
            <w:r>
              <w:rPr>
                <w:rFonts w:hint="eastAsia" w:asciiTheme="minorEastAsia" w:hAnsiTheme="minorEastAsia" w:eastAsiaTheme="minorEastAsia"/>
                <w:sz w:val="24"/>
                <w:szCs w:val="28"/>
                <w:highlight w:val="none"/>
              </w:rPr>
              <w:t>电子签章</w:t>
            </w:r>
          </w:p>
        </w:tc>
        <w:tc>
          <w:tcPr>
            <w:tcW w:w="1887" w:type="dxa"/>
            <w:vAlign w:val="center"/>
          </w:tcPr>
          <w:p w14:paraId="70486572">
            <w:pPr>
              <w:spacing w:after="50"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sz w:val="24"/>
                <w:szCs w:val="28"/>
                <w:highlight w:val="none"/>
              </w:rPr>
              <w:t>详见第六章</w:t>
            </w:r>
            <w:r>
              <w:rPr>
                <w:rFonts w:hint="eastAsia" w:ascii="宋体" w:hAnsi="宋体" w:eastAsia="宋体"/>
                <w:color w:val="auto"/>
                <w:sz w:val="24"/>
                <w:highlight w:val="none"/>
              </w:rPr>
              <w:t>投标文件格式</w:t>
            </w:r>
            <w:r>
              <w:rPr>
                <w:rFonts w:hint="eastAsia" w:ascii="宋体" w:hAnsi="宋体" w:eastAsia="宋体"/>
                <w:color w:val="auto"/>
                <w:sz w:val="24"/>
                <w:highlight w:val="none"/>
                <w:lang w:eastAsia="zh-CN"/>
              </w:rPr>
              <w:t>。</w:t>
            </w:r>
          </w:p>
        </w:tc>
      </w:tr>
    </w:tbl>
    <w:p w14:paraId="5C0F0F0D">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2D1D94D0">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129ACA9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2307"/>
        <w:gridCol w:w="3409"/>
        <w:gridCol w:w="2736"/>
      </w:tblGrid>
      <w:tr w14:paraId="7A2D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725C2C4F">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04A3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50" w:type="pct"/>
            <w:tcBorders>
              <w:bottom w:val="single" w:color="auto" w:sz="4" w:space="0"/>
            </w:tcBorders>
            <w:vAlign w:val="center"/>
          </w:tcPr>
          <w:p w14:paraId="37E0F440">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242" w:type="pct"/>
            <w:tcBorders>
              <w:bottom w:val="single" w:color="auto" w:sz="4" w:space="0"/>
            </w:tcBorders>
            <w:vAlign w:val="center"/>
          </w:tcPr>
          <w:p w14:paraId="7EEA7CDE">
            <w:pPr>
              <w:pStyle w:val="44"/>
              <w:pBdr>
                <w:bottom w:val="none" w:color="auto" w:sz="0" w:space="0"/>
              </w:pBdr>
              <w:tabs>
                <w:tab w:val="clear" w:pos="4153"/>
                <w:tab w:val="clear" w:pos="8306"/>
              </w:tabs>
              <w:snapToGrid w:val="0"/>
              <w:spacing w:line="360" w:lineRule="auto"/>
              <w:ind w:right="-10"/>
              <w:textAlignment w:val="auto"/>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审查指标</w:t>
            </w:r>
          </w:p>
        </w:tc>
        <w:tc>
          <w:tcPr>
            <w:tcW w:w="1835" w:type="pct"/>
            <w:tcBorders>
              <w:bottom w:val="single" w:color="auto" w:sz="4" w:space="0"/>
            </w:tcBorders>
            <w:vAlign w:val="center"/>
          </w:tcPr>
          <w:p w14:paraId="66528796">
            <w:pPr>
              <w:adjustRightInd w:val="0"/>
              <w:snapToGrid w:val="0"/>
              <w:spacing w:line="360" w:lineRule="auto"/>
              <w:ind w:right="-1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审查标准</w:t>
            </w:r>
          </w:p>
        </w:tc>
        <w:tc>
          <w:tcPr>
            <w:tcW w:w="1472" w:type="pct"/>
            <w:tcBorders>
              <w:bottom w:val="single" w:color="auto" w:sz="4" w:space="0"/>
            </w:tcBorders>
            <w:vAlign w:val="center"/>
          </w:tcPr>
          <w:p w14:paraId="275F9489">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05CA4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3D38D85B">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242" w:type="pct"/>
            <w:vAlign w:val="center"/>
          </w:tcPr>
          <w:p w14:paraId="1AD2D963">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1835" w:type="pct"/>
            <w:vAlign w:val="center"/>
          </w:tcPr>
          <w:p w14:paraId="5FFB2C96">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2F9F347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5B69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2CBA361A">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242" w:type="pct"/>
            <w:vAlign w:val="center"/>
          </w:tcPr>
          <w:p w14:paraId="4E436A9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35" w:type="pct"/>
            <w:vAlign w:val="center"/>
          </w:tcPr>
          <w:p w14:paraId="71B88ED2">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4FA487B3">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42B1BB73">
        <w:tblPrEx>
          <w:tblCellMar>
            <w:top w:w="0" w:type="dxa"/>
            <w:left w:w="108" w:type="dxa"/>
            <w:bottom w:w="0" w:type="dxa"/>
            <w:right w:w="108" w:type="dxa"/>
          </w:tblCellMar>
        </w:tblPrEx>
        <w:trPr>
          <w:jc w:val="center"/>
        </w:trPr>
        <w:tc>
          <w:tcPr>
            <w:tcW w:w="450" w:type="pct"/>
            <w:vAlign w:val="center"/>
          </w:tcPr>
          <w:p w14:paraId="058DB2FC">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242" w:type="pct"/>
            <w:vAlign w:val="center"/>
          </w:tcPr>
          <w:p w14:paraId="7495C38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35" w:type="pct"/>
            <w:vAlign w:val="center"/>
          </w:tcPr>
          <w:p w14:paraId="12C2E3FA">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2D906B26">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3EF13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49BE6863">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242" w:type="pct"/>
            <w:vAlign w:val="center"/>
          </w:tcPr>
          <w:p w14:paraId="7DAECA4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35" w:type="pct"/>
            <w:vAlign w:val="center"/>
          </w:tcPr>
          <w:p w14:paraId="12C4EB26">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472" w:type="pct"/>
            <w:vAlign w:val="center"/>
          </w:tcPr>
          <w:p w14:paraId="20712899">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5ECD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0255A01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242" w:type="pct"/>
            <w:vAlign w:val="center"/>
          </w:tcPr>
          <w:p w14:paraId="4D1992A2">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3430" w:type="dxa"/>
            <w:vAlign w:val="center"/>
          </w:tcPr>
          <w:p w14:paraId="6CD21DB3">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472" w:type="pct"/>
            <w:vAlign w:val="center"/>
          </w:tcPr>
          <w:p w14:paraId="002ED430">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F876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35C6D096">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2117" w:type="dxa"/>
            <w:vAlign w:val="center"/>
          </w:tcPr>
          <w:p w14:paraId="5A915EFD">
            <w:pPr>
              <w:keepNext w:val="0"/>
              <w:keepLines w:val="0"/>
              <w:suppressLineNumbers w:val="0"/>
              <w:spacing w:before="0" w:beforeAutospacing="0" w:after="50" w:afterAutospacing="0" w:line="360" w:lineRule="auto"/>
              <w:ind w:left="0" w:leftChars="0" w:right="-10" w:rightChars="0"/>
              <w:jc w:val="center"/>
              <w:rPr>
                <w:rFonts w:asciiTheme="minorEastAsia" w:hAnsiTheme="minorEastAsia" w:eastAsiaTheme="minorEastAsia"/>
                <w:color w:val="auto"/>
                <w:sz w:val="24"/>
                <w:szCs w:val="28"/>
                <w:highlight w:val="none"/>
              </w:rPr>
            </w:pPr>
            <w:r>
              <w:rPr>
                <w:rFonts w:hint="eastAsia" w:ascii="宋体" w:hAnsi="宋体" w:eastAsia="宋体" w:cs="宋体"/>
                <w:color w:val="auto"/>
                <w:sz w:val="24"/>
                <w:szCs w:val="28"/>
                <w:highlight w:val="none"/>
              </w:rPr>
              <w:t>技术响应情况</w:t>
            </w:r>
          </w:p>
        </w:tc>
        <w:tc>
          <w:tcPr>
            <w:tcW w:w="3430" w:type="dxa"/>
            <w:vAlign w:val="center"/>
          </w:tcPr>
          <w:p w14:paraId="0D480125">
            <w:pPr>
              <w:keepNext w:val="0"/>
              <w:keepLines w:val="0"/>
              <w:suppressLineNumbers w:val="0"/>
              <w:spacing w:before="0" w:beforeAutospacing="0" w:after="50" w:afterAutospacing="0" w:line="360" w:lineRule="auto"/>
              <w:ind w:left="0" w:right="-10" w:rightChars="0"/>
              <w:jc w:val="center"/>
              <w:rPr>
                <w:rFonts w:hint="eastAsia" w:ascii="宋体" w:hAnsi="宋体" w:eastAsia="宋体" w:cs="宋体"/>
                <w:color w:val="auto"/>
                <w:sz w:val="24"/>
                <w:szCs w:val="28"/>
                <w:highlight w:val="none"/>
                <w:lang w:val="en-US" w:eastAsia="zh-CN"/>
              </w:rPr>
            </w:pPr>
            <w:r>
              <w:rPr>
                <w:rFonts w:hint="eastAsia" w:ascii="宋体" w:hAnsi="宋体" w:eastAsia="宋体" w:cs="宋体"/>
                <w:color w:val="auto"/>
                <w:sz w:val="24"/>
                <w:szCs w:val="28"/>
                <w:highlight w:val="none"/>
              </w:rPr>
              <w:t>符合招标文件采购需求中货物技术参数</w:t>
            </w:r>
            <w:r>
              <w:rPr>
                <w:rFonts w:hint="eastAsia" w:ascii="宋体" w:hAnsi="宋体" w:eastAsia="宋体" w:cs="宋体"/>
                <w:color w:val="auto"/>
                <w:sz w:val="24"/>
                <w:szCs w:val="28"/>
                <w:highlight w:val="none"/>
                <w:lang w:val="en-US" w:eastAsia="zh-CN"/>
              </w:rPr>
              <w:t>等实质性要求</w:t>
            </w:r>
          </w:p>
          <w:p w14:paraId="4A27749E">
            <w:pPr>
              <w:keepNext w:val="0"/>
              <w:keepLines w:val="0"/>
              <w:suppressLineNumbers w:val="0"/>
              <w:spacing w:before="0" w:beforeAutospacing="0" w:after="50" w:afterAutospacing="0" w:line="360" w:lineRule="auto"/>
              <w:ind w:left="0" w:leftChars="0" w:right="-10" w:rightChars="0"/>
              <w:jc w:val="center"/>
              <w:rPr>
                <w:rFonts w:asciiTheme="minorEastAsia" w:hAnsiTheme="minorEastAsia" w:eastAsiaTheme="minorEastAsia"/>
                <w:color w:val="auto"/>
                <w:sz w:val="24"/>
                <w:szCs w:val="28"/>
                <w:highlight w:val="none"/>
              </w:rPr>
            </w:pPr>
            <w:r>
              <w:rPr>
                <w:rFonts w:hint="eastAsia" w:ascii="宋体" w:hAnsi="宋体" w:eastAsia="宋体" w:cs="宋体"/>
                <w:color w:val="auto"/>
                <w:sz w:val="24"/>
                <w:szCs w:val="28"/>
                <w:highlight w:val="none"/>
                <w:lang w:val="en-US" w:eastAsia="zh-CN"/>
              </w:rPr>
              <w:t>（按评分标准执行）</w:t>
            </w:r>
          </w:p>
        </w:tc>
        <w:tc>
          <w:tcPr>
            <w:tcW w:w="1472" w:type="pct"/>
            <w:vAlign w:val="center"/>
          </w:tcPr>
          <w:p w14:paraId="4DF8682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4CAB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00796BB1">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7</w:t>
            </w:r>
          </w:p>
        </w:tc>
        <w:tc>
          <w:tcPr>
            <w:tcW w:w="1242" w:type="pct"/>
            <w:vAlign w:val="center"/>
          </w:tcPr>
          <w:p w14:paraId="3AAE0128">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3430" w:type="dxa"/>
            <w:vAlign w:val="center"/>
          </w:tcPr>
          <w:p w14:paraId="21D46057">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实质性要求</w:t>
            </w:r>
          </w:p>
        </w:tc>
        <w:tc>
          <w:tcPr>
            <w:tcW w:w="1472" w:type="pct"/>
            <w:vAlign w:val="center"/>
          </w:tcPr>
          <w:p w14:paraId="63368BCE">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37A781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37A2601D">
      <w:pPr>
        <w:spacing w:line="360" w:lineRule="auto"/>
        <w:ind w:firstLine="435"/>
        <w:outlineLvl w:val="2"/>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2.3</w:t>
      </w:r>
      <w:r>
        <w:rPr>
          <w:rFonts w:hint="eastAsia" w:asciiTheme="minorEastAsia" w:hAnsiTheme="minorEastAsia" w:eastAsiaTheme="minorEastAsia"/>
          <w:sz w:val="24"/>
          <w:highlight w:val="none"/>
        </w:rPr>
        <w:t>异常低价</w:t>
      </w:r>
      <w:r>
        <w:rPr>
          <w:rFonts w:hint="eastAsia" w:asciiTheme="minorEastAsia" w:hAnsiTheme="minorEastAsia" w:eastAsiaTheme="minorEastAsia"/>
          <w:sz w:val="24"/>
          <w:highlight w:val="none"/>
          <w:lang w:val="en-US" w:eastAsia="zh-CN"/>
        </w:rPr>
        <w:t>投标</w:t>
      </w:r>
      <w:r>
        <w:rPr>
          <w:rFonts w:hint="eastAsia" w:asciiTheme="minorEastAsia" w:hAnsiTheme="minorEastAsia" w:eastAsiaTheme="minorEastAsia"/>
          <w:sz w:val="24"/>
          <w:highlight w:val="none"/>
        </w:rPr>
        <w:t>审查</w:t>
      </w:r>
    </w:p>
    <w:tbl>
      <w:tblPr>
        <w:tblStyle w:val="25"/>
        <w:tblW w:w="52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1580"/>
        <w:gridCol w:w="4837"/>
        <w:gridCol w:w="2462"/>
      </w:tblGrid>
      <w:tr w14:paraId="38B5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490FDDC">
            <w:pPr>
              <w:adjustRightInd w:val="0"/>
              <w:snapToGrid w:val="0"/>
              <w:spacing w:line="360" w:lineRule="auto"/>
              <w:ind w:right="-10" w:rightChars="0"/>
              <w:jc w:val="center"/>
              <w:rPr>
                <w:rFonts w:ascii="宋体" w:hAnsi="宋体" w:eastAsia="宋体"/>
                <w:sz w:val="24"/>
                <w:highlight w:val="none"/>
              </w:rPr>
            </w:pPr>
            <w:r>
              <w:rPr>
                <w:rFonts w:hint="eastAsia" w:ascii="宋体" w:hAnsi="宋体" w:eastAsia="宋体" w:cs="Times New Roman"/>
                <w:b/>
                <w:bCs/>
                <w:sz w:val="24"/>
                <w:highlight w:val="none"/>
                <w:lang w:val="en-US" w:eastAsia="zh-CN"/>
              </w:rPr>
              <w:t>异常低价投标审查表</w:t>
            </w:r>
          </w:p>
        </w:tc>
      </w:tr>
      <w:tr w14:paraId="0B914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3D11B06C">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序号</w:t>
            </w:r>
          </w:p>
        </w:tc>
        <w:tc>
          <w:tcPr>
            <w:tcW w:w="1450" w:type="dxa"/>
            <w:tcBorders>
              <w:bottom w:val="single" w:color="auto" w:sz="4" w:space="0"/>
            </w:tcBorders>
            <w:vAlign w:val="center"/>
          </w:tcPr>
          <w:p w14:paraId="1685EC71">
            <w:pPr>
              <w:spacing w:line="360" w:lineRule="auto"/>
              <w:ind w:firstLine="240" w:firstLineChars="100"/>
              <w:jc w:val="center"/>
              <w:rPr>
                <w:rFonts w:ascii="宋体" w:hAnsi="宋体" w:eastAsia="宋体"/>
                <w:kern w:val="2"/>
                <w:szCs w:val="24"/>
                <w:highlight w:val="none"/>
              </w:rPr>
            </w:pPr>
            <w:r>
              <w:rPr>
                <w:rFonts w:hint="eastAsia" w:ascii="宋体" w:hAnsi="宋体" w:eastAsia="宋体" w:cs="Times New Roman"/>
                <w:sz w:val="24"/>
                <w:highlight w:val="none"/>
                <w:lang w:val="en-US" w:eastAsia="zh-CN"/>
              </w:rPr>
              <w:t>评审指标</w:t>
            </w:r>
          </w:p>
        </w:tc>
        <w:tc>
          <w:tcPr>
            <w:tcW w:w="4439" w:type="dxa"/>
            <w:tcBorders>
              <w:bottom w:val="single" w:color="auto" w:sz="4" w:space="0"/>
            </w:tcBorders>
            <w:vAlign w:val="center"/>
          </w:tcPr>
          <w:p w14:paraId="48227F1E">
            <w:pPr>
              <w:spacing w:line="360" w:lineRule="auto"/>
              <w:ind w:firstLine="240" w:firstLineChars="100"/>
              <w:jc w:val="center"/>
              <w:rPr>
                <w:rFonts w:ascii="宋体" w:hAnsi="宋体" w:eastAsia="宋体"/>
                <w:sz w:val="24"/>
                <w:highlight w:val="none"/>
              </w:rPr>
            </w:pPr>
            <w:r>
              <w:rPr>
                <w:rFonts w:hint="eastAsia" w:ascii="宋体" w:hAnsi="宋体" w:eastAsia="宋体" w:cs="Times New Roman"/>
                <w:sz w:val="24"/>
                <w:highlight w:val="none"/>
                <w:lang w:val="en-US" w:eastAsia="zh-CN"/>
              </w:rPr>
              <w:t>评审标准</w:t>
            </w:r>
          </w:p>
        </w:tc>
        <w:tc>
          <w:tcPr>
            <w:tcW w:w="2260" w:type="dxa"/>
            <w:tcBorders>
              <w:bottom w:val="single" w:color="auto" w:sz="4" w:space="0"/>
            </w:tcBorders>
            <w:vAlign w:val="center"/>
          </w:tcPr>
          <w:p w14:paraId="75A52B50">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格式及材料要求</w:t>
            </w:r>
          </w:p>
        </w:tc>
      </w:tr>
      <w:tr w14:paraId="398B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03712B20">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1</w:t>
            </w:r>
          </w:p>
        </w:tc>
        <w:tc>
          <w:tcPr>
            <w:tcW w:w="1450" w:type="dxa"/>
            <w:tcBorders>
              <w:bottom w:val="single" w:color="auto" w:sz="4" w:space="0"/>
            </w:tcBorders>
            <w:vAlign w:val="center"/>
          </w:tcPr>
          <w:p w14:paraId="6544B483">
            <w:pPr>
              <w:spacing w:line="360" w:lineRule="auto"/>
              <w:rPr>
                <w:rFonts w:hint="eastAsia" w:ascii="宋体" w:hAnsi="宋体" w:eastAsia="宋体" w:cs="宋体"/>
                <w:sz w:val="24"/>
                <w:szCs w:val="28"/>
                <w:highlight w:val="none"/>
              </w:rPr>
            </w:pPr>
            <w:r>
              <w:rPr>
                <w:rFonts w:hint="eastAsia" w:ascii="宋体" w:hAnsi="宋体" w:eastAsia="宋体" w:cs="宋体"/>
                <w:sz w:val="24"/>
                <w:highlight w:val="none"/>
                <w:lang w:val="en-US" w:eastAsia="zh-CN"/>
              </w:rPr>
              <w:t>异常低价投标审查</w:t>
            </w:r>
          </w:p>
        </w:tc>
        <w:tc>
          <w:tcPr>
            <w:tcW w:w="4439" w:type="dxa"/>
            <w:tcBorders>
              <w:bottom w:val="single" w:color="auto" w:sz="4" w:space="0"/>
            </w:tcBorders>
            <w:vAlign w:val="center"/>
          </w:tcPr>
          <w:p w14:paraId="2B9A75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（1）投标报</w:t>
            </w:r>
            <w:r>
              <w:rPr>
                <w:rFonts w:hint="eastAsia" w:ascii="宋体" w:hAnsi="宋体" w:eastAsia="宋体" w:cs="宋体"/>
                <w:b w:val="0"/>
                <w:bCs w:val="0"/>
                <w:i w:val="0"/>
                <w:iCs w:val="0"/>
                <w:color w:val="auto"/>
                <w:sz w:val="24"/>
                <w:szCs w:val="24"/>
                <w:highlight w:val="none"/>
                <w:u w:val="none"/>
                <w:lang w:val="en-US" w:eastAsia="zh-CN"/>
              </w:rPr>
              <w:t>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388BFE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6A2962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2AF026C8">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（4）评标委员会基于专业判断，认为投标人报价过低，有可能影响产品质量或者不能诚信履约的其他情形。</w:t>
            </w:r>
          </w:p>
          <w:p w14:paraId="23C179B8">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highlight w:val="none"/>
                <w:lang w:val="en-US" w:eastAsia="zh-CN"/>
              </w:rPr>
            </w:pPr>
            <w:r>
              <w:rPr>
                <w:rFonts w:hint="eastAsia" w:ascii="宋体" w:hAnsi="宋体" w:eastAsia="宋体" w:cs="宋体"/>
                <w:b/>
                <w:bCs/>
                <w:sz w:val="24"/>
                <w:highlight w:val="none"/>
                <w:lang w:val="en-US" w:eastAsia="zh-CN"/>
              </w:rPr>
              <w:t>提醒：</w:t>
            </w:r>
          </w:p>
          <w:p w14:paraId="0B014BAB">
            <w:pPr>
              <w:pStyle w:val="8"/>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上述</w:t>
            </w:r>
            <w:r>
              <w:rPr>
                <w:rFonts w:hint="eastAsia" w:ascii="宋体" w:hAnsi="宋体" w:eastAsia="宋体" w:cs="Arial"/>
                <w:sz w:val="24"/>
                <w:highlight w:val="none"/>
                <w:lang w:val="en-US" w:eastAsia="zh-CN"/>
              </w:rPr>
              <w:t>第（1）项数值计算：涉及总价、单价的</w:t>
            </w:r>
            <w:r>
              <w:rPr>
                <w:rFonts w:hint="eastAsia" w:ascii="宋体" w:hAnsi="宋体" w:eastAsia="宋体"/>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483833C3">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4F028160">
      <w:pPr>
        <w:spacing w:line="360" w:lineRule="auto"/>
        <w:rPr>
          <w:rFonts w:hint="eastAsia" w:ascii="宋体" w:hAnsi="宋体" w:eastAsia="宋体" w:cs="Arial"/>
          <w:sz w:val="24"/>
          <w:highlight w:val="none"/>
          <w:lang w:val="en-US" w:eastAsia="zh-CN"/>
        </w:rPr>
      </w:pPr>
      <w:r>
        <w:rPr>
          <w:rFonts w:hint="eastAsia" w:ascii="宋体" w:hAnsi="宋体" w:eastAsia="宋体" w:cs="Times New Roman"/>
          <w:sz w:val="24"/>
          <w:highlight w:val="none"/>
          <w:lang w:val="en-US" w:eastAsia="zh-CN"/>
        </w:rPr>
        <w:t>注：</w:t>
      </w:r>
    </w:p>
    <w:p w14:paraId="1A071BDD">
      <w:pPr>
        <w:spacing w:line="360" w:lineRule="auto"/>
        <w:ind w:firstLine="480" w:firstLineChars="200"/>
        <w:rPr>
          <w:rFonts w:hint="eastAsia" w:ascii="宋体" w:hAnsi="宋体" w:eastAsia="宋体" w:cs="Arial"/>
          <w:sz w:val="24"/>
          <w:highlight w:val="none"/>
          <w:lang w:val="en-US" w:eastAsia="zh-CN"/>
        </w:rPr>
      </w:pPr>
      <w:r>
        <w:rPr>
          <w:rFonts w:hint="eastAsia" w:ascii="宋体" w:hAnsi="宋体" w:eastAsia="宋体" w:cs="Arial"/>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sz w:val="24"/>
          <w:highlight w:val="none"/>
          <w:lang w:val="en-US" w:eastAsia="zh-CN"/>
        </w:rPr>
        <w:t>（3）</w:t>
      </w:r>
      <w:r>
        <w:rPr>
          <w:rFonts w:hint="eastAsia" w:ascii="宋体" w:hAnsi="宋体" w:eastAsia="宋体" w:cs="Arial"/>
          <w:sz w:val="24"/>
          <w:highlight w:val="none"/>
          <w:lang w:val="en-US" w:eastAsia="zh-CN"/>
        </w:rPr>
        <w:t>项情形，投标人已随投标文件一并提交相关书面说明及必要的证明材料的，在评审现场可不再重复提交。</w:t>
      </w:r>
    </w:p>
    <w:p w14:paraId="1CABF238">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sz w:val="24"/>
          <w:highlight w:val="none"/>
          <w:lang w:val="en-US" w:eastAsia="zh-CN"/>
        </w:rPr>
      </w:pPr>
      <w:r>
        <w:rPr>
          <w:rFonts w:hint="eastAsia" w:ascii="宋体" w:hAnsi="宋体" w:eastAsia="宋体" w:cs="Arial"/>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sz w:val="24"/>
          <w:highlight w:val="none"/>
          <w:lang w:val="en-US" w:eastAsia="zh-CN"/>
        </w:rPr>
        <w:t>无效投标</w:t>
      </w:r>
      <w:r>
        <w:rPr>
          <w:rFonts w:hint="eastAsia" w:ascii="宋体" w:hAnsi="宋体" w:eastAsia="宋体" w:cs="Arial"/>
          <w:sz w:val="24"/>
          <w:highlight w:val="none"/>
          <w:lang w:val="en-US" w:eastAsia="zh-CN"/>
        </w:rPr>
        <w:t>处理。</w:t>
      </w:r>
    </w:p>
    <w:p w14:paraId="262C0784">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sz w:val="24"/>
          <w:highlight w:val="none"/>
          <w:lang w:val="en-US" w:eastAsia="zh-CN"/>
        </w:rPr>
      </w:pPr>
      <w:r>
        <w:rPr>
          <w:rFonts w:hint="eastAsia" w:ascii="宋体" w:hAnsi="宋体" w:eastAsia="宋体" w:cs="Arial"/>
          <w:sz w:val="24"/>
          <w:highlight w:val="none"/>
          <w:lang w:val="en-US" w:eastAsia="zh-CN"/>
        </w:rPr>
        <w:t>评标委员会</w:t>
      </w:r>
      <w:r>
        <w:rPr>
          <w:rFonts w:hint="eastAsia" w:ascii="宋体" w:hAnsi="宋体" w:eastAsia="宋体"/>
          <w:sz w:val="24"/>
          <w:highlight w:val="none"/>
        </w:rPr>
        <w:t>借助互联网等渠道查询相关信息的，应当严格遵守评审工作纪律，不得实施影响评审公正的行为</w:t>
      </w:r>
      <w:r>
        <w:rPr>
          <w:rFonts w:hint="eastAsia" w:ascii="宋体" w:hAnsi="宋体" w:eastAsia="宋体"/>
          <w:sz w:val="24"/>
          <w:highlight w:val="none"/>
          <w:lang w:eastAsia="zh-CN"/>
        </w:rPr>
        <w:t>。</w:t>
      </w:r>
      <w:r>
        <w:rPr>
          <w:rFonts w:hint="eastAsia" w:ascii="宋体" w:hAnsi="宋体" w:eastAsia="宋体"/>
          <w:sz w:val="24"/>
          <w:highlight w:val="none"/>
        </w:rPr>
        <w:t>异常低价响应审查的启动原因、审查意见和审查结果应当在评审报告中记录，并随</w:t>
      </w:r>
      <w:r>
        <w:rPr>
          <w:rFonts w:hint="eastAsia" w:ascii="宋体" w:hAnsi="宋体" w:eastAsia="宋体"/>
          <w:sz w:val="24"/>
          <w:highlight w:val="none"/>
          <w:lang w:val="en-US" w:eastAsia="zh-CN"/>
        </w:rPr>
        <w:t>投标人</w:t>
      </w:r>
      <w:r>
        <w:rPr>
          <w:rFonts w:hint="eastAsia" w:ascii="宋体" w:hAnsi="宋体" w:eastAsia="宋体"/>
          <w:sz w:val="24"/>
          <w:highlight w:val="none"/>
        </w:rPr>
        <w:t>提供的相关书面说明及证明材料，以及</w:t>
      </w:r>
      <w:r>
        <w:rPr>
          <w:rFonts w:hint="eastAsia" w:ascii="宋体" w:hAnsi="宋体" w:eastAsia="宋体" w:cs="Arial"/>
          <w:sz w:val="24"/>
          <w:highlight w:val="none"/>
          <w:lang w:val="en-US" w:eastAsia="zh-CN"/>
        </w:rPr>
        <w:t>评标委员会</w:t>
      </w:r>
      <w:r>
        <w:rPr>
          <w:rFonts w:hint="eastAsia" w:ascii="宋体" w:hAnsi="宋体" w:eastAsia="宋体"/>
          <w:sz w:val="24"/>
          <w:highlight w:val="none"/>
        </w:rPr>
        <w:t>有关互联网浏览、查询历史一并归档。</w:t>
      </w:r>
    </w:p>
    <w:p w14:paraId="49D55E2D">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285FBC7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784909A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分，其中：资信分值占总分值的权重为</w:t>
      </w:r>
      <w:r>
        <w:rPr>
          <w:rFonts w:hint="eastAsia" w:asciiTheme="minorEastAsia" w:hAnsiTheme="minorEastAsia" w:eastAsiaTheme="minorEastAsia"/>
          <w:color w:val="auto"/>
          <w:sz w:val="24"/>
          <w:highlight w:val="none"/>
          <w:u w:val="single"/>
          <w:lang w:val="en-US" w:eastAsia="zh-CN"/>
        </w:rPr>
        <w:t>13</w:t>
      </w:r>
      <w:r>
        <w:rPr>
          <w:rFonts w:hint="eastAsia" w:asciiTheme="minorEastAsia" w:hAnsiTheme="minorEastAsia" w:eastAsiaTheme="minorEastAsia"/>
          <w:color w:val="auto"/>
          <w:sz w:val="24"/>
          <w:highlight w:val="none"/>
          <w:u w:val="none"/>
          <w:lang w:val="en-US" w:eastAsia="zh-CN"/>
        </w:rPr>
        <w:t>%</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技术分</w:t>
      </w:r>
      <w:r>
        <w:rPr>
          <w:rFonts w:asciiTheme="minorEastAsia" w:hAnsiTheme="minorEastAsia" w:eastAsiaTheme="minorEastAsia"/>
          <w:color w:val="auto"/>
          <w:sz w:val="24"/>
          <w:highlight w:val="none"/>
        </w:rPr>
        <w:t>值占总分值的权重为</w:t>
      </w:r>
      <w:r>
        <w:rPr>
          <w:rFonts w:hint="eastAsia" w:asciiTheme="minorEastAsia" w:hAnsiTheme="minorEastAsia" w:eastAsiaTheme="minorEastAsia"/>
          <w:color w:val="auto"/>
          <w:sz w:val="24"/>
          <w:highlight w:val="none"/>
          <w:u w:val="single"/>
          <w:lang w:val="en-US" w:eastAsia="zh-CN"/>
        </w:rPr>
        <w:t>57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u w:val="single"/>
          <w:lang w:val="en-US" w:eastAsia="zh-CN"/>
        </w:rPr>
        <w:t>30</w:t>
      </w:r>
      <w:r>
        <w:rPr>
          <w:rFonts w:asciiTheme="minorEastAsia" w:hAnsiTheme="minorEastAsia" w:eastAsiaTheme="minorEastAsia"/>
          <w:color w:val="auto"/>
          <w:sz w:val="24"/>
          <w:highlight w:val="none"/>
        </w:rPr>
        <w:t>%。具体评分细则如下：</w:t>
      </w:r>
    </w:p>
    <w:tbl>
      <w:tblPr>
        <w:tblStyle w:val="25"/>
        <w:tblW w:w="50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1410"/>
        <w:gridCol w:w="5532"/>
        <w:gridCol w:w="1341"/>
      </w:tblGrid>
      <w:tr w14:paraId="210E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24" w:type="pct"/>
            <w:tcBorders>
              <w:top w:val="single" w:color="auto" w:sz="4" w:space="0"/>
              <w:left w:val="single" w:color="auto" w:sz="4" w:space="0"/>
              <w:bottom w:val="single" w:color="auto" w:sz="4" w:space="0"/>
              <w:right w:val="single" w:color="auto" w:sz="4" w:space="0"/>
            </w:tcBorders>
            <w:vAlign w:val="center"/>
          </w:tcPr>
          <w:p w14:paraId="3A893938">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745" w:type="pct"/>
            <w:tcBorders>
              <w:top w:val="single" w:color="auto" w:sz="4" w:space="0"/>
              <w:left w:val="single" w:color="auto" w:sz="4" w:space="0"/>
              <w:bottom w:val="single" w:color="auto" w:sz="4" w:space="0"/>
              <w:right w:val="single" w:color="auto" w:sz="4" w:space="0"/>
            </w:tcBorders>
            <w:vAlign w:val="center"/>
          </w:tcPr>
          <w:p w14:paraId="14068F5B">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922" w:type="pct"/>
            <w:tcBorders>
              <w:top w:val="single" w:color="auto" w:sz="4" w:space="0"/>
              <w:left w:val="single" w:color="auto" w:sz="4" w:space="0"/>
              <w:bottom w:val="single" w:color="auto" w:sz="4" w:space="0"/>
              <w:right w:val="single" w:color="auto" w:sz="4" w:space="0"/>
            </w:tcBorders>
            <w:vAlign w:val="center"/>
          </w:tcPr>
          <w:p w14:paraId="2F9E0AE8">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707" w:type="pct"/>
            <w:tcBorders>
              <w:top w:val="single" w:color="auto" w:sz="4" w:space="0"/>
              <w:left w:val="single" w:color="auto" w:sz="4" w:space="0"/>
              <w:bottom w:val="single" w:color="auto" w:sz="4" w:space="0"/>
              <w:right w:val="single" w:color="auto" w:sz="4" w:space="0"/>
            </w:tcBorders>
            <w:vAlign w:val="center"/>
          </w:tcPr>
          <w:p w14:paraId="204AEBE6">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56156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pct"/>
            <w:vMerge w:val="restart"/>
            <w:tcBorders>
              <w:top w:val="single" w:color="auto" w:sz="4" w:space="0"/>
              <w:left w:val="single" w:color="auto" w:sz="4" w:space="0"/>
              <w:right w:val="single" w:color="auto" w:sz="4" w:space="0"/>
            </w:tcBorders>
            <w:vAlign w:val="center"/>
          </w:tcPr>
          <w:p w14:paraId="5C7CD238">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资信分</w:t>
            </w:r>
          </w:p>
          <w:p w14:paraId="127C554B">
            <w:pPr>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lang w:val="en-US" w:eastAsia="zh-CN"/>
              </w:rPr>
              <w:t>13</w:t>
            </w:r>
            <w:r>
              <w:rPr>
                <w:rFonts w:hint="eastAsia" w:asciiTheme="minorEastAsia" w:hAnsiTheme="minorEastAsia" w:eastAsiaTheme="minorEastAsia"/>
                <w:color w:val="auto"/>
                <w:sz w:val="24"/>
                <w:highlight w:val="none"/>
              </w:rPr>
              <w:t>分）</w:t>
            </w:r>
          </w:p>
          <w:p w14:paraId="1FE7F5B5">
            <w:pPr>
              <w:spacing w:line="360" w:lineRule="auto"/>
              <w:jc w:val="center"/>
              <w:rPr>
                <w:rFonts w:hint="eastAsia" w:asciiTheme="minorEastAsia" w:hAnsiTheme="minorEastAsia" w:eastAsiaTheme="minorEastAsia"/>
                <w:color w:val="auto"/>
                <w:sz w:val="24"/>
                <w:highlight w:val="none"/>
                <w:lang w:val="en-US" w:eastAsia="zh-CN"/>
              </w:rPr>
            </w:pPr>
          </w:p>
        </w:tc>
        <w:tc>
          <w:tcPr>
            <w:tcW w:w="745" w:type="pct"/>
            <w:tcBorders>
              <w:top w:val="single" w:color="auto" w:sz="4" w:space="0"/>
              <w:left w:val="single" w:color="auto" w:sz="4" w:space="0"/>
              <w:bottom w:val="single" w:color="auto" w:sz="4" w:space="0"/>
              <w:right w:val="single" w:color="auto" w:sz="4" w:space="0"/>
            </w:tcBorders>
            <w:vAlign w:val="center"/>
          </w:tcPr>
          <w:p w14:paraId="0BE8B62D">
            <w:pPr>
              <w:spacing w:line="360" w:lineRule="auto"/>
              <w:jc w:val="center"/>
              <w:rPr>
                <w:rFonts w:hint="default"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投标人业绩</w:t>
            </w:r>
          </w:p>
        </w:tc>
        <w:tc>
          <w:tcPr>
            <w:tcW w:w="2922" w:type="pct"/>
            <w:tcBorders>
              <w:top w:val="single" w:color="auto" w:sz="4" w:space="0"/>
              <w:left w:val="single" w:color="auto" w:sz="4" w:space="0"/>
              <w:bottom w:val="single" w:color="auto" w:sz="4" w:space="0"/>
              <w:right w:val="single" w:color="auto" w:sz="4" w:space="0"/>
            </w:tcBorders>
            <w:vAlign w:val="center"/>
          </w:tcPr>
          <w:p w14:paraId="42420B74">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sz w:val="24"/>
                <w:szCs w:val="20"/>
                <w:highlight w:val="none"/>
                <w:lang w:val="en-US" w:eastAsia="zh-CN"/>
              </w:rPr>
            </w:pPr>
            <w:r>
              <w:rPr>
                <w:rFonts w:hint="eastAsia" w:ascii="宋体" w:hAnsi="宋体" w:eastAsia="宋体" w:cs="宋体"/>
                <w:color w:val="auto"/>
                <w:sz w:val="24"/>
                <w:szCs w:val="20"/>
                <w:highlight w:val="none"/>
                <w:lang w:val="en-US" w:eastAsia="zh-CN"/>
              </w:rPr>
              <w:t>自2021年1月1号至投标截止时间止（以合同签订时间为准），投标人提供一个LED显示屏或音视频供货及安装业绩，得2分，本项最多得4分。</w:t>
            </w:r>
          </w:p>
          <w:p w14:paraId="0FDB65E1">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sz w:val="24"/>
                <w:szCs w:val="20"/>
                <w:highlight w:val="none"/>
                <w:lang w:val="en-US" w:eastAsia="zh-CN"/>
              </w:rPr>
            </w:pPr>
            <w:r>
              <w:rPr>
                <w:rFonts w:hint="eastAsia" w:ascii="宋体" w:hAnsi="宋体" w:eastAsia="宋体" w:cs="宋体"/>
                <w:color w:val="auto"/>
                <w:sz w:val="24"/>
                <w:szCs w:val="20"/>
                <w:highlight w:val="none"/>
                <w:lang w:val="en-US" w:eastAsia="zh-CN"/>
              </w:rPr>
              <w:t>注：1.投标文件中提供业绩合同扫描件，时间以合同签订时间为准；若合同材料中无法体现签订时间、供货内容等关键评审因素的，须另附业主（合同甲方）出具的证明材料，未提供或提供不全的不得分。</w:t>
            </w:r>
          </w:p>
          <w:p w14:paraId="3A5B6FF0">
            <w:pPr>
              <w:spacing w:line="360" w:lineRule="auto"/>
              <w:jc w:val="left"/>
              <w:rPr>
                <w:rFonts w:asciiTheme="minorEastAsia" w:hAnsiTheme="minorEastAsia" w:eastAsiaTheme="minorEastAsia"/>
                <w:bCs/>
                <w:color w:val="auto"/>
                <w:sz w:val="24"/>
                <w:highlight w:val="none"/>
              </w:rPr>
            </w:pPr>
            <w:r>
              <w:rPr>
                <w:rFonts w:hint="eastAsia" w:ascii="宋体" w:hAnsi="宋体" w:eastAsia="宋体" w:cs="宋体"/>
                <w:color w:val="auto"/>
                <w:sz w:val="24"/>
                <w:szCs w:val="20"/>
                <w:highlight w:val="none"/>
                <w:lang w:val="en-US" w:eastAsia="zh-CN"/>
              </w:rPr>
              <w:t>2.提供的项目业绩只计算评标分值对应的项目数量，按照排列顺序从首个业绩开始评审至对应数量，超出部分不进行评审。对应数量内业绩不符合招标文件要求不得分的，不再补充评审超出部分业绩。如：提供2个业绩即得满分的，按照投标文件排序评审第一、第二项业绩，其余超出部分不再评审。</w:t>
            </w:r>
          </w:p>
        </w:tc>
        <w:tc>
          <w:tcPr>
            <w:tcW w:w="707" w:type="pct"/>
            <w:tcBorders>
              <w:top w:val="single" w:color="auto" w:sz="4" w:space="0"/>
              <w:left w:val="single" w:color="auto" w:sz="4" w:space="0"/>
              <w:bottom w:val="single" w:color="auto" w:sz="4" w:space="0"/>
              <w:right w:val="single" w:color="auto" w:sz="4" w:space="0"/>
            </w:tcBorders>
            <w:vAlign w:val="center"/>
          </w:tcPr>
          <w:p w14:paraId="34053CF9">
            <w:pPr>
              <w:spacing w:line="360" w:lineRule="auto"/>
              <w:jc w:val="center"/>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0-4分</w:t>
            </w:r>
          </w:p>
        </w:tc>
      </w:tr>
      <w:tr w14:paraId="6966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pct"/>
            <w:vMerge w:val="continue"/>
            <w:tcBorders>
              <w:left w:val="single" w:color="auto" w:sz="4" w:space="0"/>
              <w:right w:val="single" w:color="auto" w:sz="4" w:space="0"/>
            </w:tcBorders>
            <w:vAlign w:val="center"/>
          </w:tcPr>
          <w:p w14:paraId="70A20248">
            <w:pPr>
              <w:spacing w:line="360" w:lineRule="auto"/>
              <w:jc w:val="center"/>
              <w:rPr>
                <w:rFonts w:hint="eastAsia" w:asciiTheme="minorEastAsia" w:hAnsiTheme="minorEastAsia" w:eastAsiaTheme="minorEastAsia"/>
                <w:color w:val="auto"/>
                <w:sz w:val="24"/>
                <w:highlight w:val="none"/>
                <w:lang w:val="en-US" w:eastAsia="zh-CN"/>
              </w:rPr>
            </w:pPr>
          </w:p>
        </w:tc>
        <w:tc>
          <w:tcPr>
            <w:tcW w:w="745" w:type="pct"/>
            <w:tcBorders>
              <w:top w:val="single" w:color="auto" w:sz="4" w:space="0"/>
              <w:left w:val="single" w:color="auto" w:sz="4" w:space="0"/>
              <w:bottom w:val="single" w:color="auto" w:sz="4" w:space="0"/>
              <w:right w:val="single" w:color="auto" w:sz="4" w:space="0"/>
            </w:tcBorders>
            <w:vAlign w:val="center"/>
          </w:tcPr>
          <w:p w14:paraId="0C34F468">
            <w:pPr>
              <w:spacing w:line="360" w:lineRule="auto"/>
              <w:jc w:val="center"/>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项目团队</w:t>
            </w:r>
          </w:p>
        </w:tc>
        <w:tc>
          <w:tcPr>
            <w:tcW w:w="2922" w:type="pct"/>
            <w:tcBorders>
              <w:top w:val="single" w:color="auto" w:sz="4" w:space="0"/>
              <w:left w:val="single" w:color="auto" w:sz="4" w:space="0"/>
              <w:bottom w:val="single" w:color="auto" w:sz="4" w:space="0"/>
              <w:right w:val="single" w:color="auto" w:sz="4" w:space="0"/>
            </w:tcBorders>
            <w:vAlign w:val="center"/>
          </w:tcPr>
          <w:p w14:paraId="544D9FE5">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sz w:val="24"/>
                <w:szCs w:val="20"/>
                <w:highlight w:val="none"/>
                <w:lang w:val="en-US" w:eastAsia="zh-CN"/>
              </w:rPr>
            </w:pPr>
            <w:r>
              <w:rPr>
                <w:rFonts w:hint="eastAsia" w:ascii="宋体" w:hAnsi="宋体" w:eastAsia="宋体" w:cs="宋体"/>
                <w:color w:val="auto"/>
                <w:sz w:val="24"/>
                <w:szCs w:val="20"/>
                <w:highlight w:val="none"/>
                <w:lang w:val="en-US" w:eastAsia="zh-CN"/>
              </w:rPr>
              <w:t>（1）项目经理具有机电或信息化相关专业初级或以上职称证书的得1分。</w:t>
            </w:r>
          </w:p>
          <w:p w14:paraId="2982A01E">
            <w:pPr>
              <w:keepNext w:val="0"/>
              <w:keepLines w:val="0"/>
              <w:suppressLineNumbers w:val="0"/>
              <w:spacing w:before="0" w:beforeAutospacing="0" w:after="0" w:afterAutospacing="0" w:line="360" w:lineRule="auto"/>
              <w:ind w:left="0" w:right="0"/>
              <w:jc w:val="left"/>
              <w:rPr>
                <w:rFonts w:hint="default" w:ascii="宋体" w:hAnsi="宋体" w:eastAsia="宋体" w:cs="宋体"/>
                <w:color w:val="auto"/>
                <w:sz w:val="24"/>
                <w:szCs w:val="20"/>
                <w:highlight w:val="none"/>
                <w:lang w:val="en-US" w:eastAsia="zh-CN"/>
              </w:rPr>
            </w:pPr>
            <w:r>
              <w:rPr>
                <w:rFonts w:hint="eastAsia" w:ascii="宋体" w:hAnsi="宋体" w:eastAsia="宋体" w:cs="宋体"/>
                <w:color w:val="auto"/>
                <w:sz w:val="24"/>
                <w:szCs w:val="20"/>
                <w:highlight w:val="none"/>
                <w:lang w:val="en-US" w:eastAsia="zh-CN"/>
              </w:rPr>
              <w:t>（2）团队成员具有以下证书的，每提供一个得1分，满分3分：①演艺灯光类证书；②演艺音响类证书；③舞台机械类证书。</w:t>
            </w:r>
          </w:p>
          <w:p w14:paraId="0238CA8E">
            <w:pPr>
              <w:spacing w:line="360" w:lineRule="auto"/>
              <w:jc w:val="left"/>
              <w:rPr>
                <w:rFonts w:hint="eastAsia" w:ascii="宋体" w:hAnsi="宋体" w:eastAsia="宋体" w:cs="宋体"/>
                <w:color w:val="auto"/>
                <w:sz w:val="24"/>
                <w:szCs w:val="20"/>
                <w:highlight w:val="none"/>
                <w:lang w:val="en-US" w:eastAsia="zh-CN"/>
              </w:rPr>
            </w:pPr>
            <w:r>
              <w:rPr>
                <w:rFonts w:hint="eastAsia" w:ascii="宋体" w:hAnsi="宋体" w:eastAsia="宋体" w:cs="宋体"/>
                <w:color w:val="auto"/>
                <w:sz w:val="24"/>
                <w:szCs w:val="20"/>
                <w:highlight w:val="none"/>
                <w:lang w:val="en-US" w:eastAsia="zh-CN"/>
              </w:rPr>
              <w:t>注：</w:t>
            </w:r>
            <w:r>
              <w:rPr>
                <w:rFonts w:hint="eastAsia" w:asciiTheme="minorEastAsia" w:hAnsiTheme="minorEastAsia" w:eastAsiaTheme="minorEastAsia"/>
                <w:sz w:val="24"/>
              </w:rPr>
              <w:t>提供证书扫描件及社保部门出具的本单位为其缴纳的投标前近三个月内任意一个月的养老保险证明（含官网在线打印件，证明文件两个月内有效）或投标人提供已为上述人员缴纳养老保险证明的承诺书（格式自拟）</w:t>
            </w:r>
            <w:r>
              <w:rPr>
                <w:rFonts w:hint="eastAsia" w:ascii="宋体" w:hAnsi="宋体" w:eastAsia="宋体" w:cs="宋体"/>
                <w:color w:val="auto"/>
                <w:sz w:val="24"/>
                <w:szCs w:val="20"/>
                <w:highlight w:val="none"/>
                <w:lang w:val="en-US" w:eastAsia="zh-CN"/>
              </w:rPr>
              <w:t>。</w:t>
            </w:r>
          </w:p>
        </w:tc>
        <w:tc>
          <w:tcPr>
            <w:tcW w:w="707" w:type="pct"/>
            <w:tcBorders>
              <w:top w:val="single" w:color="auto" w:sz="4" w:space="0"/>
              <w:left w:val="single" w:color="auto" w:sz="4" w:space="0"/>
              <w:bottom w:val="single" w:color="auto" w:sz="4" w:space="0"/>
              <w:right w:val="single" w:color="auto" w:sz="4" w:space="0"/>
            </w:tcBorders>
            <w:vAlign w:val="center"/>
          </w:tcPr>
          <w:p w14:paraId="2E523A43">
            <w:pPr>
              <w:spacing w:line="360" w:lineRule="auto"/>
              <w:jc w:val="center"/>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0-4分</w:t>
            </w:r>
          </w:p>
        </w:tc>
      </w:tr>
      <w:tr w14:paraId="5B045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pct"/>
            <w:vMerge w:val="continue"/>
            <w:tcBorders>
              <w:left w:val="single" w:color="auto" w:sz="4" w:space="0"/>
              <w:right w:val="single" w:color="auto" w:sz="4" w:space="0"/>
            </w:tcBorders>
            <w:vAlign w:val="center"/>
          </w:tcPr>
          <w:p w14:paraId="00871638">
            <w:pPr>
              <w:spacing w:line="360" w:lineRule="auto"/>
              <w:jc w:val="center"/>
              <w:rPr>
                <w:rFonts w:hint="eastAsia" w:asciiTheme="minorEastAsia" w:hAnsiTheme="minorEastAsia" w:eastAsiaTheme="minorEastAsia"/>
                <w:color w:val="auto"/>
                <w:sz w:val="24"/>
                <w:highlight w:val="none"/>
                <w:lang w:val="en-US" w:eastAsia="zh-CN"/>
              </w:rPr>
            </w:pPr>
          </w:p>
        </w:tc>
        <w:tc>
          <w:tcPr>
            <w:tcW w:w="745" w:type="pct"/>
            <w:tcBorders>
              <w:top w:val="single" w:color="auto" w:sz="4" w:space="0"/>
              <w:left w:val="single" w:color="auto" w:sz="4" w:space="0"/>
              <w:bottom w:val="single" w:color="auto" w:sz="4" w:space="0"/>
              <w:right w:val="single" w:color="auto" w:sz="4" w:space="0"/>
            </w:tcBorders>
            <w:vAlign w:val="center"/>
          </w:tcPr>
          <w:p w14:paraId="4EFBE9EA">
            <w:pPr>
              <w:spacing w:line="360" w:lineRule="auto"/>
              <w:jc w:val="center"/>
              <w:rPr>
                <w:rFonts w:hint="default"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sz w:val="24"/>
              </w:rPr>
              <w:t>售后服务承诺</w:t>
            </w:r>
          </w:p>
        </w:tc>
        <w:tc>
          <w:tcPr>
            <w:tcW w:w="2922" w:type="pct"/>
            <w:tcBorders>
              <w:top w:val="single" w:color="auto" w:sz="4" w:space="0"/>
              <w:left w:val="single" w:color="auto" w:sz="4" w:space="0"/>
              <w:bottom w:val="single" w:color="auto" w:sz="4" w:space="0"/>
              <w:right w:val="single" w:color="auto" w:sz="4" w:space="0"/>
            </w:tcBorders>
            <w:vAlign w:val="center"/>
          </w:tcPr>
          <w:p w14:paraId="3240460E">
            <w:pPr>
              <w:spacing w:line="360" w:lineRule="auto"/>
              <w:jc w:val="left"/>
              <w:rPr>
                <w:rFonts w:hint="eastAsia" w:ascii="宋体" w:hAnsi="宋体" w:eastAsia="宋体" w:cs="宋体"/>
                <w:color w:val="auto"/>
                <w:sz w:val="24"/>
                <w:szCs w:val="20"/>
                <w:highlight w:val="none"/>
                <w:lang w:val="en-US" w:eastAsia="zh-CN"/>
              </w:rPr>
            </w:pPr>
            <w:r>
              <w:rPr>
                <w:rFonts w:hint="eastAsia" w:asciiTheme="minorEastAsia" w:hAnsiTheme="minorEastAsia" w:eastAsiaTheme="minorEastAsia"/>
                <w:bCs/>
                <w:sz w:val="24"/>
              </w:rPr>
              <w:t>投标人提供售后承诺，本项目整体质保3年。质保每增加一年得</w:t>
            </w:r>
            <w:r>
              <w:rPr>
                <w:rFonts w:hint="eastAsia" w:asciiTheme="minorEastAsia" w:hAnsiTheme="minorEastAsia" w:eastAsiaTheme="minorEastAsia"/>
                <w:bCs/>
                <w:sz w:val="24"/>
                <w:lang w:val="en-US" w:eastAsia="zh-CN"/>
              </w:rPr>
              <w:t>1</w:t>
            </w:r>
            <w:r>
              <w:rPr>
                <w:rFonts w:hint="eastAsia" w:asciiTheme="minorEastAsia" w:hAnsiTheme="minorEastAsia" w:eastAsiaTheme="minorEastAsia"/>
                <w:bCs/>
                <w:sz w:val="24"/>
              </w:rPr>
              <w:t>分，本项最高得</w:t>
            </w:r>
            <w:r>
              <w:rPr>
                <w:rFonts w:hint="eastAsia" w:asciiTheme="minorEastAsia" w:hAnsiTheme="minorEastAsia" w:eastAsiaTheme="minorEastAsia"/>
                <w:bCs/>
                <w:sz w:val="24"/>
                <w:lang w:val="en-US" w:eastAsia="zh-CN"/>
              </w:rPr>
              <w:t>5</w:t>
            </w:r>
            <w:r>
              <w:rPr>
                <w:rFonts w:hint="eastAsia" w:asciiTheme="minorEastAsia" w:hAnsiTheme="minorEastAsia" w:eastAsiaTheme="minorEastAsia"/>
                <w:bCs/>
                <w:sz w:val="24"/>
              </w:rPr>
              <w:t>分。</w:t>
            </w:r>
          </w:p>
        </w:tc>
        <w:tc>
          <w:tcPr>
            <w:tcW w:w="707" w:type="pct"/>
            <w:tcBorders>
              <w:top w:val="single" w:color="auto" w:sz="4" w:space="0"/>
              <w:left w:val="single" w:color="auto" w:sz="4" w:space="0"/>
              <w:bottom w:val="single" w:color="auto" w:sz="4" w:space="0"/>
              <w:right w:val="single" w:color="auto" w:sz="4" w:space="0"/>
            </w:tcBorders>
            <w:vAlign w:val="center"/>
          </w:tcPr>
          <w:p w14:paraId="0A1A914A">
            <w:pPr>
              <w:spacing w:line="360" w:lineRule="auto"/>
              <w:jc w:val="center"/>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sz w:val="24"/>
              </w:rPr>
              <w:t>0-</w:t>
            </w:r>
            <w:r>
              <w:rPr>
                <w:rFonts w:hint="eastAsia" w:asciiTheme="minorEastAsia" w:hAnsiTheme="minorEastAsia" w:eastAsiaTheme="minorEastAsia"/>
                <w:b/>
                <w:bCs/>
                <w:sz w:val="24"/>
                <w:lang w:val="en-US" w:eastAsia="zh-CN"/>
              </w:rPr>
              <w:t>5</w:t>
            </w:r>
            <w:r>
              <w:rPr>
                <w:rFonts w:hint="eastAsia" w:asciiTheme="minorEastAsia" w:hAnsiTheme="minorEastAsia" w:eastAsiaTheme="minorEastAsia"/>
                <w:b/>
                <w:bCs/>
                <w:sz w:val="24"/>
              </w:rPr>
              <w:t>分</w:t>
            </w:r>
          </w:p>
        </w:tc>
      </w:tr>
      <w:tr w14:paraId="74361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pct"/>
            <w:vMerge w:val="restart"/>
            <w:tcBorders>
              <w:top w:val="single" w:color="auto" w:sz="4" w:space="0"/>
              <w:left w:val="single" w:color="auto" w:sz="4" w:space="0"/>
              <w:right w:val="single" w:color="auto" w:sz="4" w:space="0"/>
            </w:tcBorders>
            <w:vAlign w:val="center"/>
          </w:tcPr>
          <w:p w14:paraId="22E88CA1">
            <w:pPr>
              <w:spacing w:line="360" w:lineRule="auto"/>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技术分</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lang w:val="en-US" w:eastAsia="zh-CN"/>
              </w:rPr>
              <w:t>57</w:t>
            </w:r>
            <w:r>
              <w:rPr>
                <w:rFonts w:hint="eastAsia" w:asciiTheme="minorEastAsia" w:hAnsiTheme="minorEastAsia" w:eastAsiaTheme="minorEastAsia"/>
                <w:color w:val="auto"/>
                <w:sz w:val="24"/>
                <w:highlight w:val="none"/>
              </w:rPr>
              <w:t>分）</w:t>
            </w:r>
          </w:p>
        </w:tc>
        <w:tc>
          <w:tcPr>
            <w:tcW w:w="745" w:type="pct"/>
            <w:tcBorders>
              <w:top w:val="single" w:color="auto" w:sz="4" w:space="0"/>
              <w:left w:val="single" w:color="auto" w:sz="4" w:space="0"/>
              <w:bottom w:val="single" w:color="auto" w:sz="4" w:space="0"/>
              <w:right w:val="single" w:color="auto" w:sz="4" w:space="0"/>
            </w:tcBorders>
            <w:vAlign w:val="center"/>
          </w:tcPr>
          <w:p w14:paraId="334969E5">
            <w:pPr>
              <w:spacing w:line="360" w:lineRule="auto"/>
              <w:jc w:val="center"/>
              <w:rPr>
                <w:rFonts w:hint="default"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产品性能</w:t>
            </w:r>
          </w:p>
        </w:tc>
        <w:tc>
          <w:tcPr>
            <w:tcW w:w="2922" w:type="pct"/>
            <w:tcBorders>
              <w:top w:val="single" w:color="auto" w:sz="4" w:space="0"/>
              <w:left w:val="single" w:color="auto" w:sz="4" w:space="0"/>
              <w:bottom w:val="single" w:color="auto" w:sz="4" w:space="0"/>
              <w:right w:val="single" w:color="auto" w:sz="4" w:space="0"/>
            </w:tcBorders>
            <w:vAlign w:val="center"/>
          </w:tcPr>
          <w:p w14:paraId="3253F2BF">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sz w:val="24"/>
                <w:szCs w:val="20"/>
                <w:highlight w:val="none"/>
                <w:lang w:val="en-US" w:eastAsia="zh-CN"/>
              </w:rPr>
            </w:pPr>
            <w:r>
              <w:rPr>
                <w:rFonts w:hint="eastAsia" w:ascii="宋体" w:hAnsi="宋体" w:eastAsia="宋体" w:cs="宋体"/>
                <w:color w:val="auto"/>
                <w:sz w:val="24"/>
                <w:szCs w:val="20"/>
                <w:highlight w:val="none"/>
                <w:lang w:val="en-US" w:eastAsia="zh-CN"/>
              </w:rPr>
              <w:t>所投产品完全满足或优于招标文件采购需求货物需求表中“采购内容及技术参数要求”的，得50分。其中：</w:t>
            </w:r>
          </w:p>
          <w:p w14:paraId="677D787F">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sz w:val="24"/>
                <w:szCs w:val="20"/>
                <w:highlight w:val="none"/>
                <w:lang w:val="en-US" w:eastAsia="zh-CN"/>
              </w:rPr>
            </w:pPr>
            <w:r>
              <w:rPr>
                <w:rFonts w:hint="eastAsia" w:ascii="宋体" w:hAnsi="宋体" w:eastAsia="宋体" w:cs="宋体"/>
                <w:color w:val="auto"/>
                <w:sz w:val="24"/>
                <w:szCs w:val="20"/>
                <w:highlight w:val="none"/>
                <w:lang w:val="en-US" w:eastAsia="zh-CN"/>
              </w:rPr>
              <w:t>（1）标注“★”的参数为必须响应参数，不得负偏离，否则投标无效；</w:t>
            </w:r>
          </w:p>
          <w:p w14:paraId="73DACF92">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sz w:val="24"/>
                <w:szCs w:val="20"/>
                <w:highlight w:val="none"/>
                <w:lang w:val="en-US" w:eastAsia="zh-CN"/>
              </w:rPr>
            </w:pPr>
            <w:r>
              <w:rPr>
                <w:rFonts w:hint="eastAsia" w:ascii="宋体" w:hAnsi="宋体" w:eastAsia="宋体" w:cs="宋体"/>
                <w:color w:val="auto"/>
                <w:sz w:val="24"/>
                <w:szCs w:val="20"/>
                <w:highlight w:val="none"/>
                <w:lang w:val="en-US" w:eastAsia="zh-CN"/>
              </w:rPr>
              <w:t>（2）标注“▲”的参数，每满足或优于一项指标，得2分，共25项，共计50分。</w:t>
            </w:r>
          </w:p>
          <w:p w14:paraId="720084DF">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sz w:val="24"/>
                <w:szCs w:val="20"/>
                <w:highlight w:val="none"/>
                <w:lang w:val="en-US" w:eastAsia="zh-CN"/>
              </w:rPr>
            </w:pPr>
            <w:r>
              <w:rPr>
                <w:rFonts w:hint="eastAsia" w:ascii="宋体" w:hAnsi="宋体" w:eastAsia="宋体" w:cs="宋体"/>
                <w:color w:val="auto"/>
                <w:sz w:val="24"/>
                <w:szCs w:val="20"/>
                <w:highlight w:val="none"/>
                <w:lang w:val="en-US" w:eastAsia="zh-CN"/>
              </w:rPr>
              <w:t>注：（1）如某项标识中包含多条技术参数或要求，则该项标识所含内容均需满足或优于招标文件要求，否则不予认可。</w:t>
            </w:r>
          </w:p>
          <w:p w14:paraId="09A19BE4">
            <w:pPr>
              <w:keepNext w:val="0"/>
              <w:keepLines w:val="0"/>
              <w:suppressLineNumbers w:val="0"/>
              <w:spacing w:before="0" w:beforeAutospacing="0" w:after="0" w:afterAutospacing="0" w:line="360" w:lineRule="auto"/>
              <w:ind w:left="0" w:right="0"/>
              <w:jc w:val="left"/>
              <w:rPr>
                <w:rFonts w:hint="default" w:ascii="宋体" w:hAnsi="宋体" w:eastAsia="宋体" w:cs="宋体"/>
                <w:color w:val="auto"/>
                <w:sz w:val="24"/>
                <w:szCs w:val="20"/>
                <w:highlight w:val="none"/>
                <w:lang w:val="en-US" w:eastAsia="zh-CN"/>
              </w:rPr>
            </w:pPr>
            <w:r>
              <w:rPr>
                <w:rFonts w:hint="eastAsia" w:ascii="宋体" w:hAnsi="宋体" w:eastAsia="宋体" w:cs="宋体"/>
                <w:color w:val="auto"/>
                <w:sz w:val="24"/>
                <w:szCs w:val="20"/>
                <w:highlight w:val="none"/>
                <w:lang w:val="en-US" w:eastAsia="zh-CN"/>
              </w:rPr>
              <w:t>（2）未标符号的为一般参数，投标文件中无需列明，但在合同签订后将作为履约验收的依据，</w:t>
            </w:r>
            <w:r>
              <w:rPr>
                <w:rFonts w:hint="eastAsia" w:ascii="宋体" w:hAnsi="宋体" w:eastAsia="宋体" w:cs="宋体"/>
                <w:b/>
                <w:bCs/>
                <w:color w:val="auto"/>
                <w:sz w:val="24"/>
                <w:szCs w:val="20"/>
                <w:highlight w:val="none"/>
                <w:lang w:val="en-US" w:eastAsia="zh-CN"/>
              </w:rPr>
              <w:t>投标人在投标文件中提供相关承诺函，承诺函格式自拟，但须明确体现上述内容，否则投标无效</w:t>
            </w:r>
            <w:r>
              <w:rPr>
                <w:rFonts w:hint="eastAsia" w:ascii="宋体" w:hAnsi="宋体" w:eastAsia="宋体" w:cs="宋体"/>
                <w:color w:val="auto"/>
                <w:sz w:val="24"/>
                <w:szCs w:val="20"/>
                <w:highlight w:val="none"/>
                <w:lang w:val="en-US" w:eastAsia="zh-CN"/>
              </w:rPr>
              <w:t>。</w:t>
            </w:r>
          </w:p>
        </w:tc>
        <w:tc>
          <w:tcPr>
            <w:tcW w:w="707" w:type="pct"/>
            <w:tcBorders>
              <w:top w:val="single" w:color="auto" w:sz="4" w:space="0"/>
              <w:left w:val="single" w:color="auto" w:sz="4" w:space="0"/>
              <w:bottom w:val="single" w:color="auto" w:sz="4" w:space="0"/>
              <w:right w:val="single" w:color="auto" w:sz="4" w:space="0"/>
            </w:tcBorders>
            <w:vAlign w:val="center"/>
          </w:tcPr>
          <w:p w14:paraId="37942DA5">
            <w:pPr>
              <w:spacing w:line="360" w:lineRule="auto"/>
              <w:jc w:val="center"/>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0-50分</w:t>
            </w:r>
          </w:p>
        </w:tc>
      </w:tr>
      <w:tr w14:paraId="6E48F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pct"/>
            <w:vMerge w:val="continue"/>
            <w:tcBorders>
              <w:left w:val="single" w:color="auto" w:sz="4" w:space="0"/>
              <w:right w:val="single" w:color="auto" w:sz="4" w:space="0"/>
            </w:tcBorders>
            <w:vAlign w:val="center"/>
          </w:tcPr>
          <w:p w14:paraId="356C67D0">
            <w:pPr>
              <w:spacing w:line="360" w:lineRule="auto"/>
              <w:jc w:val="center"/>
              <w:rPr>
                <w:rFonts w:hint="eastAsia" w:asciiTheme="minorEastAsia" w:hAnsiTheme="minorEastAsia" w:eastAsiaTheme="minorEastAsia"/>
                <w:color w:val="auto"/>
                <w:sz w:val="24"/>
                <w:highlight w:val="none"/>
                <w:lang w:val="en-US" w:eastAsia="zh-CN"/>
              </w:rPr>
            </w:pPr>
          </w:p>
        </w:tc>
        <w:tc>
          <w:tcPr>
            <w:tcW w:w="745" w:type="pct"/>
            <w:tcBorders>
              <w:top w:val="single" w:color="auto" w:sz="4" w:space="0"/>
              <w:left w:val="single" w:color="auto" w:sz="4" w:space="0"/>
              <w:bottom w:val="single" w:color="auto" w:sz="4" w:space="0"/>
              <w:right w:val="single" w:color="auto" w:sz="4" w:space="0"/>
            </w:tcBorders>
            <w:vAlign w:val="center"/>
          </w:tcPr>
          <w:p w14:paraId="2C698A23">
            <w:pPr>
              <w:spacing w:line="360" w:lineRule="auto"/>
              <w:jc w:val="center"/>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sz w:val="24"/>
              </w:rPr>
              <w:t>供货安装方案</w:t>
            </w:r>
          </w:p>
        </w:tc>
        <w:tc>
          <w:tcPr>
            <w:tcW w:w="2922" w:type="pct"/>
            <w:tcBorders>
              <w:top w:val="single" w:color="auto" w:sz="4" w:space="0"/>
              <w:left w:val="single" w:color="auto" w:sz="4" w:space="0"/>
              <w:bottom w:val="single" w:color="auto" w:sz="4" w:space="0"/>
              <w:right w:val="single" w:color="auto" w:sz="4" w:space="0"/>
            </w:tcBorders>
            <w:vAlign w:val="center"/>
          </w:tcPr>
          <w:p w14:paraId="28CE4786">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对各投标人针对本项目的供货实施方案，从设备设计、人员分工、供货安排、安装安排、设备调试使用、技术措施、组织实施措施、质量保证措施等方面进行综合评审：</w:t>
            </w:r>
          </w:p>
          <w:p w14:paraId="24283288">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（1）供货安装、验收等实施方案详尽，施工进度、质量、安全保证方案及措施和协同配合方案完整且符合项目实际情况的，得</w:t>
            </w:r>
            <w:r>
              <w:rPr>
                <w:rFonts w:hint="eastAsia" w:asciiTheme="minorEastAsia" w:hAnsiTheme="minorEastAsia" w:eastAsiaTheme="minorEastAsia"/>
                <w:sz w:val="24"/>
                <w:lang w:val="en-US" w:eastAsia="zh-CN"/>
              </w:rPr>
              <w:t>4</w:t>
            </w:r>
            <w:r>
              <w:rPr>
                <w:rFonts w:hint="eastAsia" w:asciiTheme="minorEastAsia" w:hAnsiTheme="minorEastAsia" w:eastAsiaTheme="minorEastAsia"/>
                <w:sz w:val="24"/>
              </w:rPr>
              <w:t>分；</w:t>
            </w:r>
          </w:p>
          <w:p w14:paraId="0A2B3EED">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（2）供货安装、验收等实施方案齐全，施工进度、质量、安全保证方案及措施和协同配合方案简单且符合实际情况的，得</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rPr>
              <w:t>分；</w:t>
            </w:r>
          </w:p>
          <w:p w14:paraId="185AFC7C">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（3）供货安装、验收内容简单，施工进度、质量、安全保证方案及措施和协同配合方案存在缺项，需要进一步完善的，得</w:t>
            </w:r>
            <w:r>
              <w:rPr>
                <w:rFonts w:hint="eastAsia" w:asciiTheme="minorEastAsia" w:hAnsiTheme="minorEastAsia" w:eastAsiaTheme="minorEastAsia"/>
                <w:sz w:val="24"/>
                <w:lang w:val="en-US" w:eastAsia="zh-CN"/>
              </w:rPr>
              <w:t>2</w:t>
            </w:r>
            <w:r>
              <w:rPr>
                <w:rFonts w:hint="eastAsia" w:asciiTheme="minorEastAsia" w:hAnsiTheme="minorEastAsia" w:eastAsiaTheme="minorEastAsia"/>
                <w:sz w:val="24"/>
              </w:rPr>
              <w:t>分；</w:t>
            </w:r>
          </w:p>
          <w:p w14:paraId="2E9EAFC9">
            <w:pPr>
              <w:spacing w:line="360" w:lineRule="auto"/>
              <w:jc w:val="left"/>
              <w:rPr>
                <w:rFonts w:hint="eastAsia" w:ascii="宋体" w:hAnsi="宋体" w:eastAsia="宋体" w:cs="宋体"/>
                <w:color w:val="auto"/>
                <w:sz w:val="24"/>
                <w:szCs w:val="20"/>
                <w:highlight w:val="none"/>
                <w:lang w:val="en-US" w:eastAsia="zh-CN"/>
              </w:rPr>
            </w:pPr>
            <w:r>
              <w:rPr>
                <w:rFonts w:hint="eastAsia" w:asciiTheme="minorEastAsia" w:hAnsiTheme="minorEastAsia" w:eastAsiaTheme="minorEastAsia"/>
                <w:sz w:val="24"/>
              </w:rPr>
              <w:t>（4）未提供的不得分。</w:t>
            </w:r>
          </w:p>
        </w:tc>
        <w:tc>
          <w:tcPr>
            <w:tcW w:w="707" w:type="pct"/>
            <w:tcBorders>
              <w:top w:val="single" w:color="auto" w:sz="4" w:space="0"/>
              <w:left w:val="single" w:color="auto" w:sz="4" w:space="0"/>
              <w:bottom w:val="single" w:color="auto" w:sz="4" w:space="0"/>
              <w:right w:val="single" w:color="auto" w:sz="4" w:space="0"/>
            </w:tcBorders>
            <w:vAlign w:val="center"/>
          </w:tcPr>
          <w:p w14:paraId="77B4727D">
            <w:pPr>
              <w:spacing w:line="360" w:lineRule="auto"/>
              <w:jc w:val="center"/>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0-4分</w:t>
            </w:r>
          </w:p>
        </w:tc>
      </w:tr>
      <w:tr w14:paraId="00F3B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pct"/>
            <w:vMerge w:val="continue"/>
            <w:tcBorders>
              <w:left w:val="single" w:color="auto" w:sz="4" w:space="0"/>
              <w:right w:val="single" w:color="auto" w:sz="4" w:space="0"/>
            </w:tcBorders>
            <w:vAlign w:val="center"/>
          </w:tcPr>
          <w:p w14:paraId="3AD87D21">
            <w:pPr>
              <w:spacing w:line="360" w:lineRule="auto"/>
              <w:jc w:val="center"/>
              <w:rPr>
                <w:rFonts w:hint="eastAsia" w:asciiTheme="minorEastAsia" w:hAnsiTheme="minorEastAsia" w:eastAsiaTheme="minorEastAsia"/>
                <w:color w:val="auto"/>
                <w:sz w:val="24"/>
                <w:highlight w:val="none"/>
                <w:lang w:val="en-US" w:eastAsia="zh-CN"/>
              </w:rPr>
            </w:pPr>
          </w:p>
        </w:tc>
        <w:tc>
          <w:tcPr>
            <w:tcW w:w="745" w:type="pct"/>
            <w:tcBorders>
              <w:top w:val="single" w:color="auto" w:sz="4" w:space="0"/>
              <w:left w:val="single" w:color="auto" w:sz="4" w:space="0"/>
              <w:bottom w:val="single" w:color="auto" w:sz="4" w:space="0"/>
              <w:right w:val="single" w:color="auto" w:sz="4" w:space="0"/>
            </w:tcBorders>
            <w:vAlign w:val="center"/>
          </w:tcPr>
          <w:p w14:paraId="46F6B017">
            <w:pPr>
              <w:spacing w:line="360" w:lineRule="auto"/>
              <w:jc w:val="center"/>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sz w:val="24"/>
              </w:rPr>
              <w:t>售后服务方案</w:t>
            </w:r>
          </w:p>
        </w:tc>
        <w:tc>
          <w:tcPr>
            <w:tcW w:w="2922" w:type="pct"/>
            <w:tcBorders>
              <w:top w:val="single" w:color="auto" w:sz="4" w:space="0"/>
              <w:left w:val="single" w:color="auto" w:sz="4" w:space="0"/>
              <w:bottom w:val="single" w:color="auto" w:sz="4" w:space="0"/>
              <w:right w:val="single" w:color="auto" w:sz="4" w:space="0"/>
            </w:tcBorders>
            <w:vAlign w:val="center"/>
          </w:tcPr>
          <w:p w14:paraId="18BF0182">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根据投标人提供详细的项目实施、培训与售后服务保障方案：包括承诺的实施计划安排、培训计划与售后服务响应时间内容等，由评委会进行综合评审：</w:t>
            </w:r>
          </w:p>
          <w:p w14:paraId="3CEDE9D6">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（1）售后服务措施详尽、维修响应时间及时、备件供应保障充足、人员售后配置详细、远程报修服务方案全面、实时维修统计详尽，能保障采购人获得质量售后服务的，得</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rPr>
              <w:t>分；</w:t>
            </w:r>
          </w:p>
          <w:p w14:paraId="0DB314C0">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（2）售后服务措施完整、维修响应时间及时、具有备件供应保障措施、配置售后人员、具有远程报修服务的，得</w:t>
            </w:r>
            <w:r>
              <w:rPr>
                <w:rFonts w:hint="eastAsia" w:asciiTheme="minorEastAsia" w:hAnsiTheme="minorEastAsia" w:eastAsiaTheme="minorEastAsia"/>
                <w:sz w:val="24"/>
                <w:lang w:val="en-US" w:eastAsia="zh-CN"/>
              </w:rPr>
              <w:t>2</w:t>
            </w:r>
            <w:r>
              <w:rPr>
                <w:rFonts w:hint="eastAsia" w:asciiTheme="minorEastAsia" w:hAnsiTheme="minorEastAsia" w:eastAsiaTheme="minorEastAsia"/>
                <w:sz w:val="24"/>
              </w:rPr>
              <w:t>分；</w:t>
            </w:r>
          </w:p>
          <w:p w14:paraId="0DB21703">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（3）售后服务措施、维修响应时间、备件供应保障、配置售后人员、远程报修服务措施不全或存在不足，有待改善的，得</w:t>
            </w:r>
            <w:r>
              <w:rPr>
                <w:rFonts w:hint="eastAsia" w:asciiTheme="minorEastAsia" w:hAnsiTheme="minorEastAsia" w:eastAsiaTheme="minorEastAsia"/>
                <w:sz w:val="24"/>
                <w:lang w:val="en-US" w:eastAsia="zh-CN"/>
              </w:rPr>
              <w:t>1</w:t>
            </w:r>
            <w:r>
              <w:rPr>
                <w:rFonts w:hint="eastAsia" w:asciiTheme="minorEastAsia" w:hAnsiTheme="minorEastAsia" w:eastAsiaTheme="minorEastAsia"/>
                <w:sz w:val="24"/>
              </w:rPr>
              <w:t>分；</w:t>
            </w:r>
          </w:p>
          <w:p w14:paraId="3BED70D6">
            <w:pPr>
              <w:spacing w:line="360" w:lineRule="auto"/>
              <w:jc w:val="left"/>
              <w:rPr>
                <w:rFonts w:hint="eastAsia" w:ascii="宋体" w:hAnsi="宋体" w:eastAsia="宋体" w:cs="宋体"/>
                <w:color w:val="auto"/>
                <w:sz w:val="24"/>
                <w:szCs w:val="20"/>
                <w:highlight w:val="none"/>
                <w:lang w:val="en-US" w:eastAsia="zh-CN"/>
              </w:rPr>
            </w:pPr>
            <w:r>
              <w:rPr>
                <w:rFonts w:hint="eastAsia" w:asciiTheme="minorEastAsia" w:hAnsiTheme="minorEastAsia" w:eastAsiaTheme="minorEastAsia"/>
                <w:sz w:val="24"/>
              </w:rPr>
              <w:t>（4）未提供的不得分。</w:t>
            </w:r>
          </w:p>
        </w:tc>
        <w:tc>
          <w:tcPr>
            <w:tcW w:w="707" w:type="pct"/>
            <w:tcBorders>
              <w:top w:val="single" w:color="auto" w:sz="4" w:space="0"/>
              <w:left w:val="single" w:color="auto" w:sz="4" w:space="0"/>
              <w:bottom w:val="single" w:color="auto" w:sz="4" w:space="0"/>
              <w:right w:val="single" w:color="auto" w:sz="4" w:space="0"/>
            </w:tcBorders>
            <w:vAlign w:val="center"/>
          </w:tcPr>
          <w:p w14:paraId="7E354607">
            <w:pPr>
              <w:spacing w:line="360" w:lineRule="auto"/>
              <w:jc w:val="center"/>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0-3分</w:t>
            </w:r>
          </w:p>
        </w:tc>
      </w:tr>
      <w:tr w14:paraId="5FA14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pct"/>
            <w:tcBorders>
              <w:left w:val="single" w:color="auto" w:sz="4" w:space="0"/>
              <w:right w:val="single" w:color="auto" w:sz="4" w:space="0"/>
            </w:tcBorders>
            <w:vAlign w:val="center"/>
          </w:tcPr>
          <w:p w14:paraId="4DFF79FC">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462C62B4">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lang w:val="en-US" w:eastAsia="zh-CN"/>
              </w:rPr>
              <w:t>30</w:t>
            </w:r>
            <w:r>
              <w:rPr>
                <w:rFonts w:hint="eastAsia" w:asciiTheme="minorEastAsia" w:hAnsiTheme="minorEastAsia" w:eastAsiaTheme="minorEastAsia"/>
                <w:color w:val="auto"/>
                <w:sz w:val="24"/>
                <w:highlight w:val="none"/>
              </w:rPr>
              <w:t>分）</w:t>
            </w:r>
          </w:p>
        </w:tc>
        <w:tc>
          <w:tcPr>
            <w:tcW w:w="4375" w:type="pct"/>
            <w:gridSpan w:val="3"/>
            <w:tcBorders>
              <w:top w:val="single" w:color="auto" w:sz="4" w:space="0"/>
              <w:left w:val="single" w:color="auto" w:sz="4" w:space="0"/>
              <w:bottom w:val="single" w:color="auto" w:sz="4" w:space="0"/>
              <w:right w:val="single" w:color="auto" w:sz="4" w:space="0"/>
            </w:tcBorders>
            <w:vAlign w:val="center"/>
          </w:tcPr>
          <w:p w14:paraId="12E83CD3">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价格分统一采用低价优先法，即满足招标文件要求且投标价格最低</w:t>
            </w:r>
            <w:r>
              <w:rPr>
                <w:rFonts w:hint="eastAsia" w:asciiTheme="minorEastAsia" w:hAnsiTheme="minorEastAsia" w:eastAsiaTheme="minorEastAsia"/>
                <w:sz w:val="24"/>
                <w:szCs w:val="24"/>
                <w:highlight w:val="none"/>
              </w:rPr>
              <w:t>（如有扣除为扣除后价格）</w:t>
            </w:r>
            <w:r>
              <w:rPr>
                <w:rFonts w:hint="eastAsia" w:asciiTheme="minorEastAsia" w:hAnsiTheme="minorEastAsia" w:eastAsiaTheme="minorEastAsia"/>
                <w:color w:val="auto"/>
                <w:sz w:val="24"/>
                <w:highlight w:val="none"/>
              </w:rPr>
              <w:t>的投标报价为评标基准价，其价格分为满分</w:t>
            </w:r>
            <w:r>
              <w:rPr>
                <w:rFonts w:hint="eastAsia" w:asciiTheme="minorEastAsia" w:hAnsiTheme="minorEastAsia" w:eastAsiaTheme="minorEastAsia"/>
                <w:color w:val="auto"/>
                <w:sz w:val="24"/>
                <w:highlight w:val="none"/>
                <w:u w:val="single"/>
                <w:lang w:val="en-US" w:eastAsia="zh-CN"/>
              </w:rPr>
              <w:t>30</w:t>
            </w:r>
            <w:r>
              <w:rPr>
                <w:rFonts w:hint="eastAsia" w:asciiTheme="minorEastAsia" w:hAnsiTheme="minorEastAsia" w:eastAsiaTheme="minorEastAsia"/>
                <w:color w:val="auto"/>
                <w:sz w:val="24"/>
                <w:highlight w:val="none"/>
              </w:rPr>
              <w:t>分。其他投标人的价格分统一按照下列公式计算：</w:t>
            </w:r>
          </w:p>
          <w:p w14:paraId="6399CD59">
            <w:pPr>
              <w:spacing w:line="360" w:lineRule="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投标报价得分＝（评标基准价/投标报价</w:t>
            </w:r>
            <w:r>
              <w:rPr>
                <w:rFonts w:hint="eastAsia" w:asciiTheme="minorEastAsia" w:hAnsiTheme="minorEastAsia" w:eastAsiaTheme="minorEastAsia"/>
                <w:sz w:val="24"/>
                <w:szCs w:val="24"/>
                <w:highlight w:val="none"/>
              </w:rPr>
              <w:t>（如有扣除为扣除后价格）</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lang w:val="en-US" w:eastAsia="zh-CN"/>
              </w:rPr>
              <w:t>30</w:t>
            </w:r>
            <w:r>
              <w:rPr>
                <w:rFonts w:hint="eastAsia" w:asciiTheme="minorEastAsia" w:hAnsiTheme="minorEastAsia" w:eastAsiaTheme="minorEastAsia"/>
                <w:color w:val="auto"/>
                <w:sz w:val="24"/>
                <w:highlight w:val="none"/>
              </w:rPr>
              <w:t>％×100</w:t>
            </w:r>
          </w:p>
        </w:tc>
      </w:tr>
    </w:tbl>
    <w:p w14:paraId="128AA9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22AEEC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的资信分</w:t>
      </w:r>
      <w:r>
        <w:rPr>
          <w:rFonts w:hint="eastAsia" w:asciiTheme="minorEastAsia" w:hAnsiTheme="minorEastAsia" w:eastAsiaTheme="minorEastAsia"/>
          <w:color w:val="auto"/>
          <w:sz w:val="24"/>
          <w:highlight w:val="none"/>
        </w:rPr>
        <w:t>。</w:t>
      </w:r>
    </w:p>
    <w:p w14:paraId="4CF872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p>
    <w:p w14:paraId="67755F01">
      <w:pPr>
        <w:spacing w:line="360" w:lineRule="auto"/>
        <w:ind w:firstLine="435"/>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三、无效投标条款</w:t>
      </w:r>
    </w:p>
    <w:p w14:paraId="3F927531">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投标文件有下列情形之一的,其投标文件拒收:</w:t>
      </w:r>
    </w:p>
    <w:p w14:paraId="2045E5E5">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 未在开标截止时间前通过网上招标投标系统递交有效电子投标文件的，开标系统不予接收，投标将被拒绝。</w:t>
      </w:r>
    </w:p>
    <w:p w14:paraId="6453B190">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lang w:eastAsia="zh-CN"/>
        </w:rPr>
        <w:t>2</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lang w:eastAsia="zh-CN"/>
        </w:rPr>
        <w:t>投标企业接到远程解密指令后，须在规定时间内解密。因投标人自身原因导致投标文件在规定时间内未能解密、解密失败或解密超时，投标文件无效；解密时间：从本项目解密程序开始时计时，至完成投标文件解密时间，不得超过60分钟，否则投标文件将被拒绝。</w:t>
      </w:r>
    </w:p>
    <w:p w14:paraId="4B3D2691">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3.2投标人有下列情形之一的,资格审查后其投标作无效投标处理：</w:t>
      </w:r>
    </w:p>
    <w:p w14:paraId="0EDB4B5F">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(1)投标人为本项目提供招标代理服务的；</w:t>
      </w:r>
    </w:p>
    <w:p w14:paraId="13A279DB">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(2)投标人与在本项目代理机构存在相互任职或工作的；</w:t>
      </w:r>
    </w:p>
    <w:p w14:paraId="021F73BE">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lang w:eastAsia="zh-CN"/>
        </w:rPr>
        <w:t>)</w:t>
      </w:r>
      <w:r>
        <w:rPr>
          <w:rFonts w:hint="eastAsia" w:ascii="宋体" w:hAnsi="宋体" w:eastAsia="宋体" w:cs="宋体"/>
          <w:color w:val="auto"/>
          <w:kern w:val="0"/>
          <w:sz w:val="24"/>
          <w:szCs w:val="24"/>
          <w:highlight w:val="none"/>
          <w:lang w:val="en-US" w:eastAsia="zh-CN" w:bidi="ar"/>
        </w:rPr>
        <w:t>与采购人存在利害关系可能影响采购公正性的法人、其他组织或者个人；</w:t>
      </w:r>
    </w:p>
    <w:p w14:paraId="048B3C8A">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)招标公告写明专门面向中小企业采购，投标人提供的货物非中小企业制造的；</w:t>
      </w:r>
    </w:p>
    <w:p w14:paraId="7199FF90">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)要求供应商以联合体形式参加采购活动，投标人非联合体或者联合协议中中小企业合同金额未达到应当达到的比例；</w:t>
      </w:r>
    </w:p>
    <w:p w14:paraId="757CD1A2">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)要求获得采购合同的供应商向中小企业分包，投标人未提供分包意向协议或者分包意向协议中中小企业合同金额未达到应当达到的比例；</w:t>
      </w:r>
    </w:p>
    <w:p w14:paraId="3216F893">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)评标专家无法查看并检验电子投标文件中相关资料的；</w:t>
      </w:r>
    </w:p>
    <w:p w14:paraId="4C66F129">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lang w:eastAsia="zh-CN"/>
        </w:rPr>
        <w:t>)联合体投标未提交联合体协议的；</w:t>
      </w:r>
    </w:p>
    <w:p w14:paraId="0A9C22A4">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lang w:eastAsia="zh-CN"/>
        </w:rPr>
        <w:t>)责令停产停业的；</w:t>
      </w:r>
    </w:p>
    <w:p w14:paraId="4EADD866">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lang w:eastAsia="zh-CN"/>
        </w:rPr>
        <w:t>)暂停或者取消参与政府采购项目资格的；</w:t>
      </w:r>
    </w:p>
    <w:p w14:paraId="4C3B9286">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11</w:t>
      </w:r>
      <w:r>
        <w:rPr>
          <w:rFonts w:hint="eastAsia" w:ascii="宋体" w:hAnsi="宋体" w:eastAsia="宋体" w:cs="宋体"/>
          <w:color w:val="auto"/>
          <w:sz w:val="24"/>
          <w:highlight w:val="none"/>
          <w:lang w:eastAsia="zh-CN"/>
        </w:rPr>
        <w:t>)投标人单位负责人为同一人或者存在直接控股、管理关系的不同单位的；</w:t>
      </w:r>
    </w:p>
    <w:p w14:paraId="22176784">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)投标人基本资格条件和特定资格条件中有一项及以上不符合要求的；</w:t>
      </w:r>
    </w:p>
    <w:p w14:paraId="54045168">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13</w:t>
      </w:r>
      <w:r>
        <w:rPr>
          <w:rFonts w:hint="eastAsia" w:ascii="宋体" w:hAnsi="宋体" w:eastAsia="宋体" w:cs="宋体"/>
          <w:color w:val="auto"/>
          <w:sz w:val="24"/>
          <w:highlight w:val="none"/>
          <w:lang w:eastAsia="zh-CN"/>
        </w:rPr>
        <w:t>)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0B33711F">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)其它情形，经评标委员会委提出按无效投标处理，并经公共资源交易监督部门核准的；</w:t>
      </w:r>
    </w:p>
    <w:p w14:paraId="41C201BF">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)投标人投标MAC地址</w:t>
      </w:r>
      <w:r>
        <w:rPr>
          <w:rFonts w:hint="eastAsia" w:ascii="宋体" w:hAnsi="宋体" w:eastAsia="宋体" w:cs="宋体"/>
          <w:color w:val="auto"/>
          <w:sz w:val="24"/>
          <w:highlight w:val="none"/>
          <w:lang w:val="en-US" w:eastAsia="zh-CN"/>
        </w:rPr>
        <w:t>一致</w:t>
      </w:r>
      <w:r>
        <w:rPr>
          <w:rFonts w:hint="eastAsia" w:ascii="宋体" w:hAnsi="宋体" w:eastAsia="宋体" w:cs="宋体"/>
          <w:color w:val="auto"/>
          <w:sz w:val="24"/>
          <w:highlight w:val="none"/>
          <w:lang w:eastAsia="zh-CN"/>
        </w:rPr>
        <w:t>，由评标委员会否决其投标；</w:t>
      </w:r>
    </w:p>
    <w:p w14:paraId="5C65B4C9">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)投标人单方面出现其他投标人材料的；</w:t>
      </w:r>
    </w:p>
    <w:p w14:paraId="07094F39">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投标人联系人或联系电话相同的，</w:t>
      </w:r>
      <w:r>
        <w:rPr>
          <w:rFonts w:hint="eastAsia" w:ascii="宋体" w:hAnsi="宋体" w:eastAsia="宋体" w:cs="宋体"/>
          <w:color w:val="auto"/>
          <w:sz w:val="24"/>
          <w:highlight w:val="none"/>
          <w:lang w:eastAsia="zh-CN"/>
        </w:rPr>
        <w:t>由评标委员会否决其投标</w:t>
      </w:r>
      <w:r>
        <w:rPr>
          <w:rFonts w:hint="eastAsia" w:ascii="宋体" w:hAnsi="宋体" w:eastAsia="宋体" w:cs="宋体"/>
          <w:color w:val="auto"/>
          <w:sz w:val="24"/>
          <w:highlight w:val="none"/>
          <w:lang w:val="en-US" w:eastAsia="zh-CN"/>
        </w:rPr>
        <w:t>，并报告监管部门作不良行为处理和进一步调查；</w:t>
      </w:r>
    </w:p>
    <w:p w14:paraId="446CC0F8">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lang w:eastAsia="zh-CN"/>
        </w:rPr>
        <w:t>)招标公告未写明允许采购进口产品，投标人所投产品为进口产品的；</w:t>
      </w:r>
    </w:p>
    <w:p w14:paraId="7EFDEAD9">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lang w:eastAsia="zh-CN"/>
        </w:rPr>
        <w:t>)招标文件规定的其它无效投标情形。</w:t>
      </w:r>
    </w:p>
    <w:p w14:paraId="0CD8B37D">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3.3 投标人有下列情形之一的,符合性审查后其投标按无效投标处理：</w:t>
      </w:r>
    </w:p>
    <w:p w14:paraId="4AC4DB31">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(1)投标文件签字、盖章不全，经评标委员会一致认定对开评标内容有实质性影响并经公共资源交易监督部门核准的；</w:t>
      </w:r>
    </w:p>
    <w:p w14:paraId="103229B7">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(2)未按规定的格式填写导致实质性内容不全以及实质上不响应，或者关键字迹模糊、无法辨认； 经公共资源交易监督部门核准的；</w:t>
      </w:r>
    </w:p>
    <w:p w14:paraId="324545C6">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(3)同一投标人提交两个以上不同的投标文件或者投标报价，但招标文件规定提交备选方案的除外；</w:t>
      </w:r>
    </w:p>
    <w:p w14:paraId="56117AA6">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(4)投标文件没有对招标文件的实质性要求和条件作出响应;</w:t>
      </w:r>
    </w:p>
    <w:p w14:paraId="19E824DD">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(5)投标报价超出规定的投标限价或公布的采购预算的或投标人的投标报价各项单价高于招标文件给定的单价最高限价；</w:t>
      </w:r>
    </w:p>
    <w:p w14:paraId="44BCB3F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(6)不按评标委员会要求澄清、说明或补正的，或者评标委员会根据招标文件的规定对投标文件的计算错误进行修正后，投标人不接受修正的投标报价的。</w:t>
      </w:r>
    </w:p>
    <w:p w14:paraId="5D428E01">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(7)其它情形，经评标委员会委提出按无效投标处理，并经公共资源交易监督部门核准的；</w:t>
      </w:r>
    </w:p>
    <w:p w14:paraId="678A346F">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(8)投标文件含有采购人不能接受的附加条件的；</w:t>
      </w:r>
    </w:p>
    <w:p w14:paraId="777E132F">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(9)招标文件规定的其它无效投标情形。</w:t>
      </w:r>
    </w:p>
    <w:p w14:paraId="5D33EE10">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3.4 投标人有下列情形之一的, 详细评审后其投标按无效投标处理：</w:t>
      </w:r>
    </w:p>
    <w:p w14:paraId="1845F68E">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(1)投标产品不符合必须强制执行的国家标准的；</w:t>
      </w:r>
    </w:p>
    <w:p w14:paraId="70B24522">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(2)投标人有串通投标、弄虚作假、行贿等违法行为；</w:t>
      </w:r>
    </w:p>
    <w:p w14:paraId="19EBF405">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(3)投标文件含有违反国家法律、法规的内容，或附有采购人不能接受的条件的；</w:t>
      </w:r>
    </w:p>
    <w:p w14:paraId="3BCDA4D0">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)拒不确认评标委员会评审修正的投标无效；</w:t>
      </w:r>
    </w:p>
    <w:p w14:paraId="221E3E27">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)其它情形，经评标委员会委提出按无效投标处理，并经公共资源交易监督部门核准的；</w:t>
      </w:r>
    </w:p>
    <w:p w14:paraId="167C9587">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)招标文件规定的其它无效投标情形。</w:t>
      </w:r>
    </w:p>
    <w:p w14:paraId="641BF9D6">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DD94BDF">
      <w:pPr>
        <w:spacing w:line="360" w:lineRule="auto"/>
        <w:jc w:val="center"/>
        <w:outlineLvl w:val="0"/>
        <w:rPr>
          <w:rFonts w:hint="eastAsia" w:asciiTheme="minorEastAsia" w:hAnsiTheme="minorEastAsia" w:eastAsiaTheme="minorEastAsia"/>
          <w:b/>
          <w:color w:val="auto"/>
          <w:sz w:val="28"/>
          <w:highlight w:val="none"/>
          <w:lang w:eastAsia="zh-CN"/>
        </w:rPr>
      </w:pPr>
      <w:bookmarkStart w:id="39" w:name="_Toc9233"/>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39"/>
    </w:p>
    <w:p w14:paraId="481E7F4D">
      <w:pPr>
        <w:pStyle w:val="9"/>
        <w:pageBreakBefore w:val="0"/>
        <w:kinsoku/>
        <w:wordWrap/>
        <w:overflowPunct/>
        <w:topLinePunct w:val="0"/>
        <w:bidi w:val="0"/>
        <w:spacing w:after="0" w:line="360" w:lineRule="auto"/>
        <w:jc w:val="both"/>
        <w:textAlignment w:val="auto"/>
        <w:rPr>
          <w:rFonts w:hint="eastAsia" w:ascii="宋体" w:hAnsi="宋体" w:eastAsia="宋体" w:cs="宋体"/>
          <w:b/>
          <w:bCs/>
          <w:spacing w:val="-20"/>
          <w:kern w:val="44"/>
          <w:sz w:val="24"/>
          <w:szCs w:val="24"/>
          <w:highlight w:val="none"/>
        </w:rPr>
      </w:pPr>
    </w:p>
    <w:p w14:paraId="6C024A07">
      <w:pPr>
        <w:pStyle w:val="9"/>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948CBD0">
      <w:pPr>
        <w:pStyle w:val="9"/>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2C82C013">
      <w:pPr>
        <w:pStyle w:val="9"/>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6E3DD6F2">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69AE4AF1">
      <w:pPr>
        <w:pStyle w:val="9"/>
        <w:rPr>
          <w:rFonts w:hint="eastAsia" w:ascii="宋体" w:hAnsi="宋体" w:eastAsia="宋体" w:cs="宋体"/>
          <w:b/>
          <w:bCs/>
          <w:spacing w:val="-20"/>
          <w:kern w:val="44"/>
          <w:sz w:val="24"/>
          <w:szCs w:val="24"/>
          <w:highlight w:val="none"/>
        </w:rPr>
      </w:pPr>
    </w:p>
    <w:p w14:paraId="1DCC0BE9">
      <w:pPr>
        <w:pStyle w:val="9"/>
        <w:rPr>
          <w:rFonts w:hint="eastAsia" w:ascii="宋体" w:hAnsi="宋体" w:eastAsia="宋体" w:cs="宋体"/>
          <w:b/>
          <w:bCs/>
          <w:spacing w:val="-20"/>
          <w:kern w:val="44"/>
          <w:sz w:val="24"/>
          <w:szCs w:val="24"/>
          <w:highlight w:val="none"/>
        </w:rPr>
      </w:pPr>
    </w:p>
    <w:p w14:paraId="49ADC794">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22B2A3D7">
      <w:pPr>
        <w:pStyle w:val="9"/>
        <w:pageBreakBefore w:val="0"/>
        <w:kinsoku/>
        <w:wordWrap/>
        <w:overflowPunct/>
        <w:topLinePunct w:val="0"/>
        <w:bidi w:val="0"/>
        <w:spacing w:line="360" w:lineRule="auto"/>
        <w:textAlignment w:val="auto"/>
        <w:rPr>
          <w:rFonts w:hint="eastAsia"/>
          <w:highlight w:val="none"/>
        </w:rPr>
      </w:pPr>
    </w:p>
    <w:p w14:paraId="5FF8F2E5">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422A80E7">
      <w:pPr>
        <w:tabs>
          <w:tab w:val="left" w:pos="2410"/>
        </w:tabs>
        <w:autoSpaceDE w:val="0"/>
        <w:autoSpaceDN w:val="0"/>
        <w:adjustRightInd w:val="0"/>
        <w:snapToGrid w:val="0"/>
        <w:spacing w:line="360" w:lineRule="auto"/>
        <w:ind w:right="-313" w:rightChars="-149" w:firstLine="480" w:firstLineChars="200"/>
        <w:rPr>
          <w:rFonts w:hint="eastAsia" w:ascii="宋体" w:hAnsi="宋体" w:eastAsia="宋体" w:cs="宋体"/>
          <w:sz w:val="24"/>
          <w:szCs w:val="24"/>
          <w:highlight w:val="none"/>
          <w:u w:val="single"/>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lang w:val="en-US" w:eastAsia="zh-CN"/>
        </w:rPr>
        <w:t>滁州技师学院新校区大礼堂大屏及电动窗帘建设项目（二次）</w:t>
      </w:r>
    </w:p>
    <w:p w14:paraId="3D384426">
      <w:pPr>
        <w:pageBreakBefore w:val="0"/>
        <w:kinsoku/>
        <w:wordWrap/>
        <w:overflowPunct/>
        <w:topLinePunct w:val="0"/>
        <w:bidi w:val="0"/>
        <w:spacing w:line="360" w:lineRule="auto"/>
        <w:ind w:left="420" w:leftChars="200"/>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0EA9484A">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合同编号：</w:t>
      </w:r>
      <w:r>
        <w:rPr>
          <w:rFonts w:hint="eastAsia" w:ascii="宋体" w:hAnsi="宋体" w:eastAsia="宋体" w:cs="宋体"/>
          <w:sz w:val="24"/>
          <w:szCs w:val="24"/>
          <w:highlight w:val="none"/>
          <w:u w:val="single"/>
        </w:rPr>
        <w:t xml:space="preserve">                             </w:t>
      </w:r>
    </w:p>
    <w:p w14:paraId="15E1C78E">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甲方（采购人）</w:t>
      </w:r>
      <w:r>
        <w:rPr>
          <w:rFonts w:hint="eastAsia" w:ascii="宋体" w:hAnsi="宋体" w:eastAsia="宋体" w:cs="宋体"/>
          <w:sz w:val="24"/>
          <w:szCs w:val="24"/>
          <w:highlight w:val="none"/>
        </w:rPr>
        <w:t>：</w:t>
      </w:r>
      <w:r>
        <w:rPr>
          <w:rFonts w:hint="eastAsia" w:ascii="宋体" w:hAnsi="宋体" w:eastAsia="宋体" w:cs="宋体"/>
          <w:color w:val="auto"/>
          <w:sz w:val="24"/>
          <w:szCs w:val="24"/>
          <w:highlight w:val="none"/>
          <w:u w:val="single"/>
          <w:lang w:eastAsia="zh-CN"/>
        </w:rPr>
        <w:t>滁州市机电工程学校</w:t>
      </w:r>
    </w:p>
    <w:p w14:paraId="41A86F36">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u w:val="singl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乙方（中标人）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6A35D745">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签订时间：</w:t>
      </w:r>
      <w:r>
        <w:rPr>
          <w:rFonts w:hint="eastAsia" w:ascii="宋体" w:hAnsi="宋体" w:eastAsia="宋体" w:cs="宋体"/>
          <w:sz w:val="24"/>
          <w:szCs w:val="24"/>
          <w:highlight w:val="none"/>
          <w:u w:val="single"/>
        </w:rPr>
        <w:t xml:space="preserve">                             </w:t>
      </w:r>
    </w:p>
    <w:p w14:paraId="2658675D">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p w14:paraId="0BC445AB">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14:paraId="777F58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60" w:right="0"/>
        <w:jc w:val="center"/>
        <w:textAlignment w:val="baseline"/>
        <w:outlineLvl w:val="1"/>
        <w:rPr>
          <w:rFonts w:hint="eastAsia" w:ascii="宋体" w:hAnsi="宋体" w:eastAsia="宋体" w:cs="宋体"/>
          <w:b/>
          <w:bCs w:val="0"/>
          <w:kern w:val="2"/>
          <w:sz w:val="30"/>
          <w:szCs w:val="30"/>
          <w:highlight w:val="none"/>
          <w:vertAlign w:val="baseline"/>
        </w:rPr>
      </w:pPr>
      <w:bookmarkStart w:id="40" w:name="_Toc22921"/>
      <w:r>
        <w:rPr>
          <w:rFonts w:hint="eastAsia" w:ascii="宋体" w:hAnsi="宋体" w:eastAsia="宋体" w:cs="宋体"/>
          <w:b/>
          <w:bCs w:val="0"/>
          <w:kern w:val="2"/>
          <w:sz w:val="30"/>
          <w:szCs w:val="30"/>
          <w:highlight w:val="none"/>
          <w:vertAlign w:val="baseline"/>
          <w:lang w:val="en-US" w:eastAsia="zh-CN" w:bidi="ar"/>
        </w:rPr>
        <w:t>一、合同协议书（格式）</w:t>
      </w:r>
      <w:bookmarkEnd w:id="40"/>
    </w:p>
    <w:p w14:paraId="7800E9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3795" w:firstLineChars="1350"/>
        <w:jc w:val="both"/>
        <w:rPr>
          <w:rFonts w:hint="eastAsia" w:ascii="宋体" w:hAnsi="宋体" w:eastAsia="宋体" w:cs="宋体"/>
          <w:kern w:val="2"/>
          <w:sz w:val="28"/>
          <w:szCs w:val="28"/>
          <w:highlight w:val="none"/>
        </w:rPr>
      </w:pPr>
      <w:r>
        <w:rPr>
          <w:rFonts w:hint="eastAsia" w:ascii="宋体" w:hAnsi="宋体" w:eastAsia="宋体" w:cs="宋体"/>
          <w:b/>
          <w:bCs w:val="0"/>
          <w:kern w:val="2"/>
          <w:sz w:val="28"/>
          <w:szCs w:val="28"/>
          <w:highlight w:val="none"/>
          <w:lang w:val="en-US" w:eastAsia="zh-CN" w:bidi="ar"/>
        </w:rPr>
        <w:t xml:space="preserve">合同名称   </w:t>
      </w:r>
      <w:r>
        <w:rPr>
          <w:rFonts w:hint="eastAsia" w:ascii="宋体" w:hAnsi="宋体" w:eastAsia="宋体" w:cs="宋体"/>
          <w:kern w:val="2"/>
          <w:sz w:val="28"/>
          <w:szCs w:val="28"/>
          <w:highlight w:val="none"/>
          <w:lang w:val="en-US" w:eastAsia="zh-CN" w:bidi="ar"/>
        </w:rPr>
        <w:t xml:space="preserve">          编号</w:t>
      </w:r>
    </w:p>
    <w:p w14:paraId="2AEA4164">
      <w:pPr>
        <w:keepNext w:val="0"/>
        <w:keepLines w:val="0"/>
        <w:kinsoku/>
        <w:wordWrap/>
        <w:topLinePunct w:val="0"/>
        <w:bidi w:val="0"/>
        <w:snapToGri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买    方：                                   卖    方：</w:t>
      </w:r>
    </w:p>
    <w:p w14:paraId="44334FA0">
      <w:pPr>
        <w:keepNext w:val="0"/>
        <w:keepLines w:val="0"/>
        <w:kinsoku/>
        <w:wordWrap/>
        <w:topLinePunct w:val="0"/>
        <w:bidi w:val="0"/>
        <w:snapToGri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电    话：                                   电    话：</w:t>
      </w:r>
    </w:p>
    <w:p w14:paraId="068033FB">
      <w:pPr>
        <w:keepNext w:val="0"/>
        <w:keepLines w:val="0"/>
        <w:kinsoku/>
        <w:wordWrap/>
        <w:topLinePunct w:val="0"/>
        <w:bidi w:val="0"/>
        <w:snapToGri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 xml:space="preserve">住    所：                                   住    所：                       </w:t>
      </w:r>
    </w:p>
    <w:p w14:paraId="783CCFCF">
      <w:pPr>
        <w:keepNext w:val="0"/>
        <w:keepLines w:val="0"/>
        <w:kinsoku/>
        <w:wordWrap/>
        <w:topLinePunct w:val="0"/>
        <w:bidi w:val="0"/>
        <w:snapToGrid/>
        <w:spacing w:line="400" w:lineRule="exact"/>
        <w:ind w:firstLine="480" w:firstLineChars="200"/>
        <w:rPr>
          <w:rFonts w:ascii="宋体" w:hAnsi="宋体" w:eastAsia="宋体" w:cs="宋体"/>
          <w:sz w:val="24"/>
          <w:szCs w:val="24"/>
        </w:rPr>
      </w:pPr>
      <w:r>
        <w:rPr>
          <w:rFonts w:hint="eastAsia" w:ascii="宋体" w:hAnsi="宋体" w:eastAsia="宋体" w:cs="宋体"/>
          <w:sz w:val="24"/>
          <w:szCs w:val="24"/>
          <w:u w:val="single"/>
        </w:rPr>
        <w:t>（买方）</w:t>
      </w:r>
      <w:r>
        <w:rPr>
          <w:rFonts w:hint="eastAsia" w:ascii="宋体" w:hAnsi="宋体" w:eastAsia="宋体" w:cs="宋体"/>
          <w:sz w:val="24"/>
          <w:szCs w:val="24"/>
        </w:rPr>
        <w:t>的</w:t>
      </w:r>
      <w:r>
        <w:rPr>
          <w:rFonts w:hint="eastAsia" w:ascii="宋体" w:hAnsi="宋体" w:eastAsia="宋体" w:cs="宋体"/>
          <w:sz w:val="24"/>
          <w:szCs w:val="24"/>
          <w:u w:val="single"/>
        </w:rPr>
        <w:t>（项目名称）</w:t>
      </w:r>
      <w:r>
        <w:rPr>
          <w:rFonts w:hint="eastAsia" w:ascii="宋体" w:hAnsi="宋体" w:eastAsia="宋体" w:cs="宋体"/>
          <w:sz w:val="24"/>
          <w:szCs w:val="24"/>
        </w:rPr>
        <w:t>中所需</w:t>
      </w:r>
      <w:r>
        <w:rPr>
          <w:rFonts w:hint="eastAsia" w:ascii="宋体" w:hAnsi="宋体" w:eastAsia="宋体" w:cs="宋体"/>
          <w:sz w:val="24"/>
          <w:szCs w:val="24"/>
          <w:u w:val="single"/>
        </w:rPr>
        <w:t>（产品名称）</w:t>
      </w:r>
      <w:r>
        <w:rPr>
          <w:rFonts w:hint="eastAsia" w:ascii="宋体" w:hAnsi="宋体" w:eastAsia="宋体" w:cs="宋体"/>
          <w:sz w:val="24"/>
          <w:szCs w:val="24"/>
        </w:rPr>
        <w:t xml:space="preserve"> 经公开招标，确定</w:t>
      </w:r>
      <w:r>
        <w:rPr>
          <w:rFonts w:hint="eastAsia" w:ascii="宋体" w:hAnsi="宋体" w:eastAsia="宋体" w:cs="宋体"/>
          <w:sz w:val="24"/>
          <w:szCs w:val="24"/>
          <w:u w:val="single"/>
        </w:rPr>
        <w:t>（卖方）</w:t>
      </w:r>
      <w:r>
        <w:rPr>
          <w:rFonts w:hint="eastAsia" w:ascii="宋体" w:hAnsi="宋体" w:eastAsia="宋体" w:cs="宋体"/>
          <w:sz w:val="24"/>
          <w:szCs w:val="24"/>
        </w:rPr>
        <w:t>为中标人。按照《中华人民共和国民法典》的规定，买卖双方同意按照下述的条款和条件，签署本合同。</w:t>
      </w:r>
    </w:p>
    <w:p w14:paraId="05C7A4B8">
      <w:pPr>
        <w:keepNext w:val="0"/>
        <w:keepLines w:val="0"/>
        <w:kinsoku/>
        <w:wordWrap/>
        <w:topLinePunct w:val="0"/>
        <w:bidi w:val="0"/>
        <w:snapToGri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1.本合同文件</w:t>
      </w:r>
    </w:p>
    <w:p w14:paraId="2553285D">
      <w:pPr>
        <w:keepNext w:val="0"/>
        <w:keepLines w:val="0"/>
        <w:kinsoku/>
        <w:wordWrap/>
        <w:topLinePunct w:val="0"/>
        <w:bidi w:val="0"/>
        <w:snapToGri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下列每一文件均应作为合同的组成部分进行阅读和解释：</w:t>
      </w:r>
    </w:p>
    <w:p w14:paraId="7CAC25BB">
      <w:pPr>
        <w:keepNext w:val="0"/>
        <w:keepLines w:val="0"/>
        <w:kinsoku/>
        <w:wordWrap/>
        <w:topLinePunct w:val="0"/>
        <w:bidi w:val="0"/>
        <w:snapToGri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（1）招标文件（2）投标文件（3）中标通知书</w:t>
      </w:r>
    </w:p>
    <w:p w14:paraId="5B23C208">
      <w:pPr>
        <w:keepNext w:val="0"/>
        <w:keepLines w:val="0"/>
        <w:kinsoku/>
        <w:wordWrap/>
        <w:topLinePunct w:val="0"/>
        <w:bidi w:val="0"/>
        <w:snapToGri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（4）经双方确认进入合同的其它文件、补充条款或说明</w:t>
      </w:r>
    </w:p>
    <w:p w14:paraId="79AB38DD">
      <w:pPr>
        <w:keepNext w:val="0"/>
        <w:keepLines w:val="0"/>
        <w:kinsoku/>
        <w:wordWrap/>
        <w:topLinePunct w:val="0"/>
        <w:bidi w:val="0"/>
        <w:snapToGri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2.采购标的、数量、质量要求</w:t>
      </w:r>
    </w:p>
    <w:p w14:paraId="5114F591">
      <w:pPr>
        <w:keepNext w:val="0"/>
        <w:keepLines w:val="0"/>
        <w:kinsoku/>
        <w:wordWrap/>
        <w:topLinePunct w:val="0"/>
        <w:bidi w:val="0"/>
        <w:snapToGri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3.合同总价</w:t>
      </w:r>
    </w:p>
    <w:p w14:paraId="7A5B3964">
      <w:pPr>
        <w:keepNext w:val="0"/>
        <w:keepLines w:val="0"/>
        <w:kinsoku/>
        <w:wordWrap/>
        <w:topLinePunct w:val="0"/>
        <w:bidi w:val="0"/>
        <w:snapToGri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 xml:space="preserve">合同总价为 </w:t>
      </w:r>
      <w:r>
        <w:rPr>
          <w:rFonts w:hint="eastAsia" w:ascii="宋体" w:hAnsi="宋体" w:eastAsia="宋体" w:cs="宋体"/>
          <w:sz w:val="24"/>
          <w:szCs w:val="24"/>
          <w:u w:val="single"/>
        </w:rPr>
        <w:t xml:space="preserve">              </w:t>
      </w:r>
      <w:r>
        <w:rPr>
          <w:rFonts w:hint="eastAsia" w:ascii="宋体" w:hAnsi="宋体" w:eastAsia="宋体" w:cs="宋体"/>
          <w:sz w:val="24"/>
          <w:szCs w:val="24"/>
        </w:rPr>
        <w:t>元人民币。</w:t>
      </w:r>
    </w:p>
    <w:p w14:paraId="249765BB">
      <w:pPr>
        <w:keepNext w:val="0"/>
        <w:keepLines w:val="0"/>
        <w:kinsoku/>
        <w:wordWrap/>
        <w:topLinePunct w:val="0"/>
        <w:bidi w:val="0"/>
        <w:snapToGrid/>
        <w:spacing w:line="400" w:lineRule="exact"/>
        <w:ind w:firstLine="480" w:firstLineChars="200"/>
        <w:rPr>
          <w:rFonts w:ascii="宋体" w:hAnsi="宋体" w:eastAsia="宋体" w:cs="宋体"/>
          <w:sz w:val="24"/>
          <w:szCs w:val="24"/>
          <w:u w:val="single"/>
        </w:rPr>
      </w:pPr>
      <w:r>
        <w:rPr>
          <w:rFonts w:hint="eastAsia" w:ascii="宋体" w:hAnsi="宋体" w:eastAsia="宋体" w:cs="宋体"/>
          <w:sz w:val="24"/>
          <w:szCs w:val="24"/>
        </w:rPr>
        <w:t>4.付款方式：</w:t>
      </w:r>
      <w:r>
        <w:rPr>
          <w:rFonts w:hint="eastAsia" w:ascii="宋体" w:hAnsi="宋体" w:eastAsia="宋体"/>
          <w:sz w:val="24"/>
          <w:u w:val="single"/>
        </w:rPr>
        <w:t>合同签订且具备实施条件后，支付合同价的40%预付款（预付款支付前，中标人须提供同等金额的见索即付保函），全部供货安装调试完毕并由采购人验收合格后，一次性付清结算价款。</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bCs/>
          <w:sz w:val="24"/>
          <w:szCs w:val="24"/>
        </w:rPr>
        <w:t xml:space="preserve">        </w:t>
      </w:r>
    </w:p>
    <w:p w14:paraId="019CFB83">
      <w:pPr>
        <w:keepNext w:val="0"/>
        <w:keepLines w:val="0"/>
        <w:kinsoku/>
        <w:wordWrap/>
        <w:topLinePunct w:val="0"/>
        <w:bidi w:val="0"/>
        <w:snapToGrid/>
        <w:spacing w:line="400" w:lineRule="exact"/>
        <w:ind w:firstLine="480" w:firstLineChars="200"/>
        <w:rPr>
          <w:rFonts w:ascii="宋体" w:hAnsi="宋体" w:eastAsia="宋体" w:cs="宋体"/>
          <w:sz w:val="24"/>
          <w:szCs w:val="24"/>
          <w:u w:val="single"/>
        </w:rPr>
      </w:pPr>
      <w:r>
        <w:rPr>
          <w:rFonts w:hint="eastAsia" w:ascii="宋体" w:hAnsi="宋体" w:eastAsia="宋体" w:cs="宋体"/>
          <w:sz w:val="24"/>
          <w:szCs w:val="24"/>
        </w:rPr>
        <w:t>5.合同供货（服务）期限及地点和方式：</w:t>
      </w:r>
      <w:r>
        <w:rPr>
          <w:rFonts w:hint="eastAsia" w:ascii="宋体" w:hAnsi="宋体" w:eastAsia="宋体" w:cs="宋体"/>
          <w:sz w:val="24"/>
          <w:szCs w:val="24"/>
          <w:u w:val="single"/>
        </w:rPr>
        <w:t>自合同签订并接到采购人通知之日起30个日历天内完成全部货物的供货、安装、调试。</w:t>
      </w:r>
    </w:p>
    <w:p w14:paraId="5BB77C95">
      <w:pPr>
        <w:keepNext w:val="0"/>
        <w:keepLines w:val="0"/>
        <w:kinsoku/>
        <w:wordWrap/>
        <w:topLinePunct w:val="0"/>
        <w:bidi w:val="0"/>
        <w:snapToGrid/>
        <w:spacing w:line="400" w:lineRule="exact"/>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6.验收要求及违约责任：</w:t>
      </w:r>
      <w:r>
        <w:rPr>
          <w:rFonts w:hint="eastAsia" w:ascii="宋体" w:hAnsi="宋体" w:eastAsia="宋体" w:cs="宋体"/>
          <w:sz w:val="24"/>
          <w:szCs w:val="24"/>
          <w:lang w:val="en-US" w:eastAsia="zh-CN"/>
        </w:rPr>
        <w:t>见合同附件</w:t>
      </w:r>
    </w:p>
    <w:p w14:paraId="514F8D32">
      <w:pPr>
        <w:keepNext w:val="0"/>
        <w:keepLines w:val="0"/>
        <w:kinsoku/>
        <w:wordWrap/>
        <w:topLinePunct w:val="0"/>
        <w:bidi w:val="0"/>
        <w:snapToGri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7.违约责任及解决争议方法：</w:t>
      </w:r>
    </w:p>
    <w:p w14:paraId="1D0AD17A">
      <w:pPr>
        <w:keepNext w:val="0"/>
        <w:keepLines w:val="0"/>
        <w:kinsoku/>
        <w:wordWrap/>
        <w:topLinePunct w:val="0"/>
        <w:bidi w:val="0"/>
        <w:snapToGri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8.合同的生效</w:t>
      </w:r>
    </w:p>
    <w:p w14:paraId="0F04E64C">
      <w:pPr>
        <w:pStyle w:val="10"/>
        <w:keepNext w:val="0"/>
        <w:keepLines w:val="0"/>
        <w:kinsoku/>
        <w:wordWrap/>
        <w:topLinePunct w:val="0"/>
        <w:bidi w:val="0"/>
        <w:snapToGrid/>
        <w:spacing w:after="0" w:line="400" w:lineRule="exact"/>
        <w:ind w:left="0" w:leftChars="0" w:firstLine="480" w:firstLineChars="200"/>
        <w:rPr>
          <w:rFonts w:ascii="宋体" w:hAnsi="宋体" w:eastAsia="宋体" w:cs="宋体"/>
          <w:kern w:val="0"/>
          <w:sz w:val="24"/>
          <w:szCs w:val="24"/>
          <w:u w:color="000000"/>
        </w:rPr>
      </w:pPr>
      <w:r>
        <w:rPr>
          <w:rFonts w:hint="eastAsia" w:ascii="宋体" w:hAnsi="宋体" w:eastAsia="宋体" w:cs="宋体"/>
          <w:kern w:val="0"/>
          <w:sz w:val="24"/>
          <w:szCs w:val="24"/>
          <w:u w:color="000000"/>
        </w:rPr>
        <w:t>合同经双方授权代表签署，买卖双方加盖印章之后生效。</w:t>
      </w:r>
    </w:p>
    <w:p w14:paraId="498D0846">
      <w:pPr>
        <w:pStyle w:val="10"/>
        <w:keepNext w:val="0"/>
        <w:keepLines w:val="0"/>
        <w:kinsoku/>
        <w:wordWrap/>
        <w:topLinePunct w:val="0"/>
        <w:bidi w:val="0"/>
        <w:snapToGrid/>
        <w:spacing w:after="0" w:line="400" w:lineRule="exact"/>
        <w:ind w:left="0" w:leftChars="0" w:firstLine="480" w:firstLineChars="200"/>
        <w:rPr>
          <w:rFonts w:ascii="宋体" w:hAnsi="宋体" w:eastAsia="宋体" w:cs="宋体"/>
          <w:kern w:val="0"/>
          <w:sz w:val="24"/>
          <w:szCs w:val="24"/>
          <w:u w:color="000000"/>
        </w:rPr>
      </w:pPr>
      <w:r>
        <w:rPr>
          <w:rFonts w:hint="eastAsia" w:ascii="宋体" w:hAnsi="宋体" w:eastAsia="宋体" w:cs="宋体"/>
          <w:kern w:val="0"/>
          <w:sz w:val="24"/>
          <w:szCs w:val="24"/>
          <w:u w:color="000000"/>
        </w:rPr>
        <w:t>本合同一式     份，双方各执     份。</w:t>
      </w:r>
    </w:p>
    <w:p w14:paraId="169EE1C3">
      <w:pPr>
        <w:pStyle w:val="10"/>
        <w:keepNext w:val="0"/>
        <w:keepLines w:val="0"/>
        <w:kinsoku/>
        <w:wordWrap/>
        <w:topLinePunct w:val="0"/>
        <w:bidi w:val="0"/>
        <w:snapToGrid/>
        <w:spacing w:after="0" w:line="400" w:lineRule="exact"/>
        <w:ind w:left="0" w:leftChars="0" w:firstLine="480" w:firstLineChars="200"/>
        <w:rPr>
          <w:rFonts w:ascii="宋体" w:hAnsi="宋体" w:eastAsia="宋体" w:cs="宋体"/>
          <w:kern w:val="0"/>
          <w:sz w:val="24"/>
          <w:szCs w:val="24"/>
          <w:u w:color="000000"/>
        </w:rPr>
      </w:pPr>
      <w:r>
        <w:rPr>
          <w:rFonts w:hint="eastAsia" w:ascii="宋体" w:hAnsi="宋体" w:eastAsia="宋体" w:cs="宋体"/>
          <w:kern w:val="0"/>
          <w:sz w:val="24"/>
          <w:szCs w:val="24"/>
          <w:u w:color="000000"/>
        </w:rPr>
        <w:t>买  方：                          卖  方：</w:t>
      </w:r>
    </w:p>
    <w:p w14:paraId="235C3C29">
      <w:pPr>
        <w:pStyle w:val="10"/>
        <w:keepNext w:val="0"/>
        <w:keepLines w:val="0"/>
        <w:kinsoku/>
        <w:wordWrap/>
        <w:topLinePunct w:val="0"/>
        <w:bidi w:val="0"/>
        <w:snapToGrid/>
        <w:spacing w:after="0" w:line="400" w:lineRule="exact"/>
        <w:ind w:left="0" w:leftChars="0" w:firstLine="480" w:firstLineChars="200"/>
        <w:rPr>
          <w:rFonts w:ascii="宋体" w:hAnsi="宋体" w:eastAsia="宋体" w:cs="宋体"/>
          <w:kern w:val="0"/>
          <w:sz w:val="24"/>
          <w:szCs w:val="24"/>
          <w:u w:color="000000"/>
        </w:rPr>
      </w:pPr>
      <w:r>
        <w:rPr>
          <w:rFonts w:hint="eastAsia" w:ascii="宋体" w:hAnsi="宋体" w:eastAsia="宋体" w:cs="宋体"/>
          <w:kern w:val="0"/>
          <w:sz w:val="24"/>
          <w:szCs w:val="24"/>
          <w:u w:color="000000"/>
        </w:rPr>
        <w:t>名  称：（盖章）                  名  称：（盖章）</w:t>
      </w:r>
    </w:p>
    <w:p w14:paraId="14C52A1D">
      <w:pPr>
        <w:pStyle w:val="10"/>
        <w:keepNext w:val="0"/>
        <w:keepLines w:val="0"/>
        <w:kinsoku/>
        <w:wordWrap/>
        <w:topLinePunct w:val="0"/>
        <w:bidi w:val="0"/>
        <w:snapToGrid/>
        <w:spacing w:after="0" w:line="400" w:lineRule="exact"/>
        <w:ind w:left="0" w:leftChars="0" w:firstLine="480" w:firstLineChars="200"/>
        <w:rPr>
          <w:rFonts w:ascii="宋体" w:hAnsi="宋体" w:eastAsia="宋体" w:cs="宋体"/>
          <w:kern w:val="0"/>
          <w:sz w:val="24"/>
          <w:szCs w:val="24"/>
          <w:u w:color="000000"/>
        </w:rPr>
      </w:pPr>
      <w:r>
        <w:rPr>
          <w:rFonts w:hint="eastAsia" w:ascii="宋体" w:hAnsi="宋体" w:eastAsia="宋体" w:cs="宋体"/>
          <w:kern w:val="0"/>
          <w:sz w:val="24"/>
          <w:szCs w:val="24"/>
          <w:u w:color="000000"/>
        </w:rPr>
        <w:t>法定代表人（或委托代理人）：      法定代表人（或委托代理人）：</w:t>
      </w:r>
    </w:p>
    <w:p w14:paraId="392F9B3D">
      <w:pPr>
        <w:pStyle w:val="10"/>
        <w:keepNext w:val="0"/>
        <w:keepLines w:val="0"/>
        <w:kinsoku/>
        <w:wordWrap/>
        <w:topLinePunct w:val="0"/>
        <w:bidi w:val="0"/>
        <w:snapToGrid/>
        <w:spacing w:after="0" w:line="400" w:lineRule="exact"/>
        <w:ind w:left="0" w:leftChars="0" w:firstLine="480" w:firstLineChars="200"/>
        <w:rPr>
          <w:rFonts w:ascii="宋体" w:hAnsi="宋体" w:eastAsia="宋体" w:cs="宋体"/>
          <w:kern w:val="0"/>
          <w:sz w:val="24"/>
          <w:szCs w:val="24"/>
          <w:u w:color="000000"/>
        </w:rPr>
      </w:pPr>
      <w:r>
        <w:rPr>
          <w:rFonts w:hint="eastAsia" w:ascii="宋体" w:hAnsi="宋体" w:eastAsia="宋体" w:cs="宋体"/>
          <w:kern w:val="0"/>
          <w:sz w:val="24"/>
          <w:szCs w:val="24"/>
          <w:u w:color="000000"/>
        </w:rPr>
        <w:t>（签字）                        （签字）</w:t>
      </w:r>
    </w:p>
    <w:p w14:paraId="13148656">
      <w:pPr>
        <w:pStyle w:val="10"/>
        <w:keepNext w:val="0"/>
        <w:keepLines w:val="0"/>
        <w:kinsoku/>
        <w:wordWrap/>
        <w:topLinePunct w:val="0"/>
        <w:bidi w:val="0"/>
        <w:snapToGrid/>
        <w:spacing w:after="0" w:line="400" w:lineRule="exact"/>
        <w:ind w:left="0" w:leftChars="0" w:firstLine="480" w:firstLineChars="200"/>
        <w:rPr>
          <w:rFonts w:ascii="宋体" w:hAnsi="宋体" w:eastAsia="宋体" w:cs="宋体"/>
          <w:kern w:val="0"/>
          <w:sz w:val="24"/>
          <w:szCs w:val="24"/>
          <w:u w:color="000000"/>
        </w:rPr>
      </w:pPr>
      <w:r>
        <w:rPr>
          <w:rFonts w:hint="eastAsia" w:ascii="宋体" w:hAnsi="宋体" w:eastAsia="宋体" w:cs="宋体"/>
          <w:kern w:val="0"/>
          <w:sz w:val="24"/>
          <w:szCs w:val="24"/>
          <w:u w:color="000000"/>
        </w:rPr>
        <w:t>地    址：                        地    址：</w:t>
      </w:r>
    </w:p>
    <w:p w14:paraId="7A00A5C7">
      <w:pPr>
        <w:pStyle w:val="10"/>
        <w:keepNext w:val="0"/>
        <w:keepLines w:val="0"/>
        <w:kinsoku/>
        <w:wordWrap/>
        <w:topLinePunct w:val="0"/>
        <w:bidi w:val="0"/>
        <w:snapToGrid/>
        <w:spacing w:after="0" w:line="400" w:lineRule="exact"/>
        <w:ind w:left="0" w:leftChars="0" w:firstLine="480" w:firstLineChars="200"/>
        <w:rPr>
          <w:rFonts w:ascii="宋体" w:hAnsi="宋体" w:eastAsia="宋体" w:cs="宋体"/>
          <w:kern w:val="0"/>
          <w:sz w:val="24"/>
          <w:szCs w:val="24"/>
          <w:u w:color="000000"/>
        </w:rPr>
      </w:pPr>
      <w:r>
        <w:rPr>
          <w:rFonts w:hint="eastAsia" w:ascii="宋体" w:hAnsi="宋体" w:eastAsia="宋体" w:cs="宋体"/>
          <w:kern w:val="0"/>
          <w:sz w:val="24"/>
          <w:szCs w:val="24"/>
          <w:u w:color="000000"/>
        </w:rPr>
        <w:t>邮政编码：                        邮政编码：</w:t>
      </w:r>
    </w:p>
    <w:p w14:paraId="3D810171">
      <w:pPr>
        <w:pStyle w:val="10"/>
        <w:keepNext w:val="0"/>
        <w:keepLines w:val="0"/>
        <w:kinsoku/>
        <w:wordWrap/>
        <w:topLinePunct w:val="0"/>
        <w:bidi w:val="0"/>
        <w:snapToGrid/>
        <w:spacing w:after="0" w:line="400" w:lineRule="exact"/>
        <w:ind w:left="0" w:leftChars="0" w:firstLine="480" w:firstLineChars="200"/>
        <w:rPr>
          <w:rFonts w:ascii="宋体" w:hAnsi="宋体" w:eastAsia="宋体" w:cs="宋体"/>
          <w:kern w:val="0"/>
          <w:sz w:val="24"/>
          <w:szCs w:val="24"/>
          <w:u w:color="000000"/>
        </w:rPr>
      </w:pPr>
      <w:r>
        <w:rPr>
          <w:rFonts w:hint="eastAsia" w:ascii="宋体" w:hAnsi="宋体" w:eastAsia="宋体" w:cs="宋体"/>
          <w:kern w:val="0"/>
          <w:sz w:val="24"/>
          <w:szCs w:val="24"/>
          <w:u w:color="000000"/>
        </w:rPr>
        <w:t>电    话：                        电    话：</w:t>
      </w:r>
    </w:p>
    <w:p w14:paraId="70754B2E">
      <w:pPr>
        <w:pStyle w:val="10"/>
        <w:keepNext w:val="0"/>
        <w:keepLines w:val="0"/>
        <w:kinsoku/>
        <w:wordWrap/>
        <w:topLinePunct w:val="0"/>
        <w:bidi w:val="0"/>
        <w:snapToGrid/>
        <w:spacing w:after="0" w:line="400" w:lineRule="exact"/>
        <w:ind w:left="0" w:leftChars="0" w:firstLine="480" w:firstLineChars="200"/>
        <w:rPr>
          <w:rFonts w:ascii="宋体" w:hAnsi="宋体" w:eastAsia="宋体" w:cs="宋体"/>
          <w:kern w:val="0"/>
          <w:sz w:val="24"/>
          <w:szCs w:val="24"/>
          <w:u w:color="000000"/>
        </w:rPr>
      </w:pPr>
      <w:r>
        <w:rPr>
          <w:rFonts w:hint="eastAsia" w:ascii="宋体" w:hAnsi="宋体" w:eastAsia="宋体" w:cs="宋体"/>
          <w:kern w:val="0"/>
          <w:sz w:val="24"/>
          <w:szCs w:val="24"/>
          <w:u w:color="000000"/>
        </w:rPr>
        <w:t>开户银行：                        开户银行：</w:t>
      </w:r>
    </w:p>
    <w:p w14:paraId="0D30FB15">
      <w:pPr>
        <w:pStyle w:val="10"/>
        <w:keepNext w:val="0"/>
        <w:keepLines w:val="0"/>
        <w:kinsoku/>
        <w:wordWrap/>
        <w:topLinePunct w:val="0"/>
        <w:bidi w:val="0"/>
        <w:snapToGrid/>
        <w:spacing w:after="0" w:line="400" w:lineRule="exact"/>
        <w:ind w:left="0" w:leftChars="0" w:firstLine="480" w:firstLineChars="200"/>
        <w:rPr>
          <w:rFonts w:ascii="宋体" w:hAnsi="宋体" w:eastAsia="宋体" w:cs="宋体"/>
          <w:kern w:val="0"/>
          <w:sz w:val="24"/>
          <w:szCs w:val="24"/>
          <w:u w:color="000000"/>
        </w:rPr>
      </w:pPr>
      <w:r>
        <w:rPr>
          <w:rFonts w:hint="eastAsia" w:ascii="宋体" w:hAnsi="宋体" w:eastAsia="宋体" w:cs="宋体"/>
          <w:kern w:val="0"/>
          <w:sz w:val="24"/>
          <w:szCs w:val="24"/>
          <w:u w:color="000000"/>
        </w:rPr>
        <w:t>帐    号：                        帐    号：</w:t>
      </w:r>
    </w:p>
    <w:p w14:paraId="5FE9C3E5">
      <w:pPr>
        <w:keepNext w:val="0"/>
        <w:keepLines w:val="0"/>
        <w:pageBreakBefore/>
        <w:widowControl/>
        <w:kinsoku/>
        <w:wordWrap/>
        <w:topLinePunct w:val="0"/>
        <w:bidi w:val="0"/>
        <w:snapToGrid/>
        <w:spacing w:line="400" w:lineRule="exact"/>
        <w:ind w:left="363"/>
        <w:jc w:val="center"/>
        <w:textAlignment w:val="baseline"/>
        <w:outlineLvl w:val="1"/>
        <w:rPr>
          <w:rFonts w:ascii="宋体" w:hAnsi="宋体" w:eastAsia="宋体" w:cs="宋体"/>
          <w:b/>
          <w:sz w:val="24"/>
          <w:szCs w:val="24"/>
        </w:rPr>
      </w:pPr>
      <w:bookmarkStart w:id="41" w:name="_Toc152045610"/>
      <w:bookmarkStart w:id="42" w:name="_Toc247085768"/>
      <w:bookmarkStart w:id="43" w:name="_Toc296602498"/>
      <w:bookmarkStart w:id="44" w:name="_Toc152042388"/>
      <w:bookmarkStart w:id="45" w:name="_Toc19879"/>
      <w:bookmarkStart w:id="46" w:name="_Toc144974578"/>
      <w:bookmarkStart w:id="47" w:name="_Toc246996996"/>
      <w:bookmarkStart w:id="48" w:name="_Toc246996253"/>
      <w:bookmarkStart w:id="49" w:name="_Toc449028947"/>
      <w:bookmarkStart w:id="50" w:name="_Toc58430331"/>
      <w:bookmarkStart w:id="51" w:name="_Toc179632628"/>
      <w:r>
        <w:rPr>
          <w:rFonts w:hint="eastAsia" w:ascii="宋体" w:hAnsi="宋体" w:eastAsia="宋体" w:cs="宋体"/>
          <w:b/>
          <w:sz w:val="24"/>
          <w:szCs w:val="24"/>
        </w:rPr>
        <w:t>二、合同条款</w:t>
      </w:r>
      <w:bookmarkEnd w:id="41"/>
      <w:bookmarkEnd w:id="42"/>
      <w:bookmarkEnd w:id="43"/>
      <w:bookmarkEnd w:id="44"/>
      <w:bookmarkEnd w:id="45"/>
      <w:bookmarkEnd w:id="46"/>
      <w:bookmarkEnd w:id="47"/>
      <w:bookmarkEnd w:id="48"/>
      <w:bookmarkEnd w:id="49"/>
      <w:bookmarkEnd w:id="50"/>
      <w:bookmarkEnd w:id="51"/>
    </w:p>
    <w:p w14:paraId="3B1AE895">
      <w:pPr>
        <w:keepNext w:val="0"/>
        <w:keepLines w:val="0"/>
        <w:kinsoku/>
        <w:wordWrap/>
        <w:topLinePunct w:val="0"/>
        <w:bidi w:val="0"/>
        <w:snapToGrid/>
        <w:spacing w:line="400" w:lineRule="exact"/>
        <w:rPr>
          <w:rFonts w:ascii="宋体" w:hAnsi="宋体" w:eastAsia="宋体" w:cs="宋体"/>
          <w:b/>
          <w:sz w:val="24"/>
          <w:szCs w:val="24"/>
        </w:rPr>
      </w:pPr>
      <w:r>
        <w:rPr>
          <w:rFonts w:hint="eastAsia" w:ascii="宋体" w:hAnsi="宋体" w:eastAsia="宋体" w:cs="宋体"/>
          <w:b/>
          <w:sz w:val="24"/>
          <w:szCs w:val="24"/>
        </w:rPr>
        <w:t>一.  合同文件</w:t>
      </w:r>
    </w:p>
    <w:p w14:paraId="4A372C29">
      <w:pPr>
        <w:keepNext w:val="0"/>
        <w:keepLines w:val="0"/>
        <w:kinsoku/>
        <w:wordWrap/>
        <w:topLinePunct w:val="0"/>
        <w:bidi w:val="0"/>
        <w:snapToGrid/>
        <w:spacing w:line="400" w:lineRule="exact"/>
        <w:rPr>
          <w:rFonts w:ascii="宋体" w:hAnsi="宋体" w:eastAsia="宋体" w:cs="宋体"/>
          <w:sz w:val="24"/>
          <w:szCs w:val="24"/>
        </w:rPr>
      </w:pPr>
      <w:r>
        <w:rPr>
          <w:rFonts w:hint="eastAsia" w:ascii="宋体" w:hAnsi="宋体" w:eastAsia="宋体" w:cs="宋体"/>
          <w:sz w:val="24"/>
          <w:szCs w:val="24"/>
        </w:rPr>
        <w:t>1.合同文件适用法律</w:t>
      </w:r>
    </w:p>
    <w:p w14:paraId="1D478322">
      <w:pPr>
        <w:keepNext w:val="0"/>
        <w:keepLines w:val="0"/>
        <w:kinsoku/>
        <w:wordWrap/>
        <w:topLinePunct w:val="0"/>
        <w:bidi w:val="0"/>
        <w:snapToGrid/>
        <w:spacing w:line="400" w:lineRule="exact"/>
        <w:ind w:firstLine="720" w:firstLineChars="300"/>
        <w:rPr>
          <w:rFonts w:ascii="宋体" w:hAnsi="宋体" w:eastAsia="宋体" w:cs="宋体"/>
          <w:sz w:val="24"/>
          <w:szCs w:val="24"/>
        </w:rPr>
      </w:pPr>
      <w:r>
        <w:rPr>
          <w:rFonts w:hint="eastAsia" w:ascii="宋体" w:hAnsi="宋体" w:eastAsia="宋体" w:cs="宋体"/>
          <w:sz w:val="24"/>
          <w:szCs w:val="24"/>
        </w:rPr>
        <w:t>适用于合同文件的法律是中华人民共和国现行法律、法规及采购人所在地的地方性法规。</w:t>
      </w:r>
    </w:p>
    <w:p w14:paraId="1B36BCF6">
      <w:pPr>
        <w:keepNext w:val="0"/>
        <w:keepLines w:val="0"/>
        <w:kinsoku/>
        <w:wordWrap/>
        <w:topLinePunct w:val="0"/>
        <w:bidi w:val="0"/>
        <w:snapToGrid/>
        <w:spacing w:line="400" w:lineRule="exact"/>
        <w:rPr>
          <w:rFonts w:ascii="宋体" w:hAnsi="宋体" w:eastAsia="宋体" w:cs="宋体"/>
          <w:sz w:val="24"/>
          <w:szCs w:val="24"/>
        </w:rPr>
      </w:pPr>
      <w:r>
        <w:rPr>
          <w:rFonts w:hint="eastAsia" w:ascii="宋体" w:hAnsi="宋体" w:eastAsia="宋体" w:cs="宋体"/>
          <w:sz w:val="24"/>
          <w:szCs w:val="24"/>
        </w:rPr>
        <w:t>2.合同文件组成和解释顺序</w:t>
      </w:r>
    </w:p>
    <w:p w14:paraId="4C5891FD">
      <w:pPr>
        <w:keepNext w:val="0"/>
        <w:keepLines w:val="0"/>
        <w:kinsoku/>
        <w:wordWrap/>
        <w:topLinePunct w:val="0"/>
        <w:bidi w:val="0"/>
        <w:snapToGrid/>
        <w:spacing w:line="400" w:lineRule="exact"/>
        <w:ind w:firstLine="600" w:firstLineChars="250"/>
        <w:rPr>
          <w:rFonts w:ascii="宋体" w:hAnsi="宋体" w:eastAsia="宋体" w:cs="宋体"/>
          <w:sz w:val="24"/>
          <w:szCs w:val="24"/>
        </w:rPr>
      </w:pPr>
      <w:r>
        <w:rPr>
          <w:rFonts w:hint="eastAsia" w:ascii="宋体" w:hAnsi="宋体" w:eastAsia="宋体" w:cs="宋体"/>
          <w:sz w:val="24"/>
          <w:szCs w:val="24"/>
        </w:rPr>
        <w:t>(1)合同文件的组成和解释顺序如下：</w:t>
      </w:r>
    </w:p>
    <w:p w14:paraId="6DAE39B8">
      <w:pPr>
        <w:keepNext w:val="0"/>
        <w:keepLines w:val="0"/>
        <w:kinsoku/>
        <w:wordWrap/>
        <w:topLinePunct w:val="0"/>
        <w:bidi w:val="0"/>
        <w:snapToGrid/>
        <w:spacing w:line="400" w:lineRule="exact"/>
        <w:ind w:firstLine="600" w:firstLineChars="250"/>
        <w:rPr>
          <w:rFonts w:ascii="宋体" w:hAnsi="宋体" w:eastAsia="宋体" w:cs="宋体"/>
          <w:sz w:val="24"/>
          <w:szCs w:val="24"/>
        </w:rPr>
      </w:pPr>
      <w:r>
        <w:rPr>
          <w:rFonts w:hint="eastAsia" w:ascii="宋体" w:hAnsi="宋体" w:eastAsia="宋体" w:cs="宋体"/>
          <w:sz w:val="24"/>
          <w:szCs w:val="24"/>
        </w:rPr>
        <w:t>&lt;1&gt;合同的主要条款；</w:t>
      </w:r>
    </w:p>
    <w:p w14:paraId="1014F754">
      <w:pPr>
        <w:keepNext w:val="0"/>
        <w:keepLines w:val="0"/>
        <w:kinsoku/>
        <w:wordWrap/>
        <w:topLinePunct w:val="0"/>
        <w:bidi w:val="0"/>
        <w:snapToGrid/>
        <w:spacing w:line="400" w:lineRule="exact"/>
        <w:ind w:firstLine="600" w:firstLineChars="250"/>
        <w:rPr>
          <w:rFonts w:ascii="宋体" w:hAnsi="宋体" w:eastAsia="宋体" w:cs="宋体"/>
          <w:sz w:val="24"/>
          <w:szCs w:val="24"/>
        </w:rPr>
      </w:pPr>
      <w:r>
        <w:rPr>
          <w:rFonts w:hint="eastAsia" w:ascii="宋体" w:hAnsi="宋体" w:eastAsia="宋体" w:cs="宋体"/>
          <w:sz w:val="24"/>
          <w:szCs w:val="24"/>
        </w:rPr>
        <w:t>&lt;2&gt;合同的一般性条款；</w:t>
      </w:r>
    </w:p>
    <w:p w14:paraId="13F4719F">
      <w:pPr>
        <w:keepNext w:val="0"/>
        <w:keepLines w:val="0"/>
        <w:kinsoku/>
        <w:wordWrap/>
        <w:topLinePunct w:val="0"/>
        <w:bidi w:val="0"/>
        <w:snapToGrid/>
        <w:spacing w:line="400" w:lineRule="exact"/>
        <w:ind w:firstLine="600" w:firstLineChars="250"/>
        <w:rPr>
          <w:rFonts w:ascii="宋体" w:hAnsi="宋体" w:eastAsia="宋体" w:cs="宋体"/>
          <w:sz w:val="24"/>
          <w:szCs w:val="24"/>
        </w:rPr>
      </w:pPr>
      <w:r>
        <w:rPr>
          <w:rFonts w:hint="eastAsia" w:ascii="宋体" w:hAnsi="宋体" w:eastAsia="宋体" w:cs="宋体"/>
          <w:sz w:val="24"/>
          <w:szCs w:val="24"/>
        </w:rPr>
        <w:t>&lt;3&gt;洽商、变更等明确双方权利义务的纪要、协议；</w:t>
      </w:r>
    </w:p>
    <w:p w14:paraId="32BCBE00">
      <w:pPr>
        <w:keepNext w:val="0"/>
        <w:keepLines w:val="0"/>
        <w:kinsoku/>
        <w:wordWrap/>
        <w:topLinePunct w:val="0"/>
        <w:bidi w:val="0"/>
        <w:snapToGrid/>
        <w:spacing w:line="400" w:lineRule="exact"/>
        <w:ind w:firstLine="600" w:firstLineChars="250"/>
        <w:rPr>
          <w:rFonts w:ascii="宋体" w:hAnsi="宋体" w:eastAsia="宋体" w:cs="宋体"/>
          <w:sz w:val="24"/>
          <w:szCs w:val="24"/>
        </w:rPr>
      </w:pPr>
      <w:r>
        <w:rPr>
          <w:rFonts w:hint="eastAsia" w:ascii="宋体" w:hAnsi="宋体" w:eastAsia="宋体" w:cs="宋体"/>
          <w:sz w:val="24"/>
          <w:szCs w:val="24"/>
        </w:rPr>
        <w:t>&lt;4&gt;中标通知书、投标文件和招标文件；</w:t>
      </w:r>
    </w:p>
    <w:p w14:paraId="1ECF24A4">
      <w:pPr>
        <w:keepNext w:val="0"/>
        <w:keepLines w:val="0"/>
        <w:kinsoku/>
        <w:wordWrap/>
        <w:topLinePunct w:val="0"/>
        <w:bidi w:val="0"/>
        <w:snapToGrid/>
        <w:spacing w:line="400" w:lineRule="exact"/>
        <w:ind w:firstLine="600" w:firstLineChars="250"/>
        <w:rPr>
          <w:rFonts w:ascii="宋体" w:hAnsi="宋体" w:eastAsia="宋体" w:cs="宋体"/>
          <w:sz w:val="24"/>
          <w:szCs w:val="24"/>
        </w:rPr>
      </w:pPr>
      <w:r>
        <w:rPr>
          <w:rFonts w:hint="eastAsia" w:ascii="宋体" w:hAnsi="宋体" w:eastAsia="宋体" w:cs="宋体"/>
          <w:sz w:val="24"/>
          <w:szCs w:val="24"/>
        </w:rPr>
        <w:t>&lt;5&gt;有关图纸、标准、规范和其它有关技术资料、技术要求。</w:t>
      </w:r>
    </w:p>
    <w:p w14:paraId="587E75F0">
      <w:pPr>
        <w:keepNext w:val="0"/>
        <w:keepLines w:val="0"/>
        <w:kinsoku/>
        <w:wordWrap/>
        <w:topLinePunct w:val="0"/>
        <w:bidi w:val="0"/>
        <w:snapToGrid/>
        <w:spacing w:line="400" w:lineRule="exact"/>
        <w:ind w:firstLine="600" w:firstLineChars="250"/>
        <w:rPr>
          <w:rFonts w:ascii="宋体" w:hAnsi="宋体" w:eastAsia="宋体" w:cs="宋体"/>
          <w:sz w:val="24"/>
          <w:szCs w:val="24"/>
        </w:rPr>
      </w:pPr>
      <w:r>
        <w:rPr>
          <w:rFonts w:hint="eastAsia" w:ascii="宋体" w:hAnsi="宋体" w:eastAsia="宋体" w:cs="宋体"/>
          <w:sz w:val="24"/>
          <w:szCs w:val="24"/>
        </w:rPr>
        <w:t>&lt;6&gt;合同的主要条款的效力优于合同的一般性条款的效力。</w:t>
      </w:r>
    </w:p>
    <w:p w14:paraId="6CE75670">
      <w:pPr>
        <w:keepNext w:val="0"/>
        <w:keepLines w:val="0"/>
        <w:kinsoku/>
        <w:wordWrap/>
        <w:topLinePunct w:val="0"/>
        <w:bidi w:val="0"/>
        <w:snapToGrid/>
        <w:spacing w:line="400" w:lineRule="exact"/>
        <w:rPr>
          <w:rFonts w:ascii="宋体" w:hAnsi="宋体" w:eastAsia="宋体" w:cs="宋体"/>
          <w:sz w:val="24"/>
          <w:szCs w:val="24"/>
        </w:rPr>
      </w:pPr>
      <w:r>
        <w:rPr>
          <w:rFonts w:hint="eastAsia" w:ascii="宋体" w:hAnsi="宋体" w:eastAsia="宋体" w:cs="宋体"/>
          <w:sz w:val="24"/>
          <w:szCs w:val="24"/>
        </w:rPr>
        <w:t>3.合同文件使用文字</w:t>
      </w:r>
    </w:p>
    <w:p w14:paraId="5BD35A3C">
      <w:pPr>
        <w:pStyle w:val="7"/>
        <w:keepNext w:val="0"/>
        <w:keepLines w:val="0"/>
        <w:kinsoku/>
        <w:wordWrap/>
        <w:topLinePunct w:val="0"/>
        <w:bidi w:val="0"/>
        <w:snapToGrid/>
        <w:spacing w:line="400" w:lineRule="exact"/>
        <w:ind w:firstLine="600" w:firstLineChars="250"/>
        <w:rPr>
          <w:rFonts w:hAnsi="宋体" w:cs="宋体"/>
          <w:szCs w:val="24"/>
          <w:u w:color="000000"/>
        </w:rPr>
      </w:pPr>
      <w:r>
        <w:rPr>
          <w:rFonts w:hint="eastAsia" w:hAnsi="宋体" w:cs="宋体"/>
          <w:szCs w:val="24"/>
          <w:u w:color="000000"/>
        </w:rPr>
        <w:t>(1)合同文件使用中文书写、解释和说明。</w:t>
      </w:r>
    </w:p>
    <w:p w14:paraId="46A1C64C">
      <w:pPr>
        <w:pStyle w:val="7"/>
        <w:keepNext w:val="0"/>
        <w:keepLines w:val="0"/>
        <w:kinsoku/>
        <w:wordWrap/>
        <w:overflowPunct w:val="0"/>
        <w:topLinePunct w:val="0"/>
        <w:bidi w:val="0"/>
        <w:snapToGrid/>
        <w:spacing w:line="400" w:lineRule="exact"/>
        <w:ind w:firstLine="600" w:firstLineChars="250"/>
        <w:rPr>
          <w:rFonts w:hAnsi="宋体" w:cs="宋体"/>
          <w:szCs w:val="24"/>
          <w:u w:color="000000"/>
        </w:rPr>
      </w:pPr>
      <w:r>
        <w:rPr>
          <w:rFonts w:hint="eastAsia" w:hAnsi="宋体" w:cs="宋体"/>
          <w:szCs w:val="24"/>
          <w:u w:color="000000"/>
        </w:rPr>
        <w:t xml:space="preserve">(2)合同文件使用技术性条款约定的为国家标准和规范；国家没有相应标准、规范时，可使用行业标准、规范。非标货物应按约定的技术性条款的标准和规范。 </w:t>
      </w:r>
    </w:p>
    <w:p w14:paraId="70ECB36E">
      <w:pPr>
        <w:keepNext w:val="0"/>
        <w:keepLines w:val="0"/>
        <w:kinsoku/>
        <w:wordWrap/>
        <w:topLinePunct w:val="0"/>
        <w:bidi w:val="0"/>
        <w:snapToGrid/>
        <w:spacing w:line="400" w:lineRule="exact"/>
        <w:rPr>
          <w:rFonts w:ascii="宋体" w:hAnsi="宋体" w:eastAsia="宋体" w:cs="宋体"/>
          <w:b/>
          <w:sz w:val="24"/>
          <w:szCs w:val="24"/>
        </w:rPr>
      </w:pPr>
      <w:r>
        <w:rPr>
          <w:rFonts w:hint="eastAsia" w:ascii="宋体" w:hAnsi="宋体" w:eastAsia="宋体" w:cs="宋体"/>
          <w:b/>
          <w:sz w:val="24"/>
          <w:szCs w:val="24"/>
        </w:rPr>
        <w:t>二.  标的物的一般条款</w:t>
      </w:r>
    </w:p>
    <w:p w14:paraId="3D15E289">
      <w:pPr>
        <w:keepNext w:val="0"/>
        <w:keepLines w:val="0"/>
        <w:kinsoku/>
        <w:wordWrap/>
        <w:topLinePunct w:val="0"/>
        <w:bidi w:val="0"/>
        <w:snapToGrid/>
        <w:spacing w:line="400" w:lineRule="exact"/>
        <w:rPr>
          <w:rFonts w:ascii="宋体" w:hAnsi="宋体" w:eastAsia="宋体" w:cs="宋体"/>
          <w:sz w:val="24"/>
          <w:szCs w:val="24"/>
        </w:rPr>
      </w:pPr>
      <w:r>
        <w:rPr>
          <w:rFonts w:hint="eastAsia" w:ascii="宋体" w:hAnsi="宋体" w:eastAsia="宋体" w:cs="宋体"/>
          <w:sz w:val="24"/>
          <w:szCs w:val="24"/>
        </w:rPr>
        <w:t>4.完整物权</w:t>
      </w:r>
    </w:p>
    <w:p w14:paraId="115C9A85">
      <w:pPr>
        <w:keepNext w:val="0"/>
        <w:keepLines w:val="0"/>
        <w:tabs>
          <w:tab w:val="left" w:pos="660"/>
        </w:tabs>
        <w:kinsoku/>
        <w:wordWrap/>
        <w:topLinePunct w:val="0"/>
        <w:bidi w:val="0"/>
        <w:snapToGri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对于出卖的标的物，卖方应当拥有完整物权，并且卖方负有保证第三人不得向买方主张任何权利（包括知识产权）的义务。</w:t>
      </w:r>
    </w:p>
    <w:p w14:paraId="6088D529">
      <w:pPr>
        <w:keepNext w:val="0"/>
        <w:keepLines w:val="0"/>
        <w:kinsoku/>
        <w:wordWrap/>
        <w:topLinePunct w:val="0"/>
        <w:bidi w:val="0"/>
        <w:snapToGrid/>
        <w:spacing w:line="400" w:lineRule="exact"/>
        <w:rPr>
          <w:rFonts w:ascii="宋体" w:hAnsi="宋体" w:eastAsia="宋体" w:cs="宋体"/>
          <w:sz w:val="24"/>
          <w:szCs w:val="24"/>
        </w:rPr>
      </w:pPr>
      <w:r>
        <w:rPr>
          <w:rFonts w:hint="eastAsia" w:ascii="宋体" w:hAnsi="宋体" w:eastAsia="宋体" w:cs="宋体"/>
          <w:sz w:val="24"/>
          <w:szCs w:val="24"/>
        </w:rPr>
        <w:t>5.质量保证</w:t>
      </w:r>
    </w:p>
    <w:p w14:paraId="5F028CE5">
      <w:pPr>
        <w:pStyle w:val="7"/>
        <w:keepNext w:val="0"/>
        <w:keepLines w:val="0"/>
        <w:kinsoku/>
        <w:wordWrap/>
        <w:overflowPunct w:val="0"/>
        <w:topLinePunct w:val="0"/>
        <w:bidi w:val="0"/>
        <w:snapToGrid/>
        <w:spacing w:line="400" w:lineRule="exact"/>
        <w:rPr>
          <w:rFonts w:hAnsi="宋体" w:cs="宋体"/>
          <w:szCs w:val="24"/>
          <w:u w:color="000000"/>
        </w:rPr>
      </w:pPr>
      <w:r>
        <w:rPr>
          <w:rFonts w:hint="eastAsia" w:hAnsi="宋体" w:cs="宋体"/>
          <w:szCs w:val="24"/>
          <w:u w:color="000000"/>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14:paraId="32F90930">
      <w:pPr>
        <w:pStyle w:val="7"/>
        <w:keepNext w:val="0"/>
        <w:keepLines w:val="0"/>
        <w:kinsoku/>
        <w:wordWrap/>
        <w:overflowPunct w:val="0"/>
        <w:topLinePunct w:val="0"/>
        <w:bidi w:val="0"/>
        <w:snapToGrid/>
        <w:spacing w:line="400" w:lineRule="exact"/>
        <w:rPr>
          <w:rFonts w:hAnsi="宋体" w:cs="宋体"/>
          <w:szCs w:val="24"/>
          <w:u w:color="000000"/>
        </w:rPr>
      </w:pPr>
      <w:r>
        <w:rPr>
          <w:rFonts w:hint="eastAsia" w:hAnsi="宋体" w:cs="宋体"/>
          <w:szCs w:val="24"/>
          <w:u w:color="000000"/>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14:paraId="308034A7">
      <w:pPr>
        <w:pStyle w:val="7"/>
        <w:keepNext w:val="0"/>
        <w:keepLines w:val="0"/>
        <w:tabs>
          <w:tab w:val="left" w:pos="900"/>
        </w:tabs>
        <w:kinsoku/>
        <w:wordWrap/>
        <w:overflowPunct w:val="0"/>
        <w:topLinePunct w:val="0"/>
        <w:bidi w:val="0"/>
        <w:snapToGrid/>
        <w:spacing w:line="400" w:lineRule="exact"/>
        <w:rPr>
          <w:rFonts w:hAnsi="宋体" w:cs="宋体"/>
          <w:szCs w:val="24"/>
          <w:u w:color="000000"/>
        </w:rPr>
      </w:pPr>
      <w:r>
        <w:rPr>
          <w:rFonts w:hint="eastAsia" w:hAnsi="宋体" w:cs="宋体"/>
          <w:szCs w:val="24"/>
          <w:u w:color="000000"/>
        </w:rPr>
        <w:t>(3)除合同主要条款规定外，合同条款中标的物的质量保证期均自标的物通过最终验收之日起计算，且质量保证期按不低于国家标准和卖方承诺的高于国家标准的质保期（卖方有特殊要求的除外）。</w:t>
      </w:r>
    </w:p>
    <w:p w14:paraId="3B5874DA">
      <w:pPr>
        <w:keepNext w:val="0"/>
        <w:keepLines w:val="0"/>
        <w:kinsoku/>
        <w:wordWrap/>
        <w:topLinePunct w:val="0"/>
        <w:bidi w:val="0"/>
        <w:snapToGrid/>
        <w:spacing w:line="400" w:lineRule="exact"/>
        <w:rPr>
          <w:rFonts w:ascii="宋体" w:hAnsi="宋体" w:eastAsia="宋体" w:cs="宋体"/>
          <w:sz w:val="24"/>
          <w:szCs w:val="24"/>
        </w:rPr>
      </w:pPr>
      <w:r>
        <w:rPr>
          <w:rFonts w:hint="eastAsia" w:ascii="宋体" w:hAnsi="宋体" w:eastAsia="宋体" w:cs="宋体"/>
          <w:sz w:val="24"/>
          <w:szCs w:val="24"/>
        </w:rPr>
        <w:t>6.包装</w:t>
      </w:r>
    </w:p>
    <w:p w14:paraId="5206D83E">
      <w:pPr>
        <w:pStyle w:val="7"/>
        <w:keepNext w:val="0"/>
        <w:keepLines w:val="0"/>
        <w:tabs>
          <w:tab w:val="left" w:pos="900"/>
        </w:tabs>
        <w:kinsoku/>
        <w:wordWrap/>
        <w:topLinePunct w:val="0"/>
        <w:bidi w:val="0"/>
        <w:snapToGrid/>
        <w:spacing w:line="400" w:lineRule="exact"/>
        <w:ind w:firstLine="540" w:firstLineChars="225"/>
        <w:rPr>
          <w:rFonts w:hAnsi="宋体" w:cs="宋体"/>
          <w:szCs w:val="24"/>
          <w:u w:color="000000"/>
        </w:rPr>
      </w:pPr>
      <w:r>
        <w:rPr>
          <w:rFonts w:hint="eastAsia" w:hAnsi="宋体" w:cs="宋体"/>
          <w:szCs w:val="24"/>
          <w:u w:color="000000"/>
        </w:rPr>
        <w:t>卖方应当按照约定的包装方式交付标的物。对包装方式没有约定或者约定不明确的，应当按照双方补充协议约定的方式包装，或者按照通用的方式包装，没有通用方式的，应当采取足以保护标的物的包装方式。</w:t>
      </w:r>
    </w:p>
    <w:p w14:paraId="2B95DA0D">
      <w:pPr>
        <w:keepNext w:val="0"/>
        <w:keepLines w:val="0"/>
        <w:kinsoku/>
        <w:wordWrap/>
        <w:topLinePunct w:val="0"/>
        <w:bidi w:val="0"/>
        <w:snapToGrid/>
        <w:spacing w:line="400" w:lineRule="exact"/>
        <w:rPr>
          <w:rFonts w:ascii="宋体" w:hAnsi="宋体" w:eastAsia="宋体" w:cs="宋体"/>
          <w:sz w:val="24"/>
          <w:szCs w:val="24"/>
        </w:rPr>
      </w:pPr>
      <w:r>
        <w:rPr>
          <w:rFonts w:hint="eastAsia" w:ascii="宋体" w:hAnsi="宋体" w:eastAsia="宋体" w:cs="宋体"/>
          <w:sz w:val="24"/>
          <w:szCs w:val="24"/>
        </w:rPr>
        <w:t>7.伴随服务</w:t>
      </w:r>
    </w:p>
    <w:p w14:paraId="451AE9AF">
      <w:pPr>
        <w:pStyle w:val="7"/>
        <w:keepNext w:val="0"/>
        <w:keepLines w:val="0"/>
        <w:kinsoku/>
        <w:wordWrap/>
        <w:overflowPunct w:val="0"/>
        <w:topLinePunct w:val="0"/>
        <w:bidi w:val="0"/>
        <w:snapToGrid/>
        <w:spacing w:line="400" w:lineRule="exact"/>
        <w:ind w:firstLine="600" w:firstLineChars="250"/>
        <w:rPr>
          <w:rFonts w:hAnsi="宋体" w:cs="宋体"/>
          <w:szCs w:val="24"/>
          <w:u w:color="000000"/>
        </w:rPr>
      </w:pPr>
      <w:r>
        <w:rPr>
          <w:rFonts w:hint="eastAsia" w:hAnsi="宋体" w:cs="宋体"/>
          <w:szCs w:val="24"/>
          <w:u w:color="000000"/>
        </w:rPr>
        <w:t>(1)卖方除应履行按期按量交付合格标的物的义务之外，还应提供下列服务：</w:t>
      </w:r>
    </w:p>
    <w:p w14:paraId="38616A0F">
      <w:pPr>
        <w:pStyle w:val="7"/>
        <w:keepNext w:val="0"/>
        <w:keepLines w:val="0"/>
        <w:kinsoku/>
        <w:wordWrap/>
        <w:overflowPunct w:val="0"/>
        <w:topLinePunct w:val="0"/>
        <w:bidi w:val="0"/>
        <w:snapToGrid/>
        <w:spacing w:line="400" w:lineRule="exact"/>
        <w:ind w:firstLine="600" w:firstLineChars="250"/>
        <w:rPr>
          <w:rFonts w:hAnsi="宋体" w:cs="宋体"/>
          <w:szCs w:val="24"/>
          <w:u w:color="000000"/>
        </w:rPr>
      </w:pPr>
      <w:r>
        <w:rPr>
          <w:rFonts w:hint="eastAsia" w:hAnsi="宋体" w:cs="宋体"/>
          <w:szCs w:val="24"/>
          <w:u w:color="000000"/>
        </w:rPr>
        <w:t>&lt;1&gt;标的物的现场安装或指导安装、启动、调试、监督（如果必须安装、调试的话）；</w:t>
      </w:r>
    </w:p>
    <w:p w14:paraId="4321AE0C">
      <w:pPr>
        <w:pStyle w:val="7"/>
        <w:keepNext w:val="0"/>
        <w:keepLines w:val="0"/>
        <w:kinsoku/>
        <w:wordWrap/>
        <w:overflowPunct w:val="0"/>
        <w:topLinePunct w:val="0"/>
        <w:bidi w:val="0"/>
        <w:snapToGrid/>
        <w:spacing w:line="400" w:lineRule="exact"/>
        <w:ind w:firstLine="600" w:firstLineChars="250"/>
        <w:rPr>
          <w:rFonts w:hAnsi="宋体" w:cs="宋体"/>
          <w:szCs w:val="24"/>
          <w:u w:color="000000"/>
        </w:rPr>
      </w:pPr>
      <w:r>
        <w:rPr>
          <w:rFonts w:hint="eastAsia" w:hAnsi="宋体" w:cs="宋体"/>
          <w:szCs w:val="24"/>
          <w:u w:color="000000"/>
        </w:rPr>
        <w:t>&lt;2&gt;提供标的物组装和一般维修所必须的工具；</w:t>
      </w:r>
    </w:p>
    <w:p w14:paraId="6F564E9F">
      <w:pPr>
        <w:pStyle w:val="7"/>
        <w:keepNext w:val="0"/>
        <w:keepLines w:val="0"/>
        <w:kinsoku/>
        <w:wordWrap/>
        <w:overflowPunct w:val="0"/>
        <w:topLinePunct w:val="0"/>
        <w:bidi w:val="0"/>
        <w:snapToGrid/>
        <w:spacing w:line="400" w:lineRule="exact"/>
        <w:ind w:firstLine="600" w:firstLineChars="250"/>
        <w:rPr>
          <w:rFonts w:hAnsi="宋体" w:cs="宋体"/>
          <w:szCs w:val="24"/>
          <w:u w:color="000000"/>
        </w:rPr>
      </w:pPr>
      <w:r>
        <w:rPr>
          <w:rFonts w:hint="eastAsia" w:hAnsi="宋体" w:cs="宋体"/>
          <w:szCs w:val="24"/>
          <w:u w:color="000000"/>
        </w:rPr>
        <w:t>&lt;3&gt;在合同规定的期限内对所提供标的物实行运行监督、维修服务的前提条件是该服务并不能免除卖方在质量保证期内所承担的义务；</w:t>
      </w:r>
    </w:p>
    <w:p w14:paraId="042508EB">
      <w:pPr>
        <w:pStyle w:val="7"/>
        <w:keepNext w:val="0"/>
        <w:keepLines w:val="0"/>
        <w:kinsoku/>
        <w:wordWrap/>
        <w:overflowPunct w:val="0"/>
        <w:topLinePunct w:val="0"/>
        <w:bidi w:val="0"/>
        <w:snapToGrid/>
        <w:spacing w:line="400" w:lineRule="exact"/>
        <w:ind w:firstLine="600" w:firstLineChars="250"/>
        <w:rPr>
          <w:rFonts w:hAnsi="宋体" w:cs="宋体"/>
          <w:szCs w:val="24"/>
          <w:u w:color="000000"/>
        </w:rPr>
      </w:pPr>
      <w:r>
        <w:rPr>
          <w:rFonts w:hint="eastAsia" w:hAnsi="宋体" w:cs="宋体"/>
          <w:szCs w:val="24"/>
          <w:u w:color="000000"/>
        </w:rPr>
        <w:t>&lt;4&gt;对买方技术人员的技术指导或培训。</w:t>
      </w:r>
    </w:p>
    <w:p w14:paraId="6EBB161E">
      <w:pPr>
        <w:pStyle w:val="7"/>
        <w:keepNext w:val="0"/>
        <w:keepLines w:val="0"/>
        <w:kinsoku/>
        <w:wordWrap/>
        <w:overflowPunct w:val="0"/>
        <w:topLinePunct w:val="0"/>
        <w:bidi w:val="0"/>
        <w:snapToGrid/>
        <w:spacing w:line="400" w:lineRule="exact"/>
        <w:ind w:firstLine="600" w:firstLineChars="250"/>
        <w:rPr>
          <w:rFonts w:hAnsi="宋体" w:cs="宋体"/>
          <w:szCs w:val="24"/>
          <w:u w:color="000000"/>
        </w:rPr>
      </w:pPr>
      <w:r>
        <w:rPr>
          <w:rFonts w:hint="eastAsia" w:hAnsi="宋体" w:cs="宋体"/>
          <w:szCs w:val="24"/>
          <w:u w:color="000000"/>
        </w:rPr>
        <w:t>(2)除合同另有规定之外，伴随服务的费用均已含在合同价款中，买方不再另行进行支付。</w:t>
      </w:r>
    </w:p>
    <w:p w14:paraId="21C11908">
      <w:pPr>
        <w:keepNext w:val="0"/>
        <w:keepLines w:val="0"/>
        <w:kinsoku/>
        <w:wordWrap/>
        <w:topLinePunct w:val="0"/>
        <w:bidi w:val="0"/>
        <w:snapToGrid/>
        <w:spacing w:line="400" w:lineRule="exact"/>
        <w:rPr>
          <w:rFonts w:ascii="宋体" w:hAnsi="宋体" w:eastAsia="宋体" w:cs="宋体"/>
          <w:b/>
          <w:sz w:val="24"/>
          <w:szCs w:val="24"/>
        </w:rPr>
      </w:pPr>
      <w:r>
        <w:rPr>
          <w:rFonts w:hint="eastAsia" w:ascii="宋体" w:hAnsi="宋体" w:eastAsia="宋体" w:cs="宋体"/>
          <w:b/>
          <w:sz w:val="24"/>
          <w:szCs w:val="24"/>
        </w:rPr>
        <w:t>三.  标的物的交付、检验和验收</w:t>
      </w:r>
    </w:p>
    <w:p w14:paraId="730FF611">
      <w:pPr>
        <w:keepNext w:val="0"/>
        <w:keepLines w:val="0"/>
        <w:kinsoku/>
        <w:wordWrap/>
        <w:topLinePunct w:val="0"/>
        <w:bidi w:val="0"/>
        <w:snapToGrid/>
        <w:spacing w:line="400" w:lineRule="exact"/>
        <w:rPr>
          <w:rFonts w:ascii="宋体" w:hAnsi="宋体" w:eastAsia="宋体" w:cs="宋体"/>
          <w:sz w:val="24"/>
          <w:szCs w:val="24"/>
        </w:rPr>
      </w:pPr>
      <w:r>
        <w:rPr>
          <w:rFonts w:hint="eastAsia" w:ascii="宋体" w:hAnsi="宋体" w:eastAsia="宋体" w:cs="宋体"/>
          <w:sz w:val="24"/>
          <w:szCs w:val="24"/>
        </w:rPr>
        <w:t>8.标的物的交付</w:t>
      </w:r>
    </w:p>
    <w:p w14:paraId="46233961">
      <w:pPr>
        <w:pStyle w:val="7"/>
        <w:keepNext w:val="0"/>
        <w:keepLines w:val="0"/>
        <w:kinsoku/>
        <w:wordWrap/>
        <w:topLinePunct w:val="0"/>
        <w:bidi w:val="0"/>
        <w:snapToGrid/>
        <w:spacing w:line="400" w:lineRule="exact"/>
        <w:rPr>
          <w:rFonts w:hAnsi="宋体" w:cs="宋体"/>
          <w:szCs w:val="24"/>
          <w:u w:color="000000"/>
        </w:rPr>
      </w:pPr>
      <w:r>
        <w:rPr>
          <w:rFonts w:hint="eastAsia" w:hAnsi="宋体" w:cs="宋体"/>
          <w:szCs w:val="24"/>
          <w:u w:color="000000"/>
        </w:rPr>
        <w:t>(1)标的物的所有权自标的物交付时转移。</w:t>
      </w:r>
    </w:p>
    <w:p w14:paraId="60CC3EFC">
      <w:pPr>
        <w:pStyle w:val="7"/>
        <w:keepNext w:val="0"/>
        <w:keepLines w:val="0"/>
        <w:kinsoku/>
        <w:wordWrap/>
        <w:topLinePunct w:val="0"/>
        <w:bidi w:val="0"/>
        <w:snapToGrid/>
        <w:spacing w:line="400" w:lineRule="exact"/>
        <w:rPr>
          <w:rFonts w:hAnsi="宋体" w:cs="宋体"/>
          <w:szCs w:val="24"/>
          <w:u w:color="000000"/>
        </w:rPr>
      </w:pPr>
      <w:r>
        <w:rPr>
          <w:rFonts w:hint="eastAsia" w:hAnsi="宋体" w:cs="宋体"/>
          <w:szCs w:val="24"/>
          <w:u w:color="000000"/>
        </w:rPr>
        <w:t>(2)卖方应当按照约定的期限和约定的地点交付符合招标文件要求的标的物。</w:t>
      </w:r>
    </w:p>
    <w:p w14:paraId="28F2E32A">
      <w:pPr>
        <w:pStyle w:val="7"/>
        <w:keepNext w:val="0"/>
        <w:keepLines w:val="0"/>
        <w:kinsoku/>
        <w:wordWrap/>
        <w:topLinePunct w:val="0"/>
        <w:bidi w:val="0"/>
        <w:snapToGrid/>
        <w:spacing w:line="400" w:lineRule="exact"/>
        <w:rPr>
          <w:rFonts w:hAnsi="宋体" w:cs="宋体"/>
          <w:szCs w:val="24"/>
          <w:u w:color="000000"/>
        </w:rPr>
      </w:pPr>
      <w:r>
        <w:rPr>
          <w:rFonts w:hint="eastAsia" w:hAnsi="宋体" w:cs="宋体"/>
          <w:szCs w:val="24"/>
          <w:u w:color="000000"/>
        </w:rPr>
        <w:t>(3)卖方应当按照约定或者交易习惯向采购人交付提取标的物单证以外的有关单证和资料。</w:t>
      </w:r>
    </w:p>
    <w:p w14:paraId="6EE237D9">
      <w:pPr>
        <w:keepNext w:val="0"/>
        <w:keepLines w:val="0"/>
        <w:kinsoku/>
        <w:wordWrap/>
        <w:topLinePunct w:val="0"/>
        <w:bidi w:val="0"/>
        <w:snapToGrid/>
        <w:spacing w:line="400" w:lineRule="exact"/>
        <w:rPr>
          <w:rFonts w:ascii="宋体" w:hAnsi="宋体" w:eastAsia="宋体" w:cs="宋体"/>
          <w:sz w:val="24"/>
          <w:szCs w:val="24"/>
        </w:rPr>
      </w:pPr>
      <w:r>
        <w:rPr>
          <w:rFonts w:hint="eastAsia" w:ascii="宋体" w:hAnsi="宋体" w:eastAsia="宋体" w:cs="宋体"/>
          <w:sz w:val="24"/>
          <w:szCs w:val="24"/>
        </w:rPr>
        <w:t>9.检验和验收</w:t>
      </w:r>
    </w:p>
    <w:p w14:paraId="2E8F68DA">
      <w:pPr>
        <w:pStyle w:val="7"/>
        <w:keepNext w:val="0"/>
        <w:keepLines w:val="0"/>
        <w:kinsoku/>
        <w:wordWrap/>
        <w:overflowPunct w:val="0"/>
        <w:topLinePunct w:val="0"/>
        <w:bidi w:val="0"/>
        <w:snapToGrid/>
        <w:spacing w:line="400" w:lineRule="exact"/>
        <w:ind w:firstLine="600" w:firstLineChars="250"/>
        <w:rPr>
          <w:rFonts w:hAnsi="宋体" w:cs="宋体"/>
          <w:szCs w:val="24"/>
          <w:u w:color="000000"/>
        </w:rPr>
      </w:pPr>
      <w:r>
        <w:rPr>
          <w:rFonts w:hint="eastAsia" w:hAnsi="宋体" w:cs="宋体"/>
          <w:szCs w:val="24"/>
          <w:u w:color="000000"/>
        </w:rPr>
        <w:t>(1)在交货时，卖方应配合买方对标的物的质量、规格、性能、数量等进行详细而全面的检验，并出具一份合格检验证明，合格检验证明作为验收的依据，但不能作为有关标的物质量、规格、数量或性能的最终检验结果。</w:t>
      </w:r>
    </w:p>
    <w:p w14:paraId="1FCB82E2">
      <w:pPr>
        <w:pStyle w:val="7"/>
        <w:keepNext w:val="0"/>
        <w:keepLines w:val="0"/>
        <w:kinsoku/>
        <w:wordWrap/>
        <w:overflowPunct w:val="0"/>
        <w:topLinePunct w:val="0"/>
        <w:bidi w:val="0"/>
        <w:snapToGrid/>
        <w:spacing w:line="400" w:lineRule="exact"/>
        <w:ind w:firstLine="600" w:firstLineChars="250"/>
        <w:rPr>
          <w:rFonts w:hAnsi="宋体" w:cs="宋体"/>
          <w:szCs w:val="24"/>
          <w:u w:color="000000"/>
        </w:rPr>
      </w:pPr>
      <w:r>
        <w:rPr>
          <w:rFonts w:hint="eastAsia" w:hAnsi="宋体" w:cs="宋体"/>
          <w:szCs w:val="24"/>
          <w:u w:color="000000"/>
        </w:rPr>
        <w:t>(2)买方根据合同规定的内容和验收标准进行验收，经检验无误后出具验收合格证明，该证明作为最终付款所需文件的组成部分。</w:t>
      </w:r>
    </w:p>
    <w:p w14:paraId="4170444C">
      <w:pPr>
        <w:pStyle w:val="7"/>
        <w:keepNext w:val="0"/>
        <w:keepLines w:val="0"/>
        <w:kinsoku/>
        <w:wordWrap/>
        <w:overflowPunct w:val="0"/>
        <w:topLinePunct w:val="0"/>
        <w:bidi w:val="0"/>
        <w:snapToGrid/>
        <w:spacing w:line="400" w:lineRule="exact"/>
        <w:ind w:firstLine="600" w:firstLineChars="250"/>
        <w:rPr>
          <w:rFonts w:hAnsi="宋体" w:cs="宋体"/>
          <w:szCs w:val="24"/>
          <w:u w:color="000000"/>
        </w:rPr>
      </w:pPr>
      <w:r>
        <w:rPr>
          <w:rFonts w:hint="eastAsia" w:hAnsi="宋体" w:cs="宋体"/>
          <w:szCs w:val="24"/>
          <w:u w:color="000000"/>
        </w:rPr>
        <w:t>(3)验收期限自收到乙方验收申请后5个工作日内组织开展验收。特殊情况需延长的，双方应在合同条款中约定。</w:t>
      </w:r>
    </w:p>
    <w:p w14:paraId="3A3A62D4">
      <w:pPr>
        <w:pStyle w:val="7"/>
        <w:keepNext w:val="0"/>
        <w:keepLines w:val="0"/>
        <w:tabs>
          <w:tab w:val="left" w:pos="900"/>
        </w:tabs>
        <w:kinsoku/>
        <w:wordWrap/>
        <w:overflowPunct w:val="0"/>
        <w:topLinePunct w:val="0"/>
        <w:bidi w:val="0"/>
        <w:snapToGrid/>
        <w:spacing w:line="400" w:lineRule="exact"/>
        <w:ind w:firstLine="600" w:firstLineChars="250"/>
        <w:rPr>
          <w:rFonts w:hAnsi="宋体" w:cs="宋体"/>
          <w:szCs w:val="24"/>
          <w:u w:color="000000"/>
        </w:rPr>
      </w:pPr>
      <w:r>
        <w:rPr>
          <w:rFonts w:hint="eastAsia" w:hAnsi="宋体" w:cs="宋体"/>
          <w:szCs w:val="24"/>
          <w:u w:color="000000"/>
        </w:rPr>
        <w:t>（4）买方和相关部门按照国家规定标准验收，没有国家标准的按行业标准验收，无行业标准的按地方或企业标准验收，卖方予以配合。涉及安全、消防、环保等其他需要由质检或行业主管部门验收的项目，买方须约请相关部门和专家参加项目验收。</w:t>
      </w:r>
    </w:p>
    <w:p w14:paraId="292DCF41">
      <w:pPr>
        <w:pStyle w:val="7"/>
        <w:keepNext w:val="0"/>
        <w:keepLines w:val="0"/>
        <w:tabs>
          <w:tab w:val="left" w:pos="900"/>
        </w:tabs>
        <w:kinsoku/>
        <w:wordWrap/>
        <w:overflowPunct w:val="0"/>
        <w:topLinePunct w:val="0"/>
        <w:bidi w:val="0"/>
        <w:snapToGrid/>
        <w:spacing w:line="400" w:lineRule="exact"/>
        <w:ind w:firstLine="600" w:firstLineChars="250"/>
        <w:rPr>
          <w:rFonts w:hAnsi="宋体" w:cs="宋体"/>
          <w:szCs w:val="24"/>
          <w:u w:color="000000"/>
        </w:rPr>
      </w:pPr>
      <w:r>
        <w:rPr>
          <w:rFonts w:hint="eastAsia" w:hAnsi="宋体" w:cs="宋体"/>
          <w:szCs w:val="24"/>
          <w:u w:color="000000"/>
        </w:rPr>
        <w:t>（5）货物在验收时，卖方应提供发票、制造厂家出具的产品合格证书、装箱清单等, 涉及进口的产品、部件、配件等须提供中国海关进口货物报关单、完税证明及商检证明等材料；提供有关货物的操作规程和使用说明书，维护手册、保养修理所需的各种随机工具及相关设计、制造、检验、安装、技术性指导等文件和应由卖方提供的必要文件。</w:t>
      </w:r>
    </w:p>
    <w:p w14:paraId="31B1483C">
      <w:pPr>
        <w:keepNext w:val="0"/>
        <w:keepLines w:val="0"/>
        <w:kinsoku/>
        <w:wordWrap/>
        <w:topLinePunct w:val="0"/>
        <w:bidi w:val="0"/>
        <w:snapToGrid/>
        <w:spacing w:line="400" w:lineRule="exact"/>
        <w:rPr>
          <w:rFonts w:ascii="宋体" w:hAnsi="宋体" w:eastAsia="宋体" w:cs="宋体"/>
          <w:b/>
          <w:sz w:val="24"/>
          <w:szCs w:val="24"/>
        </w:rPr>
      </w:pPr>
      <w:r>
        <w:rPr>
          <w:rFonts w:hint="eastAsia" w:ascii="宋体" w:hAnsi="宋体" w:eastAsia="宋体" w:cs="宋体"/>
          <w:b/>
          <w:sz w:val="24"/>
          <w:szCs w:val="24"/>
        </w:rPr>
        <w:t>四. 对标的物提出异议的时间和办法</w:t>
      </w:r>
    </w:p>
    <w:p w14:paraId="64C33510">
      <w:pPr>
        <w:keepNext w:val="0"/>
        <w:keepLines w:val="0"/>
        <w:kinsoku/>
        <w:wordWrap/>
        <w:topLinePunct w:val="0"/>
        <w:bidi w:val="0"/>
        <w:snapToGrid/>
        <w:spacing w:line="400" w:lineRule="exact"/>
        <w:rPr>
          <w:rFonts w:ascii="宋体" w:hAnsi="宋体" w:eastAsia="宋体" w:cs="宋体"/>
          <w:sz w:val="24"/>
          <w:szCs w:val="24"/>
        </w:rPr>
      </w:pPr>
      <w:r>
        <w:rPr>
          <w:rFonts w:hint="eastAsia" w:ascii="宋体" w:hAnsi="宋体" w:eastAsia="宋体" w:cs="宋体"/>
          <w:sz w:val="24"/>
          <w:szCs w:val="24"/>
        </w:rPr>
        <w:t xml:space="preserve">10.对标的物提出异议的时间和办法 </w:t>
      </w:r>
    </w:p>
    <w:p w14:paraId="59DFF562">
      <w:pPr>
        <w:pStyle w:val="7"/>
        <w:keepNext w:val="0"/>
        <w:keepLines w:val="0"/>
        <w:kinsoku/>
        <w:wordWrap/>
        <w:overflowPunct w:val="0"/>
        <w:topLinePunct w:val="0"/>
        <w:bidi w:val="0"/>
        <w:snapToGrid/>
        <w:spacing w:line="400" w:lineRule="exact"/>
        <w:ind w:firstLine="480" w:firstLineChars="200"/>
        <w:rPr>
          <w:rFonts w:hAnsi="宋体" w:cs="宋体"/>
          <w:szCs w:val="24"/>
          <w:u w:color="000000"/>
        </w:rPr>
      </w:pPr>
      <w:r>
        <w:rPr>
          <w:rFonts w:hint="eastAsia" w:hAnsi="宋体" w:cs="宋体"/>
          <w:szCs w:val="24"/>
          <w:u w:color="000000"/>
        </w:rPr>
        <w:t>(1)买方在验收过程中，应当于双方约定的检验期间内将标的物的数量或质量不符合约定的情形及处理方式以书面形式通知卖方。</w:t>
      </w:r>
    </w:p>
    <w:p w14:paraId="230D05B4">
      <w:pPr>
        <w:pStyle w:val="7"/>
        <w:keepNext w:val="0"/>
        <w:keepLines w:val="0"/>
        <w:kinsoku/>
        <w:wordWrap/>
        <w:overflowPunct w:val="0"/>
        <w:topLinePunct w:val="0"/>
        <w:bidi w:val="0"/>
        <w:snapToGrid/>
        <w:spacing w:line="400" w:lineRule="exact"/>
        <w:rPr>
          <w:rFonts w:hAnsi="宋体" w:cs="宋体"/>
          <w:szCs w:val="24"/>
          <w:u w:color="000000"/>
        </w:rPr>
      </w:pPr>
      <w:r>
        <w:rPr>
          <w:rFonts w:hint="eastAsia" w:hAnsi="宋体" w:cs="宋体"/>
          <w:szCs w:val="24"/>
          <w:u w:color="000000"/>
        </w:rPr>
        <w:t>(2)如买方在验收期满后既不出具验收合格证明又未提出书面异议的视为卖方所交标的物符合合同规定。</w:t>
      </w:r>
    </w:p>
    <w:p w14:paraId="57A692CA">
      <w:pPr>
        <w:pStyle w:val="7"/>
        <w:keepNext w:val="0"/>
        <w:keepLines w:val="0"/>
        <w:kinsoku/>
        <w:wordWrap/>
        <w:overflowPunct w:val="0"/>
        <w:topLinePunct w:val="0"/>
        <w:bidi w:val="0"/>
        <w:snapToGrid/>
        <w:spacing w:line="400" w:lineRule="exact"/>
        <w:rPr>
          <w:rFonts w:hAnsi="宋体" w:cs="宋体"/>
          <w:szCs w:val="24"/>
          <w:u w:color="000000"/>
        </w:rPr>
      </w:pPr>
      <w:r>
        <w:rPr>
          <w:rFonts w:hint="eastAsia" w:hAnsi="宋体" w:cs="宋体"/>
          <w:szCs w:val="24"/>
          <w:u w:color="000000"/>
        </w:rPr>
        <w:t>(3)卖方应在收到买方书面异议后七天内负责处理问题，否则将视为默认买方提出的异议和处理意见。</w:t>
      </w:r>
    </w:p>
    <w:p w14:paraId="452D2B66">
      <w:pPr>
        <w:keepNext w:val="0"/>
        <w:keepLines w:val="0"/>
        <w:kinsoku/>
        <w:wordWrap/>
        <w:topLinePunct w:val="0"/>
        <w:bidi w:val="0"/>
        <w:snapToGrid/>
        <w:spacing w:line="400" w:lineRule="exact"/>
        <w:rPr>
          <w:rFonts w:ascii="宋体" w:hAnsi="宋体" w:eastAsia="宋体" w:cs="宋体"/>
          <w:b/>
          <w:sz w:val="24"/>
          <w:szCs w:val="24"/>
        </w:rPr>
      </w:pPr>
      <w:r>
        <w:rPr>
          <w:rFonts w:hint="eastAsia" w:ascii="宋体" w:hAnsi="宋体" w:eastAsia="宋体" w:cs="宋体"/>
          <w:b/>
          <w:sz w:val="24"/>
          <w:szCs w:val="24"/>
        </w:rPr>
        <w:t>五. 合同价款和支付</w:t>
      </w:r>
    </w:p>
    <w:p w14:paraId="08B9456D">
      <w:pPr>
        <w:keepNext w:val="0"/>
        <w:keepLines w:val="0"/>
        <w:kinsoku/>
        <w:wordWrap/>
        <w:topLinePunct w:val="0"/>
        <w:bidi w:val="0"/>
        <w:snapToGrid/>
        <w:spacing w:line="400" w:lineRule="exact"/>
        <w:rPr>
          <w:rFonts w:ascii="宋体" w:hAnsi="宋体" w:eastAsia="宋体" w:cs="宋体"/>
          <w:sz w:val="24"/>
          <w:szCs w:val="24"/>
        </w:rPr>
      </w:pPr>
      <w:r>
        <w:rPr>
          <w:rFonts w:hint="eastAsia" w:ascii="宋体" w:hAnsi="宋体" w:eastAsia="宋体" w:cs="宋体"/>
          <w:sz w:val="24"/>
          <w:szCs w:val="24"/>
        </w:rPr>
        <w:t>11.合同价款和支付</w:t>
      </w:r>
    </w:p>
    <w:p w14:paraId="2FA33EE1">
      <w:pPr>
        <w:pStyle w:val="7"/>
        <w:keepNext w:val="0"/>
        <w:keepLines w:val="0"/>
        <w:kinsoku/>
        <w:wordWrap/>
        <w:overflowPunct w:val="0"/>
        <w:topLinePunct w:val="0"/>
        <w:bidi w:val="0"/>
        <w:snapToGrid/>
        <w:spacing w:line="400" w:lineRule="exact"/>
        <w:rPr>
          <w:rFonts w:hAnsi="宋体" w:cs="宋体"/>
          <w:szCs w:val="24"/>
          <w:u w:color="000000"/>
        </w:rPr>
      </w:pPr>
      <w:r>
        <w:rPr>
          <w:rFonts w:hint="eastAsia" w:hAnsi="宋体" w:cs="宋体"/>
          <w:szCs w:val="24"/>
          <w:u w:color="000000"/>
        </w:rPr>
        <w:t>(1)本合同的结算货币为人民币，单位元。</w:t>
      </w:r>
    </w:p>
    <w:p w14:paraId="4EE1C8D9">
      <w:pPr>
        <w:pStyle w:val="7"/>
        <w:keepNext w:val="0"/>
        <w:keepLines w:val="0"/>
        <w:kinsoku/>
        <w:wordWrap/>
        <w:overflowPunct w:val="0"/>
        <w:topLinePunct w:val="0"/>
        <w:bidi w:val="0"/>
        <w:snapToGrid/>
        <w:spacing w:line="400" w:lineRule="exact"/>
        <w:rPr>
          <w:rFonts w:hAnsi="宋体" w:cs="宋体"/>
          <w:szCs w:val="24"/>
          <w:u w:color="000000"/>
        </w:rPr>
      </w:pPr>
      <w:r>
        <w:rPr>
          <w:rFonts w:hint="eastAsia" w:hAnsi="宋体" w:cs="宋体"/>
          <w:szCs w:val="24"/>
          <w:u w:color="000000"/>
        </w:rPr>
        <w:t>(2)卖方应按照双方签订的合同规定交货并在合同主要条款规定的期限内持下列单据结算货款：</w:t>
      </w:r>
    </w:p>
    <w:p w14:paraId="7CBF073B">
      <w:pPr>
        <w:pStyle w:val="7"/>
        <w:keepNext w:val="0"/>
        <w:keepLines w:val="0"/>
        <w:kinsoku/>
        <w:wordWrap/>
        <w:overflowPunct w:val="0"/>
        <w:topLinePunct w:val="0"/>
        <w:bidi w:val="0"/>
        <w:snapToGrid/>
        <w:spacing w:line="400" w:lineRule="exact"/>
        <w:rPr>
          <w:rFonts w:hAnsi="宋体" w:cs="宋体"/>
          <w:szCs w:val="24"/>
          <w:u w:color="000000"/>
        </w:rPr>
      </w:pPr>
      <w:r>
        <w:rPr>
          <w:rFonts w:hint="eastAsia" w:hAnsi="宋体" w:cs="宋体"/>
          <w:szCs w:val="24"/>
          <w:u w:color="000000"/>
        </w:rPr>
        <w:t>&lt;1&gt;合格的销售发票；</w:t>
      </w:r>
    </w:p>
    <w:p w14:paraId="4BF95A30">
      <w:pPr>
        <w:pStyle w:val="7"/>
        <w:keepNext w:val="0"/>
        <w:keepLines w:val="0"/>
        <w:kinsoku/>
        <w:wordWrap/>
        <w:overflowPunct w:val="0"/>
        <w:topLinePunct w:val="0"/>
        <w:bidi w:val="0"/>
        <w:snapToGrid/>
        <w:spacing w:line="400" w:lineRule="exact"/>
        <w:rPr>
          <w:rFonts w:hAnsi="宋体" w:cs="宋体"/>
          <w:szCs w:val="24"/>
          <w:u w:color="000000"/>
        </w:rPr>
      </w:pPr>
      <w:r>
        <w:rPr>
          <w:rFonts w:hint="eastAsia" w:hAnsi="宋体" w:cs="宋体"/>
          <w:szCs w:val="24"/>
          <w:u w:color="000000"/>
        </w:rPr>
        <w:t>&lt;2&gt;买方盖章签收后的送货回单和验收合格证明。</w:t>
      </w:r>
    </w:p>
    <w:p w14:paraId="3A3163E3">
      <w:pPr>
        <w:pStyle w:val="7"/>
        <w:keepNext w:val="0"/>
        <w:keepLines w:val="0"/>
        <w:kinsoku/>
        <w:wordWrap/>
        <w:overflowPunct w:val="0"/>
        <w:topLinePunct w:val="0"/>
        <w:bidi w:val="0"/>
        <w:snapToGrid/>
        <w:spacing w:line="400" w:lineRule="exact"/>
        <w:rPr>
          <w:rFonts w:hAnsi="宋体" w:cs="宋体"/>
          <w:szCs w:val="24"/>
          <w:u w:color="000000"/>
        </w:rPr>
      </w:pPr>
      <w:r>
        <w:rPr>
          <w:rFonts w:hint="eastAsia" w:hAnsi="宋体" w:cs="宋体"/>
          <w:szCs w:val="24"/>
          <w:u w:color="000000"/>
        </w:rPr>
        <w:t>(3)买方应按合同主要条款规定的期限和方式付款。</w:t>
      </w:r>
    </w:p>
    <w:p w14:paraId="4BFC82C6">
      <w:pPr>
        <w:pStyle w:val="7"/>
        <w:keepNext w:val="0"/>
        <w:keepLines w:val="0"/>
        <w:tabs>
          <w:tab w:val="left" w:pos="540"/>
        </w:tabs>
        <w:kinsoku/>
        <w:wordWrap/>
        <w:overflowPunct w:val="0"/>
        <w:topLinePunct w:val="0"/>
        <w:bidi w:val="0"/>
        <w:snapToGrid/>
        <w:spacing w:line="400" w:lineRule="exact"/>
        <w:rPr>
          <w:rFonts w:hAnsi="宋体" w:cs="宋体"/>
          <w:szCs w:val="24"/>
          <w:u w:color="000000"/>
        </w:rPr>
      </w:pPr>
      <w:r>
        <w:rPr>
          <w:rFonts w:hint="eastAsia" w:hAnsi="宋体" w:cs="宋体"/>
          <w:szCs w:val="24"/>
          <w:u w:color="000000"/>
        </w:rPr>
        <w:t>(4)根据现行税法对买方征收的与本合同有关的一切税费均由买方承担；根据现行税法对卖方征收的与本合同有关的一切税费均由卖方承担。</w:t>
      </w:r>
    </w:p>
    <w:p w14:paraId="57117220">
      <w:pPr>
        <w:keepNext w:val="0"/>
        <w:keepLines w:val="0"/>
        <w:kinsoku/>
        <w:wordWrap/>
        <w:topLinePunct w:val="0"/>
        <w:bidi w:val="0"/>
        <w:snapToGrid/>
        <w:spacing w:line="400" w:lineRule="exact"/>
        <w:rPr>
          <w:rFonts w:ascii="宋体" w:hAnsi="宋体" w:eastAsia="宋体" w:cs="宋体"/>
          <w:b/>
          <w:sz w:val="24"/>
          <w:szCs w:val="24"/>
        </w:rPr>
      </w:pPr>
      <w:r>
        <w:rPr>
          <w:rFonts w:hint="eastAsia" w:ascii="宋体" w:hAnsi="宋体" w:eastAsia="宋体" w:cs="宋体"/>
          <w:b/>
          <w:sz w:val="24"/>
          <w:szCs w:val="24"/>
        </w:rPr>
        <w:t>六. 违约责任</w:t>
      </w:r>
    </w:p>
    <w:p w14:paraId="4887825F">
      <w:pPr>
        <w:keepNext w:val="0"/>
        <w:keepLines w:val="0"/>
        <w:kinsoku/>
        <w:wordWrap/>
        <w:topLinePunct w:val="0"/>
        <w:bidi w:val="0"/>
        <w:snapToGrid/>
        <w:spacing w:line="400" w:lineRule="exact"/>
        <w:rPr>
          <w:rFonts w:ascii="宋体" w:hAnsi="宋体" w:eastAsia="宋体" w:cs="宋体"/>
          <w:sz w:val="24"/>
          <w:szCs w:val="24"/>
        </w:rPr>
      </w:pPr>
      <w:r>
        <w:rPr>
          <w:rFonts w:hint="eastAsia" w:ascii="宋体" w:hAnsi="宋体" w:eastAsia="宋体" w:cs="宋体"/>
          <w:sz w:val="24"/>
          <w:szCs w:val="24"/>
        </w:rPr>
        <w:t>12.违约责任</w:t>
      </w:r>
    </w:p>
    <w:p w14:paraId="04817A82">
      <w:pPr>
        <w:pStyle w:val="7"/>
        <w:keepNext w:val="0"/>
        <w:keepLines w:val="0"/>
        <w:kinsoku/>
        <w:wordWrap/>
        <w:topLinePunct w:val="0"/>
        <w:bidi w:val="0"/>
        <w:snapToGrid/>
        <w:spacing w:line="400" w:lineRule="exact"/>
        <w:ind w:firstLine="480" w:firstLineChars="200"/>
        <w:rPr>
          <w:rFonts w:hAnsi="宋体" w:cs="宋体"/>
          <w:szCs w:val="24"/>
          <w:u w:color="000000"/>
        </w:rPr>
      </w:pPr>
      <w:r>
        <w:rPr>
          <w:rFonts w:hint="eastAsia" w:hAnsi="宋体" w:cs="宋体"/>
          <w:szCs w:val="24"/>
          <w:u w:color="000000"/>
        </w:rPr>
        <w:t>合同一方不履行合同义务或者履行合同义务不符合约定的，应当承担继续履行、采取补救措施或者赔偿损失等违约责任。</w:t>
      </w:r>
    </w:p>
    <w:p w14:paraId="3D38C884">
      <w:pPr>
        <w:keepNext w:val="0"/>
        <w:keepLines w:val="0"/>
        <w:kinsoku/>
        <w:wordWrap/>
        <w:topLinePunct w:val="0"/>
        <w:bidi w:val="0"/>
        <w:snapToGrid/>
        <w:spacing w:line="400" w:lineRule="exact"/>
        <w:rPr>
          <w:rFonts w:ascii="宋体" w:hAnsi="宋体" w:eastAsia="宋体" w:cs="宋体"/>
          <w:sz w:val="24"/>
          <w:szCs w:val="24"/>
        </w:rPr>
      </w:pPr>
      <w:r>
        <w:rPr>
          <w:rFonts w:hint="eastAsia" w:ascii="宋体" w:hAnsi="宋体" w:eastAsia="宋体" w:cs="宋体"/>
          <w:sz w:val="24"/>
          <w:szCs w:val="24"/>
        </w:rPr>
        <w:t>13.买方违约责任</w:t>
      </w:r>
    </w:p>
    <w:p w14:paraId="1001EC73">
      <w:pPr>
        <w:pStyle w:val="7"/>
        <w:keepNext w:val="0"/>
        <w:keepLines w:val="0"/>
        <w:kinsoku/>
        <w:wordWrap/>
        <w:overflowPunct w:val="0"/>
        <w:topLinePunct w:val="0"/>
        <w:bidi w:val="0"/>
        <w:snapToGrid/>
        <w:spacing w:line="400" w:lineRule="exact"/>
        <w:rPr>
          <w:rFonts w:hAnsi="宋体" w:cs="宋体"/>
          <w:szCs w:val="24"/>
          <w:u w:color="000000"/>
        </w:rPr>
      </w:pPr>
      <w:r>
        <w:rPr>
          <w:rFonts w:hint="eastAsia" w:hAnsi="宋体" w:cs="宋体"/>
          <w:szCs w:val="24"/>
          <w:u w:color="000000"/>
        </w:rPr>
        <w:t>(1)在合同生效后，买方要求退货的，应向卖方偿付合同总价款的5%，作为违约金，违约金不足以补偿损失的，卖方有权要求甲方补足。</w:t>
      </w:r>
    </w:p>
    <w:p w14:paraId="1986B22A">
      <w:pPr>
        <w:pStyle w:val="7"/>
        <w:keepNext w:val="0"/>
        <w:keepLines w:val="0"/>
        <w:kinsoku/>
        <w:wordWrap/>
        <w:overflowPunct w:val="0"/>
        <w:topLinePunct w:val="0"/>
        <w:bidi w:val="0"/>
        <w:snapToGrid/>
        <w:spacing w:line="400" w:lineRule="exact"/>
        <w:ind w:right="-334" w:rightChars="-159"/>
        <w:rPr>
          <w:rFonts w:hAnsi="宋体" w:cs="宋体"/>
          <w:szCs w:val="24"/>
          <w:u w:color="000000"/>
        </w:rPr>
      </w:pPr>
      <w:r>
        <w:rPr>
          <w:rFonts w:hint="eastAsia" w:hAnsi="宋体" w:cs="宋体"/>
          <w:szCs w:val="24"/>
          <w:u w:color="000000"/>
        </w:rPr>
        <w:t>(2)买方逾期付款的应按照逾期付款金额的每天万分之四支付逾期付款违约金。</w:t>
      </w:r>
    </w:p>
    <w:p w14:paraId="6EC7BC6C">
      <w:pPr>
        <w:pStyle w:val="7"/>
        <w:keepNext w:val="0"/>
        <w:keepLines w:val="0"/>
        <w:kinsoku/>
        <w:wordWrap/>
        <w:overflowPunct w:val="0"/>
        <w:topLinePunct w:val="0"/>
        <w:bidi w:val="0"/>
        <w:snapToGrid/>
        <w:spacing w:line="400" w:lineRule="exact"/>
        <w:rPr>
          <w:rFonts w:hAnsi="宋体" w:cs="宋体"/>
          <w:szCs w:val="24"/>
          <w:u w:color="000000"/>
        </w:rPr>
      </w:pPr>
      <w:r>
        <w:rPr>
          <w:rFonts w:hint="eastAsia" w:hAnsi="宋体" w:cs="宋体"/>
          <w:szCs w:val="24"/>
          <w:u w:color="000000"/>
        </w:rPr>
        <w:t>(3)买方违反合同规定，拒绝接收卖方交付的符合招标文件要求的合格标的物，应当承担卖方由此造成的损失。</w:t>
      </w:r>
    </w:p>
    <w:p w14:paraId="5B7A2BC8">
      <w:pPr>
        <w:keepNext w:val="0"/>
        <w:keepLines w:val="0"/>
        <w:kinsoku/>
        <w:wordWrap/>
        <w:topLinePunct w:val="0"/>
        <w:bidi w:val="0"/>
        <w:snapToGrid/>
        <w:spacing w:line="400" w:lineRule="exact"/>
        <w:rPr>
          <w:rFonts w:ascii="宋体" w:hAnsi="宋体" w:eastAsia="宋体" w:cs="宋体"/>
          <w:sz w:val="24"/>
          <w:szCs w:val="24"/>
        </w:rPr>
      </w:pPr>
      <w:r>
        <w:rPr>
          <w:rFonts w:hint="eastAsia" w:ascii="宋体" w:hAnsi="宋体" w:eastAsia="宋体" w:cs="宋体"/>
          <w:sz w:val="24"/>
          <w:szCs w:val="24"/>
        </w:rPr>
        <w:t>14.卖方违约责任</w:t>
      </w:r>
    </w:p>
    <w:p w14:paraId="14EDBB5E">
      <w:pPr>
        <w:pStyle w:val="7"/>
        <w:keepNext w:val="0"/>
        <w:keepLines w:val="0"/>
        <w:kinsoku/>
        <w:wordWrap/>
        <w:overflowPunct w:val="0"/>
        <w:topLinePunct w:val="0"/>
        <w:bidi w:val="0"/>
        <w:snapToGrid/>
        <w:spacing w:line="400" w:lineRule="exact"/>
        <w:rPr>
          <w:rFonts w:hAnsi="宋体" w:cs="宋体"/>
          <w:szCs w:val="24"/>
          <w:u w:color="000000"/>
        </w:rPr>
      </w:pPr>
      <w:r>
        <w:rPr>
          <w:rFonts w:hint="eastAsia" w:hAnsi="宋体" w:cs="宋体"/>
          <w:szCs w:val="24"/>
          <w:u w:color="000000"/>
        </w:rPr>
        <w:t>(1)卖方不能交货（逾期超过五天视为不能交货），或交货不合格从而影响买方按期正常使用的，应向买方偿付合同总价款5%的违约金，违约金不足以补偿损失的，买方有权要求卖方补足。</w:t>
      </w:r>
    </w:p>
    <w:p w14:paraId="34114DFD">
      <w:pPr>
        <w:pStyle w:val="7"/>
        <w:keepNext w:val="0"/>
        <w:keepLines w:val="0"/>
        <w:kinsoku/>
        <w:wordWrap/>
        <w:overflowPunct w:val="0"/>
        <w:topLinePunct w:val="0"/>
        <w:bidi w:val="0"/>
        <w:snapToGrid/>
        <w:spacing w:line="400" w:lineRule="exact"/>
        <w:rPr>
          <w:rFonts w:hAnsi="宋体" w:cs="宋体"/>
          <w:szCs w:val="24"/>
          <w:u w:color="000000"/>
        </w:rPr>
      </w:pPr>
      <w:r>
        <w:rPr>
          <w:rFonts w:hint="eastAsia" w:hAnsi="宋体" w:cs="宋体"/>
          <w:szCs w:val="24"/>
          <w:u w:color="000000"/>
        </w:rPr>
        <w:t>(2)卖方逾期交货的，应在发货前与买方和政府采购管理部门协商，买方仍需求的，卖方应立即发货并应按照逾期交货部分货款的每天万分之四支付逾期交货违约金，同时承担买方因此遭致的损失费用。</w:t>
      </w:r>
    </w:p>
    <w:p w14:paraId="4A15896C">
      <w:pPr>
        <w:keepNext w:val="0"/>
        <w:keepLines w:val="0"/>
        <w:kinsoku/>
        <w:wordWrap/>
        <w:topLinePunct w:val="0"/>
        <w:bidi w:val="0"/>
        <w:snapToGrid/>
        <w:spacing w:line="400" w:lineRule="exact"/>
        <w:rPr>
          <w:rFonts w:ascii="宋体" w:hAnsi="宋体" w:eastAsia="宋体" w:cs="宋体"/>
          <w:sz w:val="24"/>
          <w:szCs w:val="24"/>
        </w:rPr>
      </w:pPr>
      <w:r>
        <w:rPr>
          <w:rFonts w:hint="eastAsia" w:ascii="宋体" w:hAnsi="宋体" w:eastAsia="宋体" w:cs="宋体"/>
          <w:sz w:val="24"/>
          <w:szCs w:val="24"/>
        </w:rPr>
        <w:t>15.不可抗力</w:t>
      </w:r>
    </w:p>
    <w:p w14:paraId="6D017FB6">
      <w:pPr>
        <w:pStyle w:val="7"/>
        <w:keepNext w:val="0"/>
        <w:keepLines w:val="0"/>
        <w:kinsoku/>
        <w:wordWrap/>
        <w:topLinePunct w:val="0"/>
        <w:bidi w:val="0"/>
        <w:snapToGrid/>
        <w:spacing w:line="400" w:lineRule="exact"/>
        <w:rPr>
          <w:rFonts w:hAnsi="宋体" w:cs="宋体"/>
          <w:szCs w:val="24"/>
          <w:u w:color="000000"/>
        </w:rPr>
      </w:pPr>
      <w:r>
        <w:rPr>
          <w:rFonts w:hint="eastAsia" w:hAnsi="宋体" w:cs="宋体"/>
          <w:szCs w:val="24"/>
          <w:u w:color="000000"/>
        </w:rPr>
        <w:t>(1)因水灾、火灾、地震、战争等不可抗力不能履行合同的，根据不可抗力的影响，部分或者全部免除责任。但合同一方迟延履行后发生不可抗力的，不能免除责任。</w:t>
      </w:r>
    </w:p>
    <w:p w14:paraId="2D7FD746">
      <w:pPr>
        <w:pStyle w:val="7"/>
        <w:keepNext w:val="0"/>
        <w:keepLines w:val="0"/>
        <w:kinsoku/>
        <w:wordWrap/>
        <w:topLinePunct w:val="0"/>
        <w:bidi w:val="0"/>
        <w:snapToGrid/>
        <w:spacing w:line="400" w:lineRule="exact"/>
        <w:rPr>
          <w:rFonts w:hAnsi="宋体" w:cs="宋体"/>
          <w:szCs w:val="24"/>
          <w:u w:color="000000"/>
        </w:rPr>
      </w:pPr>
      <w:r>
        <w:rPr>
          <w:rFonts w:hint="eastAsia" w:hAnsi="宋体" w:cs="宋体"/>
          <w:szCs w:val="24"/>
          <w:u w:color="000000"/>
        </w:rPr>
        <w:t>(2)合同一方因不可抗力不能履行合同的，应当及时通知对方，以减轻可能给对方造成的损失，并应当在合理期限内提供证明。</w:t>
      </w:r>
    </w:p>
    <w:p w14:paraId="3C37B319">
      <w:pPr>
        <w:keepNext w:val="0"/>
        <w:keepLines w:val="0"/>
        <w:kinsoku/>
        <w:wordWrap/>
        <w:topLinePunct w:val="0"/>
        <w:bidi w:val="0"/>
        <w:snapToGrid/>
        <w:spacing w:line="400" w:lineRule="exact"/>
        <w:rPr>
          <w:rFonts w:ascii="宋体" w:hAnsi="宋体" w:eastAsia="宋体" w:cs="宋体"/>
          <w:b/>
          <w:sz w:val="24"/>
          <w:szCs w:val="24"/>
        </w:rPr>
      </w:pPr>
      <w:r>
        <w:rPr>
          <w:rFonts w:hint="eastAsia" w:ascii="宋体" w:hAnsi="宋体" w:eastAsia="宋体" w:cs="宋体"/>
          <w:b/>
          <w:sz w:val="24"/>
          <w:szCs w:val="24"/>
        </w:rPr>
        <w:t>七. 索赔</w:t>
      </w:r>
    </w:p>
    <w:p w14:paraId="1CB09076">
      <w:pPr>
        <w:keepNext w:val="0"/>
        <w:keepLines w:val="0"/>
        <w:kinsoku/>
        <w:wordWrap/>
        <w:topLinePunct w:val="0"/>
        <w:bidi w:val="0"/>
        <w:snapToGrid/>
        <w:spacing w:line="400" w:lineRule="exact"/>
        <w:rPr>
          <w:rFonts w:ascii="宋体" w:hAnsi="宋体" w:eastAsia="宋体" w:cs="宋体"/>
          <w:sz w:val="24"/>
          <w:szCs w:val="24"/>
        </w:rPr>
      </w:pPr>
      <w:r>
        <w:rPr>
          <w:rFonts w:hint="eastAsia" w:ascii="宋体" w:hAnsi="宋体" w:eastAsia="宋体" w:cs="宋体"/>
          <w:sz w:val="24"/>
          <w:szCs w:val="24"/>
        </w:rPr>
        <w:t>16.索赔</w:t>
      </w:r>
    </w:p>
    <w:p w14:paraId="19978CA4">
      <w:pPr>
        <w:pStyle w:val="7"/>
        <w:keepNext w:val="0"/>
        <w:keepLines w:val="0"/>
        <w:kinsoku/>
        <w:wordWrap/>
        <w:overflowPunct w:val="0"/>
        <w:topLinePunct w:val="0"/>
        <w:bidi w:val="0"/>
        <w:snapToGrid/>
        <w:spacing w:line="400" w:lineRule="exact"/>
        <w:ind w:firstLine="600" w:firstLineChars="250"/>
        <w:rPr>
          <w:rFonts w:hAnsi="宋体" w:cs="宋体"/>
          <w:szCs w:val="24"/>
          <w:u w:color="000000"/>
        </w:rPr>
      </w:pPr>
      <w:r>
        <w:rPr>
          <w:rFonts w:hint="eastAsia" w:hAnsi="宋体" w:cs="宋体"/>
          <w:szCs w:val="24"/>
          <w:u w:color="000000"/>
        </w:rPr>
        <w:t>(1)买方有权根据当地产品质量检验机构或其它有权威部门出具的检验证书向卖方提出索赔。</w:t>
      </w:r>
    </w:p>
    <w:p w14:paraId="5B63E272">
      <w:pPr>
        <w:pStyle w:val="7"/>
        <w:keepNext w:val="0"/>
        <w:keepLines w:val="0"/>
        <w:kinsoku/>
        <w:wordWrap/>
        <w:overflowPunct w:val="0"/>
        <w:topLinePunct w:val="0"/>
        <w:bidi w:val="0"/>
        <w:snapToGrid/>
        <w:spacing w:line="400" w:lineRule="exact"/>
        <w:ind w:firstLine="600" w:firstLineChars="250"/>
        <w:rPr>
          <w:rFonts w:hAnsi="宋体" w:cs="宋体"/>
          <w:szCs w:val="24"/>
          <w:u w:color="000000"/>
        </w:rPr>
      </w:pPr>
      <w:r>
        <w:rPr>
          <w:rFonts w:hint="eastAsia" w:hAnsi="宋体" w:cs="宋体"/>
          <w:szCs w:val="24"/>
          <w:u w:color="000000"/>
        </w:rPr>
        <w:t>(2)在本合同规定的检验期和质量保证期内，如果卖方对买方提出的索赔或差异有责任，则卖方应按买方同意的下列一种或多种方式解决索赔事宜：</w:t>
      </w:r>
    </w:p>
    <w:p w14:paraId="474DD87F">
      <w:pPr>
        <w:pStyle w:val="7"/>
        <w:keepNext w:val="0"/>
        <w:keepLines w:val="0"/>
        <w:kinsoku/>
        <w:wordWrap/>
        <w:overflowPunct w:val="0"/>
        <w:topLinePunct w:val="0"/>
        <w:bidi w:val="0"/>
        <w:snapToGrid/>
        <w:spacing w:line="400" w:lineRule="exact"/>
        <w:ind w:firstLine="600" w:firstLineChars="250"/>
        <w:rPr>
          <w:rFonts w:hAnsi="宋体" w:cs="宋体"/>
          <w:szCs w:val="24"/>
          <w:u w:color="000000"/>
        </w:rPr>
      </w:pPr>
      <w:r>
        <w:rPr>
          <w:rFonts w:hint="eastAsia" w:hAnsi="宋体" w:cs="宋体"/>
          <w:szCs w:val="24"/>
          <w:u w:color="000000"/>
        </w:rPr>
        <w:t>&lt;1&gt;卖方同意退货，并按合同规定的货币将货款退还给买方，并承担由此发生的一切损失和费用，包括利息、银行手续费、运费、保险费、检验费、仓储费、装卸费以及为保护退回标的物所需的其它必要费用；</w:t>
      </w:r>
    </w:p>
    <w:p w14:paraId="45C6B312">
      <w:pPr>
        <w:pStyle w:val="7"/>
        <w:keepNext w:val="0"/>
        <w:keepLines w:val="0"/>
        <w:kinsoku/>
        <w:wordWrap/>
        <w:overflowPunct w:val="0"/>
        <w:topLinePunct w:val="0"/>
        <w:bidi w:val="0"/>
        <w:snapToGrid/>
        <w:spacing w:line="400" w:lineRule="exact"/>
        <w:ind w:firstLine="600" w:firstLineChars="250"/>
        <w:rPr>
          <w:rFonts w:hAnsi="宋体" w:cs="宋体"/>
          <w:szCs w:val="24"/>
          <w:u w:color="000000"/>
        </w:rPr>
      </w:pPr>
      <w:r>
        <w:rPr>
          <w:rFonts w:hint="eastAsia" w:hAnsi="宋体" w:cs="宋体"/>
          <w:szCs w:val="24"/>
          <w:u w:color="000000"/>
        </w:rPr>
        <w:t>&lt;2&gt;根据标的物的低劣程度、损坏程度以及甲方遭受损失的数额，经双方协商确定降低标的物的价格；</w:t>
      </w:r>
    </w:p>
    <w:p w14:paraId="3141B9D2">
      <w:pPr>
        <w:pStyle w:val="7"/>
        <w:keepNext w:val="0"/>
        <w:keepLines w:val="0"/>
        <w:kinsoku/>
        <w:wordWrap/>
        <w:overflowPunct w:val="0"/>
        <w:topLinePunct w:val="0"/>
        <w:bidi w:val="0"/>
        <w:snapToGrid/>
        <w:spacing w:line="400" w:lineRule="exact"/>
        <w:ind w:firstLine="600" w:firstLineChars="250"/>
        <w:rPr>
          <w:rFonts w:hAnsi="宋体" w:cs="宋体"/>
          <w:szCs w:val="24"/>
          <w:u w:color="000000"/>
        </w:rPr>
      </w:pPr>
      <w:r>
        <w:rPr>
          <w:rFonts w:hint="eastAsia" w:hAnsi="宋体" w:cs="宋体"/>
          <w:szCs w:val="24"/>
          <w:u w:color="000000"/>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14:paraId="504635A8">
      <w:pPr>
        <w:pStyle w:val="7"/>
        <w:keepNext w:val="0"/>
        <w:keepLines w:val="0"/>
        <w:kinsoku/>
        <w:wordWrap/>
        <w:overflowPunct w:val="0"/>
        <w:topLinePunct w:val="0"/>
        <w:bidi w:val="0"/>
        <w:snapToGrid/>
        <w:spacing w:line="400" w:lineRule="exact"/>
        <w:ind w:firstLine="600" w:firstLineChars="250"/>
        <w:rPr>
          <w:rFonts w:hAnsi="宋体" w:cs="宋体"/>
          <w:szCs w:val="24"/>
          <w:u w:color="000000"/>
        </w:rPr>
      </w:pPr>
      <w:r>
        <w:rPr>
          <w:rFonts w:hint="eastAsia" w:hAnsi="宋体" w:cs="宋体"/>
          <w:szCs w:val="24"/>
          <w:u w:color="000000"/>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14:paraId="7CC4FEBB">
      <w:pPr>
        <w:pStyle w:val="7"/>
        <w:keepNext w:val="0"/>
        <w:keepLines w:val="0"/>
        <w:kinsoku/>
        <w:wordWrap/>
        <w:overflowPunct w:val="0"/>
        <w:topLinePunct w:val="0"/>
        <w:bidi w:val="0"/>
        <w:snapToGrid/>
        <w:spacing w:line="400" w:lineRule="exact"/>
        <w:ind w:firstLine="600" w:firstLineChars="250"/>
        <w:rPr>
          <w:rFonts w:hAnsi="宋体" w:cs="宋体"/>
          <w:szCs w:val="24"/>
          <w:u w:color="000000"/>
        </w:rPr>
      </w:pPr>
      <w:r>
        <w:rPr>
          <w:rFonts w:hint="eastAsia" w:hAnsi="宋体" w:cs="宋体"/>
          <w:szCs w:val="24"/>
          <w:u w:color="000000"/>
        </w:rPr>
        <w:t>(4)买方提出索赔的书面材料应报当地政府采购管理部门备案。卖方同意的索赔方案应报当地政府采购管理部门审核。</w:t>
      </w:r>
    </w:p>
    <w:p w14:paraId="2923881A">
      <w:pPr>
        <w:keepNext w:val="0"/>
        <w:keepLines w:val="0"/>
        <w:kinsoku/>
        <w:wordWrap/>
        <w:topLinePunct w:val="0"/>
        <w:bidi w:val="0"/>
        <w:snapToGrid/>
        <w:spacing w:line="400" w:lineRule="exact"/>
        <w:rPr>
          <w:rFonts w:ascii="宋体" w:hAnsi="宋体" w:eastAsia="宋体" w:cs="宋体"/>
          <w:b/>
          <w:sz w:val="24"/>
          <w:szCs w:val="24"/>
        </w:rPr>
      </w:pPr>
      <w:r>
        <w:rPr>
          <w:rFonts w:hint="eastAsia" w:ascii="宋体" w:hAnsi="宋体" w:eastAsia="宋体" w:cs="宋体"/>
          <w:b/>
          <w:sz w:val="24"/>
          <w:szCs w:val="24"/>
        </w:rPr>
        <w:t>八. 履约保证金</w:t>
      </w:r>
    </w:p>
    <w:p w14:paraId="4F7A65E5">
      <w:pPr>
        <w:keepNext w:val="0"/>
        <w:keepLines w:val="0"/>
        <w:kinsoku/>
        <w:wordWrap/>
        <w:topLinePunct w:val="0"/>
        <w:bidi w:val="0"/>
        <w:snapToGrid/>
        <w:spacing w:line="400" w:lineRule="exact"/>
        <w:rPr>
          <w:rFonts w:ascii="宋体" w:hAnsi="宋体" w:eastAsia="宋体" w:cs="宋体"/>
          <w:sz w:val="24"/>
          <w:szCs w:val="24"/>
        </w:rPr>
      </w:pPr>
      <w:r>
        <w:rPr>
          <w:rFonts w:hint="eastAsia" w:ascii="宋体" w:hAnsi="宋体" w:eastAsia="宋体" w:cs="宋体"/>
          <w:sz w:val="24"/>
          <w:szCs w:val="24"/>
        </w:rPr>
        <w:t>17.履约保证金</w:t>
      </w:r>
    </w:p>
    <w:p w14:paraId="4D6E2106">
      <w:pPr>
        <w:pStyle w:val="7"/>
        <w:keepNext w:val="0"/>
        <w:keepLines w:val="0"/>
        <w:kinsoku/>
        <w:wordWrap/>
        <w:overflowPunct w:val="0"/>
        <w:topLinePunct w:val="0"/>
        <w:bidi w:val="0"/>
        <w:snapToGrid/>
        <w:spacing w:line="400" w:lineRule="exact"/>
        <w:rPr>
          <w:rFonts w:hAnsi="宋体" w:cs="宋体"/>
          <w:szCs w:val="24"/>
          <w:u w:color="000000"/>
        </w:rPr>
      </w:pPr>
      <w:r>
        <w:rPr>
          <w:rFonts w:hint="eastAsia" w:hAnsi="宋体" w:cs="宋体"/>
          <w:szCs w:val="24"/>
          <w:u w:color="000000"/>
        </w:rPr>
        <w:t>(1)卖方应在本合同签订时，按招标文件的约定提供相应的履约保证金，保证金的有效期应不低于合同有效期。</w:t>
      </w:r>
    </w:p>
    <w:p w14:paraId="5A959691">
      <w:pPr>
        <w:pStyle w:val="7"/>
        <w:keepNext w:val="0"/>
        <w:keepLines w:val="0"/>
        <w:kinsoku/>
        <w:wordWrap/>
        <w:overflowPunct w:val="0"/>
        <w:topLinePunct w:val="0"/>
        <w:bidi w:val="0"/>
        <w:snapToGrid/>
        <w:spacing w:line="400" w:lineRule="exact"/>
        <w:ind w:right="-334" w:rightChars="-159"/>
        <w:rPr>
          <w:rFonts w:hAnsi="宋体" w:cs="宋体"/>
          <w:szCs w:val="24"/>
          <w:u w:color="000000"/>
        </w:rPr>
      </w:pPr>
      <w:r>
        <w:rPr>
          <w:rFonts w:hint="eastAsia" w:hAnsi="宋体" w:cs="宋体"/>
          <w:szCs w:val="24"/>
          <w:u w:color="000000"/>
        </w:rPr>
        <w:t>(2)如果卖方未能履行合同规定的任何义务，买方有权从履约保证金中取得补偿。</w:t>
      </w:r>
    </w:p>
    <w:p w14:paraId="6A68539B">
      <w:pPr>
        <w:pStyle w:val="7"/>
        <w:keepNext w:val="0"/>
        <w:keepLines w:val="0"/>
        <w:kinsoku/>
        <w:wordWrap/>
        <w:overflowPunct w:val="0"/>
        <w:topLinePunct w:val="0"/>
        <w:bidi w:val="0"/>
        <w:snapToGrid/>
        <w:spacing w:line="400" w:lineRule="exact"/>
        <w:ind w:right="-334" w:rightChars="-159" w:firstLine="0"/>
        <w:rPr>
          <w:rFonts w:hAnsi="宋体" w:cs="宋体"/>
          <w:b/>
          <w:kern w:val="2"/>
          <w:szCs w:val="24"/>
        </w:rPr>
      </w:pPr>
      <w:r>
        <w:rPr>
          <w:rFonts w:hint="eastAsia" w:hAnsi="宋体" w:cs="宋体"/>
          <w:b/>
          <w:kern w:val="2"/>
          <w:szCs w:val="24"/>
        </w:rPr>
        <w:t>九.  合同的解除和转让</w:t>
      </w:r>
    </w:p>
    <w:p w14:paraId="1872499B">
      <w:pPr>
        <w:keepNext w:val="0"/>
        <w:keepLines w:val="0"/>
        <w:kinsoku/>
        <w:wordWrap/>
        <w:topLinePunct w:val="0"/>
        <w:bidi w:val="0"/>
        <w:snapToGrid/>
        <w:spacing w:line="400" w:lineRule="exact"/>
        <w:rPr>
          <w:rFonts w:ascii="宋体" w:hAnsi="宋体" w:eastAsia="宋体" w:cs="宋体"/>
          <w:sz w:val="24"/>
          <w:szCs w:val="24"/>
        </w:rPr>
      </w:pPr>
      <w:r>
        <w:rPr>
          <w:rFonts w:hint="eastAsia" w:ascii="宋体" w:hAnsi="宋体" w:eastAsia="宋体" w:cs="宋体"/>
          <w:sz w:val="24"/>
          <w:szCs w:val="24"/>
        </w:rPr>
        <w:t>18.合同的解除</w:t>
      </w:r>
    </w:p>
    <w:p w14:paraId="4C70D060">
      <w:pPr>
        <w:pStyle w:val="7"/>
        <w:keepNext w:val="0"/>
        <w:keepLines w:val="0"/>
        <w:kinsoku/>
        <w:wordWrap/>
        <w:topLinePunct w:val="0"/>
        <w:bidi w:val="0"/>
        <w:snapToGrid/>
        <w:spacing w:line="400" w:lineRule="exact"/>
        <w:rPr>
          <w:rFonts w:hAnsi="宋体" w:cs="宋体"/>
          <w:szCs w:val="24"/>
          <w:u w:color="000000"/>
        </w:rPr>
      </w:pPr>
      <w:r>
        <w:rPr>
          <w:rFonts w:hint="eastAsia" w:hAnsi="宋体" w:cs="宋体"/>
          <w:szCs w:val="24"/>
          <w:u w:color="000000"/>
        </w:rPr>
        <w:t>(1)买方和卖方协商一致，可以解除合同。</w:t>
      </w:r>
    </w:p>
    <w:p w14:paraId="0D80FD8C">
      <w:pPr>
        <w:pStyle w:val="7"/>
        <w:keepNext w:val="0"/>
        <w:keepLines w:val="0"/>
        <w:kinsoku/>
        <w:wordWrap/>
        <w:topLinePunct w:val="0"/>
        <w:bidi w:val="0"/>
        <w:snapToGrid/>
        <w:spacing w:line="400" w:lineRule="exact"/>
        <w:rPr>
          <w:rFonts w:hAnsi="宋体" w:cs="宋体"/>
          <w:szCs w:val="24"/>
          <w:u w:color="000000"/>
        </w:rPr>
      </w:pPr>
      <w:r>
        <w:rPr>
          <w:rFonts w:hint="eastAsia" w:hAnsi="宋体" w:cs="宋体"/>
          <w:szCs w:val="24"/>
          <w:u w:color="000000"/>
        </w:rPr>
        <w:t>(2)有下列情形之一，合同一方可以解除合同：</w:t>
      </w:r>
    </w:p>
    <w:p w14:paraId="11097B34">
      <w:pPr>
        <w:pStyle w:val="7"/>
        <w:keepNext w:val="0"/>
        <w:keepLines w:val="0"/>
        <w:kinsoku/>
        <w:wordWrap/>
        <w:topLinePunct w:val="0"/>
        <w:bidi w:val="0"/>
        <w:snapToGrid/>
        <w:spacing w:line="400" w:lineRule="exact"/>
        <w:rPr>
          <w:rFonts w:hAnsi="宋体" w:cs="宋体"/>
          <w:szCs w:val="24"/>
          <w:u w:color="000000"/>
        </w:rPr>
      </w:pPr>
      <w:r>
        <w:rPr>
          <w:rFonts w:hint="eastAsia" w:hAnsi="宋体" w:cs="宋体"/>
          <w:szCs w:val="24"/>
          <w:u w:color="000000"/>
        </w:rPr>
        <w:t>&lt;1&gt;因不可抗力致使不能实现合同目的，未受不可抗力影响的一方有权解除合同；</w:t>
      </w:r>
    </w:p>
    <w:p w14:paraId="2A62BE91">
      <w:pPr>
        <w:pStyle w:val="7"/>
        <w:keepNext w:val="0"/>
        <w:keepLines w:val="0"/>
        <w:kinsoku/>
        <w:wordWrap/>
        <w:topLinePunct w:val="0"/>
        <w:bidi w:val="0"/>
        <w:snapToGrid/>
        <w:spacing w:line="400" w:lineRule="exact"/>
        <w:rPr>
          <w:rFonts w:hAnsi="宋体" w:cs="宋体"/>
          <w:szCs w:val="24"/>
          <w:u w:color="000000"/>
        </w:rPr>
      </w:pPr>
      <w:r>
        <w:rPr>
          <w:rFonts w:hint="eastAsia" w:hAnsi="宋体" w:cs="宋体"/>
          <w:szCs w:val="24"/>
          <w:u w:color="000000"/>
        </w:rPr>
        <w:t>&lt;2&gt;因合同一方违约导致合同不能履行，另一方有权解除合同。</w:t>
      </w:r>
    </w:p>
    <w:p w14:paraId="7F1184DE">
      <w:pPr>
        <w:pStyle w:val="7"/>
        <w:keepNext w:val="0"/>
        <w:keepLines w:val="0"/>
        <w:kinsoku/>
        <w:wordWrap/>
        <w:topLinePunct w:val="0"/>
        <w:bidi w:val="0"/>
        <w:snapToGrid/>
        <w:spacing w:line="400" w:lineRule="exact"/>
        <w:rPr>
          <w:rFonts w:hAnsi="宋体" w:cs="宋体"/>
          <w:szCs w:val="24"/>
          <w:u w:color="000000"/>
        </w:rPr>
      </w:pPr>
      <w:r>
        <w:rPr>
          <w:rFonts w:hint="eastAsia" w:hAnsi="宋体" w:cs="宋体"/>
          <w:szCs w:val="24"/>
          <w:u w:color="000000"/>
        </w:rPr>
        <w:t>(3)有权解除合同的一方，应当在违约事实或不可抗力发生之后三十天内书面通知对方以主张解除合同，合同在书面通知到达对方时解除。</w:t>
      </w:r>
    </w:p>
    <w:p w14:paraId="5DF151BA">
      <w:pPr>
        <w:keepNext w:val="0"/>
        <w:keepLines w:val="0"/>
        <w:kinsoku/>
        <w:wordWrap/>
        <w:topLinePunct w:val="0"/>
        <w:bidi w:val="0"/>
        <w:snapToGrid/>
        <w:spacing w:line="400" w:lineRule="exact"/>
        <w:rPr>
          <w:rFonts w:ascii="宋体" w:hAnsi="宋体" w:eastAsia="宋体" w:cs="宋体"/>
          <w:sz w:val="24"/>
          <w:szCs w:val="24"/>
        </w:rPr>
      </w:pPr>
      <w:r>
        <w:rPr>
          <w:rFonts w:hint="eastAsia" w:ascii="宋体" w:hAnsi="宋体" w:eastAsia="宋体" w:cs="宋体"/>
          <w:sz w:val="24"/>
          <w:szCs w:val="24"/>
        </w:rPr>
        <w:t>19.合同的转让</w:t>
      </w:r>
    </w:p>
    <w:p w14:paraId="26DF6ECB">
      <w:pPr>
        <w:keepNext w:val="0"/>
        <w:keepLines w:val="0"/>
        <w:kinsoku/>
        <w:wordWrap/>
        <w:topLinePunct w:val="0"/>
        <w:bidi w:val="0"/>
        <w:snapToGrid/>
        <w:spacing w:line="400" w:lineRule="exact"/>
        <w:rPr>
          <w:rFonts w:ascii="宋体" w:hAnsi="宋体" w:eastAsia="宋体" w:cs="宋体"/>
          <w:sz w:val="24"/>
          <w:szCs w:val="24"/>
        </w:rPr>
      </w:pPr>
      <w:r>
        <w:rPr>
          <w:rFonts w:hint="eastAsia" w:ascii="宋体" w:hAnsi="宋体" w:eastAsia="宋体" w:cs="宋体"/>
          <w:sz w:val="24"/>
          <w:szCs w:val="24"/>
        </w:rPr>
        <w:t xml:space="preserve">      合同的部分和全部都不得转让。</w:t>
      </w:r>
    </w:p>
    <w:p w14:paraId="5934865B">
      <w:pPr>
        <w:keepNext w:val="0"/>
        <w:keepLines w:val="0"/>
        <w:kinsoku/>
        <w:wordWrap/>
        <w:topLinePunct w:val="0"/>
        <w:bidi w:val="0"/>
        <w:snapToGrid/>
        <w:spacing w:line="400" w:lineRule="exact"/>
        <w:rPr>
          <w:rFonts w:ascii="宋体" w:hAnsi="宋体" w:eastAsia="宋体" w:cs="宋体"/>
          <w:b/>
          <w:sz w:val="24"/>
          <w:szCs w:val="24"/>
        </w:rPr>
      </w:pPr>
      <w:r>
        <w:rPr>
          <w:rFonts w:hint="eastAsia" w:ascii="宋体" w:hAnsi="宋体" w:eastAsia="宋体" w:cs="宋体"/>
          <w:b/>
          <w:sz w:val="24"/>
          <w:szCs w:val="24"/>
        </w:rPr>
        <w:t>十. 合同的生效</w:t>
      </w:r>
    </w:p>
    <w:p w14:paraId="5A6585BC">
      <w:pPr>
        <w:keepNext w:val="0"/>
        <w:keepLines w:val="0"/>
        <w:kinsoku/>
        <w:wordWrap/>
        <w:topLinePunct w:val="0"/>
        <w:bidi w:val="0"/>
        <w:snapToGrid/>
        <w:spacing w:line="400" w:lineRule="exact"/>
        <w:rPr>
          <w:rFonts w:ascii="宋体" w:hAnsi="宋体" w:eastAsia="宋体" w:cs="宋体"/>
          <w:sz w:val="24"/>
          <w:szCs w:val="24"/>
        </w:rPr>
      </w:pPr>
      <w:r>
        <w:rPr>
          <w:rFonts w:hint="eastAsia" w:ascii="宋体" w:hAnsi="宋体" w:eastAsia="宋体" w:cs="宋体"/>
          <w:sz w:val="24"/>
          <w:szCs w:val="24"/>
        </w:rPr>
        <w:t>20.合同的生效</w:t>
      </w:r>
    </w:p>
    <w:p w14:paraId="10C61317">
      <w:pPr>
        <w:keepNext w:val="0"/>
        <w:keepLines w:val="0"/>
        <w:kinsoku/>
        <w:wordWrap/>
        <w:topLinePunct w:val="0"/>
        <w:bidi w:val="0"/>
        <w:snapToGrid/>
        <w:spacing w:line="400" w:lineRule="exact"/>
        <w:ind w:firstLine="664" w:firstLineChars="277"/>
        <w:rPr>
          <w:rFonts w:ascii="宋体" w:hAnsi="宋体" w:eastAsia="宋体" w:cs="宋体"/>
          <w:sz w:val="24"/>
          <w:szCs w:val="24"/>
        </w:rPr>
      </w:pPr>
      <w:r>
        <w:rPr>
          <w:rFonts w:hint="eastAsia" w:ascii="宋体" w:hAnsi="宋体" w:eastAsia="宋体" w:cs="宋体"/>
          <w:sz w:val="24"/>
          <w:szCs w:val="24"/>
        </w:rPr>
        <w:t>本合同在双方签字盖章后生效。</w:t>
      </w:r>
    </w:p>
    <w:p w14:paraId="0B34187F">
      <w:pPr>
        <w:keepNext w:val="0"/>
        <w:keepLines w:val="0"/>
        <w:kinsoku/>
        <w:wordWrap/>
        <w:topLinePunct w:val="0"/>
        <w:bidi w:val="0"/>
        <w:snapToGrid/>
        <w:spacing w:line="400" w:lineRule="exact"/>
        <w:rPr>
          <w:rFonts w:ascii="宋体" w:hAnsi="宋体" w:eastAsia="宋体" w:cs="宋体"/>
          <w:b/>
          <w:sz w:val="24"/>
          <w:szCs w:val="24"/>
        </w:rPr>
      </w:pPr>
      <w:r>
        <w:rPr>
          <w:rFonts w:hint="eastAsia" w:ascii="宋体" w:hAnsi="宋体" w:eastAsia="宋体" w:cs="宋体"/>
          <w:b/>
          <w:sz w:val="24"/>
          <w:szCs w:val="24"/>
        </w:rPr>
        <w:t>十一. 争议解决</w:t>
      </w:r>
    </w:p>
    <w:p w14:paraId="29ED0D7F">
      <w:pPr>
        <w:keepNext w:val="0"/>
        <w:keepLines w:val="0"/>
        <w:kinsoku/>
        <w:wordWrap/>
        <w:topLinePunct w:val="0"/>
        <w:bidi w:val="0"/>
        <w:snapToGrid/>
        <w:spacing w:line="400" w:lineRule="exact"/>
        <w:ind w:firstLine="240" w:firstLineChars="100"/>
        <w:rPr>
          <w:rFonts w:ascii="宋体" w:hAnsi="宋体" w:eastAsia="宋体" w:cs="宋体"/>
          <w:sz w:val="24"/>
          <w:szCs w:val="24"/>
        </w:rPr>
      </w:pPr>
      <w:r>
        <w:rPr>
          <w:rFonts w:hint="eastAsia" w:ascii="宋体" w:hAnsi="宋体" w:eastAsia="宋体" w:cs="宋体"/>
          <w:sz w:val="24"/>
          <w:szCs w:val="24"/>
        </w:rPr>
        <w:t>21.争议解决</w:t>
      </w:r>
    </w:p>
    <w:p w14:paraId="5986060B">
      <w:pPr>
        <w:pStyle w:val="7"/>
        <w:keepNext w:val="0"/>
        <w:keepLines w:val="0"/>
        <w:kinsoku/>
        <w:wordWrap/>
        <w:overflowPunct w:val="0"/>
        <w:topLinePunct w:val="0"/>
        <w:bidi w:val="0"/>
        <w:snapToGrid/>
        <w:spacing w:line="400" w:lineRule="exact"/>
        <w:rPr>
          <w:rFonts w:hAnsi="宋体" w:cs="宋体"/>
          <w:szCs w:val="24"/>
          <w:u w:color="000000"/>
        </w:rPr>
      </w:pPr>
      <w:r>
        <w:rPr>
          <w:rFonts w:hint="eastAsia" w:hAnsi="宋体" w:cs="宋体"/>
          <w:szCs w:val="24"/>
          <w:u w:color="000000"/>
        </w:rPr>
        <w:t>买卖双方因合同发生争议，进行调解，协商不成，可选择：（2）</w:t>
      </w:r>
    </w:p>
    <w:p w14:paraId="6AAC04A3">
      <w:pPr>
        <w:pStyle w:val="7"/>
        <w:keepNext w:val="0"/>
        <w:keepLines w:val="0"/>
        <w:kinsoku/>
        <w:wordWrap/>
        <w:overflowPunct w:val="0"/>
        <w:topLinePunct w:val="0"/>
        <w:bidi w:val="0"/>
        <w:snapToGrid/>
        <w:spacing w:line="400" w:lineRule="exact"/>
        <w:rPr>
          <w:rFonts w:hAnsi="宋体" w:cs="宋体"/>
          <w:szCs w:val="24"/>
          <w:u w:color="000000"/>
        </w:rPr>
      </w:pPr>
      <w:r>
        <w:rPr>
          <w:rFonts w:hint="eastAsia" w:hAnsi="宋体" w:cs="宋体"/>
          <w:szCs w:val="24"/>
          <w:u w:color="000000"/>
        </w:rPr>
        <w:t>(1)双方同时</w:t>
      </w:r>
      <w:r>
        <w:rPr>
          <w:rFonts w:hint="eastAsia" w:hAnsi="宋体" w:cs="宋体"/>
          <w:szCs w:val="24"/>
        </w:rPr>
        <w:t>将争议提交滁州仲裁委员会</w:t>
      </w:r>
      <w:r>
        <w:rPr>
          <w:rFonts w:hint="eastAsia" w:hAnsi="宋体" w:cs="宋体"/>
          <w:szCs w:val="24"/>
          <w:u w:color="000000"/>
        </w:rPr>
        <w:t>进行仲裁；</w:t>
      </w:r>
    </w:p>
    <w:p w14:paraId="61C17F66">
      <w:pPr>
        <w:pStyle w:val="7"/>
        <w:keepNext w:val="0"/>
        <w:keepLines w:val="0"/>
        <w:tabs>
          <w:tab w:val="left" w:pos="900"/>
        </w:tabs>
        <w:kinsoku/>
        <w:wordWrap/>
        <w:overflowPunct w:val="0"/>
        <w:topLinePunct w:val="0"/>
        <w:bidi w:val="0"/>
        <w:snapToGrid/>
        <w:spacing w:line="400" w:lineRule="exact"/>
        <w:rPr>
          <w:rFonts w:hAnsi="宋体" w:cs="宋体"/>
          <w:szCs w:val="24"/>
          <w:u w:color="000000"/>
        </w:rPr>
      </w:pPr>
      <w:r>
        <w:rPr>
          <w:rFonts w:hint="eastAsia" w:hAnsi="宋体" w:cs="宋体"/>
          <w:szCs w:val="24"/>
          <w:u w:color="000000"/>
        </w:rPr>
        <w:t>(2)向买方所在地人民法院提起诉讼。</w:t>
      </w:r>
    </w:p>
    <w:p w14:paraId="0C2A4DEF">
      <w:pPr>
        <w:keepNext w:val="0"/>
        <w:keepLines w:val="0"/>
        <w:kinsoku/>
        <w:wordWrap/>
        <w:topLinePunct w:val="0"/>
        <w:bidi w:val="0"/>
        <w:snapToGrid/>
        <w:spacing w:line="400" w:lineRule="exact"/>
        <w:rPr>
          <w:rFonts w:ascii="宋体" w:hAnsi="宋体" w:eastAsia="宋体" w:cs="宋体"/>
          <w:b/>
          <w:sz w:val="24"/>
          <w:szCs w:val="24"/>
        </w:rPr>
      </w:pPr>
      <w:r>
        <w:rPr>
          <w:rFonts w:hint="eastAsia" w:ascii="宋体" w:hAnsi="宋体" w:eastAsia="宋体" w:cs="宋体"/>
          <w:b/>
          <w:sz w:val="24"/>
          <w:szCs w:val="24"/>
        </w:rPr>
        <w:t>十二 .附则</w:t>
      </w:r>
    </w:p>
    <w:p w14:paraId="0A041E91">
      <w:pPr>
        <w:keepNext w:val="0"/>
        <w:keepLines w:val="0"/>
        <w:kinsoku/>
        <w:wordWrap/>
        <w:topLinePunct w:val="0"/>
        <w:bidi w:val="0"/>
        <w:snapToGrid/>
        <w:spacing w:line="400" w:lineRule="exact"/>
        <w:ind w:firstLine="240" w:firstLineChars="100"/>
        <w:rPr>
          <w:rFonts w:ascii="宋体" w:hAnsi="宋体" w:eastAsia="宋体" w:cs="宋体"/>
          <w:sz w:val="24"/>
          <w:szCs w:val="24"/>
        </w:rPr>
      </w:pPr>
      <w:r>
        <w:rPr>
          <w:rFonts w:hint="eastAsia" w:ascii="宋体" w:hAnsi="宋体" w:eastAsia="宋体" w:cs="宋体"/>
          <w:sz w:val="24"/>
          <w:szCs w:val="24"/>
        </w:rPr>
        <w:t>22.合同份数。</w:t>
      </w:r>
    </w:p>
    <w:p w14:paraId="4DB8E1F4">
      <w:pPr>
        <w:keepNext w:val="0"/>
        <w:keepLines w:val="0"/>
        <w:kinsoku/>
        <w:wordWrap/>
        <w:topLinePunct w:val="0"/>
        <w:bidi w:val="0"/>
        <w:snapToGrid/>
        <w:spacing w:line="400" w:lineRule="exact"/>
        <w:ind w:firstLine="240" w:firstLineChars="100"/>
        <w:rPr>
          <w:rFonts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t xml:space="preserve"> 本合同一式陆份，买卖双方各执二份，招标代理机构一份，招标采购管理部门一份。</w:t>
      </w:r>
    </w:p>
    <w:p w14:paraId="6CDB5407">
      <w:pPr>
        <w:keepNext w:val="0"/>
        <w:keepLines w:val="0"/>
        <w:kinsoku/>
        <w:wordWrap/>
        <w:topLinePunct w:val="0"/>
        <w:bidi w:val="0"/>
        <w:snapToGrid/>
        <w:spacing w:line="400" w:lineRule="exact"/>
        <w:ind w:firstLine="240" w:firstLineChars="100"/>
        <w:rPr>
          <w:rFonts w:ascii="宋体" w:hAnsi="宋体" w:eastAsia="宋体" w:cs="宋体"/>
          <w:sz w:val="24"/>
          <w:szCs w:val="24"/>
        </w:rPr>
      </w:pPr>
      <w:r>
        <w:rPr>
          <w:rFonts w:hint="eastAsia" w:ascii="宋体" w:hAnsi="宋体" w:eastAsia="宋体" w:cs="宋体"/>
          <w:sz w:val="24"/>
          <w:szCs w:val="24"/>
        </w:rPr>
        <w:t>23.未尽事宜</w:t>
      </w:r>
    </w:p>
    <w:p w14:paraId="516AE0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664" w:firstLineChars="277"/>
        <w:jc w:val="both"/>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sz w:val="24"/>
          <w:szCs w:val="24"/>
        </w:rPr>
        <w:t>本合同未尽事宜应按《中华人民共和国政府采购法》、《中华人民共和国民法典》、《中华人民共和国产品质量法》之规定解释。</w:t>
      </w:r>
    </w:p>
    <w:p w14:paraId="0DBD3D32">
      <w:pPr>
        <w:jc w:val="center"/>
        <w:rPr>
          <w:rFonts w:hint="eastAsia" w:ascii="方正楷体_GB2312" w:hAnsi="方正楷体_GB2312" w:eastAsia="方正楷体_GB2312" w:cs="方正楷体_GB2312"/>
          <w:b/>
          <w:sz w:val="32"/>
          <w:szCs w:val="32"/>
        </w:rPr>
      </w:pPr>
      <w:r>
        <w:rPr>
          <w:rFonts w:hint="eastAsia" w:asciiTheme="minorEastAsia" w:hAnsiTheme="minorEastAsia" w:eastAsiaTheme="minorEastAsia"/>
          <w:b/>
          <w:color w:val="auto"/>
          <w:sz w:val="28"/>
          <w:highlight w:val="none"/>
        </w:rPr>
        <w:br w:type="page"/>
      </w:r>
      <w:r>
        <w:rPr>
          <w:rFonts w:hint="eastAsia" w:ascii="方正楷体_GB2312" w:hAnsi="方正楷体_GB2312" w:eastAsia="方正楷体_GB2312" w:cs="方正楷体_GB2312"/>
          <w:b/>
          <w:sz w:val="32"/>
          <w:szCs w:val="32"/>
        </w:rPr>
        <w:t>项目验收标准</w:t>
      </w:r>
    </w:p>
    <w:p w14:paraId="23DAFF0A">
      <w:pPr>
        <w:keepNext w:val="0"/>
        <w:keepLines w:val="0"/>
        <w:kinsoku/>
        <w:wordWrap/>
        <w:topLinePunct w:val="0"/>
        <w:bidi w:val="0"/>
        <w:snapToGrid/>
        <w:spacing w:line="400" w:lineRule="exac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一、验收总则</w:t>
      </w:r>
    </w:p>
    <w:p w14:paraId="2414A3AB">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1.本标准适用于滁州技师学院新校区大礼堂大屏及电动窗帘建设项目（项目编号：czsjcg202507-020）的全部货物供货、安装、调试及集成服务的验收工作。</w:t>
      </w:r>
    </w:p>
    <w:p w14:paraId="5B82D0A1">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2.验收工作遵循客观公正、科学规范、数据可测、责任明确的原则，严格依据国家法律法规、行业标准、招标文件、中标人投标文件及双方签订的政府采购合同执行。</w:t>
      </w:r>
    </w:p>
    <w:p w14:paraId="7F69F227">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3.本项目验收分为到货验收、安装调试验收、试运行验收、竣工验收四个阶段，所有阶段验收合格后方可视为项目整体验收通过。</w:t>
      </w:r>
    </w:p>
    <w:p w14:paraId="606323C3">
      <w:pPr>
        <w:keepNext w:val="0"/>
        <w:keepLines w:val="0"/>
        <w:kinsoku/>
        <w:wordWrap/>
        <w:topLinePunct w:val="0"/>
        <w:bidi w:val="0"/>
        <w:snapToGrid/>
        <w:spacing w:line="400" w:lineRule="exac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二、验收依据</w:t>
      </w:r>
    </w:p>
    <w:p w14:paraId="7E3BD775">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1.本项目招标及补充文件</w:t>
      </w:r>
    </w:p>
    <w:p w14:paraId="53A1B183">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2.中标人提交的投标文件及双方签订的合同</w:t>
      </w:r>
    </w:p>
    <w:p w14:paraId="12813B9A">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3.国家及行业现行标准规范：</w:t>
      </w:r>
    </w:p>
    <w:p w14:paraId="4FB1187A">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①LED显示屏相关：GB/T4857.1-2019、GB7000.1-2023、SJ/T11141-2025</w:t>
      </w:r>
    </w:p>
    <w:p w14:paraId="4B266B3D">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②电气安装相关：GB50168-2018、GB50254-2014、GB/T4208-2017</w:t>
      </w:r>
    </w:p>
    <w:p w14:paraId="5EFFC109">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③节能产品相关：《节能产品政府采购品目清单》及对应认证标准</w:t>
      </w:r>
    </w:p>
    <w:p w14:paraId="13B20B47">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④舞台机械相关：WH/T37-2009、GB50719-2011</w:t>
      </w:r>
    </w:p>
    <w:p w14:paraId="0EF744E0">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⑤信息系统集成相关：GB/T28181-2022、GB/T22239-2019</w:t>
      </w:r>
    </w:p>
    <w:p w14:paraId="09F3BA46">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注：如有最新标准的，以最新现行标准为准。</w:t>
      </w:r>
    </w:p>
    <w:p w14:paraId="44B5995F">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4.中标人提供的产品合格证、3C认证证书等全套技术资料</w:t>
      </w:r>
    </w:p>
    <w:p w14:paraId="2248485A">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5.政府采购相关政策要求：财办库〔2020〕123号、皖财购〔2023〕853号等</w:t>
      </w:r>
    </w:p>
    <w:p w14:paraId="6632A922">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6.按采购合同、投标文件、招标及补充文件（含图纸）要求进行验收。</w:t>
      </w:r>
    </w:p>
    <w:p w14:paraId="2B1106C7">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以上文件无要求的按以下排序进行：法律&gt;行政法规&gt;强制性国标（GB）&gt;推荐性国标&gt;推荐性行标，若多份验收依据内容冲突，按此排序决定最终依据。（如采购合同、投标文件、招标及补充文件（含图纸）要求低于强制性国标（GB），则执行强制性国标（GB））</w:t>
      </w:r>
    </w:p>
    <w:p w14:paraId="2FE26263">
      <w:pPr>
        <w:keepNext w:val="0"/>
        <w:keepLines w:val="0"/>
        <w:kinsoku/>
        <w:wordWrap/>
        <w:topLinePunct w:val="0"/>
        <w:bidi w:val="0"/>
        <w:snapToGrid/>
        <w:spacing w:line="400" w:lineRule="exac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三、验收阶段及核心要求</w:t>
      </w:r>
    </w:p>
    <w:p w14:paraId="697120F1">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（一）到货验收（货物送达现场后3个工作日内完成）</w:t>
      </w:r>
    </w:p>
    <w:p w14:paraId="0A591A88">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1.外观与数量验收</w:t>
      </w:r>
    </w:p>
    <w:p w14:paraId="1CBC8EAF">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①所有货物为全新、未使用过的原装正品，包装完好无破损、受潮、变形，包装标识清晰完整。</w:t>
      </w:r>
    </w:p>
    <w:p w14:paraId="3700A369">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②核对货物名称、型号、规格、数量、生产厂家与合同一致，无缺件、错件。</w:t>
      </w:r>
    </w:p>
    <w:p w14:paraId="5C95E978">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③LED显示屏模组、箱体无划痕、变形、磕碰，电动窗帘轨道、电机无锈蚀、变形，线缆无破损、断裂。</w:t>
      </w:r>
    </w:p>
    <w:p w14:paraId="7F2C040C">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2.资质文件验收</w:t>
      </w:r>
    </w:p>
    <w:p w14:paraId="7F50741E">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提供所有货物的原厂产品合格证，有国家强制性3C认证要求的产品须提供有效期内的3C认证证书。</w:t>
      </w:r>
    </w:p>
    <w:p w14:paraId="157377F5">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3.包装与环保验收</w:t>
      </w:r>
    </w:p>
    <w:p w14:paraId="0253A7CE">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①商品包装及快递包装符合财办库〔2020〕123号、皖财购〔2023〕853号要求，无过度包装。</w:t>
      </w:r>
    </w:p>
    <w:p w14:paraId="2BEFCC46">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②包装废弃物由中标人负责清理并合规处置，不得遗留现场。</w:t>
      </w:r>
    </w:p>
    <w:p w14:paraId="7D853C8B">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（二）安装调试验收（安装调试完成后5个工作日内完成）</w:t>
      </w:r>
    </w:p>
    <w:p w14:paraId="6E123E1B">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中标人完成全部货物安装、接线、调试后，向采购人提交安装调试验收申请，采购人组织对系统功能、性能及安装质量进行验收。</w:t>
      </w:r>
    </w:p>
    <w:p w14:paraId="3702BF64">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验收方法包括但不限于目视、触摸、现场测量、专业仪器检测。</w:t>
      </w:r>
    </w:p>
    <w:p w14:paraId="4C4D047E">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（三）试运行验收（连续试运行7个日历天）</w:t>
      </w:r>
    </w:p>
    <w:p w14:paraId="4A60BBF4">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安装调试验收合格后，系统进入7天连续试运行阶段，由采购人安排人员实际操作使用，中标人全程配合。</w:t>
      </w:r>
    </w:p>
    <w:p w14:paraId="15A02D47">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中标人须安排专人驻场保障，故障响应时间≤2小时，现场修复时间≤24小时。</w:t>
      </w:r>
    </w:p>
    <w:p w14:paraId="57B1B0CF">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试运行结束后，中标人提交《试运行报告》，详细记录试运行期间的运行数据、故障情况及处理结果。</w:t>
      </w:r>
    </w:p>
    <w:p w14:paraId="2D9CE8C2">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（四）竣工验收（试运行合格后7个工作日内完成）</w:t>
      </w:r>
    </w:p>
    <w:p w14:paraId="2AC453D0">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采购人组织验收小组，依据本标准对项目进行全面竣工验收。</w:t>
      </w:r>
    </w:p>
    <w:p w14:paraId="102E4C4B">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验收小组听取中标人项目实施汇报，查阅全套验收资料，对系统功能、性能进行抽样复测。</w:t>
      </w:r>
    </w:p>
    <w:p w14:paraId="0A93ECD4">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验收合格条件：</w:t>
      </w:r>
    </w:p>
    <w:p w14:paraId="51F7D0AA">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1.所有到货验收、安装调试验收项目全部合格。</w:t>
      </w:r>
    </w:p>
    <w:p w14:paraId="484BEC3E">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2.试运行期间运行稳定，满足试运行要求。</w:t>
      </w:r>
    </w:p>
    <w:p w14:paraId="6BA954F2">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3.全套验收资料齐全、规范，与实际系统一致。</w:t>
      </w:r>
    </w:p>
    <w:p w14:paraId="41D3535A">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完成对采购人操作人员及管理员的培训，参训人员能独立操作及进行日常维护。</w:t>
      </w:r>
    </w:p>
    <w:p w14:paraId="158A985E">
      <w:pPr>
        <w:keepNext w:val="0"/>
        <w:keepLines w:val="0"/>
        <w:kinsoku/>
        <w:wordWrap/>
        <w:topLinePunct w:val="0"/>
        <w:bidi w:val="0"/>
        <w:snapToGrid/>
        <w:spacing w:line="400" w:lineRule="exac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四、验收资料要求</w:t>
      </w:r>
    </w:p>
    <w:p w14:paraId="1A1E69D0">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中标人须在最终竣工验收前提交以下纸质版（加盖公章）及电子版（U盘存储）资料各2套：</w:t>
      </w:r>
    </w:p>
    <w:p w14:paraId="3D7B43B4">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1.项目验收申请函</w:t>
      </w:r>
    </w:p>
    <w:p w14:paraId="394DB535">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2.到货验收单及开箱检验记录</w:t>
      </w:r>
    </w:p>
    <w:p w14:paraId="43F60A9C">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3.产品合格证、3C认证证书、第三方检测报告全套</w:t>
      </w:r>
    </w:p>
    <w:p w14:paraId="04AD968E">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4.LED屏原厂生产承诺函</w:t>
      </w:r>
    </w:p>
    <w:p w14:paraId="0A48A8F2">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5.安装调试记录、系统测试报告</w:t>
      </w:r>
    </w:p>
    <w:p w14:paraId="00EB8911">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6.试运行报告及故障处理记录</w:t>
      </w:r>
    </w:p>
    <w:p w14:paraId="24172D73">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7.技术文档：</w:t>
      </w:r>
    </w:p>
    <w:p w14:paraId="472003EA">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①用户操作手册、管理员维护手册</w:t>
      </w:r>
    </w:p>
    <w:p w14:paraId="323FF73E">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②系统安装部署手册、数据库备份手册</w:t>
      </w:r>
    </w:p>
    <w:p w14:paraId="30FAC530">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③接口文档、设备接线图、系统拓扑图</w:t>
      </w:r>
    </w:p>
    <w:p w14:paraId="2E731B94">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④培训资料及培训签到表、培训考核记录</w:t>
      </w:r>
    </w:p>
    <w:p w14:paraId="75BA16D6">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⑤售后服务承诺书、质保承诺书</w:t>
      </w:r>
    </w:p>
    <w:p w14:paraId="35886E29">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⑥中标通知书、政府采购合同复印件</w:t>
      </w:r>
    </w:p>
    <w:p w14:paraId="533377D5">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⑦其他需要提交的资料</w:t>
      </w:r>
    </w:p>
    <w:p w14:paraId="7CD4B72D">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8.其他需要提交的资料</w:t>
      </w:r>
    </w:p>
    <w:p w14:paraId="03F2CE93">
      <w:pPr>
        <w:keepNext w:val="0"/>
        <w:keepLines w:val="0"/>
        <w:kinsoku/>
        <w:wordWrap/>
        <w:topLinePunct w:val="0"/>
        <w:bidi w:val="0"/>
        <w:snapToGrid/>
        <w:spacing w:line="400" w:lineRule="exac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五、验收结论与争议处理</w:t>
      </w:r>
    </w:p>
    <w:p w14:paraId="5CAA4654">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验收小组根据验收情况出具《验收报告》，结论分为验收合格、限期整改后验收、验收不合格三种。</w:t>
      </w:r>
    </w:p>
    <w:p w14:paraId="4CD09FF9">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验收合格：所有验收项目符合要求，验收小组签字确认，项目进入质保期。</w:t>
      </w:r>
    </w:p>
    <w:p w14:paraId="7108F060">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限期整改后验收：存在一般缺陷但不影响系统正常使用的，中标人须在15个日历天内完成整改，整改完成后重新申请验收。</w:t>
      </w:r>
    </w:p>
    <w:p w14:paraId="2BB801C6">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验收不合格：存在重大质量问题、关键技术参数不达标或整改后仍不符合要求的，视为验收不合格，采购人有权解除合同，并追究中标人的违约责任。</w:t>
      </w:r>
    </w:p>
    <w:p w14:paraId="1D236F18">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验收过程中发生争议的，由双方协商解决；协商不成的，可向项目所在地政府采购监督管理部门申请调解，或依法向项目所在地人民法院提起诉讼。</w:t>
      </w:r>
    </w:p>
    <w:p w14:paraId="1D6EC113">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六、特殊条款</w:t>
      </w:r>
    </w:p>
    <w:p w14:paraId="2AA90A2C">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本项目免费质保期自最终验收合格之日起计算，质保期内中标人须提供7×24小时技术支持，故障响应时间≤24小时。</w:t>
      </w:r>
    </w:p>
    <w:p w14:paraId="1D2587E5">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中标人须提供8年免费会议保障服务，根据采购人要求提前派驻人员到场进行设备调试及全程保障，保障次数及人员要求按采购人实际需求执行。</w:t>
      </w:r>
    </w:p>
    <w:p w14:paraId="03243C0F">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软件系统终身免费升级，中标人须及时提供新版本升级服务，确保系统功能持续完善。</w:t>
      </w:r>
    </w:p>
    <w:p w14:paraId="4FE6A386">
      <w:pPr>
        <w:keepNext w:val="0"/>
        <w:keepLines w:val="0"/>
        <w:kinsoku/>
        <w:wordWrap/>
        <w:topLinePunct w:val="0"/>
        <w:bidi w:val="0"/>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本验收标准未尽事宜，按照招标文件、投标文件及国家相关标准执行。</w:t>
      </w:r>
    </w:p>
    <w:p w14:paraId="03B0E4D0"/>
    <w:p w14:paraId="62B12219">
      <w:pPr>
        <w:rPr>
          <w:rFonts w:hint="eastAsia" w:asciiTheme="minorEastAsia" w:hAnsiTheme="minorEastAsia" w:eastAsiaTheme="minorEastAsia"/>
          <w:b/>
          <w:color w:val="auto"/>
          <w:sz w:val="28"/>
          <w:highlight w:val="none"/>
        </w:rPr>
      </w:pPr>
    </w:p>
    <w:p w14:paraId="682D4B74">
      <w:pPr>
        <w:keepNext w:val="0"/>
        <w:keepLines w:val="0"/>
        <w:pageBreakBefore/>
        <w:widowControl w:val="0"/>
        <w:kinsoku/>
        <w:wordWrap/>
        <w:overflowPunct/>
        <w:topLinePunct w:val="0"/>
        <w:autoSpaceDE/>
        <w:autoSpaceDN/>
        <w:bidi w:val="0"/>
        <w:adjustRightInd/>
        <w:snapToGrid/>
        <w:spacing w:line="360" w:lineRule="auto"/>
        <w:jc w:val="center"/>
        <w:textAlignment w:val="auto"/>
        <w:outlineLvl w:val="0"/>
        <w:rPr>
          <w:rFonts w:asciiTheme="minorEastAsia" w:hAnsiTheme="minorEastAsia" w:eastAsiaTheme="minorEastAsia"/>
          <w:b/>
          <w:color w:val="auto"/>
          <w:sz w:val="28"/>
          <w:highlight w:val="none"/>
        </w:rPr>
      </w:pPr>
      <w:bookmarkStart w:id="52" w:name="_Toc22711"/>
      <w:r>
        <w:rPr>
          <w:rFonts w:hint="eastAsia" w:asciiTheme="minorEastAsia" w:hAnsiTheme="minorEastAsia" w:eastAsiaTheme="minorEastAsia"/>
          <w:b/>
          <w:color w:val="auto"/>
          <w:sz w:val="28"/>
          <w:highlight w:val="none"/>
        </w:rPr>
        <w:t>第六章  投标文件格式</w:t>
      </w:r>
      <w:bookmarkEnd w:id="52"/>
    </w:p>
    <w:p w14:paraId="597E24F1">
      <w:pPr>
        <w:spacing w:line="900" w:lineRule="exact"/>
        <w:jc w:val="center"/>
        <w:rPr>
          <w:rFonts w:asciiTheme="minorEastAsia" w:hAnsiTheme="minorEastAsia" w:eastAsiaTheme="minorEastAsia"/>
          <w:b/>
          <w:color w:val="auto"/>
          <w:sz w:val="72"/>
          <w:highlight w:val="none"/>
        </w:rPr>
      </w:pPr>
    </w:p>
    <w:p w14:paraId="5F1B657B">
      <w:pPr>
        <w:spacing w:line="900" w:lineRule="exact"/>
        <w:jc w:val="center"/>
        <w:outlineLvl w:val="1"/>
        <w:rPr>
          <w:rFonts w:asciiTheme="minorEastAsia" w:hAnsiTheme="minorEastAsia" w:eastAsiaTheme="minorEastAsia"/>
          <w:b/>
          <w:color w:val="auto"/>
          <w:sz w:val="72"/>
          <w:highlight w:val="none"/>
        </w:rPr>
      </w:pPr>
      <w:bookmarkStart w:id="53" w:name="_Toc651"/>
      <w:bookmarkStart w:id="54" w:name="_Toc11140"/>
      <w:r>
        <w:rPr>
          <w:rFonts w:hint="eastAsia" w:asciiTheme="minorEastAsia" w:hAnsiTheme="minorEastAsia" w:eastAsiaTheme="minorEastAsia"/>
          <w:b/>
          <w:color w:val="auto"/>
          <w:sz w:val="72"/>
          <w:highlight w:val="none"/>
        </w:rPr>
        <w:t>投</w:t>
      </w:r>
      <w:bookmarkEnd w:id="53"/>
      <w:bookmarkEnd w:id="54"/>
    </w:p>
    <w:p w14:paraId="151E7C31">
      <w:pPr>
        <w:spacing w:line="900" w:lineRule="exact"/>
        <w:jc w:val="center"/>
        <w:rPr>
          <w:rFonts w:asciiTheme="minorEastAsia" w:hAnsiTheme="minorEastAsia" w:eastAsiaTheme="minorEastAsia"/>
          <w:b/>
          <w:color w:val="auto"/>
          <w:sz w:val="72"/>
          <w:highlight w:val="none"/>
        </w:rPr>
      </w:pPr>
    </w:p>
    <w:p w14:paraId="2562A624">
      <w:pPr>
        <w:spacing w:line="900" w:lineRule="exact"/>
        <w:jc w:val="center"/>
        <w:outlineLvl w:val="1"/>
        <w:rPr>
          <w:rFonts w:asciiTheme="minorEastAsia" w:hAnsiTheme="minorEastAsia" w:eastAsiaTheme="minorEastAsia"/>
          <w:b/>
          <w:color w:val="auto"/>
          <w:sz w:val="72"/>
          <w:highlight w:val="none"/>
        </w:rPr>
      </w:pPr>
      <w:bookmarkStart w:id="55" w:name="_Toc6275"/>
      <w:bookmarkStart w:id="56" w:name="_Toc6148"/>
      <w:r>
        <w:rPr>
          <w:rFonts w:hint="eastAsia" w:asciiTheme="minorEastAsia" w:hAnsiTheme="minorEastAsia" w:eastAsiaTheme="minorEastAsia"/>
          <w:b/>
          <w:color w:val="auto"/>
          <w:sz w:val="72"/>
          <w:highlight w:val="none"/>
        </w:rPr>
        <w:t>标</w:t>
      </w:r>
      <w:bookmarkEnd w:id="55"/>
      <w:bookmarkEnd w:id="56"/>
    </w:p>
    <w:p w14:paraId="194745C5">
      <w:pPr>
        <w:spacing w:line="900" w:lineRule="exact"/>
        <w:jc w:val="center"/>
        <w:rPr>
          <w:rFonts w:asciiTheme="minorEastAsia" w:hAnsiTheme="minorEastAsia" w:eastAsiaTheme="minorEastAsia"/>
          <w:b/>
          <w:color w:val="auto"/>
          <w:sz w:val="72"/>
          <w:highlight w:val="none"/>
        </w:rPr>
      </w:pPr>
    </w:p>
    <w:p w14:paraId="41E80372">
      <w:pPr>
        <w:spacing w:line="900" w:lineRule="exact"/>
        <w:jc w:val="center"/>
        <w:outlineLvl w:val="1"/>
        <w:rPr>
          <w:rFonts w:asciiTheme="minorEastAsia" w:hAnsiTheme="minorEastAsia" w:eastAsiaTheme="minorEastAsia"/>
          <w:b/>
          <w:color w:val="auto"/>
          <w:sz w:val="72"/>
          <w:highlight w:val="none"/>
        </w:rPr>
      </w:pPr>
      <w:bookmarkStart w:id="57" w:name="_Toc1338"/>
      <w:bookmarkStart w:id="58" w:name="_Toc6016"/>
      <w:r>
        <w:rPr>
          <w:rFonts w:hint="eastAsia" w:asciiTheme="minorEastAsia" w:hAnsiTheme="minorEastAsia" w:eastAsiaTheme="minorEastAsia"/>
          <w:b/>
          <w:color w:val="auto"/>
          <w:sz w:val="72"/>
          <w:highlight w:val="none"/>
        </w:rPr>
        <w:t>文</w:t>
      </w:r>
      <w:bookmarkEnd w:id="57"/>
      <w:bookmarkEnd w:id="58"/>
    </w:p>
    <w:p w14:paraId="25463D15">
      <w:pPr>
        <w:spacing w:line="900" w:lineRule="exact"/>
        <w:jc w:val="center"/>
        <w:rPr>
          <w:rFonts w:asciiTheme="minorEastAsia" w:hAnsiTheme="minorEastAsia" w:eastAsiaTheme="minorEastAsia"/>
          <w:b/>
          <w:color w:val="auto"/>
          <w:sz w:val="72"/>
          <w:highlight w:val="none"/>
        </w:rPr>
      </w:pPr>
    </w:p>
    <w:p w14:paraId="10FE9B54">
      <w:pPr>
        <w:jc w:val="center"/>
        <w:outlineLvl w:val="1"/>
        <w:rPr>
          <w:rFonts w:asciiTheme="minorEastAsia" w:hAnsiTheme="minorEastAsia" w:eastAsiaTheme="minorEastAsia"/>
          <w:b/>
          <w:color w:val="auto"/>
          <w:sz w:val="72"/>
          <w:highlight w:val="none"/>
        </w:rPr>
      </w:pPr>
      <w:bookmarkStart w:id="59" w:name="_Toc10796"/>
      <w:bookmarkStart w:id="60" w:name="_Toc9743"/>
      <w:r>
        <w:rPr>
          <w:rFonts w:hint="eastAsia" w:asciiTheme="minorEastAsia" w:hAnsiTheme="minorEastAsia" w:eastAsiaTheme="minorEastAsia"/>
          <w:b/>
          <w:color w:val="auto"/>
          <w:sz w:val="72"/>
          <w:highlight w:val="none"/>
        </w:rPr>
        <w:t>件</w:t>
      </w:r>
      <w:bookmarkEnd w:id="59"/>
      <w:bookmarkEnd w:id="60"/>
    </w:p>
    <w:p w14:paraId="100863D2">
      <w:pPr>
        <w:spacing w:after="156" w:afterLines="50"/>
        <w:jc w:val="center"/>
        <w:rPr>
          <w:rFonts w:asciiTheme="minorEastAsia" w:hAnsiTheme="minorEastAsia" w:eastAsiaTheme="minorEastAsia"/>
          <w:b/>
          <w:color w:val="auto"/>
          <w:sz w:val="72"/>
          <w:highlight w:val="none"/>
        </w:rPr>
      </w:pPr>
    </w:p>
    <w:p w14:paraId="7543BA23">
      <w:pPr>
        <w:spacing w:before="156" w:beforeLines="50" w:after="156" w:afterLines="50"/>
        <w:jc w:val="center"/>
        <w:outlineLvl w:val="9"/>
        <w:rPr>
          <w:rFonts w:asciiTheme="minorEastAsia" w:hAnsiTheme="minorEastAsia" w:eastAsiaTheme="minorEastAsia"/>
          <w:b/>
          <w:color w:val="auto"/>
          <w:sz w:val="32"/>
          <w:szCs w:val="32"/>
          <w:highlight w:val="none"/>
        </w:rPr>
      </w:pPr>
    </w:p>
    <w:p w14:paraId="36F96B57">
      <w:pPr>
        <w:spacing w:after="156" w:afterLines="50" w:line="500" w:lineRule="exact"/>
        <w:jc w:val="center"/>
        <w:rPr>
          <w:rFonts w:asciiTheme="minorEastAsia" w:hAnsiTheme="minorEastAsia" w:eastAsiaTheme="minorEastAsia"/>
          <w:b/>
          <w:color w:val="auto"/>
          <w:sz w:val="28"/>
          <w:szCs w:val="28"/>
          <w:highlight w:val="none"/>
        </w:rPr>
      </w:pPr>
    </w:p>
    <w:p w14:paraId="52203803">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B035378">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E81238D">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 xml:space="preserve">投 </w:t>
      </w:r>
      <w:r>
        <w:rPr>
          <w:rFonts w:hint="eastAsia" w:asciiTheme="minorEastAsia" w:hAnsiTheme="minorEastAsia" w:eastAsiaTheme="minorEastAsia"/>
          <w:b/>
          <w:color w:val="auto"/>
          <w:sz w:val="32"/>
          <w:highlight w:val="none"/>
        </w:rPr>
        <w:t>标</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人：</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A1AA654">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61" w:name="_Toc9994"/>
      <w:bookmarkStart w:id="62" w:name="_Toc32639"/>
      <w:bookmarkStart w:id="63"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61"/>
      <w:bookmarkEnd w:id="62"/>
      <w:bookmarkEnd w:id="63"/>
    </w:p>
    <w:p w14:paraId="79FBBE57">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215D400B">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kern w:val="2"/>
          <w:sz w:val="28"/>
          <w:szCs w:val="28"/>
          <w:highlight w:val="none"/>
        </w:rPr>
      </w:pPr>
      <w:bookmarkStart w:id="64" w:name="_Toc28960"/>
      <w:bookmarkStart w:id="65" w:name="_Toc5555"/>
      <w:r>
        <w:rPr>
          <w:rFonts w:hint="eastAsia" w:ascii="宋体" w:hAnsi="宋体" w:eastAsia="宋体" w:cs="宋体"/>
          <w:b/>
          <w:bCs w:val="0"/>
          <w:color w:val="auto"/>
          <w:kern w:val="2"/>
          <w:sz w:val="28"/>
          <w:szCs w:val="28"/>
          <w:highlight w:val="none"/>
          <w:lang w:val="en-US" w:eastAsia="zh-CN" w:bidi="ar"/>
        </w:rPr>
        <w:t>一、资信证明格式文件</w:t>
      </w:r>
    </w:p>
    <w:p w14:paraId="6E693C94">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kern w:val="2"/>
          <w:sz w:val="44"/>
          <w:szCs w:val="44"/>
          <w:highlight w:val="none"/>
        </w:rPr>
      </w:pPr>
      <w:r>
        <w:rPr>
          <w:rFonts w:hint="eastAsia" w:ascii="宋体" w:hAnsi="宋体" w:eastAsia="宋体" w:cs="宋体"/>
          <w:b/>
          <w:bCs w:val="0"/>
          <w:color w:val="auto"/>
          <w:kern w:val="2"/>
          <w:sz w:val="44"/>
          <w:szCs w:val="44"/>
          <w:highlight w:val="none"/>
          <w:lang w:val="en-US" w:eastAsia="zh-CN" w:bidi="ar"/>
        </w:rPr>
        <w:t xml:space="preserve"> </w:t>
      </w:r>
    </w:p>
    <w:p w14:paraId="1D11EA15">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kern w:val="2"/>
          <w:sz w:val="44"/>
          <w:szCs w:val="44"/>
          <w:highlight w:val="none"/>
        </w:rPr>
      </w:pPr>
      <w:r>
        <w:rPr>
          <w:rFonts w:hint="eastAsia" w:ascii="宋体" w:hAnsi="宋体" w:eastAsia="宋体" w:cs="宋体"/>
          <w:b/>
          <w:bCs w:val="0"/>
          <w:color w:val="auto"/>
          <w:kern w:val="2"/>
          <w:sz w:val="44"/>
          <w:szCs w:val="44"/>
          <w:highlight w:val="none"/>
          <w:lang w:val="en-US" w:eastAsia="zh-CN" w:bidi="ar"/>
        </w:rPr>
        <w:t xml:space="preserve"> </w:t>
      </w:r>
    </w:p>
    <w:p w14:paraId="69C88FDC">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kern w:val="2"/>
          <w:sz w:val="44"/>
          <w:szCs w:val="44"/>
          <w:highlight w:val="none"/>
        </w:rPr>
      </w:pPr>
      <w:r>
        <w:rPr>
          <w:rFonts w:hint="eastAsia" w:ascii="宋体" w:hAnsi="宋体" w:eastAsia="宋体" w:cs="宋体"/>
          <w:b/>
          <w:bCs w:val="0"/>
          <w:color w:val="auto"/>
          <w:kern w:val="2"/>
          <w:sz w:val="44"/>
          <w:szCs w:val="44"/>
          <w:highlight w:val="none"/>
          <w:lang w:val="en-US" w:eastAsia="zh-CN" w:bidi="ar"/>
        </w:rPr>
        <w:t xml:space="preserve"> </w:t>
      </w:r>
    </w:p>
    <w:p w14:paraId="0313B5CC">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kern w:val="2"/>
          <w:sz w:val="44"/>
          <w:szCs w:val="44"/>
          <w:highlight w:val="none"/>
        </w:rPr>
      </w:pPr>
      <w:r>
        <w:rPr>
          <w:rFonts w:hint="eastAsia" w:ascii="宋体" w:hAnsi="宋体" w:eastAsia="宋体" w:cs="宋体"/>
          <w:b/>
          <w:bCs w:val="0"/>
          <w:color w:val="auto"/>
          <w:kern w:val="2"/>
          <w:sz w:val="44"/>
          <w:szCs w:val="44"/>
          <w:highlight w:val="none"/>
          <w:lang w:val="en-US" w:eastAsia="zh-CN" w:bidi="ar"/>
        </w:rPr>
        <w:t>资信证明文件</w:t>
      </w:r>
    </w:p>
    <w:p w14:paraId="0A8EF7D3">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 xml:space="preserve"> </w:t>
      </w:r>
    </w:p>
    <w:p w14:paraId="04169E3B">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（投标文件一）</w:t>
      </w:r>
    </w:p>
    <w:p w14:paraId="714E3FBE">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44"/>
          <w:szCs w:val="44"/>
          <w:highlight w:val="none"/>
        </w:rPr>
      </w:pPr>
      <w:r>
        <w:rPr>
          <w:rFonts w:hint="eastAsia" w:ascii="宋体" w:hAnsi="宋体" w:eastAsia="宋体" w:cs="宋体"/>
          <w:color w:val="auto"/>
          <w:kern w:val="2"/>
          <w:sz w:val="44"/>
          <w:szCs w:val="44"/>
          <w:highlight w:val="none"/>
          <w:lang w:val="en-US" w:eastAsia="zh-CN" w:bidi="ar"/>
        </w:rPr>
        <w:t xml:space="preserve"> </w:t>
      </w:r>
    </w:p>
    <w:p w14:paraId="3B33E00F">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u w:val="single"/>
          <w:lang w:val="en-US" w:eastAsia="zh-CN" w:bidi="ar"/>
        </w:rPr>
        <w:t xml:space="preserve">        </w:t>
      </w:r>
      <w:r>
        <w:rPr>
          <w:rFonts w:hint="eastAsia" w:ascii="宋体" w:hAnsi="宋体" w:eastAsia="宋体" w:cs="宋体"/>
          <w:color w:val="auto"/>
          <w:kern w:val="2"/>
          <w:sz w:val="32"/>
          <w:szCs w:val="32"/>
          <w:highlight w:val="none"/>
          <w:lang w:val="en-US" w:eastAsia="zh-CN" w:bidi="ar"/>
        </w:rPr>
        <w:t>项目</w:t>
      </w:r>
    </w:p>
    <w:p w14:paraId="2AC61F93">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lang w:val="en-US" w:eastAsia="zh-CN" w:bidi="ar"/>
        </w:rPr>
        <w:t xml:space="preserve"> </w:t>
      </w:r>
    </w:p>
    <w:p w14:paraId="3C005D5F">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44"/>
          <w:szCs w:val="44"/>
          <w:highlight w:val="none"/>
        </w:rPr>
      </w:pPr>
      <w:r>
        <w:rPr>
          <w:rFonts w:hint="eastAsia" w:ascii="宋体" w:hAnsi="宋体" w:eastAsia="宋体" w:cs="宋体"/>
          <w:color w:val="auto"/>
          <w:kern w:val="2"/>
          <w:sz w:val="28"/>
          <w:szCs w:val="28"/>
          <w:highlight w:val="none"/>
          <w:lang w:val="en-US" w:eastAsia="zh-CN" w:bidi="ar"/>
        </w:rPr>
        <w:t>项目编号：</w:t>
      </w:r>
      <w:r>
        <w:rPr>
          <w:rFonts w:hint="eastAsia" w:ascii="宋体" w:hAnsi="宋体" w:eastAsia="宋体" w:cs="宋体"/>
          <w:color w:val="auto"/>
          <w:kern w:val="2"/>
          <w:sz w:val="28"/>
          <w:szCs w:val="28"/>
          <w:highlight w:val="none"/>
          <w:u w:val="single"/>
          <w:lang w:val="en-US" w:eastAsia="zh-CN" w:bidi="ar"/>
        </w:rPr>
        <w:t xml:space="preserve">     </w:t>
      </w:r>
    </w:p>
    <w:p w14:paraId="3FFA13DA">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lang w:val="en-US" w:eastAsia="zh-CN" w:bidi="ar"/>
        </w:rPr>
        <w:t xml:space="preserve"> </w:t>
      </w:r>
    </w:p>
    <w:p w14:paraId="50C2FC5B">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lang w:val="en-US" w:eastAsia="zh-CN" w:bidi="ar"/>
        </w:rPr>
        <w:t xml:space="preserve"> </w:t>
      </w:r>
    </w:p>
    <w:p w14:paraId="32A8359C">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lang w:val="en-US" w:eastAsia="zh-CN" w:bidi="ar"/>
        </w:rPr>
        <w:t xml:space="preserve"> </w:t>
      </w:r>
    </w:p>
    <w:p w14:paraId="32484DC7">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lang w:val="en-US" w:eastAsia="zh-CN" w:bidi="ar"/>
        </w:rPr>
        <w:t xml:space="preserve"> </w:t>
      </w:r>
    </w:p>
    <w:p w14:paraId="3B75F2C4">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lang w:val="en-US" w:eastAsia="zh-CN" w:bidi="ar"/>
        </w:rPr>
        <w:t xml:space="preserve"> </w:t>
      </w:r>
    </w:p>
    <w:p w14:paraId="452A4C82">
      <w:pPr>
        <w:keepNext w:val="0"/>
        <w:keepLines w:val="0"/>
        <w:widowControl w:val="0"/>
        <w:suppressLineNumbers w:val="0"/>
        <w:autoSpaceDE w:val="0"/>
        <w:autoSpaceDN/>
        <w:spacing w:before="0" w:beforeAutospacing="0" w:after="0" w:afterAutospacing="0" w:line="360" w:lineRule="auto"/>
        <w:ind w:left="0" w:right="0"/>
        <w:jc w:val="center"/>
        <w:rPr>
          <w:rFonts w:hint="eastAsia" w:ascii="宋体" w:hAnsi="宋体" w:eastAsia="宋体" w:cs="宋体"/>
          <w:color w:val="auto"/>
          <w:kern w:val="2"/>
          <w:sz w:val="28"/>
          <w:szCs w:val="28"/>
          <w:highlight w:val="none"/>
          <w:u w:val="single"/>
        </w:rPr>
      </w:pPr>
      <w:r>
        <w:rPr>
          <w:rFonts w:hint="eastAsia" w:ascii="宋体" w:hAnsi="宋体" w:eastAsia="宋体" w:cs="宋体"/>
          <w:color w:val="auto"/>
          <w:kern w:val="2"/>
          <w:sz w:val="28"/>
          <w:szCs w:val="28"/>
          <w:highlight w:val="none"/>
          <w:lang w:val="en-US" w:eastAsia="zh-CN" w:bidi="ar"/>
        </w:rPr>
        <w:t>投标人：</w:t>
      </w:r>
      <w:r>
        <w:rPr>
          <w:rFonts w:hint="eastAsia" w:ascii="宋体" w:hAnsi="宋体" w:eastAsia="宋体" w:cs="宋体"/>
          <w:color w:val="auto"/>
          <w:kern w:val="2"/>
          <w:sz w:val="28"/>
          <w:szCs w:val="28"/>
          <w:highlight w:val="none"/>
          <w:u w:val="single"/>
          <w:lang w:val="en-US" w:eastAsia="zh-CN" w:bidi="ar"/>
        </w:rPr>
        <w:t xml:space="preserve">                           </w:t>
      </w:r>
      <w:r>
        <w:rPr>
          <w:rFonts w:hint="eastAsia" w:ascii="宋体" w:hAnsi="宋体" w:eastAsia="宋体" w:cs="宋体"/>
          <w:color w:val="auto"/>
          <w:kern w:val="2"/>
          <w:sz w:val="28"/>
          <w:szCs w:val="28"/>
          <w:highlight w:val="none"/>
          <w:lang w:val="en-US" w:eastAsia="zh-CN" w:bidi="ar"/>
        </w:rPr>
        <w:t>（签章）</w:t>
      </w:r>
    </w:p>
    <w:p w14:paraId="6435BB00">
      <w:pPr>
        <w:keepNext w:val="0"/>
        <w:keepLines w:val="0"/>
        <w:widowControl w:val="0"/>
        <w:suppressLineNumbers w:val="0"/>
        <w:autoSpaceDE w:val="0"/>
        <w:autoSpaceDN/>
        <w:spacing w:before="0" w:beforeAutospacing="0" w:after="0" w:afterAutospacing="0" w:line="360" w:lineRule="auto"/>
        <w:ind w:left="0" w:right="0"/>
        <w:jc w:val="center"/>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lang w:val="en-US" w:eastAsia="zh-CN" w:bidi="ar"/>
        </w:rPr>
        <w:t>法定代表人：</w:t>
      </w:r>
      <w:r>
        <w:rPr>
          <w:rFonts w:hint="eastAsia" w:ascii="宋体" w:hAnsi="宋体" w:eastAsia="宋体" w:cs="宋体"/>
          <w:color w:val="auto"/>
          <w:kern w:val="2"/>
          <w:sz w:val="28"/>
          <w:szCs w:val="28"/>
          <w:highlight w:val="none"/>
          <w:u w:val="single"/>
          <w:lang w:val="en-US" w:eastAsia="zh-CN" w:bidi="ar"/>
        </w:rPr>
        <w:t xml:space="preserve">                       </w:t>
      </w:r>
      <w:r>
        <w:rPr>
          <w:rFonts w:hint="eastAsia" w:ascii="宋体" w:hAnsi="宋体" w:eastAsia="宋体" w:cs="宋体"/>
          <w:color w:val="auto"/>
          <w:kern w:val="2"/>
          <w:sz w:val="28"/>
          <w:szCs w:val="28"/>
          <w:highlight w:val="none"/>
          <w:lang w:val="en-US" w:eastAsia="zh-CN" w:bidi="ar"/>
        </w:rPr>
        <w:t>（签章）</w:t>
      </w:r>
    </w:p>
    <w:p w14:paraId="51E3C24D">
      <w:pPr>
        <w:keepNext w:val="0"/>
        <w:keepLines w:val="0"/>
        <w:widowControl w:val="0"/>
        <w:suppressLineNumbers w:val="0"/>
        <w:autoSpaceDE w:val="0"/>
        <w:autoSpaceDN/>
        <w:spacing w:before="0" w:beforeAutospacing="0" w:after="0" w:afterAutospacing="0" w:line="360" w:lineRule="auto"/>
        <w:ind w:left="0" w:right="0"/>
        <w:jc w:val="center"/>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u w:val="single"/>
          <w:lang w:val="en-US" w:eastAsia="zh-CN" w:bidi="ar"/>
        </w:rPr>
        <w:t xml:space="preserve">        </w:t>
      </w:r>
      <w:r>
        <w:rPr>
          <w:rFonts w:hint="eastAsia" w:ascii="宋体" w:hAnsi="宋体" w:eastAsia="宋体" w:cs="宋体"/>
          <w:color w:val="auto"/>
          <w:kern w:val="2"/>
          <w:sz w:val="28"/>
          <w:szCs w:val="28"/>
          <w:highlight w:val="none"/>
          <w:lang w:val="en-US" w:eastAsia="zh-CN" w:bidi="ar"/>
        </w:rPr>
        <w:t>年</w:t>
      </w:r>
      <w:r>
        <w:rPr>
          <w:rFonts w:hint="eastAsia" w:ascii="宋体" w:hAnsi="宋体" w:eastAsia="宋体" w:cs="宋体"/>
          <w:color w:val="auto"/>
          <w:kern w:val="2"/>
          <w:sz w:val="28"/>
          <w:szCs w:val="28"/>
          <w:highlight w:val="none"/>
          <w:u w:val="single"/>
          <w:lang w:val="en-US" w:eastAsia="zh-CN" w:bidi="ar"/>
        </w:rPr>
        <w:t xml:space="preserve">        </w:t>
      </w:r>
      <w:r>
        <w:rPr>
          <w:rFonts w:hint="eastAsia" w:ascii="宋体" w:hAnsi="宋体" w:eastAsia="宋体" w:cs="宋体"/>
          <w:color w:val="auto"/>
          <w:kern w:val="2"/>
          <w:sz w:val="28"/>
          <w:szCs w:val="28"/>
          <w:highlight w:val="none"/>
          <w:lang w:val="en-US" w:eastAsia="zh-CN" w:bidi="ar"/>
        </w:rPr>
        <w:t>月</w:t>
      </w:r>
      <w:r>
        <w:rPr>
          <w:rFonts w:hint="eastAsia" w:ascii="宋体" w:hAnsi="宋体" w:eastAsia="宋体" w:cs="宋体"/>
          <w:color w:val="auto"/>
          <w:kern w:val="2"/>
          <w:sz w:val="28"/>
          <w:szCs w:val="28"/>
          <w:highlight w:val="none"/>
          <w:u w:val="single"/>
          <w:lang w:val="en-US" w:eastAsia="zh-CN" w:bidi="ar"/>
        </w:rPr>
        <w:t xml:space="preserve">        </w:t>
      </w:r>
      <w:r>
        <w:rPr>
          <w:rFonts w:hint="eastAsia" w:ascii="宋体" w:hAnsi="宋体" w:eastAsia="宋体" w:cs="宋体"/>
          <w:color w:val="auto"/>
          <w:kern w:val="2"/>
          <w:sz w:val="28"/>
          <w:szCs w:val="28"/>
          <w:highlight w:val="none"/>
          <w:lang w:val="en-US" w:eastAsia="zh-CN" w:bidi="ar"/>
        </w:rPr>
        <w:t>日</w:t>
      </w:r>
    </w:p>
    <w:p w14:paraId="2EDB2811">
      <w:pPr>
        <w:keepNext w:val="0"/>
        <w:keepLines w:val="0"/>
        <w:widowControl w:val="0"/>
        <w:suppressLineNumbers w:val="0"/>
        <w:spacing w:before="0" w:beforeAutospacing="0" w:after="0" w:afterAutospacing="0" w:line="400" w:lineRule="exact"/>
        <w:ind w:left="0" w:right="0" w:firstLine="4130" w:firstLineChars="935"/>
        <w:jc w:val="both"/>
        <w:rPr>
          <w:rFonts w:hint="eastAsia" w:ascii="宋体" w:hAnsi="宋体" w:eastAsia="宋体" w:cs="宋体"/>
          <w:b/>
          <w:bCs w:val="0"/>
          <w:color w:val="auto"/>
          <w:kern w:val="2"/>
          <w:sz w:val="44"/>
          <w:szCs w:val="44"/>
          <w:highlight w:val="none"/>
        </w:rPr>
      </w:pPr>
      <w:r>
        <w:rPr>
          <w:rFonts w:hint="eastAsia" w:ascii="宋体" w:hAnsi="宋体" w:eastAsia="宋体" w:cs="宋体"/>
          <w:b/>
          <w:bCs w:val="0"/>
          <w:color w:val="auto"/>
          <w:kern w:val="2"/>
          <w:sz w:val="44"/>
          <w:szCs w:val="44"/>
          <w:highlight w:val="none"/>
          <w:lang w:val="en-US" w:eastAsia="zh-CN" w:bidi="ar"/>
        </w:rPr>
        <w:t xml:space="preserve"> </w:t>
      </w:r>
    </w:p>
    <w:p w14:paraId="1ECAFEC6">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kern w:val="2"/>
          <w:sz w:val="36"/>
          <w:szCs w:val="36"/>
          <w:highlight w:val="none"/>
        </w:rPr>
      </w:pPr>
      <w:r>
        <w:rPr>
          <w:rFonts w:hint="eastAsia" w:ascii="宋体" w:hAnsi="宋体" w:eastAsia="宋体" w:cs="宋体"/>
          <w:b/>
          <w:bCs w:val="0"/>
          <w:color w:val="auto"/>
          <w:kern w:val="2"/>
          <w:sz w:val="36"/>
          <w:szCs w:val="36"/>
          <w:highlight w:val="none"/>
          <w:lang w:val="en-US" w:eastAsia="zh-CN" w:bidi="ar"/>
        </w:rPr>
        <w:br w:type="page"/>
      </w:r>
    </w:p>
    <w:p w14:paraId="70597B21">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kern w:val="2"/>
          <w:sz w:val="44"/>
          <w:szCs w:val="44"/>
          <w:highlight w:val="none"/>
        </w:rPr>
      </w:pPr>
      <w:r>
        <w:rPr>
          <w:rFonts w:hint="eastAsia" w:ascii="宋体" w:hAnsi="宋体" w:eastAsia="宋体" w:cs="宋体"/>
          <w:b/>
          <w:bCs w:val="0"/>
          <w:color w:val="auto"/>
          <w:kern w:val="2"/>
          <w:sz w:val="36"/>
          <w:szCs w:val="36"/>
          <w:highlight w:val="none"/>
          <w:lang w:val="en-US" w:eastAsia="zh-CN" w:bidi="ar"/>
        </w:rPr>
        <w:t>目   录</w:t>
      </w:r>
    </w:p>
    <w:p w14:paraId="2CE276EE">
      <w:pPr>
        <w:keepNext w:val="0"/>
        <w:keepLines w:val="0"/>
        <w:widowControl w:val="0"/>
        <w:suppressLineNumbers w:val="0"/>
        <w:spacing w:before="0" w:beforeAutospacing="0" w:after="0" w:afterAutospacing="0" w:line="400" w:lineRule="exact"/>
        <w:ind w:left="0" w:right="0" w:firstLine="562" w:firstLineChars="200"/>
        <w:jc w:val="both"/>
        <w:rPr>
          <w:rFonts w:hint="eastAsia" w:ascii="宋体" w:hAnsi="宋体" w:eastAsia="宋体" w:cs="宋体"/>
          <w:b/>
          <w:bCs w:val="0"/>
          <w:color w:val="auto"/>
          <w:kern w:val="2"/>
          <w:sz w:val="28"/>
          <w:szCs w:val="28"/>
          <w:highlight w:val="none"/>
        </w:rPr>
      </w:pPr>
      <w:r>
        <w:rPr>
          <w:rFonts w:hint="eastAsia" w:ascii="宋体" w:hAnsi="宋体" w:eastAsia="宋体" w:cs="宋体"/>
          <w:b/>
          <w:bCs w:val="0"/>
          <w:color w:val="auto"/>
          <w:kern w:val="2"/>
          <w:sz w:val="28"/>
          <w:szCs w:val="28"/>
          <w:highlight w:val="none"/>
          <w:lang w:val="en-US" w:eastAsia="zh-CN" w:bidi="ar"/>
        </w:rPr>
        <w:t xml:space="preserve"> </w:t>
      </w:r>
    </w:p>
    <w:p w14:paraId="36CF22B9">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（1）投标人资格声明书（格式见附件）；</w:t>
      </w:r>
    </w:p>
    <w:p w14:paraId="12EC0744">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（2）授权书（格式见附件）；   </w:t>
      </w:r>
    </w:p>
    <w:p w14:paraId="2DC9C66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（3）投标人为企业（包括合伙企业）的，应提供有效的“营业执照”；</w:t>
      </w:r>
    </w:p>
    <w:p w14:paraId="1B47ECD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投标人为事业单位的，应提供有效的“事业单位法人证书”；</w:t>
      </w:r>
    </w:p>
    <w:p w14:paraId="63FB66C8">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投标人是非企业机构的，应提供有效的“执业许可证”、“登记证书”等证明文件；</w:t>
      </w:r>
    </w:p>
    <w:p w14:paraId="56F9BCCE">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投标人是个体工商户的，应提供有效的“个体工商户营业执照”；</w:t>
      </w:r>
    </w:p>
    <w:p w14:paraId="089F97E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投标人是自然人的，应提供有效的自然人身份证明；</w:t>
      </w:r>
    </w:p>
    <w:p w14:paraId="597B2B53">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（4）诚信投标承诺书（格式见附件）；</w:t>
      </w:r>
    </w:p>
    <w:p w14:paraId="285AE03E">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（5）招标文件中要求的资信评审和资信评分的支持资料；</w:t>
      </w:r>
    </w:p>
    <w:p w14:paraId="13D49864">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（6）投标人认为需要提供的其他资信证明材料；</w:t>
      </w:r>
    </w:p>
    <w:p w14:paraId="59346654">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（7）其他（如有）。</w:t>
      </w:r>
    </w:p>
    <w:p w14:paraId="611B84A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p w14:paraId="69A65FC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p w14:paraId="39B33C3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p w14:paraId="1285691C">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br w:type="page"/>
      </w:r>
    </w:p>
    <w:p w14:paraId="4A5F1E03">
      <w:pPr>
        <w:spacing w:line="360" w:lineRule="auto"/>
        <w:jc w:val="center"/>
        <w:outlineLvl w:val="1"/>
        <w:rPr>
          <w:rFonts w:hint="eastAsia" w:asciiTheme="minorEastAsia" w:hAnsiTheme="minorEastAsia" w:eastAsiaTheme="minorEastAsia"/>
          <w:b/>
          <w:color w:val="auto"/>
          <w:sz w:val="24"/>
          <w:highlight w:val="none"/>
        </w:rPr>
      </w:pPr>
      <w:bookmarkStart w:id="66" w:name="_Toc11464"/>
      <w:bookmarkStart w:id="67" w:name="_Toc1328"/>
      <w:r>
        <w:rPr>
          <w:rFonts w:hint="eastAsia" w:asciiTheme="minorEastAsia" w:hAnsiTheme="minorEastAsia" w:eastAsiaTheme="minorEastAsia"/>
          <w:b/>
          <w:color w:val="auto"/>
          <w:sz w:val="24"/>
          <w:highlight w:val="none"/>
          <w:lang w:val="en-US" w:eastAsia="zh-CN"/>
        </w:rPr>
        <w:t>（1）投标人资格声明书</w:t>
      </w:r>
      <w:bookmarkEnd w:id="66"/>
      <w:bookmarkEnd w:id="67"/>
      <w:r>
        <w:rPr>
          <w:rFonts w:hint="eastAsia" w:asciiTheme="minorEastAsia" w:hAnsiTheme="minorEastAsia" w:eastAsiaTheme="minorEastAsia"/>
          <w:b/>
          <w:color w:val="auto"/>
          <w:sz w:val="24"/>
          <w:highlight w:val="none"/>
          <w:lang w:val="en-US" w:eastAsia="zh-CN"/>
        </w:rPr>
        <w:t xml:space="preserve"> </w:t>
      </w:r>
    </w:p>
    <w:p w14:paraId="0DD0F12C">
      <w:pPr>
        <w:pStyle w:val="13"/>
        <w:spacing w:line="360" w:lineRule="auto"/>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6526424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在参与本次项目投标中，我单位承诺：</w:t>
      </w:r>
    </w:p>
    <w:p w14:paraId="719F472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0EEA732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12B0F28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0217E87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6CCDDC5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0FCE22B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A9DF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40" w:type="dxa"/>
          </w:tcPr>
          <w:p w14:paraId="69FB6358">
            <w:pPr>
              <w:keepNext w:val="0"/>
              <w:keepLines w:val="0"/>
              <w:pageBreakBefore w:val="0"/>
              <w:widowControl/>
              <w:suppressLineNumbers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2841" w:type="dxa"/>
          </w:tcPr>
          <w:p w14:paraId="65F27C22">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841" w:type="dxa"/>
          </w:tcPr>
          <w:p w14:paraId="6AC703F8">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08308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73FDCD1">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2841" w:type="dxa"/>
          </w:tcPr>
          <w:p w14:paraId="4ED8B743">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5D6A7191">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603B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1818B55">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2841" w:type="dxa"/>
          </w:tcPr>
          <w:p w14:paraId="58BDA913">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54B82C4E">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244BB1B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604F7C1C">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53431728">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6204A067">
      <w:pPr>
        <w:pStyle w:val="9"/>
        <w:rPr>
          <w:rFonts w:hint="eastAsia" w:asciiTheme="minorEastAsia" w:hAnsiTheme="minorEastAsia" w:eastAsiaTheme="minorEastAsia" w:cstheme="minorEastAsia"/>
          <w:color w:val="000000"/>
          <w:kern w:val="0"/>
          <w:sz w:val="24"/>
          <w:szCs w:val="24"/>
          <w:highlight w:val="none"/>
          <w:lang w:val="en-US" w:eastAsia="zh-CN" w:bidi="ar"/>
        </w:rPr>
      </w:pPr>
    </w:p>
    <w:p w14:paraId="7C5B2A70">
      <w:pPr>
        <w:pStyle w:val="9"/>
        <w:rPr>
          <w:rFonts w:hint="eastAsia" w:asciiTheme="minorEastAsia" w:hAnsiTheme="minorEastAsia" w:eastAsiaTheme="minorEastAsia" w:cstheme="minorEastAsia"/>
          <w:color w:val="000000"/>
          <w:kern w:val="0"/>
          <w:sz w:val="24"/>
          <w:szCs w:val="24"/>
          <w:highlight w:val="none"/>
          <w:lang w:val="en-US" w:eastAsia="zh-CN" w:bidi="ar"/>
        </w:rPr>
      </w:pPr>
    </w:p>
    <w:p w14:paraId="1FE96098">
      <w:pPr>
        <w:pStyle w:val="9"/>
        <w:rPr>
          <w:rFonts w:hint="eastAsia" w:asciiTheme="minorEastAsia" w:hAnsiTheme="minorEastAsia" w:eastAsiaTheme="minorEastAsia" w:cstheme="minorEastAsia"/>
          <w:color w:val="000000"/>
          <w:kern w:val="0"/>
          <w:sz w:val="24"/>
          <w:szCs w:val="24"/>
          <w:highlight w:val="none"/>
          <w:lang w:val="en-US" w:eastAsia="zh-CN" w:bidi="ar"/>
        </w:rPr>
      </w:pPr>
    </w:p>
    <w:p w14:paraId="74C197B3">
      <w:pPr>
        <w:rPr>
          <w:rFonts w:hint="eastAsia" w:asciiTheme="minorEastAsia" w:hAnsiTheme="minorEastAsia" w:eastAsiaTheme="minorEastAsia"/>
          <w:b/>
          <w:color w:val="auto"/>
          <w:sz w:val="24"/>
          <w:highlight w:val="none"/>
        </w:rPr>
      </w:pPr>
      <w:bookmarkStart w:id="68" w:name="_Toc11607"/>
      <w:r>
        <w:rPr>
          <w:rFonts w:hint="eastAsia" w:asciiTheme="minorEastAsia" w:hAnsiTheme="minorEastAsia" w:eastAsiaTheme="minorEastAsia"/>
          <w:b/>
          <w:color w:val="auto"/>
          <w:sz w:val="24"/>
          <w:highlight w:val="none"/>
        </w:rPr>
        <w:br w:type="page"/>
      </w:r>
    </w:p>
    <w:p w14:paraId="6F22C782">
      <w:pPr>
        <w:spacing w:line="360" w:lineRule="auto"/>
        <w:jc w:val="center"/>
        <w:outlineLvl w:val="1"/>
        <w:rPr>
          <w:rFonts w:asciiTheme="minorEastAsia" w:hAnsiTheme="minorEastAsia" w:eastAsiaTheme="minorEastAsia"/>
          <w:b/>
          <w:color w:val="auto"/>
          <w:sz w:val="24"/>
          <w:highlight w:val="none"/>
        </w:rPr>
      </w:pPr>
      <w:bookmarkStart w:id="69" w:name="_Toc16960"/>
      <w:bookmarkStart w:id="70" w:name="_Toc23894"/>
      <w:r>
        <w:rPr>
          <w:rFonts w:hint="eastAsia" w:asciiTheme="minorEastAsia" w:hAnsiTheme="minorEastAsia" w:eastAsiaTheme="minorEastAsia"/>
          <w:b/>
          <w:color w:val="auto"/>
          <w:sz w:val="24"/>
          <w:highlight w:val="none"/>
          <w:lang w:eastAsia="zh-CN"/>
        </w:rPr>
        <w:t>（</w:t>
      </w:r>
      <w:r>
        <w:rPr>
          <w:rFonts w:hint="eastAsia" w:asciiTheme="minorEastAsia" w:hAnsiTheme="minorEastAsia" w:eastAsiaTheme="minorEastAsia"/>
          <w:b/>
          <w:color w:val="auto"/>
          <w:sz w:val="24"/>
          <w:highlight w:val="none"/>
          <w:lang w:val="en-US" w:eastAsia="zh-CN"/>
        </w:rPr>
        <w:t>2）</w:t>
      </w:r>
      <w:r>
        <w:rPr>
          <w:rFonts w:hint="eastAsia" w:asciiTheme="minorEastAsia" w:hAnsiTheme="minorEastAsia" w:eastAsiaTheme="minorEastAsia"/>
          <w:b/>
          <w:color w:val="auto"/>
          <w:sz w:val="24"/>
          <w:highlight w:val="none"/>
        </w:rPr>
        <w:t>授权书</w:t>
      </w:r>
      <w:bookmarkEnd w:id="68"/>
      <w:bookmarkEnd w:id="69"/>
      <w:bookmarkEnd w:id="70"/>
    </w:p>
    <w:p w14:paraId="0E7C8FE7">
      <w:pPr>
        <w:pStyle w:val="12"/>
        <w:snapToGrid w:val="0"/>
        <w:spacing w:line="360" w:lineRule="auto"/>
        <w:ind w:firstLine="480" w:firstLineChars="200"/>
        <w:jc w:val="left"/>
        <w:rPr>
          <w:rFonts w:hAnsi="宋体" w:eastAsia="宋体"/>
          <w:color w:val="auto"/>
          <w:sz w:val="24"/>
          <w:szCs w:val="28"/>
          <w:highlight w:val="none"/>
        </w:rPr>
      </w:pPr>
    </w:p>
    <w:p w14:paraId="7007E40D">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1353F9C5">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32F3664C">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5680DB75">
      <w:pPr>
        <w:spacing w:line="360" w:lineRule="auto"/>
        <w:ind w:firstLine="435"/>
        <w:rPr>
          <w:rFonts w:asciiTheme="minorEastAsia" w:hAnsiTheme="minorEastAsia" w:eastAsiaTheme="minorEastAsia"/>
          <w:color w:val="auto"/>
          <w:sz w:val="24"/>
          <w:highlight w:val="none"/>
        </w:rPr>
      </w:pPr>
    </w:p>
    <w:p w14:paraId="00247B76">
      <w:pPr>
        <w:spacing w:line="360" w:lineRule="auto"/>
        <w:ind w:firstLine="435"/>
        <w:rPr>
          <w:rFonts w:asciiTheme="minorEastAsia" w:hAnsiTheme="minorEastAsia" w:eastAsiaTheme="minorEastAsia"/>
          <w:color w:val="auto"/>
          <w:sz w:val="24"/>
          <w:highlight w:val="none"/>
        </w:rPr>
      </w:pPr>
    </w:p>
    <w:p w14:paraId="52C8FC94">
      <w:pPr>
        <w:spacing w:line="360" w:lineRule="auto"/>
        <w:ind w:firstLine="435"/>
        <w:rPr>
          <w:rFonts w:asciiTheme="minorEastAsia" w:hAnsiTheme="minorEastAsia" w:eastAsiaTheme="minorEastAsia"/>
          <w:color w:val="auto"/>
          <w:sz w:val="24"/>
          <w:highlight w:val="none"/>
        </w:rPr>
      </w:pPr>
    </w:p>
    <w:p w14:paraId="1CA3DA45">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34253B8B">
      <w:pPr>
        <w:spacing w:line="360" w:lineRule="auto"/>
        <w:ind w:firstLine="435"/>
        <w:rPr>
          <w:rFonts w:hAnsi="宋体" w:eastAsia="宋体"/>
          <w:color w:val="auto"/>
          <w:sz w:val="24"/>
          <w:szCs w:val="28"/>
          <w:highlight w:val="none"/>
          <w:lang w:val="zh-CN"/>
        </w:rPr>
      </w:pPr>
    </w:p>
    <w:p w14:paraId="11F2B589">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053E6A0C">
      <w:pPr>
        <w:spacing w:line="360" w:lineRule="auto"/>
        <w:rPr>
          <w:rFonts w:ascii="宋体" w:hAnsi="宋体" w:eastAsia="宋体"/>
          <w:color w:val="auto"/>
          <w:sz w:val="24"/>
          <w:szCs w:val="28"/>
          <w:highlight w:val="none"/>
        </w:rPr>
      </w:pPr>
    </w:p>
    <w:p w14:paraId="77866EEB">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lang w:val="en-US" w:eastAsia="zh-CN"/>
        </w:rPr>
        <w:t xml:space="preserve">                            </w:t>
      </w:r>
      <w:r>
        <w:rPr>
          <w:rFonts w:hint="eastAsia" w:ascii="宋体" w:hAnsi="宋体" w:eastAsia="宋体"/>
          <w:bCs/>
          <w:color w:val="auto"/>
          <w:sz w:val="24"/>
          <w:szCs w:val="28"/>
          <w:highlight w:val="none"/>
        </w:rPr>
        <w:t>投标人电子签章：</w:t>
      </w:r>
      <w:r>
        <w:rPr>
          <w:rFonts w:hint="eastAsia" w:ascii="宋体" w:hAnsi="宋体" w:eastAsia="宋体"/>
          <w:bCs/>
          <w:color w:val="auto"/>
          <w:sz w:val="24"/>
          <w:szCs w:val="28"/>
          <w:highlight w:val="none"/>
          <w:u w:val="single"/>
        </w:rPr>
        <w:t xml:space="preserve">                    </w:t>
      </w:r>
    </w:p>
    <w:p w14:paraId="7E27AC33">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lang w:val="en-US" w:eastAsia="zh-CN"/>
        </w:rPr>
        <w:t xml:space="preserve">                            </w:t>
      </w:r>
      <w:r>
        <w:rPr>
          <w:rFonts w:hint="eastAsia" w:ascii="宋体" w:hAnsi="宋体" w:eastAsia="宋体"/>
          <w:color w:val="auto"/>
          <w:sz w:val="24"/>
          <w:szCs w:val="28"/>
          <w:highlight w:val="none"/>
        </w:rPr>
        <w:t>日          期：</w:t>
      </w:r>
      <w:r>
        <w:rPr>
          <w:rFonts w:hint="eastAsia" w:ascii="宋体" w:hAnsi="宋体" w:eastAsia="宋体"/>
          <w:b/>
          <w:bCs/>
          <w:color w:val="auto"/>
          <w:sz w:val="24"/>
          <w:szCs w:val="28"/>
          <w:highlight w:val="none"/>
          <w:u w:val="single"/>
        </w:rPr>
        <w:t xml:space="preserve">                    </w:t>
      </w:r>
    </w:p>
    <w:p w14:paraId="755FF043">
      <w:pPr>
        <w:spacing w:line="360" w:lineRule="auto"/>
        <w:ind w:firstLine="435"/>
        <w:rPr>
          <w:rFonts w:asciiTheme="minorEastAsia" w:hAnsiTheme="minorEastAsia" w:eastAsiaTheme="minorEastAsia"/>
          <w:color w:val="auto"/>
          <w:sz w:val="24"/>
          <w:highlight w:val="none"/>
        </w:rPr>
      </w:pPr>
    </w:p>
    <w:p w14:paraId="54F544F6">
      <w:pPr>
        <w:spacing w:line="360" w:lineRule="auto"/>
        <w:ind w:firstLine="435"/>
        <w:rPr>
          <w:rFonts w:asciiTheme="minorEastAsia" w:hAnsiTheme="minorEastAsia" w:eastAsiaTheme="minorEastAsia"/>
          <w:color w:val="auto"/>
          <w:sz w:val="24"/>
          <w:highlight w:val="none"/>
        </w:rPr>
      </w:pPr>
    </w:p>
    <w:p w14:paraId="14043E32">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7059075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7F237F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0F331198">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99772C2">
      <w:pPr>
        <w:keepNext w:val="0"/>
        <w:keepLines w:val="0"/>
        <w:widowControl w:val="0"/>
        <w:suppressLineNumbers w:val="0"/>
        <w:spacing w:before="0" w:beforeAutospacing="0" w:after="0" w:afterAutospacing="0" w:line="360" w:lineRule="auto"/>
        <w:ind w:left="0" w:right="0"/>
        <w:jc w:val="center"/>
        <w:outlineLvl w:val="1"/>
        <w:rPr>
          <w:rFonts w:hint="eastAsia" w:ascii="宋体" w:hAnsi="宋体" w:eastAsia="宋体" w:cs="宋体"/>
          <w:b/>
          <w:bCs w:val="0"/>
          <w:color w:val="auto"/>
          <w:kern w:val="2"/>
          <w:sz w:val="24"/>
          <w:szCs w:val="24"/>
          <w:highlight w:val="none"/>
        </w:rPr>
      </w:pPr>
      <w:bookmarkStart w:id="71" w:name="_Toc13022"/>
      <w:r>
        <w:rPr>
          <w:rFonts w:hint="eastAsia" w:ascii="宋体" w:hAnsi="宋体" w:eastAsia="宋体" w:cs="宋体"/>
          <w:b/>
          <w:bCs w:val="0"/>
          <w:color w:val="auto"/>
          <w:kern w:val="2"/>
          <w:sz w:val="24"/>
          <w:szCs w:val="24"/>
          <w:highlight w:val="none"/>
          <w:lang w:val="en-US" w:eastAsia="zh-CN" w:bidi="ar"/>
        </w:rPr>
        <w:t>（3）诚信投标承诺书</w:t>
      </w:r>
      <w:bookmarkEnd w:id="71"/>
    </w:p>
    <w:p w14:paraId="19A71A21">
      <w:pPr>
        <w:keepNext w:val="0"/>
        <w:keepLines w:val="0"/>
        <w:pageBreakBefore w:val="0"/>
        <w:kinsoku/>
        <w:wordWrap/>
        <w:overflowPunct/>
        <w:topLinePunct w:val="0"/>
        <w:autoSpaceDE/>
        <w:autoSpaceDN/>
        <w:bidi w:val="0"/>
        <w:spacing w:line="440" w:lineRule="exact"/>
        <w:ind w:firstLine="435"/>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本人以企业法定代表人的身份郑重承诺：</w:t>
      </w:r>
    </w:p>
    <w:p w14:paraId="731B573C">
      <w:pPr>
        <w:keepNext w:val="0"/>
        <w:keepLines w:val="0"/>
        <w:pageBreakBefore w:val="0"/>
        <w:kinsoku/>
        <w:wordWrap/>
        <w:overflowPunct/>
        <w:topLinePunct w:val="0"/>
        <w:autoSpaceDE/>
        <w:autoSpaceDN/>
        <w:bidi w:val="0"/>
        <w:spacing w:line="440" w:lineRule="exact"/>
        <w:ind w:firstLine="435"/>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一、将遵循公开、公正和诚实信用的原则自愿参加</w:t>
      </w:r>
      <w:r>
        <w:rPr>
          <w:rFonts w:hint="eastAsia" w:ascii="宋体" w:hAnsi="宋体" w:eastAsia="宋体" w:cs="宋体"/>
          <w:color w:val="auto"/>
          <w:sz w:val="24"/>
          <w:szCs w:val="28"/>
          <w:highlight w:val="none"/>
          <w:u w:val="single"/>
          <w:lang w:val="en-US" w:eastAsia="zh-CN"/>
        </w:rPr>
        <w:t xml:space="preserve">                  </w:t>
      </w:r>
      <w:r>
        <w:rPr>
          <w:rFonts w:hint="eastAsia" w:ascii="宋体" w:hAnsi="宋体" w:eastAsia="宋体" w:cs="宋体"/>
          <w:color w:val="auto"/>
          <w:sz w:val="24"/>
          <w:szCs w:val="28"/>
          <w:highlight w:val="none"/>
          <w:lang w:val="en-US" w:eastAsia="zh-CN"/>
        </w:rPr>
        <w:t xml:space="preserve"> 项目的投标，所提供的一切材料都是真实、有效、合法的；</w:t>
      </w:r>
    </w:p>
    <w:p w14:paraId="1F2AEB07">
      <w:pPr>
        <w:keepNext w:val="0"/>
        <w:keepLines w:val="0"/>
        <w:pageBreakBefore w:val="0"/>
        <w:kinsoku/>
        <w:wordWrap/>
        <w:overflowPunct/>
        <w:topLinePunct w:val="0"/>
        <w:autoSpaceDE/>
        <w:autoSpaceDN/>
        <w:bidi w:val="0"/>
        <w:spacing w:line="440" w:lineRule="exact"/>
        <w:ind w:firstLine="435"/>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40383333">
      <w:pPr>
        <w:keepNext w:val="0"/>
        <w:keepLines w:val="0"/>
        <w:pageBreakBefore w:val="0"/>
        <w:kinsoku/>
        <w:wordWrap/>
        <w:overflowPunct/>
        <w:topLinePunct w:val="0"/>
        <w:autoSpaceDE/>
        <w:autoSpaceDN/>
        <w:bidi w:val="0"/>
        <w:spacing w:line="440" w:lineRule="exact"/>
        <w:ind w:firstLine="435"/>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三、不出借、转让资质证书，不让他人挂靠投标，不以他人名义投标或者以其他方式弄虚作假，骗取中标；</w:t>
      </w:r>
    </w:p>
    <w:p w14:paraId="4458528F">
      <w:pPr>
        <w:keepNext w:val="0"/>
        <w:keepLines w:val="0"/>
        <w:pageBreakBefore w:val="0"/>
        <w:kinsoku/>
        <w:wordWrap/>
        <w:overflowPunct/>
        <w:topLinePunct w:val="0"/>
        <w:autoSpaceDE/>
        <w:autoSpaceDN/>
        <w:bidi w:val="0"/>
        <w:spacing w:line="440" w:lineRule="exact"/>
        <w:ind w:firstLine="435"/>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四、不与其他投标人相互串通投标报价，不排挤其他投标人的公平竞争、损害招标人的合法权益；</w:t>
      </w:r>
    </w:p>
    <w:p w14:paraId="715001E5">
      <w:pPr>
        <w:keepNext w:val="0"/>
        <w:keepLines w:val="0"/>
        <w:pageBreakBefore w:val="0"/>
        <w:kinsoku/>
        <w:wordWrap/>
        <w:overflowPunct/>
        <w:topLinePunct w:val="0"/>
        <w:autoSpaceDE/>
        <w:autoSpaceDN/>
        <w:bidi w:val="0"/>
        <w:spacing w:line="440" w:lineRule="exact"/>
        <w:ind w:firstLine="435"/>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五、不与招标人、招标代理机构或其他投标人串通投标，损害国家利益、社会公共利益或者他人的合法权益；</w:t>
      </w:r>
    </w:p>
    <w:p w14:paraId="52EDAFD8">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六、</w:t>
      </w:r>
      <w:r>
        <w:rPr>
          <w:rFonts w:hint="eastAsia" w:ascii="宋体" w:hAnsi="宋体" w:eastAsia="宋体" w:cs="宋体"/>
          <w:color w:val="auto"/>
          <w:kern w:val="2"/>
          <w:sz w:val="24"/>
          <w:szCs w:val="24"/>
          <w:highlight w:val="none"/>
          <w:u w:val="single"/>
          <w:lang w:val="en-US" w:eastAsia="zh-CN" w:bidi="ar"/>
        </w:rPr>
        <w:t xml:space="preserve">       （企业名称）</w:t>
      </w:r>
      <w:r>
        <w:rPr>
          <w:rFonts w:hint="eastAsia" w:ascii="宋体" w:hAnsi="宋体" w:eastAsia="宋体" w:cs="宋体"/>
          <w:color w:val="auto"/>
          <w:kern w:val="2"/>
          <w:sz w:val="24"/>
          <w:szCs w:val="24"/>
          <w:highlight w:val="none"/>
          <w:lang w:val="en-US" w:eastAsia="zh-CN" w:bidi="ar"/>
        </w:rPr>
        <w:t>或</w:t>
      </w:r>
      <w:r>
        <w:rPr>
          <w:rFonts w:hint="eastAsia" w:ascii="宋体" w:hAnsi="宋体" w:eastAsia="宋体" w:cs="宋体"/>
          <w:color w:val="auto"/>
          <w:kern w:val="2"/>
          <w:sz w:val="24"/>
          <w:szCs w:val="24"/>
          <w:highlight w:val="none"/>
          <w:u w:val="single"/>
          <w:lang w:val="en-US" w:eastAsia="zh-CN" w:bidi="ar"/>
        </w:rPr>
        <w:t xml:space="preserve">       （企业名称）</w:t>
      </w:r>
      <w:r>
        <w:rPr>
          <w:rFonts w:hint="eastAsia" w:ascii="宋体" w:hAnsi="宋体" w:eastAsia="宋体" w:cs="宋体"/>
          <w:color w:val="auto"/>
          <w:kern w:val="2"/>
          <w:sz w:val="24"/>
          <w:szCs w:val="24"/>
          <w:highlight w:val="none"/>
          <w:lang w:val="en-US" w:eastAsia="zh-CN" w:bidi="ar"/>
        </w:rPr>
        <w:t>法定代表人或拟派项目经理（负责人）</w:t>
      </w:r>
      <w:r>
        <w:rPr>
          <w:rFonts w:hint="eastAsia" w:ascii="宋体" w:hAnsi="宋体" w:eastAsia="宋体" w:cs="宋体"/>
          <w:color w:val="auto"/>
          <w:sz w:val="24"/>
          <w:szCs w:val="28"/>
          <w:highlight w:val="none"/>
          <w:lang w:val="en-US" w:eastAsia="zh-CN"/>
        </w:rPr>
        <w:t>没有下列情形：①被列入“信用中国”网站“失信被执行人”的；②被列入“信用中国”网站“重大税收违法失信主体”的；③被列入“信用中国”网站 “严重失信主体名单”的；④在“信用中国”网站上披露的仍在公示期的严重失信行为(具体行为类别及判定依据见“信用中国”查询的严重失信行为类别及判定依据)的。⑤被列入国家企业信用信息公示系统网站“经营异常名录”或者“严重违法失信名单”的。⑥被列入中国政府采购网站“政府采购严重违法失信行为信息记录”的。⑦前三年有行贿犯罪行为的单位和个人。（若采购文件对投标人所属分公司、办事处等分支机构有上述1-7项信誉要求，在此一并承诺我公司所属分公司、办事处等分支机构没有上述1-7项情形）</w:t>
      </w:r>
    </w:p>
    <w:p w14:paraId="49F7FE96">
      <w:pPr>
        <w:keepNext w:val="0"/>
        <w:keepLines w:val="0"/>
        <w:pageBreakBefore w:val="0"/>
        <w:kinsoku/>
        <w:wordWrap/>
        <w:overflowPunct/>
        <w:topLinePunct w:val="0"/>
        <w:autoSpaceDE/>
        <w:autoSpaceDN/>
        <w:bidi w:val="0"/>
        <w:spacing w:line="440" w:lineRule="exact"/>
        <w:ind w:firstLine="435"/>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七、严格遵守开标现场纪律，服从监管人员管理；</w:t>
      </w:r>
    </w:p>
    <w:p w14:paraId="66AEC09F">
      <w:pPr>
        <w:keepNext w:val="0"/>
        <w:keepLines w:val="0"/>
        <w:pageBreakBefore w:val="0"/>
        <w:kinsoku/>
        <w:wordWrap/>
        <w:overflowPunct/>
        <w:topLinePunct w:val="0"/>
        <w:autoSpaceDE/>
        <w:autoSpaceDN/>
        <w:bidi w:val="0"/>
        <w:spacing w:line="440" w:lineRule="exact"/>
        <w:ind w:firstLine="435"/>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八、保证中标后不转包，若有分包征得招标人同意；</w:t>
      </w:r>
    </w:p>
    <w:p w14:paraId="244B66FC">
      <w:pPr>
        <w:keepNext w:val="0"/>
        <w:keepLines w:val="0"/>
        <w:pageBreakBefore w:val="0"/>
        <w:kinsoku/>
        <w:wordWrap/>
        <w:overflowPunct/>
        <w:topLinePunct w:val="0"/>
        <w:autoSpaceDE/>
        <w:autoSpaceDN/>
        <w:bidi w:val="0"/>
        <w:spacing w:line="440" w:lineRule="exact"/>
        <w:ind w:firstLine="435"/>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九、保证中标之后，按照投标文件要求提供相关后续服务；</w:t>
      </w:r>
    </w:p>
    <w:p w14:paraId="05B98C5B">
      <w:pPr>
        <w:keepNext w:val="0"/>
        <w:keepLines w:val="0"/>
        <w:pageBreakBefore w:val="0"/>
        <w:kinsoku/>
        <w:wordWrap/>
        <w:overflowPunct/>
        <w:topLinePunct w:val="0"/>
        <w:autoSpaceDE/>
        <w:autoSpaceDN/>
        <w:bidi w:val="0"/>
        <w:spacing w:line="440" w:lineRule="exact"/>
        <w:ind w:firstLine="435"/>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十、保证企业及所属相关人员在本次投标中无行贿等犯罪行为；</w:t>
      </w:r>
    </w:p>
    <w:p w14:paraId="68177837">
      <w:pPr>
        <w:keepNext w:val="0"/>
        <w:keepLines w:val="0"/>
        <w:pageBreakBefore w:val="0"/>
        <w:kinsoku/>
        <w:wordWrap/>
        <w:overflowPunct/>
        <w:topLinePunct w:val="0"/>
        <w:autoSpaceDE/>
        <w:autoSpaceDN/>
        <w:bidi w:val="0"/>
        <w:spacing w:line="440" w:lineRule="exact"/>
        <w:ind w:firstLine="435"/>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691E2050">
      <w:pPr>
        <w:keepNext w:val="0"/>
        <w:keepLines w:val="0"/>
        <w:pageBreakBefore w:val="0"/>
        <w:kinsoku/>
        <w:wordWrap/>
        <w:overflowPunct/>
        <w:topLinePunct w:val="0"/>
        <w:autoSpaceDE/>
        <w:autoSpaceDN/>
        <w:bidi w:val="0"/>
        <w:spacing w:line="440" w:lineRule="exact"/>
        <w:ind w:firstLine="435"/>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以上内容我已仔细阅读，本公司若有违反承诺内容的行为，自愿接受取消投标或者中标资格、记入不良行为记录等有关处理，愿意承担法律责任，给招标人造成损失的，依法承担赔偿责任。</w:t>
      </w:r>
    </w:p>
    <w:p w14:paraId="6571B85D">
      <w:pPr>
        <w:keepNext w:val="0"/>
        <w:keepLines w:val="0"/>
        <w:pageBreakBefore w:val="0"/>
        <w:kinsoku/>
        <w:wordWrap/>
        <w:overflowPunct/>
        <w:topLinePunct w:val="0"/>
        <w:autoSpaceDE/>
        <w:autoSpaceDN/>
        <w:bidi w:val="0"/>
        <w:spacing w:line="440" w:lineRule="exact"/>
        <w:ind w:firstLine="435"/>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 xml:space="preserve"> </w:t>
      </w:r>
    </w:p>
    <w:p w14:paraId="3B6FA1DC">
      <w:pPr>
        <w:keepNext w:val="0"/>
        <w:keepLines w:val="0"/>
        <w:pageBreakBefore w:val="0"/>
        <w:kinsoku/>
        <w:wordWrap/>
        <w:overflowPunct/>
        <w:topLinePunct w:val="0"/>
        <w:autoSpaceDE/>
        <w:autoSpaceDN/>
        <w:bidi w:val="0"/>
        <w:spacing w:line="440" w:lineRule="exact"/>
        <w:ind w:firstLine="435"/>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开户银行：                      基本账户：</w:t>
      </w:r>
    </w:p>
    <w:p w14:paraId="04051248">
      <w:pPr>
        <w:keepNext w:val="0"/>
        <w:keepLines w:val="0"/>
        <w:pageBreakBefore w:val="0"/>
        <w:kinsoku/>
        <w:wordWrap/>
        <w:overflowPunct/>
        <w:topLinePunct w:val="0"/>
        <w:autoSpaceDE/>
        <w:autoSpaceDN/>
        <w:bidi w:val="0"/>
        <w:spacing w:line="440" w:lineRule="exact"/>
        <w:ind w:firstLine="435"/>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投标单位（签章）：              法定代表人（签章）：</w:t>
      </w:r>
    </w:p>
    <w:p w14:paraId="58BD4E83">
      <w:pPr>
        <w:keepNext w:val="0"/>
        <w:keepLines w:val="0"/>
        <w:pageBreakBefore w:val="0"/>
        <w:kinsoku/>
        <w:wordWrap/>
        <w:overflowPunct/>
        <w:topLinePunct w:val="0"/>
        <w:autoSpaceDE/>
        <w:autoSpaceDN/>
        <w:bidi w:val="0"/>
        <w:spacing w:line="440" w:lineRule="exact"/>
        <w:ind w:firstLine="435"/>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 xml:space="preserve"> </w:t>
      </w:r>
    </w:p>
    <w:p w14:paraId="2D18DBF8">
      <w:pPr>
        <w:keepNext w:val="0"/>
        <w:keepLines w:val="0"/>
        <w:pageBreakBefore w:val="0"/>
        <w:kinsoku/>
        <w:wordWrap/>
        <w:overflowPunct/>
        <w:topLinePunct w:val="0"/>
        <w:autoSpaceDE/>
        <w:autoSpaceDN/>
        <w:bidi w:val="0"/>
        <w:spacing w:line="440" w:lineRule="exact"/>
        <w:ind w:firstLine="435"/>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日期：           年            月             日</w:t>
      </w:r>
    </w:p>
    <w:p w14:paraId="20015735">
      <w:pPr>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286A7032">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kern w:val="2"/>
          <w:sz w:val="28"/>
          <w:szCs w:val="28"/>
          <w:highlight w:val="none"/>
        </w:rPr>
      </w:pPr>
      <w:r>
        <w:rPr>
          <w:rFonts w:hint="eastAsia" w:ascii="宋体" w:hAnsi="宋体" w:eastAsia="宋体" w:cs="宋体"/>
          <w:b/>
          <w:bCs w:val="0"/>
          <w:color w:val="auto"/>
          <w:kern w:val="2"/>
          <w:sz w:val="28"/>
          <w:szCs w:val="28"/>
          <w:highlight w:val="none"/>
          <w:lang w:val="en-US" w:eastAsia="zh-CN" w:bidi="ar"/>
        </w:rPr>
        <w:t>二、商务标格式文件</w:t>
      </w:r>
    </w:p>
    <w:p w14:paraId="01A09739">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0"/>
          <w:szCs w:val="20"/>
          <w:highlight w:val="none"/>
        </w:rPr>
      </w:pPr>
      <w:r>
        <w:rPr>
          <w:rFonts w:hint="eastAsia" w:ascii="宋体" w:hAnsi="宋体" w:eastAsia="宋体" w:cs="宋体"/>
          <w:color w:val="auto"/>
          <w:kern w:val="2"/>
          <w:sz w:val="20"/>
          <w:szCs w:val="20"/>
          <w:highlight w:val="none"/>
          <w:lang w:val="en-US" w:eastAsia="zh-CN" w:bidi="ar"/>
        </w:rPr>
        <w:t xml:space="preserve"> </w:t>
      </w:r>
    </w:p>
    <w:p w14:paraId="1AABA5E5">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0"/>
          <w:szCs w:val="20"/>
          <w:highlight w:val="none"/>
        </w:rPr>
      </w:pPr>
      <w:r>
        <w:rPr>
          <w:rFonts w:hint="eastAsia" w:ascii="宋体" w:hAnsi="宋体" w:eastAsia="宋体" w:cs="宋体"/>
          <w:color w:val="auto"/>
          <w:kern w:val="2"/>
          <w:sz w:val="20"/>
          <w:szCs w:val="20"/>
          <w:highlight w:val="none"/>
          <w:lang w:val="en-US" w:eastAsia="zh-CN" w:bidi="ar"/>
        </w:rPr>
        <w:t xml:space="preserve"> </w:t>
      </w:r>
    </w:p>
    <w:p w14:paraId="0D1B75DE">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kern w:val="2"/>
          <w:sz w:val="44"/>
          <w:szCs w:val="44"/>
          <w:highlight w:val="none"/>
        </w:rPr>
      </w:pPr>
      <w:r>
        <w:rPr>
          <w:rFonts w:hint="eastAsia" w:ascii="宋体" w:hAnsi="宋体" w:eastAsia="宋体" w:cs="宋体"/>
          <w:b/>
          <w:bCs w:val="0"/>
          <w:color w:val="auto"/>
          <w:kern w:val="2"/>
          <w:sz w:val="44"/>
          <w:szCs w:val="44"/>
          <w:highlight w:val="none"/>
          <w:lang w:val="en-US" w:eastAsia="zh-CN" w:bidi="ar"/>
        </w:rPr>
        <w:t xml:space="preserve"> </w:t>
      </w:r>
    </w:p>
    <w:p w14:paraId="3A238F95">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kern w:val="2"/>
          <w:sz w:val="44"/>
          <w:szCs w:val="44"/>
          <w:highlight w:val="none"/>
        </w:rPr>
      </w:pPr>
      <w:r>
        <w:rPr>
          <w:rFonts w:hint="eastAsia" w:ascii="宋体" w:hAnsi="宋体" w:eastAsia="宋体" w:cs="宋体"/>
          <w:b/>
          <w:bCs w:val="0"/>
          <w:color w:val="auto"/>
          <w:kern w:val="2"/>
          <w:sz w:val="44"/>
          <w:szCs w:val="44"/>
          <w:highlight w:val="none"/>
          <w:lang w:val="en-US" w:eastAsia="zh-CN" w:bidi="ar"/>
        </w:rPr>
        <w:t xml:space="preserve"> </w:t>
      </w:r>
    </w:p>
    <w:p w14:paraId="41ABFA77">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kern w:val="2"/>
          <w:sz w:val="44"/>
          <w:szCs w:val="44"/>
          <w:highlight w:val="none"/>
        </w:rPr>
      </w:pPr>
      <w:r>
        <w:rPr>
          <w:rFonts w:hint="eastAsia" w:ascii="宋体" w:hAnsi="宋体" w:eastAsia="宋体" w:cs="宋体"/>
          <w:b/>
          <w:bCs w:val="0"/>
          <w:color w:val="auto"/>
          <w:kern w:val="2"/>
          <w:sz w:val="44"/>
          <w:szCs w:val="44"/>
          <w:highlight w:val="none"/>
          <w:lang w:val="en-US" w:eastAsia="zh-CN" w:bidi="ar"/>
        </w:rPr>
        <w:t>技术标</w:t>
      </w:r>
    </w:p>
    <w:p w14:paraId="64419A8A">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（投标文件二）</w:t>
      </w:r>
    </w:p>
    <w:p w14:paraId="655909CD">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32"/>
          <w:szCs w:val="32"/>
          <w:highlight w:val="none"/>
          <w:u w:val="single"/>
        </w:rPr>
      </w:pPr>
    </w:p>
    <w:p w14:paraId="0D8060DE">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u w:val="single"/>
          <w:lang w:val="en-US" w:eastAsia="zh-CN" w:bidi="ar"/>
        </w:rPr>
        <w:t xml:space="preserve">        </w:t>
      </w:r>
      <w:r>
        <w:rPr>
          <w:rFonts w:hint="eastAsia" w:ascii="宋体" w:hAnsi="宋体" w:eastAsia="宋体" w:cs="宋体"/>
          <w:color w:val="auto"/>
          <w:kern w:val="2"/>
          <w:sz w:val="32"/>
          <w:szCs w:val="32"/>
          <w:highlight w:val="none"/>
          <w:lang w:val="en-US" w:eastAsia="zh-CN" w:bidi="ar"/>
        </w:rPr>
        <w:t>项目</w:t>
      </w:r>
    </w:p>
    <w:p w14:paraId="17E8BFFB">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lang w:val="en-US" w:eastAsia="zh-CN" w:bidi="ar"/>
        </w:rPr>
        <w:t xml:space="preserve"> </w:t>
      </w:r>
    </w:p>
    <w:p w14:paraId="39F52B75">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44"/>
          <w:szCs w:val="44"/>
          <w:highlight w:val="none"/>
        </w:rPr>
      </w:pPr>
      <w:r>
        <w:rPr>
          <w:rFonts w:hint="eastAsia" w:ascii="宋体" w:hAnsi="宋体" w:eastAsia="宋体" w:cs="宋体"/>
          <w:color w:val="auto"/>
          <w:kern w:val="2"/>
          <w:sz w:val="28"/>
          <w:szCs w:val="28"/>
          <w:highlight w:val="none"/>
          <w:lang w:val="en-US" w:eastAsia="zh-CN" w:bidi="ar"/>
        </w:rPr>
        <w:t>项目编号：</w:t>
      </w:r>
      <w:r>
        <w:rPr>
          <w:rFonts w:hint="eastAsia" w:ascii="宋体" w:hAnsi="宋体" w:eastAsia="宋体" w:cs="宋体"/>
          <w:color w:val="auto"/>
          <w:kern w:val="2"/>
          <w:sz w:val="28"/>
          <w:szCs w:val="28"/>
          <w:highlight w:val="none"/>
          <w:u w:val="single"/>
          <w:lang w:val="en-US" w:eastAsia="zh-CN" w:bidi="ar"/>
        </w:rPr>
        <w:t xml:space="preserve">     </w:t>
      </w:r>
    </w:p>
    <w:p w14:paraId="1BC33A07">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lang w:val="en-US" w:eastAsia="zh-CN" w:bidi="ar"/>
        </w:rPr>
        <w:t xml:space="preserve"> </w:t>
      </w:r>
    </w:p>
    <w:p w14:paraId="273CEAA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lang w:val="en-US" w:eastAsia="zh-CN" w:bidi="ar"/>
        </w:rPr>
        <w:t xml:space="preserve"> </w:t>
      </w:r>
    </w:p>
    <w:p w14:paraId="3EB5C4AC">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8"/>
          <w:szCs w:val="28"/>
          <w:highlight w:val="none"/>
          <w:lang w:val="en-US" w:eastAsia="zh-CN" w:bidi="ar"/>
        </w:rPr>
      </w:pPr>
      <w:r>
        <w:rPr>
          <w:rFonts w:hint="eastAsia" w:ascii="宋体" w:hAnsi="宋体" w:eastAsia="宋体" w:cs="宋体"/>
          <w:color w:val="auto"/>
          <w:kern w:val="2"/>
          <w:sz w:val="28"/>
          <w:szCs w:val="28"/>
          <w:highlight w:val="none"/>
          <w:lang w:val="en-US" w:eastAsia="zh-CN" w:bidi="ar"/>
        </w:rPr>
        <w:t xml:space="preserve"> </w:t>
      </w:r>
    </w:p>
    <w:p w14:paraId="298694B9">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8"/>
          <w:szCs w:val="28"/>
          <w:highlight w:val="none"/>
          <w:lang w:val="en-US" w:eastAsia="zh-CN" w:bidi="ar"/>
        </w:rPr>
      </w:pPr>
    </w:p>
    <w:p w14:paraId="0C74289D">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8"/>
          <w:szCs w:val="28"/>
          <w:highlight w:val="none"/>
          <w:lang w:val="en-US" w:eastAsia="zh-CN" w:bidi="ar"/>
        </w:rPr>
      </w:pPr>
    </w:p>
    <w:p w14:paraId="2C1FEC2B">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lang w:val="en-US" w:eastAsia="zh-CN" w:bidi="ar"/>
        </w:rPr>
        <w:t xml:space="preserve"> </w:t>
      </w:r>
    </w:p>
    <w:p w14:paraId="75B67E96">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lang w:val="en-US" w:eastAsia="zh-CN" w:bidi="ar"/>
        </w:rPr>
        <w:t xml:space="preserve"> </w:t>
      </w:r>
    </w:p>
    <w:p w14:paraId="511DF768">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lang w:val="en-US" w:eastAsia="zh-CN" w:bidi="ar"/>
        </w:rPr>
        <w:t xml:space="preserve"> </w:t>
      </w:r>
    </w:p>
    <w:p w14:paraId="232CB885">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lang w:val="en-US" w:eastAsia="zh-CN" w:bidi="ar"/>
        </w:rPr>
        <w:t xml:space="preserve"> </w:t>
      </w:r>
    </w:p>
    <w:p w14:paraId="5980D886">
      <w:pPr>
        <w:keepNext w:val="0"/>
        <w:keepLines w:val="0"/>
        <w:widowControl w:val="0"/>
        <w:suppressLineNumbers w:val="0"/>
        <w:autoSpaceDE w:val="0"/>
        <w:autoSpaceDN/>
        <w:spacing w:before="0" w:beforeAutospacing="0" w:after="0" w:afterAutospacing="0" w:line="360" w:lineRule="auto"/>
        <w:ind w:left="0" w:right="0"/>
        <w:jc w:val="center"/>
        <w:rPr>
          <w:rFonts w:hint="eastAsia" w:ascii="宋体" w:hAnsi="宋体" w:eastAsia="宋体" w:cs="宋体"/>
          <w:color w:val="auto"/>
          <w:kern w:val="2"/>
          <w:sz w:val="28"/>
          <w:szCs w:val="28"/>
          <w:highlight w:val="none"/>
          <w:u w:val="single"/>
        </w:rPr>
      </w:pPr>
      <w:r>
        <w:rPr>
          <w:rFonts w:hint="eastAsia" w:ascii="宋体" w:hAnsi="宋体" w:eastAsia="宋体" w:cs="宋体"/>
          <w:color w:val="auto"/>
          <w:kern w:val="2"/>
          <w:sz w:val="28"/>
          <w:szCs w:val="28"/>
          <w:highlight w:val="none"/>
          <w:lang w:val="en-US" w:eastAsia="zh-CN" w:bidi="ar"/>
        </w:rPr>
        <w:t>投标人：</w:t>
      </w:r>
      <w:r>
        <w:rPr>
          <w:rFonts w:hint="eastAsia" w:ascii="宋体" w:hAnsi="宋体" w:eastAsia="宋体" w:cs="宋体"/>
          <w:color w:val="auto"/>
          <w:kern w:val="2"/>
          <w:sz w:val="28"/>
          <w:szCs w:val="28"/>
          <w:highlight w:val="none"/>
          <w:u w:val="single"/>
          <w:lang w:val="en-US" w:eastAsia="zh-CN" w:bidi="ar"/>
        </w:rPr>
        <w:t xml:space="preserve">                           </w:t>
      </w:r>
      <w:r>
        <w:rPr>
          <w:rFonts w:hint="eastAsia" w:ascii="宋体" w:hAnsi="宋体" w:eastAsia="宋体" w:cs="宋体"/>
          <w:color w:val="auto"/>
          <w:kern w:val="2"/>
          <w:sz w:val="28"/>
          <w:szCs w:val="28"/>
          <w:highlight w:val="none"/>
          <w:lang w:val="en-US" w:eastAsia="zh-CN" w:bidi="ar"/>
        </w:rPr>
        <w:t>（签章）</w:t>
      </w:r>
    </w:p>
    <w:p w14:paraId="051F9215">
      <w:pPr>
        <w:keepNext w:val="0"/>
        <w:keepLines w:val="0"/>
        <w:widowControl w:val="0"/>
        <w:suppressLineNumbers w:val="0"/>
        <w:autoSpaceDE w:val="0"/>
        <w:autoSpaceDN/>
        <w:spacing w:before="0" w:beforeAutospacing="0" w:after="0" w:afterAutospacing="0" w:line="360" w:lineRule="auto"/>
        <w:ind w:left="0" w:right="0"/>
        <w:jc w:val="center"/>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lang w:val="en-US" w:eastAsia="zh-CN" w:bidi="ar"/>
        </w:rPr>
        <w:t>法定代表人：</w:t>
      </w:r>
      <w:r>
        <w:rPr>
          <w:rFonts w:hint="eastAsia" w:ascii="宋体" w:hAnsi="宋体" w:eastAsia="宋体" w:cs="宋体"/>
          <w:color w:val="auto"/>
          <w:kern w:val="2"/>
          <w:sz w:val="28"/>
          <w:szCs w:val="28"/>
          <w:highlight w:val="none"/>
          <w:u w:val="single"/>
          <w:lang w:val="en-US" w:eastAsia="zh-CN" w:bidi="ar"/>
        </w:rPr>
        <w:t xml:space="preserve">                       </w:t>
      </w:r>
      <w:r>
        <w:rPr>
          <w:rFonts w:hint="eastAsia" w:ascii="宋体" w:hAnsi="宋体" w:eastAsia="宋体" w:cs="宋体"/>
          <w:color w:val="auto"/>
          <w:kern w:val="2"/>
          <w:sz w:val="28"/>
          <w:szCs w:val="28"/>
          <w:highlight w:val="none"/>
          <w:lang w:val="en-US" w:eastAsia="zh-CN" w:bidi="ar"/>
        </w:rPr>
        <w:t>（签章）</w:t>
      </w:r>
    </w:p>
    <w:p w14:paraId="6CB41106">
      <w:pPr>
        <w:keepNext w:val="0"/>
        <w:keepLines w:val="0"/>
        <w:widowControl w:val="0"/>
        <w:suppressLineNumbers w:val="0"/>
        <w:autoSpaceDE w:val="0"/>
        <w:autoSpaceDN/>
        <w:spacing w:before="0" w:beforeAutospacing="0" w:after="0" w:afterAutospacing="0" w:line="360" w:lineRule="auto"/>
        <w:ind w:left="0" w:right="0"/>
        <w:jc w:val="center"/>
        <w:rPr>
          <w:rFonts w:hint="eastAsia" w:ascii="宋体" w:hAnsi="宋体" w:eastAsia="宋体" w:cs="宋体"/>
          <w:color w:val="auto"/>
          <w:kern w:val="2"/>
          <w:sz w:val="28"/>
          <w:szCs w:val="28"/>
          <w:highlight w:val="none"/>
          <w:lang w:val="en-US" w:eastAsia="zh-CN" w:bidi="ar"/>
        </w:rPr>
      </w:pPr>
      <w:r>
        <w:rPr>
          <w:rFonts w:hint="eastAsia" w:ascii="宋体" w:hAnsi="宋体" w:eastAsia="宋体" w:cs="宋体"/>
          <w:color w:val="auto"/>
          <w:kern w:val="2"/>
          <w:sz w:val="28"/>
          <w:szCs w:val="28"/>
          <w:highlight w:val="none"/>
          <w:u w:val="single"/>
          <w:lang w:val="en-US" w:eastAsia="zh-CN" w:bidi="ar"/>
        </w:rPr>
        <w:t xml:space="preserve">        </w:t>
      </w:r>
      <w:r>
        <w:rPr>
          <w:rFonts w:hint="eastAsia" w:ascii="宋体" w:hAnsi="宋体" w:eastAsia="宋体" w:cs="宋体"/>
          <w:color w:val="auto"/>
          <w:kern w:val="2"/>
          <w:sz w:val="28"/>
          <w:szCs w:val="28"/>
          <w:highlight w:val="none"/>
          <w:lang w:val="en-US" w:eastAsia="zh-CN" w:bidi="ar"/>
        </w:rPr>
        <w:t>年</w:t>
      </w:r>
      <w:r>
        <w:rPr>
          <w:rFonts w:hint="eastAsia" w:ascii="宋体" w:hAnsi="宋体" w:eastAsia="宋体" w:cs="宋体"/>
          <w:color w:val="auto"/>
          <w:kern w:val="2"/>
          <w:sz w:val="28"/>
          <w:szCs w:val="28"/>
          <w:highlight w:val="none"/>
          <w:u w:val="single"/>
          <w:lang w:val="en-US" w:eastAsia="zh-CN" w:bidi="ar"/>
        </w:rPr>
        <w:t xml:space="preserve">        </w:t>
      </w:r>
      <w:r>
        <w:rPr>
          <w:rFonts w:hint="eastAsia" w:ascii="宋体" w:hAnsi="宋体" w:eastAsia="宋体" w:cs="宋体"/>
          <w:color w:val="auto"/>
          <w:kern w:val="2"/>
          <w:sz w:val="28"/>
          <w:szCs w:val="28"/>
          <w:highlight w:val="none"/>
          <w:lang w:val="en-US" w:eastAsia="zh-CN" w:bidi="ar"/>
        </w:rPr>
        <w:t>月</w:t>
      </w:r>
      <w:r>
        <w:rPr>
          <w:rFonts w:hint="eastAsia" w:ascii="宋体" w:hAnsi="宋体" w:eastAsia="宋体" w:cs="宋体"/>
          <w:color w:val="auto"/>
          <w:kern w:val="2"/>
          <w:sz w:val="28"/>
          <w:szCs w:val="28"/>
          <w:highlight w:val="none"/>
          <w:u w:val="single"/>
          <w:lang w:val="en-US" w:eastAsia="zh-CN" w:bidi="ar"/>
        </w:rPr>
        <w:t xml:space="preserve">        </w:t>
      </w:r>
      <w:r>
        <w:rPr>
          <w:rFonts w:hint="eastAsia" w:ascii="宋体" w:hAnsi="宋体" w:eastAsia="宋体" w:cs="宋体"/>
          <w:color w:val="auto"/>
          <w:kern w:val="2"/>
          <w:sz w:val="28"/>
          <w:szCs w:val="28"/>
          <w:highlight w:val="none"/>
          <w:lang w:val="en-US" w:eastAsia="zh-CN" w:bidi="ar"/>
        </w:rPr>
        <w:t>日</w:t>
      </w:r>
    </w:p>
    <w:p w14:paraId="2C0B2DAE">
      <w:pPr>
        <w:rPr>
          <w:rFonts w:hint="eastAsia" w:ascii="宋体" w:hAnsi="宋体" w:eastAsia="宋体" w:cs="宋体"/>
          <w:color w:val="auto"/>
          <w:kern w:val="2"/>
          <w:sz w:val="28"/>
          <w:szCs w:val="28"/>
          <w:highlight w:val="none"/>
          <w:lang w:val="en-US" w:eastAsia="zh-CN" w:bidi="ar"/>
        </w:rPr>
      </w:pPr>
      <w:r>
        <w:rPr>
          <w:rFonts w:hint="eastAsia" w:ascii="宋体" w:hAnsi="宋体" w:eastAsia="宋体" w:cs="宋体"/>
          <w:color w:val="auto"/>
          <w:kern w:val="2"/>
          <w:sz w:val="28"/>
          <w:szCs w:val="28"/>
          <w:highlight w:val="none"/>
          <w:lang w:val="en-US" w:eastAsia="zh-CN" w:bidi="ar"/>
        </w:rPr>
        <w:br w:type="page"/>
      </w:r>
    </w:p>
    <w:p w14:paraId="147451CC">
      <w:pPr>
        <w:keepNext w:val="0"/>
        <w:keepLines w:val="0"/>
        <w:widowControl w:val="0"/>
        <w:suppressLineNumbers w:val="0"/>
        <w:spacing w:before="0" w:beforeAutospacing="0" w:after="0" w:afterAutospacing="0" w:line="400" w:lineRule="exact"/>
        <w:ind w:left="0" w:right="0" w:firstLine="3379" w:firstLineChars="935"/>
        <w:jc w:val="left"/>
        <w:rPr>
          <w:rFonts w:hint="eastAsia" w:ascii="宋体" w:hAnsi="宋体" w:eastAsia="宋体" w:cs="宋体"/>
          <w:b/>
          <w:bCs w:val="0"/>
          <w:color w:val="auto"/>
          <w:kern w:val="2"/>
          <w:sz w:val="36"/>
          <w:szCs w:val="36"/>
          <w:highlight w:val="none"/>
        </w:rPr>
      </w:pPr>
      <w:r>
        <w:rPr>
          <w:rFonts w:hint="eastAsia" w:ascii="宋体" w:hAnsi="宋体" w:eastAsia="宋体" w:cs="宋体"/>
          <w:b/>
          <w:bCs w:val="0"/>
          <w:color w:val="auto"/>
          <w:kern w:val="2"/>
          <w:sz w:val="36"/>
          <w:szCs w:val="36"/>
          <w:highlight w:val="none"/>
          <w:lang w:val="en-US" w:eastAsia="zh-CN" w:bidi="ar"/>
        </w:rPr>
        <w:t>目   录</w:t>
      </w:r>
    </w:p>
    <w:p w14:paraId="573CAD82">
      <w:pPr>
        <w:keepNext w:val="0"/>
        <w:keepLines w:val="0"/>
        <w:widowControl w:val="0"/>
        <w:suppressLineNumbers w:val="0"/>
        <w:spacing w:before="0" w:beforeAutospacing="0" w:after="0" w:afterAutospacing="0" w:line="400" w:lineRule="exact"/>
        <w:ind w:left="0" w:right="0" w:firstLine="4130" w:firstLineChars="935"/>
        <w:jc w:val="both"/>
        <w:rPr>
          <w:rFonts w:hint="eastAsia" w:ascii="宋体" w:hAnsi="宋体" w:eastAsia="宋体" w:cs="宋体"/>
          <w:b/>
          <w:bCs w:val="0"/>
          <w:color w:val="auto"/>
          <w:kern w:val="2"/>
          <w:sz w:val="44"/>
          <w:szCs w:val="44"/>
          <w:highlight w:val="none"/>
        </w:rPr>
      </w:pPr>
      <w:r>
        <w:rPr>
          <w:rFonts w:hint="eastAsia" w:ascii="宋体" w:hAnsi="宋体" w:eastAsia="宋体" w:cs="宋体"/>
          <w:b/>
          <w:bCs w:val="0"/>
          <w:color w:val="auto"/>
          <w:kern w:val="2"/>
          <w:sz w:val="44"/>
          <w:szCs w:val="44"/>
          <w:highlight w:val="none"/>
          <w:lang w:val="en-US" w:eastAsia="zh-CN" w:bidi="ar"/>
        </w:rPr>
        <w:t xml:space="preserve"> </w:t>
      </w:r>
    </w:p>
    <w:p w14:paraId="674960E3">
      <w:pPr>
        <w:keepNext w:val="0"/>
        <w:keepLines w:val="0"/>
        <w:widowControl w:val="0"/>
        <w:suppressLineNumbers w:val="0"/>
        <w:spacing w:before="0" w:beforeAutospacing="0" w:after="0" w:afterAutospacing="0" w:line="440" w:lineRule="exact"/>
        <w:ind w:left="420" w:right="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（1）投标响应表（格式见附件）；</w:t>
      </w:r>
    </w:p>
    <w:p w14:paraId="7BE3677D">
      <w:pPr>
        <w:keepNext w:val="0"/>
        <w:keepLines w:val="0"/>
        <w:widowControl w:val="0"/>
        <w:suppressLineNumbers w:val="0"/>
        <w:spacing w:before="0" w:beforeAutospacing="0" w:after="0" w:afterAutospacing="0" w:line="440" w:lineRule="exact"/>
        <w:ind w:left="420" w:right="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（2）诚信履约承诺函（格式见附件）；</w:t>
      </w:r>
    </w:p>
    <w:p w14:paraId="0EAD6AB2">
      <w:pPr>
        <w:keepNext w:val="0"/>
        <w:keepLines w:val="0"/>
        <w:widowControl w:val="0"/>
        <w:suppressLineNumbers w:val="0"/>
        <w:spacing w:before="0" w:beforeAutospacing="0" w:after="0" w:afterAutospacing="0" w:line="440" w:lineRule="exact"/>
        <w:ind w:left="420" w:right="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（3）招标文件中要求的技术标评审及技术标评分的支持资料；</w:t>
      </w:r>
    </w:p>
    <w:p w14:paraId="7EA54125">
      <w:pPr>
        <w:keepNext w:val="0"/>
        <w:keepLines w:val="0"/>
        <w:widowControl w:val="0"/>
        <w:suppressLineNumbers w:val="0"/>
        <w:spacing w:before="0" w:beforeAutospacing="0" w:after="0" w:afterAutospacing="0" w:line="440" w:lineRule="exact"/>
        <w:ind w:left="420" w:right="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（4）投标人认为需要提供的其他材料。</w:t>
      </w:r>
    </w:p>
    <w:p w14:paraId="6AD03931">
      <w:pPr>
        <w:keepNext w:val="0"/>
        <w:keepLines w:val="0"/>
        <w:widowControl w:val="0"/>
        <w:suppressLineNumbers w:val="0"/>
        <w:autoSpaceDE w:val="0"/>
        <w:autoSpaceDN/>
        <w:spacing w:before="0" w:beforeAutospacing="0" w:after="0" w:afterAutospacing="0" w:line="360" w:lineRule="auto"/>
        <w:ind w:left="0" w:right="0"/>
        <w:jc w:val="center"/>
        <w:rPr>
          <w:rFonts w:hint="eastAsia" w:ascii="宋体" w:hAnsi="宋体" w:eastAsia="宋体" w:cs="宋体"/>
          <w:color w:val="auto"/>
          <w:kern w:val="2"/>
          <w:sz w:val="28"/>
          <w:szCs w:val="28"/>
          <w:highlight w:val="none"/>
          <w:lang w:val="en-US" w:eastAsia="zh-CN" w:bidi="ar"/>
        </w:rPr>
      </w:pPr>
    </w:p>
    <w:p w14:paraId="49F45BAE">
      <w:pPr>
        <w:keepNext w:val="0"/>
        <w:keepLines w:val="0"/>
        <w:pageBreakBefore/>
        <w:widowControl w:val="0"/>
        <w:kinsoku/>
        <w:wordWrap/>
        <w:overflowPunct/>
        <w:topLinePunct w:val="0"/>
        <w:autoSpaceDE/>
        <w:autoSpaceDN/>
        <w:bidi w:val="0"/>
        <w:adjustRightInd/>
        <w:snapToGrid/>
        <w:spacing w:line="360" w:lineRule="auto"/>
        <w:jc w:val="center"/>
        <w:textAlignment w:val="auto"/>
        <w:outlineLvl w:val="1"/>
        <w:rPr>
          <w:rFonts w:hint="default" w:asciiTheme="minorEastAsia" w:hAnsiTheme="minorEastAsia" w:eastAsiaTheme="minorEastAsia"/>
          <w:b/>
          <w:color w:val="auto"/>
          <w:sz w:val="24"/>
          <w:highlight w:val="none"/>
          <w:lang w:val="en-US" w:eastAsia="zh-CN"/>
        </w:rPr>
      </w:pPr>
      <w:bookmarkStart w:id="72" w:name="_Toc2906"/>
      <w:bookmarkStart w:id="73" w:name="_Toc11940"/>
      <w:bookmarkStart w:id="74" w:name="_Toc20329"/>
      <w:r>
        <w:rPr>
          <w:rFonts w:hint="eastAsia" w:asciiTheme="minorEastAsia" w:hAnsiTheme="minorEastAsia" w:eastAsiaTheme="minorEastAsia"/>
          <w:b/>
          <w:color w:val="auto"/>
          <w:sz w:val="24"/>
          <w:highlight w:val="none"/>
          <w:lang w:eastAsia="zh-CN"/>
        </w:rPr>
        <w:t>（</w:t>
      </w:r>
      <w:r>
        <w:rPr>
          <w:rFonts w:hint="eastAsia" w:asciiTheme="minorEastAsia" w:hAnsiTheme="minorEastAsia" w:eastAsiaTheme="minorEastAsia"/>
          <w:b/>
          <w:color w:val="auto"/>
          <w:sz w:val="24"/>
          <w:highlight w:val="none"/>
          <w:lang w:val="en-US" w:eastAsia="zh-CN"/>
        </w:rPr>
        <w:t>1）</w:t>
      </w:r>
      <w:r>
        <w:rPr>
          <w:rFonts w:hint="eastAsia" w:asciiTheme="minorEastAsia" w:hAnsiTheme="minorEastAsia" w:eastAsiaTheme="minorEastAsia"/>
          <w:b/>
          <w:color w:val="auto"/>
          <w:sz w:val="24"/>
          <w:highlight w:val="none"/>
        </w:rPr>
        <w:t>投标响应表</w:t>
      </w:r>
      <w:bookmarkEnd w:id="72"/>
      <w:bookmarkEnd w:id="73"/>
      <w:bookmarkEnd w:id="74"/>
    </w:p>
    <w:p w14:paraId="06736B2B">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2089"/>
        <w:gridCol w:w="2723"/>
        <w:gridCol w:w="2806"/>
        <w:gridCol w:w="883"/>
      </w:tblGrid>
      <w:tr w14:paraId="5ECEC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7C645B68">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7EA4D93C">
            <w:pPr>
              <w:pStyle w:val="12"/>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4EF196FF">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256292B9">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79DC9D6C">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6DBB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7B26AA6">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7DCA2DAB">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36A3120D">
            <w:pPr>
              <w:jc w:val="center"/>
              <w:rPr>
                <w:rFonts w:asciiTheme="minorEastAsia" w:hAnsiTheme="minorEastAsia" w:eastAsiaTheme="minorEastAsia"/>
                <w:color w:val="auto"/>
                <w:sz w:val="24"/>
                <w:highlight w:val="none"/>
              </w:rPr>
            </w:pPr>
          </w:p>
        </w:tc>
        <w:tc>
          <w:tcPr>
            <w:tcW w:w="1510" w:type="pct"/>
            <w:vAlign w:val="center"/>
          </w:tcPr>
          <w:p w14:paraId="7B46ABD8">
            <w:pPr>
              <w:jc w:val="center"/>
              <w:rPr>
                <w:rFonts w:asciiTheme="minorEastAsia" w:hAnsiTheme="minorEastAsia" w:eastAsiaTheme="minorEastAsia"/>
                <w:color w:val="auto"/>
                <w:sz w:val="24"/>
                <w:highlight w:val="none"/>
              </w:rPr>
            </w:pPr>
          </w:p>
        </w:tc>
        <w:tc>
          <w:tcPr>
            <w:tcW w:w="475" w:type="pct"/>
            <w:vAlign w:val="center"/>
          </w:tcPr>
          <w:p w14:paraId="42847397">
            <w:pPr>
              <w:jc w:val="center"/>
              <w:rPr>
                <w:rFonts w:asciiTheme="minorEastAsia" w:hAnsiTheme="minorEastAsia" w:eastAsiaTheme="minorEastAsia"/>
                <w:color w:val="auto"/>
                <w:sz w:val="24"/>
                <w:highlight w:val="none"/>
              </w:rPr>
            </w:pPr>
          </w:p>
        </w:tc>
      </w:tr>
      <w:tr w14:paraId="3E10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836294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50C5EDE1">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1465" w:type="pct"/>
            <w:vAlign w:val="center"/>
          </w:tcPr>
          <w:p w14:paraId="57FBAA77">
            <w:pPr>
              <w:jc w:val="center"/>
              <w:rPr>
                <w:rFonts w:asciiTheme="minorEastAsia" w:hAnsiTheme="minorEastAsia" w:eastAsiaTheme="minorEastAsia"/>
                <w:color w:val="auto"/>
                <w:sz w:val="24"/>
                <w:highlight w:val="none"/>
              </w:rPr>
            </w:pPr>
          </w:p>
        </w:tc>
        <w:tc>
          <w:tcPr>
            <w:tcW w:w="1510" w:type="pct"/>
            <w:vAlign w:val="center"/>
          </w:tcPr>
          <w:p w14:paraId="65D2B5C7">
            <w:pPr>
              <w:jc w:val="center"/>
              <w:rPr>
                <w:rFonts w:asciiTheme="minorEastAsia" w:hAnsiTheme="minorEastAsia" w:eastAsiaTheme="minorEastAsia"/>
                <w:color w:val="auto"/>
                <w:sz w:val="24"/>
                <w:highlight w:val="none"/>
              </w:rPr>
            </w:pPr>
          </w:p>
        </w:tc>
        <w:tc>
          <w:tcPr>
            <w:tcW w:w="475" w:type="pct"/>
            <w:vAlign w:val="center"/>
          </w:tcPr>
          <w:p w14:paraId="5815578D">
            <w:pPr>
              <w:jc w:val="center"/>
              <w:rPr>
                <w:rFonts w:asciiTheme="minorEastAsia" w:hAnsiTheme="minorEastAsia" w:eastAsiaTheme="minorEastAsia"/>
                <w:color w:val="auto"/>
                <w:sz w:val="24"/>
                <w:highlight w:val="none"/>
              </w:rPr>
            </w:pPr>
          </w:p>
        </w:tc>
      </w:tr>
      <w:tr w14:paraId="7DC49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0A6262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626678FD">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1465" w:type="pct"/>
            <w:vAlign w:val="center"/>
          </w:tcPr>
          <w:p w14:paraId="209D13D0">
            <w:pPr>
              <w:jc w:val="center"/>
              <w:rPr>
                <w:rFonts w:asciiTheme="minorEastAsia" w:hAnsiTheme="minorEastAsia" w:eastAsiaTheme="minorEastAsia"/>
                <w:color w:val="auto"/>
                <w:sz w:val="24"/>
                <w:highlight w:val="none"/>
              </w:rPr>
            </w:pPr>
          </w:p>
        </w:tc>
        <w:tc>
          <w:tcPr>
            <w:tcW w:w="1510" w:type="pct"/>
            <w:vAlign w:val="center"/>
          </w:tcPr>
          <w:p w14:paraId="7C4D38E6">
            <w:pPr>
              <w:pStyle w:val="51"/>
              <w:jc w:val="center"/>
              <w:rPr>
                <w:rFonts w:asciiTheme="minorEastAsia" w:hAnsiTheme="minorEastAsia" w:eastAsiaTheme="minorEastAsia"/>
                <w:color w:val="auto"/>
                <w:highlight w:val="none"/>
              </w:rPr>
            </w:pPr>
          </w:p>
        </w:tc>
        <w:tc>
          <w:tcPr>
            <w:tcW w:w="475" w:type="pct"/>
            <w:vAlign w:val="center"/>
          </w:tcPr>
          <w:p w14:paraId="2D193D30">
            <w:pPr>
              <w:jc w:val="center"/>
              <w:rPr>
                <w:rFonts w:asciiTheme="minorEastAsia" w:hAnsiTheme="minorEastAsia" w:eastAsiaTheme="minorEastAsia"/>
                <w:color w:val="auto"/>
                <w:sz w:val="24"/>
                <w:highlight w:val="none"/>
              </w:rPr>
            </w:pPr>
          </w:p>
        </w:tc>
      </w:tr>
      <w:tr w14:paraId="5B688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EA006B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124" w:type="pct"/>
            <w:vAlign w:val="center"/>
          </w:tcPr>
          <w:p w14:paraId="01018351">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1465" w:type="pct"/>
            <w:vAlign w:val="center"/>
          </w:tcPr>
          <w:p w14:paraId="7BB4924E">
            <w:pPr>
              <w:jc w:val="center"/>
              <w:rPr>
                <w:rFonts w:asciiTheme="minorEastAsia" w:hAnsiTheme="minorEastAsia" w:eastAsiaTheme="minorEastAsia"/>
                <w:color w:val="auto"/>
                <w:sz w:val="24"/>
                <w:highlight w:val="none"/>
              </w:rPr>
            </w:pPr>
          </w:p>
        </w:tc>
        <w:tc>
          <w:tcPr>
            <w:tcW w:w="1510" w:type="pct"/>
            <w:vAlign w:val="center"/>
          </w:tcPr>
          <w:p w14:paraId="364A1532">
            <w:pPr>
              <w:jc w:val="center"/>
              <w:rPr>
                <w:rFonts w:asciiTheme="minorEastAsia" w:hAnsiTheme="minorEastAsia" w:eastAsiaTheme="minorEastAsia"/>
                <w:color w:val="auto"/>
                <w:sz w:val="24"/>
                <w:highlight w:val="none"/>
              </w:rPr>
            </w:pPr>
          </w:p>
        </w:tc>
        <w:tc>
          <w:tcPr>
            <w:tcW w:w="475" w:type="pct"/>
            <w:vAlign w:val="center"/>
          </w:tcPr>
          <w:p w14:paraId="7E7A25FE">
            <w:pPr>
              <w:jc w:val="center"/>
              <w:rPr>
                <w:rFonts w:asciiTheme="minorEastAsia" w:hAnsiTheme="minorEastAsia" w:eastAsiaTheme="minorEastAsia"/>
                <w:color w:val="auto"/>
                <w:sz w:val="24"/>
                <w:highlight w:val="none"/>
              </w:rPr>
            </w:pPr>
          </w:p>
        </w:tc>
      </w:tr>
      <w:tr w14:paraId="5884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AAE709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58F32D89">
            <w:pPr>
              <w:jc w:val="center"/>
              <w:rPr>
                <w:rFonts w:ascii="宋体" w:hAnsi="宋体" w:eastAsia="宋体"/>
                <w:color w:val="auto"/>
                <w:sz w:val="24"/>
                <w:highlight w:val="none"/>
              </w:rPr>
            </w:pPr>
          </w:p>
        </w:tc>
        <w:tc>
          <w:tcPr>
            <w:tcW w:w="1465" w:type="pct"/>
            <w:vAlign w:val="center"/>
          </w:tcPr>
          <w:p w14:paraId="2F56881C">
            <w:pPr>
              <w:jc w:val="center"/>
              <w:rPr>
                <w:rFonts w:asciiTheme="minorEastAsia" w:hAnsiTheme="minorEastAsia" w:eastAsiaTheme="minorEastAsia"/>
                <w:color w:val="auto"/>
                <w:sz w:val="24"/>
                <w:highlight w:val="none"/>
              </w:rPr>
            </w:pPr>
          </w:p>
        </w:tc>
        <w:tc>
          <w:tcPr>
            <w:tcW w:w="1510" w:type="pct"/>
            <w:vAlign w:val="center"/>
          </w:tcPr>
          <w:p w14:paraId="640656AA">
            <w:pPr>
              <w:jc w:val="center"/>
              <w:rPr>
                <w:rFonts w:asciiTheme="minorEastAsia" w:hAnsiTheme="minorEastAsia" w:eastAsiaTheme="minorEastAsia"/>
                <w:color w:val="auto"/>
                <w:sz w:val="24"/>
                <w:highlight w:val="none"/>
              </w:rPr>
            </w:pPr>
          </w:p>
        </w:tc>
        <w:tc>
          <w:tcPr>
            <w:tcW w:w="475" w:type="pct"/>
            <w:vAlign w:val="center"/>
          </w:tcPr>
          <w:p w14:paraId="742F655D">
            <w:pPr>
              <w:jc w:val="center"/>
              <w:rPr>
                <w:rFonts w:asciiTheme="minorEastAsia" w:hAnsiTheme="minorEastAsia" w:eastAsiaTheme="minorEastAsia"/>
                <w:color w:val="auto"/>
                <w:sz w:val="24"/>
                <w:highlight w:val="none"/>
              </w:rPr>
            </w:pPr>
          </w:p>
        </w:tc>
      </w:tr>
    </w:tbl>
    <w:p w14:paraId="7ED39428">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1700"/>
        <w:gridCol w:w="3121"/>
        <w:gridCol w:w="2705"/>
        <w:gridCol w:w="933"/>
      </w:tblGrid>
      <w:tr w14:paraId="442A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20822291">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5D6771CC">
            <w:pPr>
              <w:pStyle w:val="12"/>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37173BF9">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1456" w:type="pct"/>
            <w:vAlign w:val="center"/>
          </w:tcPr>
          <w:p w14:paraId="50E6294D">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0FFE2A72">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5DADE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6E1E9D8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1F8B1DB9">
            <w:pPr>
              <w:jc w:val="center"/>
              <w:rPr>
                <w:rFonts w:asciiTheme="minorEastAsia" w:hAnsiTheme="minorEastAsia" w:eastAsiaTheme="minorEastAsia"/>
                <w:color w:val="auto"/>
                <w:sz w:val="24"/>
                <w:highlight w:val="none"/>
              </w:rPr>
            </w:pPr>
          </w:p>
        </w:tc>
        <w:tc>
          <w:tcPr>
            <w:tcW w:w="1680" w:type="pct"/>
            <w:vAlign w:val="center"/>
          </w:tcPr>
          <w:p w14:paraId="1393664B">
            <w:pPr>
              <w:jc w:val="center"/>
              <w:rPr>
                <w:rFonts w:asciiTheme="minorEastAsia" w:hAnsiTheme="minorEastAsia" w:eastAsiaTheme="minorEastAsia"/>
                <w:color w:val="auto"/>
                <w:sz w:val="24"/>
                <w:highlight w:val="none"/>
              </w:rPr>
            </w:pPr>
          </w:p>
        </w:tc>
        <w:tc>
          <w:tcPr>
            <w:tcW w:w="1456" w:type="pct"/>
            <w:vAlign w:val="center"/>
          </w:tcPr>
          <w:p w14:paraId="52E19504">
            <w:pPr>
              <w:jc w:val="center"/>
              <w:rPr>
                <w:rFonts w:asciiTheme="minorEastAsia" w:hAnsiTheme="minorEastAsia" w:eastAsiaTheme="minorEastAsia"/>
                <w:color w:val="auto"/>
                <w:sz w:val="24"/>
                <w:highlight w:val="none"/>
              </w:rPr>
            </w:pPr>
          </w:p>
        </w:tc>
        <w:tc>
          <w:tcPr>
            <w:tcW w:w="502" w:type="pct"/>
            <w:vAlign w:val="center"/>
          </w:tcPr>
          <w:p w14:paraId="010A948C">
            <w:pPr>
              <w:jc w:val="center"/>
              <w:rPr>
                <w:rFonts w:asciiTheme="minorEastAsia" w:hAnsiTheme="minorEastAsia" w:eastAsiaTheme="minorEastAsia"/>
                <w:color w:val="auto"/>
                <w:sz w:val="24"/>
                <w:highlight w:val="none"/>
              </w:rPr>
            </w:pPr>
          </w:p>
        </w:tc>
      </w:tr>
      <w:tr w14:paraId="7556D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4898A9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0A9C7071">
            <w:pPr>
              <w:jc w:val="center"/>
              <w:rPr>
                <w:rFonts w:asciiTheme="minorEastAsia" w:hAnsiTheme="minorEastAsia" w:eastAsiaTheme="minorEastAsia"/>
                <w:color w:val="auto"/>
                <w:sz w:val="24"/>
                <w:highlight w:val="none"/>
              </w:rPr>
            </w:pPr>
          </w:p>
        </w:tc>
        <w:tc>
          <w:tcPr>
            <w:tcW w:w="1680" w:type="pct"/>
            <w:vAlign w:val="center"/>
          </w:tcPr>
          <w:p w14:paraId="656C58B2">
            <w:pPr>
              <w:jc w:val="center"/>
              <w:rPr>
                <w:rFonts w:asciiTheme="minorEastAsia" w:hAnsiTheme="minorEastAsia" w:eastAsiaTheme="minorEastAsia"/>
                <w:color w:val="auto"/>
                <w:sz w:val="24"/>
                <w:highlight w:val="none"/>
              </w:rPr>
            </w:pPr>
          </w:p>
        </w:tc>
        <w:tc>
          <w:tcPr>
            <w:tcW w:w="1456" w:type="pct"/>
            <w:vAlign w:val="center"/>
          </w:tcPr>
          <w:p w14:paraId="57754154">
            <w:pPr>
              <w:jc w:val="center"/>
              <w:rPr>
                <w:rFonts w:asciiTheme="minorEastAsia" w:hAnsiTheme="minorEastAsia" w:eastAsiaTheme="minorEastAsia"/>
                <w:color w:val="auto"/>
                <w:sz w:val="24"/>
                <w:highlight w:val="none"/>
              </w:rPr>
            </w:pPr>
          </w:p>
        </w:tc>
        <w:tc>
          <w:tcPr>
            <w:tcW w:w="502" w:type="pct"/>
            <w:vAlign w:val="center"/>
          </w:tcPr>
          <w:p w14:paraId="44DDDC65">
            <w:pPr>
              <w:jc w:val="center"/>
              <w:rPr>
                <w:rFonts w:asciiTheme="minorEastAsia" w:hAnsiTheme="minorEastAsia" w:eastAsiaTheme="minorEastAsia"/>
                <w:color w:val="auto"/>
                <w:sz w:val="24"/>
                <w:highlight w:val="none"/>
              </w:rPr>
            </w:pPr>
          </w:p>
        </w:tc>
      </w:tr>
      <w:tr w14:paraId="7B6B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1E07652B">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066C9A8A">
            <w:pPr>
              <w:jc w:val="center"/>
              <w:rPr>
                <w:rFonts w:asciiTheme="minorEastAsia" w:hAnsiTheme="minorEastAsia" w:eastAsiaTheme="minorEastAsia"/>
                <w:color w:val="auto"/>
                <w:sz w:val="24"/>
                <w:highlight w:val="none"/>
              </w:rPr>
            </w:pPr>
          </w:p>
        </w:tc>
        <w:tc>
          <w:tcPr>
            <w:tcW w:w="1680" w:type="pct"/>
            <w:vAlign w:val="center"/>
          </w:tcPr>
          <w:p w14:paraId="4ED921C8">
            <w:pPr>
              <w:jc w:val="center"/>
              <w:rPr>
                <w:rFonts w:asciiTheme="minorEastAsia" w:hAnsiTheme="minorEastAsia" w:eastAsiaTheme="minorEastAsia"/>
                <w:color w:val="auto"/>
                <w:sz w:val="24"/>
                <w:highlight w:val="none"/>
              </w:rPr>
            </w:pPr>
          </w:p>
        </w:tc>
        <w:tc>
          <w:tcPr>
            <w:tcW w:w="1456" w:type="pct"/>
            <w:vAlign w:val="center"/>
          </w:tcPr>
          <w:p w14:paraId="27F269E3">
            <w:pPr>
              <w:pStyle w:val="51"/>
              <w:jc w:val="center"/>
              <w:rPr>
                <w:rFonts w:asciiTheme="minorEastAsia" w:hAnsiTheme="minorEastAsia" w:eastAsiaTheme="minorEastAsia"/>
                <w:color w:val="auto"/>
                <w:highlight w:val="none"/>
              </w:rPr>
            </w:pPr>
          </w:p>
        </w:tc>
        <w:tc>
          <w:tcPr>
            <w:tcW w:w="502" w:type="pct"/>
            <w:vAlign w:val="center"/>
          </w:tcPr>
          <w:p w14:paraId="43C80F97">
            <w:pPr>
              <w:jc w:val="center"/>
              <w:rPr>
                <w:rFonts w:asciiTheme="minorEastAsia" w:hAnsiTheme="minorEastAsia" w:eastAsiaTheme="minorEastAsia"/>
                <w:color w:val="auto"/>
                <w:sz w:val="24"/>
                <w:highlight w:val="none"/>
              </w:rPr>
            </w:pPr>
          </w:p>
        </w:tc>
      </w:tr>
      <w:tr w14:paraId="2C3D8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1B59B5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915" w:type="pct"/>
            <w:vAlign w:val="center"/>
          </w:tcPr>
          <w:p w14:paraId="15250B72">
            <w:pPr>
              <w:jc w:val="center"/>
              <w:rPr>
                <w:rFonts w:asciiTheme="minorEastAsia" w:hAnsiTheme="minorEastAsia" w:eastAsiaTheme="minorEastAsia"/>
                <w:color w:val="auto"/>
                <w:sz w:val="24"/>
                <w:highlight w:val="none"/>
              </w:rPr>
            </w:pPr>
          </w:p>
        </w:tc>
        <w:tc>
          <w:tcPr>
            <w:tcW w:w="1680" w:type="pct"/>
            <w:vAlign w:val="center"/>
          </w:tcPr>
          <w:p w14:paraId="72524F30">
            <w:pPr>
              <w:jc w:val="center"/>
              <w:rPr>
                <w:rFonts w:asciiTheme="minorEastAsia" w:hAnsiTheme="minorEastAsia" w:eastAsiaTheme="minorEastAsia"/>
                <w:color w:val="auto"/>
                <w:sz w:val="24"/>
                <w:highlight w:val="none"/>
              </w:rPr>
            </w:pPr>
          </w:p>
        </w:tc>
        <w:tc>
          <w:tcPr>
            <w:tcW w:w="1456" w:type="pct"/>
            <w:vAlign w:val="center"/>
          </w:tcPr>
          <w:p w14:paraId="67584A8E">
            <w:pPr>
              <w:pStyle w:val="51"/>
              <w:jc w:val="center"/>
              <w:rPr>
                <w:rFonts w:asciiTheme="minorEastAsia" w:hAnsiTheme="minorEastAsia" w:eastAsiaTheme="minorEastAsia"/>
                <w:color w:val="auto"/>
                <w:highlight w:val="none"/>
              </w:rPr>
            </w:pPr>
          </w:p>
        </w:tc>
        <w:tc>
          <w:tcPr>
            <w:tcW w:w="502" w:type="pct"/>
            <w:vAlign w:val="center"/>
          </w:tcPr>
          <w:p w14:paraId="76F29476">
            <w:pPr>
              <w:jc w:val="center"/>
              <w:rPr>
                <w:rFonts w:asciiTheme="minorEastAsia" w:hAnsiTheme="minorEastAsia" w:eastAsiaTheme="minorEastAsia"/>
                <w:color w:val="auto"/>
                <w:sz w:val="24"/>
                <w:highlight w:val="none"/>
              </w:rPr>
            </w:pPr>
          </w:p>
        </w:tc>
      </w:tr>
      <w:tr w14:paraId="47BD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567D2FF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57383301">
            <w:pPr>
              <w:jc w:val="center"/>
              <w:rPr>
                <w:rFonts w:asciiTheme="minorEastAsia" w:hAnsiTheme="minorEastAsia" w:eastAsiaTheme="minorEastAsia"/>
                <w:color w:val="auto"/>
                <w:sz w:val="24"/>
                <w:highlight w:val="none"/>
              </w:rPr>
            </w:pPr>
          </w:p>
        </w:tc>
        <w:tc>
          <w:tcPr>
            <w:tcW w:w="1680" w:type="pct"/>
            <w:vAlign w:val="center"/>
          </w:tcPr>
          <w:p w14:paraId="2BCDD10A">
            <w:pPr>
              <w:jc w:val="center"/>
              <w:rPr>
                <w:rFonts w:asciiTheme="minorEastAsia" w:hAnsiTheme="minorEastAsia" w:eastAsiaTheme="minorEastAsia"/>
                <w:color w:val="auto"/>
                <w:sz w:val="24"/>
                <w:highlight w:val="none"/>
              </w:rPr>
            </w:pPr>
          </w:p>
        </w:tc>
        <w:tc>
          <w:tcPr>
            <w:tcW w:w="1456" w:type="pct"/>
            <w:vAlign w:val="center"/>
          </w:tcPr>
          <w:p w14:paraId="456822BF">
            <w:pPr>
              <w:jc w:val="center"/>
              <w:rPr>
                <w:rFonts w:asciiTheme="minorEastAsia" w:hAnsiTheme="minorEastAsia" w:eastAsiaTheme="minorEastAsia"/>
                <w:color w:val="auto"/>
                <w:sz w:val="24"/>
                <w:highlight w:val="none"/>
              </w:rPr>
            </w:pPr>
          </w:p>
        </w:tc>
        <w:tc>
          <w:tcPr>
            <w:tcW w:w="502" w:type="pct"/>
            <w:vAlign w:val="center"/>
          </w:tcPr>
          <w:p w14:paraId="018982AF">
            <w:pPr>
              <w:jc w:val="center"/>
              <w:rPr>
                <w:rFonts w:asciiTheme="minorEastAsia" w:hAnsiTheme="minorEastAsia" w:eastAsiaTheme="minorEastAsia"/>
                <w:color w:val="auto"/>
                <w:sz w:val="24"/>
                <w:highlight w:val="none"/>
              </w:rPr>
            </w:pPr>
          </w:p>
        </w:tc>
      </w:tr>
    </w:tbl>
    <w:p w14:paraId="48267207">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570E981F">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5A93F45F">
      <w:pPr>
        <w:pStyle w:val="13"/>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46DAAD53">
      <w:pPr>
        <w:keepNext w:val="0"/>
        <w:keepLines w:val="0"/>
        <w:pageBreakBefore/>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75" w:name="_Toc2716"/>
      <w:r>
        <w:rPr>
          <w:rFonts w:hint="eastAsia" w:asciiTheme="minorEastAsia" w:hAnsiTheme="minorEastAsia" w:eastAsiaTheme="minorEastAsia"/>
          <w:b/>
          <w:color w:val="auto"/>
          <w:sz w:val="24"/>
          <w:highlight w:val="none"/>
          <w:lang w:val="en-US" w:eastAsia="zh-CN"/>
        </w:rPr>
        <w:t>（2）诚信履约承诺函</w:t>
      </w:r>
      <w:bookmarkEnd w:id="75"/>
    </w:p>
    <w:p w14:paraId="3DFA106F">
      <w:pPr>
        <w:spacing w:line="360" w:lineRule="auto"/>
        <w:rPr>
          <w:rFonts w:asciiTheme="minorEastAsia" w:hAnsiTheme="minorEastAsia" w:eastAsiaTheme="minorEastAsia"/>
          <w:b/>
          <w:bCs/>
          <w:color w:val="auto"/>
          <w:sz w:val="24"/>
          <w:highlight w:val="none"/>
        </w:rPr>
      </w:pPr>
    </w:p>
    <w:p w14:paraId="156F81CF">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20707CD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0DD8677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49F672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0D7AE90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0C25243C">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6E1AC1B8">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352D30F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DB86AE1">
      <w:pPr>
        <w:spacing w:line="360" w:lineRule="auto"/>
        <w:rPr>
          <w:rFonts w:asciiTheme="minorEastAsia" w:hAnsiTheme="minorEastAsia" w:eastAsiaTheme="minorEastAsia"/>
          <w:bCs/>
          <w:color w:val="auto"/>
          <w:sz w:val="24"/>
          <w:highlight w:val="none"/>
        </w:rPr>
      </w:pPr>
    </w:p>
    <w:p w14:paraId="4567701F">
      <w:pPr>
        <w:spacing w:line="360" w:lineRule="auto"/>
        <w:rPr>
          <w:rFonts w:asciiTheme="minorEastAsia" w:hAnsiTheme="minorEastAsia" w:eastAsiaTheme="minorEastAsia"/>
          <w:bCs/>
          <w:color w:val="auto"/>
          <w:sz w:val="24"/>
          <w:highlight w:val="none"/>
        </w:rPr>
      </w:pPr>
    </w:p>
    <w:p w14:paraId="450EB78C">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1F968AC6">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05BB192">
      <w:pPr>
        <w:widowControl/>
        <w:jc w:val="left"/>
        <w:rPr>
          <w:rFonts w:hint="eastAsia" w:ascii="宋体" w:hAnsi="宋体" w:eastAsia="宋体" w:cs="宋体"/>
          <w:b/>
          <w:bCs w:val="0"/>
          <w:color w:val="auto"/>
          <w:kern w:val="2"/>
          <w:sz w:val="28"/>
          <w:szCs w:val="28"/>
          <w:highlight w:val="none"/>
        </w:rPr>
      </w:pPr>
      <w:r>
        <w:rPr>
          <w:rFonts w:ascii="宋体" w:hAnsi="宋体" w:eastAsia="宋体" w:cs="Arial"/>
          <w:color w:val="auto"/>
          <w:sz w:val="24"/>
          <w:highlight w:val="none"/>
        </w:rPr>
        <w:br w:type="page"/>
      </w:r>
      <w:r>
        <w:rPr>
          <w:rFonts w:hint="eastAsia" w:ascii="宋体" w:hAnsi="宋体" w:eastAsia="宋体" w:cs="宋体"/>
          <w:b/>
          <w:bCs w:val="0"/>
          <w:color w:val="auto"/>
          <w:kern w:val="2"/>
          <w:sz w:val="28"/>
          <w:szCs w:val="28"/>
          <w:highlight w:val="none"/>
          <w:lang w:val="en-US" w:eastAsia="zh-CN" w:bidi="ar"/>
        </w:rPr>
        <w:t>三、商务标格式文件</w:t>
      </w:r>
    </w:p>
    <w:p w14:paraId="11FE2A16">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0"/>
          <w:szCs w:val="20"/>
          <w:highlight w:val="none"/>
        </w:rPr>
      </w:pPr>
      <w:r>
        <w:rPr>
          <w:rFonts w:hint="eastAsia" w:ascii="宋体" w:hAnsi="宋体" w:eastAsia="宋体" w:cs="宋体"/>
          <w:color w:val="auto"/>
          <w:kern w:val="2"/>
          <w:sz w:val="20"/>
          <w:szCs w:val="20"/>
          <w:highlight w:val="none"/>
          <w:lang w:val="en-US" w:eastAsia="zh-CN" w:bidi="ar"/>
        </w:rPr>
        <w:t xml:space="preserve"> </w:t>
      </w:r>
    </w:p>
    <w:p w14:paraId="47CEF53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0"/>
          <w:szCs w:val="20"/>
          <w:highlight w:val="none"/>
        </w:rPr>
      </w:pPr>
      <w:r>
        <w:rPr>
          <w:rFonts w:hint="eastAsia" w:ascii="宋体" w:hAnsi="宋体" w:eastAsia="宋体" w:cs="宋体"/>
          <w:color w:val="auto"/>
          <w:kern w:val="2"/>
          <w:sz w:val="20"/>
          <w:szCs w:val="20"/>
          <w:highlight w:val="none"/>
          <w:lang w:val="en-US" w:eastAsia="zh-CN" w:bidi="ar"/>
        </w:rPr>
        <w:t xml:space="preserve"> </w:t>
      </w:r>
    </w:p>
    <w:p w14:paraId="7237A541">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kern w:val="2"/>
          <w:sz w:val="44"/>
          <w:szCs w:val="44"/>
          <w:highlight w:val="none"/>
        </w:rPr>
      </w:pPr>
      <w:r>
        <w:rPr>
          <w:rFonts w:hint="eastAsia" w:ascii="宋体" w:hAnsi="宋体" w:eastAsia="宋体" w:cs="宋体"/>
          <w:b/>
          <w:bCs w:val="0"/>
          <w:color w:val="auto"/>
          <w:kern w:val="2"/>
          <w:sz w:val="44"/>
          <w:szCs w:val="44"/>
          <w:highlight w:val="none"/>
          <w:lang w:val="en-US" w:eastAsia="zh-CN" w:bidi="ar"/>
        </w:rPr>
        <w:t xml:space="preserve"> </w:t>
      </w:r>
    </w:p>
    <w:p w14:paraId="22D8B3D6">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kern w:val="2"/>
          <w:sz w:val="44"/>
          <w:szCs w:val="44"/>
          <w:highlight w:val="none"/>
        </w:rPr>
      </w:pPr>
      <w:r>
        <w:rPr>
          <w:rFonts w:hint="eastAsia" w:ascii="宋体" w:hAnsi="宋体" w:eastAsia="宋体" w:cs="宋体"/>
          <w:b/>
          <w:bCs w:val="0"/>
          <w:color w:val="auto"/>
          <w:kern w:val="2"/>
          <w:sz w:val="44"/>
          <w:szCs w:val="44"/>
          <w:highlight w:val="none"/>
          <w:lang w:val="en-US" w:eastAsia="zh-CN" w:bidi="ar"/>
        </w:rPr>
        <w:t xml:space="preserve"> </w:t>
      </w:r>
    </w:p>
    <w:p w14:paraId="1A2B16C2">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kern w:val="2"/>
          <w:sz w:val="44"/>
          <w:szCs w:val="44"/>
          <w:highlight w:val="none"/>
        </w:rPr>
      </w:pPr>
      <w:r>
        <w:rPr>
          <w:rFonts w:hint="eastAsia" w:ascii="宋体" w:hAnsi="宋体" w:eastAsia="宋体" w:cs="宋体"/>
          <w:b/>
          <w:bCs w:val="0"/>
          <w:color w:val="auto"/>
          <w:kern w:val="2"/>
          <w:sz w:val="44"/>
          <w:szCs w:val="44"/>
          <w:highlight w:val="none"/>
          <w:lang w:val="en-US" w:eastAsia="zh-CN" w:bidi="ar"/>
        </w:rPr>
        <w:t>商务标</w:t>
      </w:r>
    </w:p>
    <w:p w14:paraId="54D11E2E">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（投标文件三）</w:t>
      </w:r>
    </w:p>
    <w:p w14:paraId="12F19C29">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32"/>
          <w:szCs w:val="32"/>
          <w:highlight w:val="none"/>
          <w:u w:val="single"/>
        </w:rPr>
      </w:pPr>
    </w:p>
    <w:p w14:paraId="5152C6AB">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u w:val="single"/>
          <w:lang w:val="en-US" w:eastAsia="zh-CN" w:bidi="ar"/>
        </w:rPr>
        <w:t xml:space="preserve">        </w:t>
      </w:r>
      <w:r>
        <w:rPr>
          <w:rFonts w:hint="eastAsia" w:ascii="宋体" w:hAnsi="宋体" w:eastAsia="宋体" w:cs="宋体"/>
          <w:color w:val="auto"/>
          <w:kern w:val="2"/>
          <w:sz w:val="32"/>
          <w:szCs w:val="32"/>
          <w:highlight w:val="none"/>
          <w:lang w:val="en-US" w:eastAsia="zh-CN" w:bidi="ar"/>
        </w:rPr>
        <w:t>项目</w:t>
      </w:r>
    </w:p>
    <w:p w14:paraId="18883A54">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lang w:val="en-US" w:eastAsia="zh-CN" w:bidi="ar"/>
        </w:rPr>
        <w:t xml:space="preserve"> </w:t>
      </w:r>
    </w:p>
    <w:p w14:paraId="35BD4B9E">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44"/>
          <w:szCs w:val="44"/>
          <w:highlight w:val="none"/>
        </w:rPr>
      </w:pPr>
      <w:r>
        <w:rPr>
          <w:rFonts w:hint="eastAsia" w:ascii="宋体" w:hAnsi="宋体" w:eastAsia="宋体" w:cs="宋体"/>
          <w:color w:val="auto"/>
          <w:kern w:val="2"/>
          <w:sz w:val="28"/>
          <w:szCs w:val="28"/>
          <w:highlight w:val="none"/>
          <w:lang w:val="en-US" w:eastAsia="zh-CN" w:bidi="ar"/>
        </w:rPr>
        <w:t>项目编号：</w:t>
      </w:r>
      <w:r>
        <w:rPr>
          <w:rFonts w:hint="eastAsia" w:ascii="宋体" w:hAnsi="宋体" w:eastAsia="宋体" w:cs="宋体"/>
          <w:color w:val="auto"/>
          <w:kern w:val="2"/>
          <w:sz w:val="28"/>
          <w:szCs w:val="28"/>
          <w:highlight w:val="none"/>
          <w:u w:val="single"/>
          <w:lang w:val="en-US" w:eastAsia="zh-CN" w:bidi="ar"/>
        </w:rPr>
        <w:t xml:space="preserve">     </w:t>
      </w:r>
    </w:p>
    <w:p w14:paraId="7EE9BAA3">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lang w:val="en-US" w:eastAsia="zh-CN" w:bidi="ar"/>
        </w:rPr>
        <w:t xml:space="preserve"> </w:t>
      </w:r>
    </w:p>
    <w:p w14:paraId="20B7E9C7">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lang w:val="en-US" w:eastAsia="zh-CN" w:bidi="ar"/>
        </w:rPr>
        <w:t xml:space="preserve"> </w:t>
      </w:r>
    </w:p>
    <w:p w14:paraId="3EC03A6D">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8"/>
          <w:szCs w:val="28"/>
          <w:highlight w:val="none"/>
          <w:lang w:val="en-US" w:eastAsia="zh-CN" w:bidi="ar"/>
        </w:rPr>
      </w:pPr>
      <w:r>
        <w:rPr>
          <w:rFonts w:hint="eastAsia" w:ascii="宋体" w:hAnsi="宋体" w:eastAsia="宋体" w:cs="宋体"/>
          <w:color w:val="auto"/>
          <w:kern w:val="2"/>
          <w:sz w:val="28"/>
          <w:szCs w:val="28"/>
          <w:highlight w:val="none"/>
          <w:lang w:val="en-US" w:eastAsia="zh-CN" w:bidi="ar"/>
        </w:rPr>
        <w:t xml:space="preserve"> </w:t>
      </w:r>
    </w:p>
    <w:p w14:paraId="4A3C4266">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8"/>
          <w:szCs w:val="28"/>
          <w:highlight w:val="none"/>
          <w:lang w:val="en-US" w:eastAsia="zh-CN" w:bidi="ar"/>
        </w:rPr>
      </w:pPr>
    </w:p>
    <w:p w14:paraId="6EE915C3">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8"/>
          <w:szCs w:val="28"/>
          <w:highlight w:val="none"/>
          <w:lang w:val="en-US" w:eastAsia="zh-CN" w:bidi="ar"/>
        </w:rPr>
      </w:pPr>
    </w:p>
    <w:p w14:paraId="7A8BA3F7">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lang w:val="en-US" w:eastAsia="zh-CN" w:bidi="ar"/>
        </w:rPr>
        <w:t xml:space="preserve"> </w:t>
      </w:r>
    </w:p>
    <w:p w14:paraId="7BDD2C37">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lang w:val="en-US" w:eastAsia="zh-CN" w:bidi="ar"/>
        </w:rPr>
        <w:t xml:space="preserve"> </w:t>
      </w:r>
    </w:p>
    <w:p w14:paraId="363EA1F1">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lang w:val="en-US" w:eastAsia="zh-CN" w:bidi="ar"/>
        </w:rPr>
        <w:t xml:space="preserve"> </w:t>
      </w:r>
    </w:p>
    <w:p w14:paraId="19EE910C">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lang w:val="en-US" w:eastAsia="zh-CN" w:bidi="ar"/>
        </w:rPr>
        <w:t xml:space="preserve"> </w:t>
      </w:r>
    </w:p>
    <w:p w14:paraId="22F002EC">
      <w:pPr>
        <w:keepNext w:val="0"/>
        <w:keepLines w:val="0"/>
        <w:widowControl w:val="0"/>
        <w:suppressLineNumbers w:val="0"/>
        <w:autoSpaceDE w:val="0"/>
        <w:autoSpaceDN/>
        <w:spacing w:before="0" w:beforeAutospacing="0" w:after="0" w:afterAutospacing="0" w:line="360" w:lineRule="auto"/>
        <w:ind w:left="0" w:right="0"/>
        <w:jc w:val="center"/>
        <w:rPr>
          <w:rFonts w:hint="eastAsia" w:ascii="宋体" w:hAnsi="宋体" w:eastAsia="宋体" w:cs="宋体"/>
          <w:color w:val="auto"/>
          <w:kern w:val="2"/>
          <w:sz w:val="28"/>
          <w:szCs w:val="28"/>
          <w:highlight w:val="none"/>
          <w:u w:val="single"/>
        </w:rPr>
      </w:pPr>
      <w:r>
        <w:rPr>
          <w:rFonts w:hint="eastAsia" w:ascii="宋体" w:hAnsi="宋体" w:eastAsia="宋体" w:cs="宋体"/>
          <w:color w:val="auto"/>
          <w:kern w:val="2"/>
          <w:sz w:val="28"/>
          <w:szCs w:val="28"/>
          <w:highlight w:val="none"/>
          <w:lang w:val="en-US" w:eastAsia="zh-CN" w:bidi="ar"/>
        </w:rPr>
        <w:t>投标人：</w:t>
      </w:r>
      <w:r>
        <w:rPr>
          <w:rFonts w:hint="eastAsia" w:ascii="宋体" w:hAnsi="宋体" w:eastAsia="宋体" w:cs="宋体"/>
          <w:color w:val="auto"/>
          <w:kern w:val="2"/>
          <w:sz w:val="28"/>
          <w:szCs w:val="28"/>
          <w:highlight w:val="none"/>
          <w:u w:val="single"/>
          <w:lang w:val="en-US" w:eastAsia="zh-CN" w:bidi="ar"/>
        </w:rPr>
        <w:t xml:space="preserve">                           </w:t>
      </w:r>
      <w:r>
        <w:rPr>
          <w:rFonts w:hint="eastAsia" w:ascii="宋体" w:hAnsi="宋体" w:eastAsia="宋体" w:cs="宋体"/>
          <w:color w:val="auto"/>
          <w:kern w:val="2"/>
          <w:sz w:val="28"/>
          <w:szCs w:val="28"/>
          <w:highlight w:val="none"/>
          <w:lang w:val="en-US" w:eastAsia="zh-CN" w:bidi="ar"/>
        </w:rPr>
        <w:t>（签章）</w:t>
      </w:r>
    </w:p>
    <w:p w14:paraId="09B4C853">
      <w:pPr>
        <w:keepNext w:val="0"/>
        <w:keepLines w:val="0"/>
        <w:widowControl w:val="0"/>
        <w:suppressLineNumbers w:val="0"/>
        <w:autoSpaceDE w:val="0"/>
        <w:autoSpaceDN/>
        <w:spacing w:before="0" w:beforeAutospacing="0" w:after="0" w:afterAutospacing="0" w:line="360" w:lineRule="auto"/>
        <w:ind w:left="0" w:right="0"/>
        <w:jc w:val="center"/>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lang w:val="en-US" w:eastAsia="zh-CN" w:bidi="ar"/>
        </w:rPr>
        <w:t>法定代表人：</w:t>
      </w:r>
      <w:r>
        <w:rPr>
          <w:rFonts w:hint="eastAsia" w:ascii="宋体" w:hAnsi="宋体" w:eastAsia="宋体" w:cs="宋体"/>
          <w:color w:val="auto"/>
          <w:kern w:val="2"/>
          <w:sz w:val="28"/>
          <w:szCs w:val="28"/>
          <w:highlight w:val="none"/>
          <w:u w:val="single"/>
          <w:lang w:val="en-US" w:eastAsia="zh-CN" w:bidi="ar"/>
        </w:rPr>
        <w:t xml:space="preserve">                       </w:t>
      </w:r>
      <w:r>
        <w:rPr>
          <w:rFonts w:hint="eastAsia" w:ascii="宋体" w:hAnsi="宋体" w:eastAsia="宋体" w:cs="宋体"/>
          <w:color w:val="auto"/>
          <w:kern w:val="2"/>
          <w:sz w:val="28"/>
          <w:szCs w:val="28"/>
          <w:highlight w:val="none"/>
          <w:lang w:val="en-US" w:eastAsia="zh-CN" w:bidi="ar"/>
        </w:rPr>
        <w:t>（签章）</w:t>
      </w:r>
    </w:p>
    <w:p w14:paraId="7DF51500">
      <w:pPr>
        <w:keepNext w:val="0"/>
        <w:keepLines w:val="0"/>
        <w:widowControl w:val="0"/>
        <w:suppressLineNumbers w:val="0"/>
        <w:autoSpaceDE w:val="0"/>
        <w:autoSpaceDN/>
        <w:spacing w:before="0" w:beforeAutospacing="0" w:after="0" w:afterAutospacing="0" w:line="360" w:lineRule="auto"/>
        <w:ind w:left="0" w:right="0"/>
        <w:jc w:val="center"/>
        <w:rPr>
          <w:rFonts w:hint="eastAsia" w:ascii="宋体" w:hAnsi="宋体" w:eastAsia="宋体" w:cs="宋体"/>
          <w:color w:val="auto"/>
          <w:kern w:val="2"/>
          <w:sz w:val="28"/>
          <w:szCs w:val="28"/>
          <w:highlight w:val="none"/>
          <w:lang w:val="en-US" w:eastAsia="zh-CN" w:bidi="ar"/>
        </w:rPr>
      </w:pPr>
      <w:r>
        <w:rPr>
          <w:rFonts w:hint="eastAsia" w:ascii="宋体" w:hAnsi="宋体" w:eastAsia="宋体" w:cs="宋体"/>
          <w:color w:val="auto"/>
          <w:kern w:val="2"/>
          <w:sz w:val="28"/>
          <w:szCs w:val="28"/>
          <w:highlight w:val="none"/>
          <w:u w:val="single"/>
          <w:lang w:val="en-US" w:eastAsia="zh-CN" w:bidi="ar"/>
        </w:rPr>
        <w:t xml:space="preserve">        </w:t>
      </w:r>
      <w:r>
        <w:rPr>
          <w:rFonts w:hint="eastAsia" w:ascii="宋体" w:hAnsi="宋体" w:eastAsia="宋体" w:cs="宋体"/>
          <w:color w:val="auto"/>
          <w:kern w:val="2"/>
          <w:sz w:val="28"/>
          <w:szCs w:val="28"/>
          <w:highlight w:val="none"/>
          <w:lang w:val="en-US" w:eastAsia="zh-CN" w:bidi="ar"/>
        </w:rPr>
        <w:t>年</w:t>
      </w:r>
      <w:r>
        <w:rPr>
          <w:rFonts w:hint="eastAsia" w:ascii="宋体" w:hAnsi="宋体" w:eastAsia="宋体" w:cs="宋体"/>
          <w:color w:val="auto"/>
          <w:kern w:val="2"/>
          <w:sz w:val="28"/>
          <w:szCs w:val="28"/>
          <w:highlight w:val="none"/>
          <w:u w:val="single"/>
          <w:lang w:val="en-US" w:eastAsia="zh-CN" w:bidi="ar"/>
        </w:rPr>
        <w:t xml:space="preserve">        </w:t>
      </w:r>
      <w:r>
        <w:rPr>
          <w:rFonts w:hint="eastAsia" w:ascii="宋体" w:hAnsi="宋体" w:eastAsia="宋体" w:cs="宋体"/>
          <w:color w:val="auto"/>
          <w:kern w:val="2"/>
          <w:sz w:val="28"/>
          <w:szCs w:val="28"/>
          <w:highlight w:val="none"/>
          <w:lang w:val="en-US" w:eastAsia="zh-CN" w:bidi="ar"/>
        </w:rPr>
        <w:t>月</w:t>
      </w:r>
      <w:r>
        <w:rPr>
          <w:rFonts w:hint="eastAsia" w:ascii="宋体" w:hAnsi="宋体" w:eastAsia="宋体" w:cs="宋体"/>
          <w:color w:val="auto"/>
          <w:kern w:val="2"/>
          <w:sz w:val="28"/>
          <w:szCs w:val="28"/>
          <w:highlight w:val="none"/>
          <w:u w:val="single"/>
          <w:lang w:val="en-US" w:eastAsia="zh-CN" w:bidi="ar"/>
        </w:rPr>
        <w:t xml:space="preserve">        </w:t>
      </w:r>
      <w:r>
        <w:rPr>
          <w:rFonts w:hint="eastAsia" w:ascii="宋体" w:hAnsi="宋体" w:eastAsia="宋体" w:cs="宋体"/>
          <w:color w:val="auto"/>
          <w:kern w:val="2"/>
          <w:sz w:val="28"/>
          <w:szCs w:val="28"/>
          <w:highlight w:val="none"/>
          <w:lang w:val="en-US" w:eastAsia="zh-CN" w:bidi="ar"/>
        </w:rPr>
        <w:t>日</w:t>
      </w:r>
    </w:p>
    <w:p w14:paraId="5F9D4A9D">
      <w:pPr>
        <w:rPr>
          <w:rFonts w:hint="eastAsia" w:ascii="宋体" w:hAnsi="宋体" w:eastAsia="宋体" w:cs="宋体"/>
          <w:color w:val="auto"/>
          <w:kern w:val="2"/>
          <w:sz w:val="28"/>
          <w:szCs w:val="28"/>
          <w:highlight w:val="none"/>
          <w:lang w:val="en-US" w:eastAsia="zh-CN" w:bidi="ar"/>
        </w:rPr>
      </w:pPr>
      <w:r>
        <w:rPr>
          <w:rFonts w:hint="eastAsia" w:ascii="宋体" w:hAnsi="宋体" w:eastAsia="宋体" w:cs="宋体"/>
          <w:color w:val="auto"/>
          <w:kern w:val="2"/>
          <w:sz w:val="28"/>
          <w:szCs w:val="28"/>
          <w:highlight w:val="none"/>
          <w:lang w:val="en-US" w:eastAsia="zh-CN" w:bidi="ar"/>
        </w:rPr>
        <w:br w:type="page"/>
      </w:r>
    </w:p>
    <w:p w14:paraId="46578A0F">
      <w:pPr>
        <w:keepNext w:val="0"/>
        <w:keepLines w:val="0"/>
        <w:widowControl w:val="0"/>
        <w:suppressLineNumbers w:val="0"/>
        <w:spacing w:before="0" w:beforeAutospacing="0" w:after="0" w:afterAutospacing="0" w:line="400" w:lineRule="exact"/>
        <w:ind w:left="0" w:right="0" w:firstLine="3379" w:firstLineChars="935"/>
        <w:jc w:val="left"/>
        <w:rPr>
          <w:rFonts w:hint="eastAsia" w:ascii="宋体" w:hAnsi="宋体" w:eastAsia="宋体" w:cs="宋体"/>
          <w:b/>
          <w:bCs w:val="0"/>
          <w:color w:val="auto"/>
          <w:kern w:val="2"/>
          <w:sz w:val="36"/>
          <w:szCs w:val="36"/>
          <w:highlight w:val="none"/>
        </w:rPr>
      </w:pPr>
      <w:r>
        <w:rPr>
          <w:rFonts w:hint="eastAsia" w:ascii="宋体" w:hAnsi="宋体" w:eastAsia="宋体" w:cs="宋体"/>
          <w:b/>
          <w:bCs w:val="0"/>
          <w:color w:val="auto"/>
          <w:kern w:val="2"/>
          <w:sz w:val="36"/>
          <w:szCs w:val="36"/>
          <w:highlight w:val="none"/>
          <w:lang w:val="en-US" w:eastAsia="zh-CN" w:bidi="ar"/>
        </w:rPr>
        <w:t>目   录</w:t>
      </w:r>
    </w:p>
    <w:p w14:paraId="5FFBAA1F">
      <w:pPr>
        <w:keepNext w:val="0"/>
        <w:keepLines w:val="0"/>
        <w:widowControl w:val="0"/>
        <w:suppressLineNumbers w:val="0"/>
        <w:spacing w:before="0" w:beforeAutospacing="0" w:after="0" w:afterAutospacing="0" w:line="400" w:lineRule="exact"/>
        <w:ind w:left="0" w:right="0" w:firstLine="4130" w:firstLineChars="935"/>
        <w:jc w:val="both"/>
        <w:rPr>
          <w:rFonts w:hint="eastAsia" w:ascii="宋体" w:hAnsi="宋体" w:eastAsia="宋体" w:cs="宋体"/>
          <w:b/>
          <w:bCs w:val="0"/>
          <w:color w:val="auto"/>
          <w:kern w:val="2"/>
          <w:sz w:val="44"/>
          <w:szCs w:val="44"/>
          <w:highlight w:val="none"/>
        </w:rPr>
      </w:pPr>
      <w:r>
        <w:rPr>
          <w:rFonts w:hint="eastAsia" w:ascii="宋体" w:hAnsi="宋体" w:eastAsia="宋体" w:cs="宋体"/>
          <w:b/>
          <w:bCs w:val="0"/>
          <w:color w:val="auto"/>
          <w:kern w:val="2"/>
          <w:sz w:val="44"/>
          <w:szCs w:val="44"/>
          <w:highlight w:val="none"/>
          <w:lang w:val="en-US" w:eastAsia="zh-CN" w:bidi="ar"/>
        </w:rPr>
        <w:t xml:space="preserve"> </w:t>
      </w:r>
    </w:p>
    <w:p w14:paraId="17038B15">
      <w:pPr>
        <w:keepNext w:val="0"/>
        <w:keepLines w:val="0"/>
        <w:widowControl w:val="0"/>
        <w:suppressLineNumbers w:val="0"/>
        <w:spacing w:before="0" w:beforeAutospacing="0" w:after="0" w:afterAutospacing="0" w:line="440" w:lineRule="exact"/>
        <w:ind w:left="420" w:right="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（1）开标一览表（格式见附件）</w:t>
      </w:r>
    </w:p>
    <w:p w14:paraId="5B4D89EE">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（2）投标函（格式见附件）；</w:t>
      </w:r>
    </w:p>
    <w:p w14:paraId="1E83822A">
      <w:pPr>
        <w:keepNext w:val="0"/>
        <w:keepLines w:val="0"/>
        <w:widowControl w:val="0"/>
        <w:suppressLineNumbers w:val="0"/>
        <w:spacing w:before="0" w:beforeAutospacing="0" w:after="0" w:afterAutospacing="0" w:line="440" w:lineRule="exact"/>
        <w:ind w:left="42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（3）投标分项报价表（格式见附件）；</w:t>
      </w:r>
    </w:p>
    <w:p w14:paraId="2F989AD3">
      <w:pPr>
        <w:keepNext w:val="0"/>
        <w:keepLines w:val="0"/>
        <w:widowControl w:val="0"/>
        <w:suppressLineNumbers w:val="0"/>
        <w:spacing w:before="0" w:beforeAutospacing="0" w:after="0" w:afterAutospacing="0" w:line="440" w:lineRule="exact"/>
        <w:ind w:left="420" w:right="0"/>
        <w:jc w:val="both"/>
        <w:rPr>
          <w:rFonts w:hint="default"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（4）中小企业声明函，残疾人福利性企业（格式见附件）；（如是）</w:t>
      </w:r>
    </w:p>
    <w:p w14:paraId="503BA657">
      <w:pPr>
        <w:keepNext w:val="0"/>
        <w:keepLines w:val="0"/>
        <w:widowControl w:val="0"/>
        <w:suppressLineNumbers w:val="0"/>
        <w:spacing w:before="0" w:beforeAutospacing="0" w:after="0" w:afterAutospacing="0" w:line="440" w:lineRule="exact"/>
        <w:ind w:left="420" w:right="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（5）省级以上监狱管理局、戒毒管理局（含新疆生产建设兵团）出具的属于监狱企业的证明（格式见附件）；（如是）</w:t>
      </w:r>
    </w:p>
    <w:p w14:paraId="5FDDD6C2">
      <w:pPr>
        <w:keepNext w:val="0"/>
        <w:keepLines w:val="0"/>
        <w:widowControl w:val="0"/>
        <w:suppressLineNumbers w:val="0"/>
        <w:spacing w:before="0" w:beforeAutospacing="0" w:after="0" w:afterAutospacing="0" w:line="440" w:lineRule="exact"/>
        <w:ind w:left="420" w:right="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（6）关于符合本国产品标准的声明函（格式见附件）；（如是）</w:t>
      </w:r>
    </w:p>
    <w:p w14:paraId="13D523FE">
      <w:pPr>
        <w:keepNext w:val="0"/>
        <w:keepLines w:val="0"/>
        <w:widowControl w:val="0"/>
        <w:suppressLineNumbers w:val="0"/>
        <w:spacing w:before="0" w:beforeAutospacing="0" w:after="0" w:afterAutospacing="0" w:line="440" w:lineRule="exact"/>
        <w:ind w:left="420" w:right="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（7）招标文件商务评审中要求提供的其他相关资料；</w:t>
      </w:r>
    </w:p>
    <w:p w14:paraId="09E8718F">
      <w:pPr>
        <w:keepNext w:val="0"/>
        <w:keepLines w:val="0"/>
        <w:widowControl w:val="0"/>
        <w:suppressLineNumbers w:val="0"/>
        <w:spacing w:before="0" w:beforeAutospacing="0" w:after="0" w:afterAutospacing="0" w:line="440" w:lineRule="exact"/>
        <w:ind w:left="420" w:right="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（8）投标人认为需要提供的其他材料；</w:t>
      </w:r>
    </w:p>
    <w:p w14:paraId="65DE0945">
      <w:pPr>
        <w:keepNext w:val="0"/>
        <w:keepLines w:val="0"/>
        <w:widowControl w:val="0"/>
        <w:suppressLineNumbers w:val="0"/>
        <w:spacing w:before="0" w:beforeAutospacing="0" w:after="0" w:afterAutospacing="0" w:line="440" w:lineRule="exact"/>
        <w:ind w:left="420" w:right="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（9）其他（如有）。</w:t>
      </w:r>
    </w:p>
    <w:p w14:paraId="54D8DBA2">
      <w:pPr>
        <w:keepNext w:val="0"/>
        <w:keepLines w:val="0"/>
        <w:widowControl w:val="0"/>
        <w:suppressLineNumbers w:val="0"/>
        <w:autoSpaceDE w:val="0"/>
        <w:autoSpaceDN/>
        <w:spacing w:before="0" w:beforeAutospacing="0" w:after="0" w:afterAutospacing="0" w:line="360" w:lineRule="auto"/>
        <w:ind w:left="0" w:right="0"/>
        <w:jc w:val="center"/>
        <w:rPr>
          <w:rFonts w:hint="eastAsia" w:ascii="宋体" w:hAnsi="宋体" w:eastAsia="宋体" w:cs="宋体"/>
          <w:color w:val="auto"/>
          <w:kern w:val="2"/>
          <w:sz w:val="28"/>
          <w:szCs w:val="28"/>
          <w:highlight w:val="none"/>
          <w:lang w:val="en-US" w:eastAsia="zh-CN" w:bidi="ar"/>
        </w:rPr>
      </w:pPr>
    </w:p>
    <w:p w14:paraId="46C1FC89">
      <w:pPr>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2F69E07D">
      <w:pPr>
        <w:spacing w:line="360" w:lineRule="auto"/>
        <w:jc w:val="center"/>
        <w:outlineLvl w:val="1"/>
        <w:rPr>
          <w:rFonts w:asciiTheme="minorEastAsia" w:hAnsiTheme="minorEastAsia" w:eastAsiaTheme="minorEastAsia"/>
          <w:b/>
          <w:color w:val="auto"/>
          <w:sz w:val="24"/>
          <w:highlight w:val="none"/>
        </w:rPr>
      </w:pPr>
      <w:bookmarkStart w:id="76" w:name="_Toc30444"/>
      <w:r>
        <w:rPr>
          <w:rFonts w:hint="eastAsia" w:asciiTheme="minorEastAsia" w:hAnsiTheme="minorEastAsia" w:eastAsiaTheme="minorEastAsia"/>
          <w:b/>
          <w:color w:val="auto"/>
          <w:sz w:val="24"/>
          <w:highlight w:val="none"/>
          <w:lang w:eastAsia="zh-CN"/>
        </w:rPr>
        <w:t>（</w:t>
      </w:r>
      <w:r>
        <w:rPr>
          <w:rFonts w:hint="eastAsia" w:asciiTheme="minorEastAsia" w:hAnsiTheme="minorEastAsia" w:eastAsiaTheme="minorEastAsia"/>
          <w:b/>
          <w:color w:val="auto"/>
          <w:sz w:val="24"/>
          <w:highlight w:val="none"/>
          <w:lang w:val="en-US" w:eastAsia="zh-CN"/>
        </w:rPr>
        <w:t>1）</w:t>
      </w:r>
      <w:r>
        <w:rPr>
          <w:rFonts w:hint="eastAsia" w:asciiTheme="minorEastAsia" w:hAnsiTheme="minorEastAsia" w:eastAsiaTheme="minorEastAsia"/>
          <w:b/>
          <w:color w:val="auto"/>
          <w:sz w:val="24"/>
          <w:highlight w:val="none"/>
        </w:rPr>
        <w:t>开标一览表</w:t>
      </w:r>
      <w:bookmarkEnd w:id="64"/>
      <w:bookmarkEnd w:id="65"/>
      <w:bookmarkEnd w:id="76"/>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1"/>
        <w:gridCol w:w="6777"/>
      </w:tblGrid>
      <w:tr w14:paraId="031E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79199B50">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6565E86D">
            <w:pPr>
              <w:spacing w:line="360" w:lineRule="exact"/>
              <w:jc w:val="center"/>
              <w:rPr>
                <w:rFonts w:asciiTheme="minorEastAsia" w:hAnsiTheme="minorEastAsia" w:eastAsiaTheme="minorEastAsia"/>
                <w:bCs/>
                <w:color w:val="auto"/>
                <w:sz w:val="24"/>
                <w:highlight w:val="none"/>
                <w:u w:val="single"/>
              </w:rPr>
            </w:pPr>
          </w:p>
        </w:tc>
      </w:tr>
      <w:tr w14:paraId="2E94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1352" w:type="pct"/>
            <w:tcBorders>
              <w:top w:val="nil"/>
            </w:tcBorders>
            <w:vAlign w:val="center"/>
          </w:tcPr>
          <w:p w14:paraId="1CDAA623">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520B849E">
            <w:pPr>
              <w:spacing w:line="360" w:lineRule="auto"/>
              <w:rPr>
                <w:rFonts w:asciiTheme="minorEastAsia" w:hAnsiTheme="minorEastAsia" w:eastAsiaTheme="minorEastAsia"/>
                <w:color w:val="auto"/>
                <w:sz w:val="24"/>
                <w:highlight w:val="none"/>
              </w:rPr>
            </w:pPr>
          </w:p>
        </w:tc>
      </w:tr>
      <w:tr w14:paraId="5AD2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DF571CD">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267FB2FE">
            <w:pPr>
              <w:keepNext w:val="0"/>
              <w:keepLines w:val="0"/>
              <w:pageBreakBefore w:val="0"/>
              <w:widowControl/>
              <w:kinsoku/>
              <w:wordWrap/>
              <w:overflowPunct/>
              <w:topLinePunct w:val="0"/>
              <w:autoSpaceDE/>
              <w:autoSpaceDN/>
              <w:bidi w:val="0"/>
              <w:adjustRightInd/>
              <w:spacing w:line="360" w:lineRule="auto"/>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w:t>
            </w:r>
          </w:p>
        </w:tc>
      </w:tr>
      <w:tr w14:paraId="672D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51A72F9E">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6C0B49FE">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0E6BEE16">
            <w:pPr>
              <w:keepNext w:val="0"/>
              <w:keepLines w:val="0"/>
              <w:pageBreakBefore w:val="0"/>
              <w:widowControl w:val="0"/>
              <w:kinsoku/>
              <w:wordWrap/>
              <w:overflowPunct/>
              <w:topLinePunct w:val="0"/>
              <w:autoSpaceDE/>
              <w:autoSpaceDN/>
              <w:bidi w:val="0"/>
              <w:adjustRightInd/>
              <w:spacing w:line="360" w:lineRule="auto"/>
              <w:ind w:right="-670"/>
              <w:textAlignment w:val="auto"/>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60E5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7389F92A">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2C51E346">
            <w:pPr>
              <w:spacing w:line="360" w:lineRule="auto"/>
              <w:jc w:val="left"/>
              <w:rPr>
                <w:rFonts w:asciiTheme="minorEastAsia" w:hAnsiTheme="minorEastAsia" w:eastAsiaTheme="minorEastAsia"/>
                <w:color w:val="auto"/>
                <w:sz w:val="24"/>
                <w:szCs w:val="28"/>
                <w:highlight w:val="none"/>
              </w:rPr>
            </w:pPr>
          </w:p>
        </w:tc>
      </w:tr>
    </w:tbl>
    <w:p w14:paraId="63B8A796">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lang w:val="en-US" w:eastAsia="zh-CN"/>
        </w:rPr>
        <w:t>投标人</w:t>
      </w:r>
      <w:r>
        <w:rPr>
          <w:rFonts w:hint="eastAsia" w:asciiTheme="minorEastAsia" w:hAnsiTheme="minorEastAsia" w:eastAsiaTheme="minorEastAsia"/>
          <w:bCs/>
          <w:color w:val="auto"/>
          <w:sz w:val="24"/>
          <w:highlight w:val="none"/>
        </w:rPr>
        <w:t>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11AFE41F">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1DB3B321">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1AE721FF">
      <w:pPr>
        <w:spacing w:line="360" w:lineRule="auto"/>
        <w:ind w:firstLine="360" w:firstLineChars="150"/>
        <w:rPr>
          <w:rFonts w:asciiTheme="minorEastAsia" w:hAnsiTheme="minorEastAsia" w:eastAsiaTheme="minorEastAsia"/>
          <w:color w:val="auto"/>
          <w:sz w:val="24"/>
          <w:highlight w:val="none"/>
        </w:rPr>
      </w:pPr>
    </w:p>
    <w:p w14:paraId="4FDB0254">
      <w:pPr>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20EF0F3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0CED911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33196BB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1FD95949">
      <w:pPr>
        <w:spacing w:line="360" w:lineRule="auto"/>
        <w:jc w:val="center"/>
        <w:outlineLvl w:val="1"/>
        <w:rPr>
          <w:rFonts w:asciiTheme="minorEastAsia" w:hAnsiTheme="minorEastAsia" w:eastAsiaTheme="minorEastAsia"/>
          <w:b/>
          <w:color w:val="auto"/>
          <w:sz w:val="24"/>
          <w:highlight w:val="none"/>
        </w:rPr>
      </w:pPr>
      <w:bookmarkStart w:id="77" w:name="_Toc10025"/>
      <w:bookmarkStart w:id="78" w:name="_Toc18010"/>
      <w:bookmarkStart w:id="79" w:name="_Toc6441"/>
      <w:r>
        <w:rPr>
          <w:rFonts w:hint="eastAsia" w:asciiTheme="minorEastAsia" w:hAnsiTheme="minorEastAsia" w:eastAsiaTheme="minorEastAsia"/>
          <w:b/>
          <w:color w:val="auto"/>
          <w:sz w:val="24"/>
          <w:highlight w:val="none"/>
          <w:lang w:eastAsia="zh-CN"/>
        </w:rPr>
        <w:t>（</w:t>
      </w:r>
      <w:r>
        <w:rPr>
          <w:rFonts w:hint="eastAsia" w:asciiTheme="minorEastAsia" w:hAnsiTheme="minorEastAsia" w:eastAsiaTheme="minorEastAsia"/>
          <w:b/>
          <w:color w:val="auto"/>
          <w:sz w:val="24"/>
          <w:highlight w:val="none"/>
          <w:lang w:val="en-US" w:eastAsia="zh-CN"/>
        </w:rPr>
        <w:t>2）</w:t>
      </w:r>
      <w:r>
        <w:rPr>
          <w:rFonts w:hint="eastAsia" w:asciiTheme="minorEastAsia" w:hAnsiTheme="minorEastAsia" w:eastAsiaTheme="minorEastAsia"/>
          <w:b/>
          <w:color w:val="auto"/>
          <w:sz w:val="24"/>
          <w:highlight w:val="none"/>
        </w:rPr>
        <w:t>投标函</w:t>
      </w:r>
      <w:bookmarkEnd w:id="77"/>
      <w:bookmarkEnd w:id="78"/>
      <w:bookmarkEnd w:id="79"/>
    </w:p>
    <w:p w14:paraId="5A91387F">
      <w:pPr>
        <w:pStyle w:val="13"/>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75B5979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4CF4E4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F5A932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3DACCE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725820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56CEA0D4">
      <w:pPr>
        <w:spacing w:line="360" w:lineRule="auto"/>
        <w:ind w:firstLine="4800" w:firstLineChars="2000"/>
        <w:rPr>
          <w:rFonts w:ascii="宋体" w:hAnsi="宋体" w:eastAsia="宋体"/>
          <w:color w:val="auto"/>
          <w:sz w:val="24"/>
          <w:highlight w:val="none"/>
        </w:rPr>
      </w:pPr>
    </w:p>
    <w:p w14:paraId="79C1ABB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79A3760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8385054">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5CECE55C">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80" w:name="_Toc23705"/>
      <w:bookmarkStart w:id="81" w:name="_Toc31991"/>
      <w:bookmarkStart w:id="82" w:name="_Toc6796"/>
      <w:r>
        <w:rPr>
          <w:rFonts w:hint="eastAsia" w:asciiTheme="minorEastAsia" w:hAnsiTheme="minorEastAsia" w:eastAsiaTheme="minorEastAsia"/>
          <w:b/>
          <w:color w:val="auto"/>
          <w:sz w:val="24"/>
          <w:highlight w:val="none"/>
          <w:lang w:eastAsia="zh-CN"/>
        </w:rPr>
        <w:t>（</w:t>
      </w:r>
      <w:r>
        <w:rPr>
          <w:rFonts w:hint="eastAsia" w:asciiTheme="minorEastAsia" w:hAnsiTheme="minorEastAsia" w:eastAsiaTheme="minorEastAsia"/>
          <w:b/>
          <w:color w:val="auto"/>
          <w:sz w:val="24"/>
          <w:highlight w:val="none"/>
          <w:lang w:val="en-US" w:eastAsia="zh-CN"/>
        </w:rPr>
        <w:t>3）</w:t>
      </w:r>
      <w:r>
        <w:rPr>
          <w:rFonts w:hint="eastAsia" w:asciiTheme="minorEastAsia" w:hAnsiTheme="minorEastAsia" w:eastAsiaTheme="minorEastAsia"/>
          <w:b/>
          <w:color w:val="auto"/>
          <w:sz w:val="24"/>
          <w:highlight w:val="none"/>
        </w:rPr>
        <w:t>投标分项报价表</w:t>
      </w:r>
      <w:bookmarkEnd w:id="80"/>
      <w:bookmarkEnd w:id="81"/>
      <w:bookmarkEnd w:id="82"/>
    </w:p>
    <w:p w14:paraId="7BFA8A4B">
      <w:pPr>
        <w:pStyle w:val="51"/>
        <w:jc w:val="left"/>
        <w:rPr>
          <w:rFonts w:hint="default" w:ascii="宋体" w:hAnsi="宋体" w:eastAsia="宋体"/>
          <w:b/>
          <w:bCs/>
          <w:highlight w:val="none"/>
          <w:lang w:val="en-US" w:eastAsia="zh-CN"/>
        </w:rPr>
      </w:pPr>
      <w:r>
        <w:rPr>
          <w:rFonts w:hint="eastAsia" w:ascii="宋体" w:hAnsi="宋体" w:eastAsia="宋体"/>
          <w:b/>
          <w:bCs/>
          <w:highlight w:val="none"/>
          <w:lang w:val="en-US" w:eastAsia="zh-CN"/>
        </w:rPr>
        <w:t>5-1货物部分</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442"/>
        <w:gridCol w:w="1434"/>
        <w:gridCol w:w="1434"/>
        <w:gridCol w:w="732"/>
        <w:gridCol w:w="732"/>
        <w:gridCol w:w="1024"/>
        <w:gridCol w:w="1024"/>
        <w:gridCol w:w="730"/>
      </w:tblGrid>
      <w:tr w14:paraId="29F8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02EB3403">
            <w:pPr>
              <w:pStyle w:val="43"/>
              <w:widowControl w:val="0"/>
              <w:spacing w:before="0" w:beforeAutospacing="0" w:after="0" w:afterAutospacing="0"/>
              <w:rPr>
                <w:rFonts w:ascii="宋体" w:hAnsi="宋体" w:eastAsia="宋体"/>
                <w:bCs w:val="0"/>
                <w:kern w:val="2"/>
                <w:sz w:val="24"/>
                <w:szCs w:val="20"/>
                <w:highlight w:val="none"/>
              </w:rPr>
            </w:pPr>
            <w:r>
              <w:rPr>
                <w:rFonts w:hint="eastAsia" w:ascii="宋体" w:hAnsi="宋体" w:eastAsia="宋体"/>
                <w:bCs w:val="0"/>
                <w:kern w:val="2"/>
                <w:sz w:val="24"/>
                <w:szCs w:val="20"/>
                <w:highlight w:val="none"/>
              </w:rPr>
              <w:t>序号</w:t>
            </w:r>
          </w:p>
        </w:tc>
        <w:tc>
          <w:tcPr>
            <w:tcW w:w="776" w:type="pct"/>
            <w:noWrap w:val="0"/>
            <w:vAlign w:val="center"/>
          </w:tcPr>
          <w:p w14:paraId="73FB9F55">
            <w:pPr>
              <w:jc w:val="center"/>
              <w:rPr>
                <w:rFonts w:ascii="宋体" w:hAnsi="宋体" w:eastAsia="宋体"/>
                <w:b/>
                <w:sz w:val="24"/>
                <w:highlight w:val="none"/>
              </w:rPr>
            </w:pPr>
            <w:r>
              <w:rPr>
                <w:rFonts w:hint="eastAsia" w:ascii="宋体" w:hAnsi="宋体" w:eastAsia="宋体"/>
                <w:b/>
                <w:sz w:val="24"/>
                <w:highlight w:val="none"/>
              </w:rPr>
              <w:t>货物名称</w:t>
            </w:r>
          </w:p>
        </w:tc>
        <w:tc>
          <w:tcPr>
            <w:tcW w:w="772" w:type="pct"/>
            <w:noWrap w:val="0"/>
            <w:vAlign w:val="center"/>
          </w:tcPr>
          <w:p w14:paraId="74F9288A">
            <w:pPr>
              <w:jc w:val="center"/>
              <w:rPr>
                <w:rFonts w:ascii="宋体" w:hAnsi="宋体" w:eastAsia="宋体"/>
                <w:b/>
                <w:sz w:val="24"/>
                <w:highlight w:val="none"/>
              </w:rPr>
            </w:pPr>
            <w:r>
              <w:rPr>
                <w:rFonts w:hint="eastAsia" w:ascii="宋体" w:hAnsi="宋体" w:eastAsia="宋体"/>
                <w:b/>
                <w:sz w:val="24"/>
                <w:highlight w:val="none"/>
              </w:rPr>
              <w:t>品牌、型</w:t>
            </w:r>
          </w:p>
          <w:p w14:paraId="75AB3D77">
            <w:pPr>
              <w:jc w:val="center"/>
              <w:rPr>
                <w:rFonts w:ascii="宋体" w:hAnsi="宋体" w:eastAsia="宋体"/>
                <w:b/>
                <w:sz w:val="24"/>
                <w:highlight w:val="none"/>
              </w:rPr>
            </w:pPr>
            <w:r>
              <w:rPr>
                <w:rFonts w:hint="eastAsia" w:ascii="宋体" w:hAnsi="宋体" w:eastAsia="宋体"/>
                <w:b/>
                <w:sz w:val="24"/>
                <w:highlight w:val="none"/>
              </w:rPr>
              <w:t>号规格</w:t>
            </w:r>
          </w:p>
        </w:tc>
        <w:tc>
          <w:tcPr>
            <w:tcW w:w="772" w:type="pct"/>
            <w:noWrap w:val="0"/>
            <w:vAlign w:val="center"/>
          </w:tcPr>
          <w:p w14:paraId="3FC9B9D4">
            <w:pPr>
              <w:jc w:val="center"/>
              <w:rPr>
                <w:rFonts w:ascii="宋体" w:hAnsi="宋体" w:eastAsia="宋体"/>
                <w:b/>
                <w:sz w:val="24"/>
                <w:highlight w:val="none"/>
              </w:rPr>
            </w:pPr>
            <w:r>
              <w:rPr>
                <w:rFonts w:hint="eastAsia" w:ascii="宋体" w:hAnsi="宋体" w:eastAsia="宋体"/>
                <w:b/>
                <w:sz w:val="24"/>
                <w:highlight w:val="none"/>
              </w:rPr>
              <w:t>原产地及</w:t>
            </w:r>
          </w:p>
          <w:p w14:paraId="69A6F33E">
            <w:pPr>
              <w:jc w:val="center"/>
              <w:rPr>
                <w:rFonts w:ascii="宋体" w:hAnsi="宋体" w:eastAsia="宋体"/>
                <w:b/>
                <w:sz w:val="24"/>
                <w:highlight w:val="none"/>
              </w:rPr>
            </w:pPr>
            <w:r>
              <w:rPr>
                <w:rFonts w:hint="eastAsia" w:ascii="宋体" w:hAnsi="宋体" w:eastAsia="宋体"/>
                <w:b/>
                <w:sz w:val="24"/>
                <w:highlight w:val="none"/>
              </w:rPr>
              <w:t>生产厂商</w:t>
            </w:r>
          </w:p>
        </w:tc>
        <w:tc>
          <w:tcPr>
            <w:tcW w:w="394" w:type="pct"/>
            <w:noWrap w:val="0"/>
            <w:vAlign w:val="center"/>
          </w:tcPr>
          <w:p w14:paraId="5E220F61">
            <w:pPr>
              <w:jc w:val="center"/>
              <w:rPr>
                <w:rFonts w:ascii="宋体" w:hAnsi="宋体" w:eastAsia="宋体"/>
                <w:b/>
                <w:sz w:val="24"/>
                <w:highlight w:val="none"/>
              </w:rPr>
            </w:pPr>
            <w:r>
              <w:rPr>
                <w:rFonts w:hint="eastAsia" w:ascii="宋体" w:hAnsi="宋体" w:eastAsia="宋体"/>
                <w:b/>
                <w:sz w:val="24"/>
                <w:highlight w:val="none"/>
              </w:rPr>
              <w:t>单位</w:t>
            </w:r>
          </w:p>
        </w:tc>
        <w:tc>
          <w:tcPr>
            <w:tcW w:w="394" w:type="pct"/>
            <w:noWrap w:val="0"/>
            <w:vAlign w:val="center"/>
          </w:tcPr>
          <w:p w14:paraId="320CC90F">
            <w:pPr>
              <w:jc w:val="center"/>
              <w:rPr>
                <w:rFonts w:ascii="宋体" w:hAnsi="宋体" w:eastAsia="宋体"/>
                <w:b/>
                <w:sz w:val="24"/>
                <w:highlight w:val="none"/>
              </w:rPr>
            </w:pPr>
            <w:r>
              <w:rPr>
                <w:rFonts w:hint="eastAsia" w:ascii="宋体" w:hAnsi="宋体" w:eastAsia="宋体"/>
                <w:b/>
                <w:sz w:val="24"/>
                <w:highlight w:val="none"/>
              </w:rPr>
              <w:t>数量</w:t>
            </w:r>
          </w:p>
        </w:tc>
        <w:tc>
          <w:tcPr>
            <w:tcW w:w="551" w:type="pct"/>
            <w:noWrap w:val="0"/>
            <w:vAlign w:val="center"/>
          </w:tcPr>
          <w:p w14:paraId="57B37F39">
            <w:pPr>
              <w:jc w:val="center"/>
              <w:rPr>
                <w:rFonts w:ascii="宋体" w:hAnsi="宋体" w:eastAsia="宋体"/>
                <w:b/>
                <w:sz w:val="24"/>
                <w:highlight w:val="none"/>
              </w:rPr>
            </w:pPr>
            <w:r>
              <w:rPr>
                <w:rFonts w:hint="eastAsia" w:ascii="宋体" w:hAnsi="宋体" w:eastAsia="宋体"/>
                <w:b/>
                <w:sz w:val="24"/>
                <w:highlight w:val="none"/>
              </w:rPr>
              <w:t>单价</w:t>
            </w:r>
          </w:p>
          <w:p w14:paraId="39894848">
            <w:pPr>
              <w:jc w:val="center"/>
              <w:rPr>
                <w:rFonts w:ascii="宋体" w:hAnsi="宋体" w:eastAsia="宋体"/>
                <w:b/>
                <w:sz w:val="24"/>
                <w:highlight w:val="none"/>
              </w:rPr>
            </w:pPr>
            <w:r>
              <w:rPr>
                <w:rFonts w:hint="eastAsia" w:ascii="宋体" w:hAnsi="宋体" w:eastAsia="宋体"/>
                <w:b/>
                <w:sz w:val="24"/>
                <w:highlight w:val="none"/>
              </w:rPr>
              <w:t>（元）</w:t>
            </w:r>
          </w:p>
        </w:tc>
        <w:tc>
          <w:tcPr>
            <w:tcW w:w="551" w:type="pct"/>
            <w:noWrap w:val="0"/>
            <w:vAlign w:val="center"/>
          </w:tcPr>
          <w:p w14:paraId="3425285D">
            <w:pPr>
              <w:jc w:val="center"/>
              <w:rPr>
                <w:rFonts w:ascii="宋体" w:hAnsi="宋体" w:eastAsia="宋体"/>
                <w:b/>
                <w:sz w:val="24"/>
                <w:highlight w:val="none"/>
              </w:rPr>
            </w:pPr>
            <w:r>
              <w:rPr>
                <w:rFonts w:hint="eastAsia" w:ascii="宋体" w:hAnsi="宋体" w:eastAsia="宋体"/>
                <w:b/>
                <w:sz w:val="24"/>
                <w:highlight w:val="none"/>
              </w:rPr>
              <w:t>小计</w:t>
            </w:r>
          </w:p>
          <w:p w14:paraId="57010817">
            <w:pPr>
              <w:jc w:val="center"/>
              <w:rPr>
                <w:rFonts w:ascii="宋体" w:hAnsi="宋体" w:eastAsia="宋体"/>
                <w:b/>
                <w:sz w:val="24"/>
                <w:highlight w:val="none"/>
              </w:rPr>
            </w:pPr>
            <w:r>
              <w:rPr>
                <w:rFonts w:hint="eastAsia" w:ascii="宋体" w:hAnsi="宋体" w:eastAsia="宋体"/>
                <w:b/>
                <w:sz w:val="24"/>
                <w:highlight w:val="none"/>
              </w:rPr>
              <w:t>（元）</w:t>
            </w:r>
          </w:p>
        </w:tc>
        <w:tc>
          <w:tcPr>
            <w:tcW w:w="393" w:type="pct"/>
            <w:noWrap w:val="0"/>
            <w:vAlign w:val="center"/>
          </w:tcPr>
          <w:p w14:paraId="47A63804">
            <w:pPr>
              <w:jc w:val="center"/>
              <w:rPr>
                <w:rFonts w:ascii="宋体" w:hAnsi="宋体" w:eastAsia="宋体"/>
                <w:b/>
                <w:sz w:val="24"/>
                <w:highlight w:val="none"/>
              </w:rPr>
            </w:pPr>
            <w:r>
              <w:rPr>
                <w:rFonts w:hint="eastAsia" w:ascii="宋体" w:hAnsi="宋体" w:eastAsia="宋体"/>
                <w:b/>
                <w:sz w:val="24"/>
                <w:highlight w:val="none"/>
              </w:rPr>
              <w:t>备注</w:t>
            </w:r>
          </w:p>
        </w:tc>
      </w:tr>
      <w:tr w14:paraId="7492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top"/>
          </w:tcPr>
          <w:p w14:paraId="081E0F3E">
            <w:pPr>
              <w:jc w:val="center"/>
              <w:rPr>
                <w:rFonts w:ascii="宋体" w:hAnsi="宋体" w:eastAsia="宋体"/>
                <w:sz w:val="24"/>
                <w:highlight w:val="none"/>
              </w:rPr>
            </w:pPr>
            <w:r>
              <w:rPr>
                <w:rFonts w:hint="eastAsia" w:ascii="宋体" w:hAnsi="宋体" w:eastAsia="宋体"/>
                <w:sz w:val="24"/>
                <w:highlight w:val="none"/>
              </w:rPr>
              <w:t>1</w:t>
            </w:r>
          </w:p>
        </w:tc>
        <w:tc>
          <w:tcPr>
            <w:tcW w:w="776" w:type="pct"/>
            <w:noWrap w:val="0"/>
            <w:vAlign w:val="top"/>
          </w:tcPr>
          <w:p w14:paraId="7761E195">
            <w:pPr>
              <w:rPr>
                <w:rFonts w:ascii="宋体" w:hAnsi="宋体" w:eastAsia="宋体"/>
                <w:sz w:val="24"/>
                <w:highlight w:val="none"/>
              </w:rPr>
            </w:pPr>
          </w:p>
        </w:tc>
        <w:tc>
          <w:tcPr>
            <w:tcW w:w="772" w:type="pct"/>
            <w:noWrap w:val="0"/>
            <w:vAlign w:val="top"/>
          </w:tcPr>
          <w:p w14:paraId="0375DE1C">
            <w:pPr>
              <w:rPr>
                <w:rFonts w:ascii="宋体" w:hAnsi="宋体" w:eastAsia="宋体"/>
                <w:sz w:val="24"/>
                <w:highlight w:val="none"/>
              </w:rPr>
            </w:pPr>
          </w:p>
        </w:tc>
        <w:tc>
          <w:tcPr>
            <w:tcW w:w="772" w:type="pct"/>
            <w:noWrap w:val="0"/>
            <w:vAlign w:val="top"/>
          </w:tcPr>
          <w:p w14:paraId="52FF1C92">
            <w:pPr>
              <w:rPr>
                <w:rFonts w:ascii="宋体" w:hAnsi="宋体" w:eastAsia="宋体"/>
                <w:sz w:val="24"/>
                <w:highlight w:val="none"/>
              </w:rPr>
            </w:pPr>
          </w:p>
        </w:tc>
        <w:tc>
          <w:tcPr>
            <w:tcW w:w="394" w:type="pct"/>
            <w:noWrap w:val="0"/>
            <w:vAlign w:val="top"/>
          </w:tcPr>
          <w:p w14:paraId="7C01FFE9">
            <w:pPr>
              <w:rPr>
                <w:rFonts w:ascii="宋体" w:hAnsi="宋体" w:eastAsia="宋体"/>
                <w:sz w:val="24"/>
                <w:highlight w:val="none"/>
              </w:rPr>
            </w:pPr>
          </w:p>
        </w:tc>
        <w:tc>
          <w:tcPr>
            <w:tcW w:w="394" w:type="pct"/>
            <w:noWrap w:val="0"/>
            <w:vAlign w:val="top"/>
          </w:tcPr>
          <w:p w14:paraId="4DE5AC10">
            <w:pPr>
              <w:rPr>
                <w:rFonts w:ascii="宋体" w:hAnsi="宋体" w:eastAsia="宋体"/>
                <w:sz w:val="24"/>
                <w:highlight w:val="none"/>
              </w:rPr>
            </w:pPr>
          </w:p>
        </w:tc>
        <w:tc>
          <w:tcPr>
            <w:tcW w:w="551" w:type="pct"/>
            <w:noWrap w:val="0"/>
            <w:vAlign w:val="top"/>
          </w:tcPr>
          <w:p w14:paraId="21DA4597">
            <w:pPr>
              <w:rPr>
                <w:rFonts w:ascii="宋体" w:hAnsi="宋体" w:eastAsia="宋体"/>
                <w:sz w:val="24"/>
                <w:highlight w:val="none"/>
              </w:rPr>
            </w:pPr>
          </w:p>
        </w:tc>
        <w:tc>
          <w:tcPr>
            <w:tcW w:w="551" w:type="pct"/>
            <w:noWrap w:val="0"/>
            <w:vAlign w:val="top"/>
          </w:tcPr>
          <w:p w14:paraId="2A9B41D8">
            <w:pPr>
              <w:rPr>
                <w:rFonts w:ascii="宋体" w:hAnsi="宋体" w:eastAsia="宋体"/>
                <w:sz w:val="24"/>
                <w:highlight w:val="none"/>
              </w:rPr>
            </w:pPr>
          </w:p>
        </w:tc>
        <w:tc>
          <w:tcPr>
            <w:tcW w:w="393" w:type="pct"/>
            <w:noWrap w:val="0"/>
            <w:vAlign w:val="top"/>
          </w:tcPr>
          <w:p w14:paraId="2B68B0FE">
            <w:pPr>
              <w:rPr>
                <w:rFonts w:ascii="宋体" w:hAnsi="宋体" w:eastAsia="宋体"/>
                <w:sz w:val="24"/>
                <w:highlight w:val="none"/>
              </w:rPr>
            </w:pPr>
          </w:p>
        </w:tc>
      </w:tr>
      <w:tr w14:paraId="6C4B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top"/>
          </w:tcPr>
          <w:p w14:paraId="01A75D3A">
            <w:pPr>
              <w:jc w:val="center"/>
              <w:rPr>
                <w:rFonts w:ascii="宋体" w:hAnsi="宋体" w:eastAsia="宋体"/>
                <w:sz w:val="24"/>
                <w:highlight w:val="none"/>
              </w:rPr>
            </w:pPr>
            <w:r>
              <w:rPr>
                <w:rFonts w:hint="eastAsia" w:ascii="宋体" w:hAnsi="宋体" w:eastAsia="宋体"/>
                <w:sz w:val="24"/>
                <w:highlight w:val="none"/>
              </w:rPr>
              <w:t>2</w:t>
            </w:r>
          </w:p>
        </w:tc>
        <w:tc>
          <w:tcPr>
            <w:tcW w:w="776" w:type="pct"/>
            <w:noWrap w:val="0"/>
            <w:vAlign w:val="top"/>
          </w:tcPr>
          <w:p w14:paraId="1C5F27B4">
            <w:pPr>
              <w:rPr>
                <w:rFonts w:ascii="宋体" w:hAnsi="宋体" w:eastAsia="宋体"/>
                <w:sz w:val="24"/>
                <w:highlight w:val="none"/>
              </w:rPr>
            </w:pPr>
          </w:p>
        </w:tc>
        <w:tc>
          <w:tcPr>
            <w:tcW w:w="772" w:type="pct"/>
            <w:noWrap w:val="0"/>
            <w:vAlign w:val="top"/>
          </w:tcPr>
          <w:p w14:paraId="439F3115">
            <w:pPr>
              <w:rPr>
                <w:rFonts w:ascii="宋体" w:hAnsi="宋体" w:eastAsia="宋体"/>
                <w:sz w:val="24"/>
                <w:highlight w:val="none"/>
              </w:rPr>
            </w:pPr>
          </w:p>
        </w:tc>
        <w:tc>
          <w:tcPr>
            <w:tcW w:w="772" w:type="pct"/>
            <w:noWrap w:val="0"/>
            <w:vAlign w:val="top"/>
          </w:tcPr>
          <w:p w14:paraId="0B5EF6A2">
            <w:pPr>
              <w:rPr>
                <w:rFonts w:ascii="宋体" w:hAnsi="宋体" w:eastAsia="宋体"/>
                <w:sz w:val="24"/>
                <w:highlight w:val="none"/>
              </w:rPr>
            </w:pPr>
          </w:p>
        </w:tc>
        <w:tc>
          <w:tcPr>
            <w:tcW w:w="394" w:type="pct"/>
            <w:noWrap w:val="0"/>
            <w:vAlign w:val="top"/>
          </w:tcPr>
          <w:p w14:paraId="66BA4716">
            <w:pPr>
              <w:rPr>
                <w:rFonts w:ascii="宋体" w:hAnsi="宋体" w:eastAsia="宋体"/>
                <w:sz w:val="24"/>
                <w:highlight w:val="none"/>
              </w:rPr>
            </w:pPr>
          </w:p>
        </w:tc>
        <w:tc>
          <w:tcPr>
            <w:tcW w:w="394" w:type="pct"/>
            <w:noWrap w:val="0"/>
            <w:vAlign w:val="top"/>
          </w:tcPr>
          <w:p w14:paraId="4981F119">
            <w:pPr>
              <w:rPr>
                <w:rFonts w:ascii="宋体" w:hAnsi="宋体" w:eastAsia="宋体"/>
                <w:sz w:val="24"/>
                <w:highlight w:val="none"/>
              </w:rPr>
            </w:pPr>
          </w:p>
        </w:tc>
        <w:tc>
          <w:tcPr>
            <w:tcW w:w="551" w:type="pct"/>
            <w:noWrap w:val="0"/>
            <w:vAlign w:val="top"/>
          </w:tcPr>
          <w:p w14:paraId="6A08DEBB">
            <w:pPr>
              <w:rPr>
                <w:rFonts w:ascii="宋体" w:hAnsi="宋体" w:eastAsia="宋体"/>
                <w:sz w:val="24"/>
                <w:highlight w:val="none"/>
              </w:rPr>
            </w:pPr>
          </w:p>
        </w:tc>
        <w:tc>
          <w:tcPr>
            <w:tcW w:w="551" w:type="pct"/>
            <w:noWrap w:val="0"/>
            <w:vAlign w:val="top"/>
          </w:tcPr>
          <w:p w14:paraId="21EA39CE">
            <w:pPr>
              <w:rPr>
                <w:rFonts w:ascii="宋体" w:hAnsi="宋体" w:eastAsia="宋体"/>
                <w:sz w:val="24"/>
                <w:highlight w:val="none"/>
              </w:rPr>
            </w:pPr>
          </w:p>
        </w:tc>
        <w:tc>
          <w:tcPr>
            <w:tcW w:w="393" w:type="pct"/>
            <w:noWrap w:val="0"/>
            <w:vAlign w:val="top"/>
          </w:tcPr>
          <w:p w14:paraId="2599FD7C">
            <w:pPr>
              <w:rPr>
                <w:rFonts w:ascii="宋体" w:hAnsi="宋体" w:eastAsia="宋体"/>
                <w:sz w:val="24"/>
                <w:highlight w:val="none"/>
              </w:rPr>
            </w:pPr>
          </w:p>
        </w:tc>
      </w:tr>
      <w:tr w14:paraId="3B9F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3EF7B92A">
            <w:pPr>
              <w:jc w:val="center"/>
              <w:rPr>
                <w:rFonts w:ascii="宋体" w:hAnsi="宋体" w:eastAsia="宋体"/>
                <w:sz w:val="24"/>
                <w:highlight w:val="none"/>
              </w:rPr>
            </w:pPr>
            <w:r>
              <w:rPr>
                <w:rFonts w:hint="eastAsia" w:ascii="宋体" w:hAnsi="宋体" w:eastAsia="宋体"/>
                <w:sz w:val="24"/>
                <w:highlight w:val="none"/>
              </w:rPr>
              <w:t>3</w:t>
            </w:r>
          </w:p>
        </w:tc>
        <w:tc>
          <w:tcPr>
            <w:tcW w:w="776" w:type="pct"/>
            <w:noWrap w:val="0"/>
            <w:vAlign w:val="top"/>
          </w:tcPr>
          <w:p w14:paraId="3F508895">
            <w:pPr>
              <w:rPr>
                <w:rFonts w:ascii="宋体" w:hAnsi="宋体" w:eastAsia="宋体"/>
                <w:sz w:val="24"/>
                <w:highlight w:val="none"/>
              </w:rPr>
            </w:pPr>
          </w:p>
        </w:tc>
        <w:tc>
          <w:tcPr>
            <w:tcW w:w="772" w:type="pct"/>
            <w:noWrap w:val="0"/>
            <w:vAlign w:val="top"/>
          </w:tcPr>
          <w:p w14:paraId="20B310BD">
            <w:pPr>
              <w:rPr>
                <w:rFonts w:ascii="宋体" w:hAnsi="宋体" w:eastAsia="宋体"/>
                <w:sz w:val="24"/>
                <w:highlight w:val="none"/>
              </w:rPr>
            </w:pPr>
          </w:p>
        </w:tc>
        <w:tc>
          <w:tcPr>
            <w:tcW w:w="772" w:type="pct"/>
            <w:noWrap w:val="0"/>
            <w:vAlign w:val="top"/>
          </w:tcPr>
          <w:p w14:paraId="09A7230D">
            <w:pPr>
              <w:rPr>
                <w:rFonts w:ascii="宋体" w:hAnsi="宋体" w:eastAsia="宋体"/>
                <w:sz w:val="24"/>
                <w:highlight w:val="none"/>
              </w:rPr>
            </w:pPr>
          </w:p>
        </w:tc>
        <w:tc>
          <w:tcPr>
            <w:tcW w:w="394" w:type="pct"/>
            <w:noWrap w:val="0"/>
            <w:vAlign w:val="top"/>
          </w:tcPr>
          <w:p w14:paraId="275F91C4">
            <w:pPr>
              <w:rPr>
                <w:rFonts w:ascii="宋体" w:hAnsi="宋体" w:eastAsia="宋体"/>
                <w:sz w:val="24"/>
                <w:highlight w:val="none"/>
              </w:rPr>
            </w:pPr>
          </w:p>
        </w:tc>
        <w:tc>
          <w:tcPr>
            <w:tcW w:w="394" w:type="pct"/>
            <w:noWrap w:val="0"/>
            <w:vAlign w:val="top"/>
          </w:tcPr>
          <w:p w14:paraId="6E9B5D37">
            <w:pPr>
              <w:rPr>
                <w:rFonts w:ascii="宋体" w:hAnsi="宋体" w:eastAsia="宋体"/>
                <w:sz w:val="24"/>
                <w:highlight w:val="none"/>
              </w:rPr>
            </w:pPr>
          </w:p>
        </w:tc>
        <w:tc>
          <w:tcPr>
            <w:tcW w:w="551" w:type="pct"/>
            <w:noWrap w:val="0"/>
            <w:vAlign w:val="top"/>
          </w:tcPr>
          <w:p w14:paraId="7D351FDC">
            <w:pPr>
              <w:rPr>
                <w:rFonts w:ascii="宋体" w:hAnsi="宋体" w:eastAsia="宋体"/>
                <w:sz w:val="24"/>
                <w:highlight w:val="none"/>
              </w:rPr>
            </w:pPr>
          </w:p>
        </w:tc>
        <w:tc>
          <w:tcPr>
            <w:tcW w:w="551" w:type="pct"/>
            <w:noWrap w:val="0"/>
            <w:vAlign w:val="top"/>
          </w:tcPr>
          <w:p w14:paraId="68D6AC0F">
            <w:pPr>
              <w:rPr>
                <w:rFonts w:ascii="宋体" w:hAnsi="宋体" w:eastAsia="宋体"/>
                <w:sz w:val="24"/>
                <w:highlight w:val="none"/>
              </w:rPr>
            </w:pPr>
          </w:p>
        </w:tc>
        <w:tc>
          <w:tcPr>
            <w:tcW w:w="393" w:type="pct"/>
            <w:noWrap w:val="0"/>
            <w:vAlign w:val="top"/>
          </w:tcPr>
          <w:p w14:paraId="2EB92AF3">
            <w:pPr>
              <w:rPr>
                <w:rFonts w:ascii="宋体" w:hAnsi="宋体" w:eastAsia="宋体"/>
                <w:sz w:val="24"/>
                <w:highlight w:val="none"/>
              </w:rPr>
            </w:pPr>
          </w:p>
        </w:tc>
      </w:tr>
      <w:tr w14:paraId="6233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7DD361CA">
            <w:pPr>
              <w:jc w:val="center"/>
              <w:rPr>
                <w:rFonts w:ascii="宋体" w:hAnsi="宋体" w:eastAsia="宋体"/>
                <w:sz w:val="24"/>
                <w:highlight w:val="none"/>
              </w:rPr>
            </w:pPr>
            <w:r>
              <w:rPr>
                <w:rFonts w:hint="eastAsia" w:ascii="宋体" w:hAnsi="宋体" w:eastAsia="宋体"/>
                <w:sz w:val="24"/>
                <w:highlight w:val="none"/>
              </w:rPr>
              <w:t>…</w:t>
            </w:r>
          </w:p>
        </w:tc>
        <w:tc>
          <w:tcPr>
            <w:tcW w:w="776" w:type="pct"/>
            <w:noWrap w:val="0"/>
            <w:vAlign w:val="top"/>
          </w:tcPr>
          <w:p w14:paraId="52FDDD29">
            <w:pPr>
              <w:rPr>
                <w:rFonts w:ascii="宋体" w:hAnsi="宋体" w:eastAsia="宋体"/>
                <w:sz w:val="24"/>
                <w:highlight w:val="none"/>
              </w:rPr>
            </w:pPr>
          </w:p>
        </w:tc>
        <w:tc>
          <w:tcPr>
            <w:tcW w:w="772" w:type="pct"/>
            <w:noWrap w:val="0"/>
            <w:vAlign w:val="top"/>
          </w:tcPr>
          <w:p w14:paraId="0F448206">
            <w:pPr>
              <w:rPr>
                <w:rFonts w:ascii="宋体" w:hAnsi="宋体" w:eastAsia="宋体"/>
                <w:sz w:val="24"/>
                <w:highlight w:val="none"/>
              </w:rPr>
            </w:pPr>
          </w:p>
        </w:tc>
        <w:tc>
          <w:tcPr>
            <w:tcW w:w="772" w:type="pct"/>
            <w:noWrap w:val="0"/>
            <w:vAlign w:val="top"/>
          </w:tcPr>
          <w:p w14:paraId="6F4523F1">
            <w:pPr>
              <w:rPr>
                <w:rFonts w:ascii="宋体" w:hAnsi="宋体" w:eastAsia="宋体"/>
                <w:sz w:val="24"/>
                <w:highlight w:val="none"/>
              </w:rPr>
            </w:pPr>
          </w:p>
        </w:tc>
        <w:tc>
          <w:tcPr>
            <w:tcW w:w="394" w:type="pct"/>
            <w:noWrap w:val="0"/>
            <w:vAlign w:val="top"/>
          </w:tcPr>
          <w:p w14:paraId="5713503A">
            <w:pPr>
              <w:rPr>
                <w:rFonts w:ascii="宋体" w:hAnsi="宋体" w:eastAsia="宋体"/>
                <w:sz w:val="24"/>
                <w:highlight w:val="none"/>
              </w:rPr>
            </w:pPr>
          </w:p>
        </w:tc>
        <w:tc>
          <w:tcPr>
            <w:tcW w:w="394" w:type="pct"/>
            <w:noWrap w:val="0"/>
            <w:vAlign w:val="top"/>
          </w:tcPr>
          <w:p w14:paraId="44B66D33">
            <w:pPr>
              <w:rPr>
                <w:rFonts w:ascii="宋体" w:hAnsi="宋体" w:eastAsia="宋体"/>
                <w:sz w:val="24"/>
                <w:highlight w:val="none"/>
              </w:rPr>
            </w:pPr>
          </w:p>
        </w:tc>
        <w:tc>
          <w:tcPr>
            <w:tcW w:w="551" w:type="pct"/>
            <w:noWrap w:val="0"/>
            <w:vAlign w:val="top"/>
          </w:tcPr>
          <w:p w14:paraId="4D3028A2">
            <w:pPr>
              <w:rPr>
                <w:rFonts w:ascii="宋体" w:hAnsi="宋体" w:eastAsia="宋体"/>
                <w:sz w:val="24"/>
                <w:highlight w:val="none"/>
              </w:rPr>
            </w:pPr>
          </w:p>
        </w:tc>
        <w:tc>
          <w:tcPr>
            <w:tcW w:w="551" w:type="pct"/>
            <w:noWrap w:val="0"/>
            <w:vAlign w:val="top"/>
          </w:tcPr>
          <w:p w14:paraId="1790092E">
            <w:pPr>
              <w:rPr>
                <w:rFonts w:ascii="宋体" w:hAnsi="宋体" w:eastAsia="宋体"/>
                <w:sz w:val="24"/>
                <w:highlight w:val="none"/>
              </w:rPr>
            </w:pPr>
          </w:p>
        </w:tc>
        <w:tc>
          <w:tcPr>
            <w:tcW w:w="393" w:type="pct"/>
            <w:noWrap w:val="0"/>
            <w:vAlign w:val="top"/>
          </w:tcPr>
          <w:p w14:paraId="578F6552">
            <w:pPr>
              <w:rPr>
                <w:rFonts w:ascii="宋体" w:hAnsi="宋体" w:eastAsia="宋体"/>
                <w:sz w:val="24"/>
                <w:highlight w:val="none"/>
              </w:rPr>
            </w:pPr>
          </w:p>
        </w:tc>
      </w:tr>
      <w:tr w14:paraId="388B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4" w:type="pct"/>
            <w:gridSpan w:val="7"/>
            <w:noWrap w:val="0"/>
            <w:vAlign w:val="center"/>
          </w:tcPr>
          <w:p w14:paraId="5461A2A8">
            <w:pPr>
              <w:jc w:val="center"/>
              <w:rPr>
                <w:rFonts w:ascii="宋体" w:hAnsi="宋体" w:eastAsia="宋体"/>
                <w:sz w:val="24"/>
                <w:highlight w:val="none"/>
              </w:rPr>
            </w:pPr>
            <w:r>
              <w:rPr>
                <w:rFonts w:hint="eastAsia" w:ascii="宋体" w:hAnsi="宋体" w:eastAsia="宋体"/>
                <w:b/>
                <w:sz w:val="24"/>
                <w:highlight w:val="none"/>
              </w:rPr>
              <w:t>合计</w:t>
            </w:r>
            <w:r>
              <w:rPr>
                <w:rFonts w:hint="eastAsia" w:ascii="宋体" w:hAnsi="宋体" w:eastAsia="宋体"/>
                <w:b/>
                <w:sz w:val="24"/>
                <w:highlight w:val="none"/>
                <w:lang w:val="en-US" w:eastAsia="zh-CN"/>
              </w:rPr>
              <w:t>金额</w:t>
            </w:r>
            <w:r>
              <w:rPr>
                <w:rFonts w:hint="eastAsia" w:ascii="宋体" w:hAnsi="宋体" w:eastAsia="宋体"/>
                <w:b/>
                <w:sz w:val="24"/>
                <w:highlight w:val="none"/>
              </w:rPr>
              <w:t>（元）</w:t>
            </w:r>
          </w:p>
        </w:tc>
        <w:tc>
          <w:tcPr>
            <w:tcW w:w="945" w:type="pct"/>
            <w:gridSpan w:val="2"/>
            <w:noWrap w:val="0"/>
            <w:vAlign w:val="top"/>
          </w:tcPr>
          <w:p w14:paraId="559957D4">
            <w:pPr>
              <w:rPr>
                <w:rFonts w:ascii="宋体" w:hAnsi="宋体" w:eastAsia="宋体"/>
                <w:sz w:val="24"/>
                <w:highlight w:val="none"/>
              </w:rPr>
            </w:pPr>
          </w:p>
        </w:tc>
      </w:tr>
    </w:tbl>
    <w:p w14:paraId="4C7090A7">
      <w:pPr>
        <w:pStyle w:val="51"/>
        <w:jc w:val="both"/>
        <w:rPr>
          <w:rFonts w:hint="default" w:ascii="宋体" w:hAnsi="宋体" w:eastAsia="宋体"/>
          <w:b/>
          <w:bCs/>
          <w:i/>
          <w:iCs/>
          <w:highlight w:val="none"/>
          <w:lang w:val="en-US" w:eastAsia="zh-CN"/>
        </w:rPr>
      </w:pPr>
      <w:r>
        <w:rPr>
          <w:rFonts w:hint="eastAsia" w:ascii="宋体" w:hAnsi="宋体" w:eastAsia="宋体"/>
          <w:b/>
          <w:bCs/>
          <w:highlight w:val="none"/>
          <w:lang w:val="en-US" w:eastAsia="zh-CN"/>
        </w:rPr>
        <w:t>5-2服务部分</w:t>
      </w:r>
      <w:r>
        <w:rPr>
          <w:rFonts w:hint="eastAsia" w:ascii="宋体" w:hAnsi="宋体" w:eastAsia="宋体"/>
          <w:b/>
          <w:bCs/>
          <w:i/>
          <w:iCs/>
          <w:highlight w:val="none"/>
        </w:rPr>
        <w:t>（仅供参考，投标人可自行制作格式）</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3388"/>
        <w:gridCol w:w="1479"/>
        <w:gridCol w:w="1850"/>
        <w:gridCol w:w="1706"/>
      </w:tblGrid>
      <w:tr w14:paraId="4A9E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noWrap w:val="0"/>
            <w:vAlign w:val="center"/>
          </w:tcPr>
          <w:p w14:paraId="1CDA59D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序号</w:t>
            </w:r>
          </w:p>
        </w:tc>
        <w:tc>
          <w:tcPr>
            <w:tcW w:w="1824" w:type="pct"/>
            <w:noWrap w:val="0"/>
            <w:vAlign w:val="center"/>
          </w:tcPr>
          <w:p w14:paraId="17CB7DC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服务内容</w:t>
            </w:r>
          </w:p>
        </w:tc>
        <w:tc>
          <w:tcPr>
            <w:tcW w:w="796" w:type="pct"/>
            <w:noWrap w:val="0"/>
            <w:vAlign w:val="center"/>
          </w:tcPr>
          <w:p w14:paraId="69CD1F0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项</w:t>
            </w:r>
          </w:p>
        </w:tc>
        <w:tc>
          <w:tcPr>
            <w:tcW w:w="996" w:type="pct"/>
            <w:noWrap w:val="0"/>
            <w:vAlign w:val="center"/>
          </w:tcPr>
          <w:p w14:paraId="3C73F4D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单价</w:t>
            </w:r>
          </w:p>
        </w:tc>
        <w:tc>
          <w:tcPr>
            <w:tcW w:w="919" w:type="pct"/>
            <w:noWrap w:val="0"/>
            <w:vAlign w:val="center"/>
          </w:tcPr>
          <w:p w14:paraId="18231BF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小计（元）</w:t>
            </w:r>
          </w:p>
        </w:tc>
      </w:tr>
      <w:tr w14:paraId="4603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tcBorders>
              <w:bottom w:val="single" w:color="auto" w:sz="4" w:space="0"/>
            </w:tcBorders>
            <w:noWrap w:val="0"/>
            <w:vAlign w:val="center"/>
          </w:tcPr>
          <w:p w14:paraId="3C2A581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1</w:t>
            </w:r>
          </w:p>
        </w:tc>
        <w:tc>
          <w:tcPr>
            <w:tcW w:w="1824" w:type="pct"/>
            <w:noWrap w:val="0"/>
            <w:vAlign w:val="center"/>
          </w:tcPr>
          <w:p w14:paraId="176E8AA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14:paraId="2C5909C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96" w:type="pct"/>
            <w:noWrap w:val="0"/>
            <w:vAlign w:val="center"/>
          </w:tcPr>
          <w:p w14:paraId="575AA4E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19" w:type="pct"/>
            <w:noWrap w:val="0"/>
            <w:vAlign w:val="center"/>
          </w:tcPr>
          <w:p w14:paraId="60C54B4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3CDC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1D70D3F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2</w:t>
            </w:r>
          </w:p>
        </w:tc>
        <w:tc>
          <w:tcPr>
            <w:tcW w:w="1824" w:type="pct"/>
            <w:noWrap w:val="0"/>
            <w:vAlign w:val="center"/>
          </w:tcPr>
          <w:p w14:paraId="72BE937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14:paraId="6158F3C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96" w:type="pct"/>
            <w:noWrap w:val="0"/>
            <w:vAlign w:val="center"/>
          </w:tcPr>
          <w:p w14:paraId="6122CBD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19" w:type="pct"/>
            <w:noWrap w:val="0"/>
            <w:vAlign w:val="center"/>
          </w:tcPr>
          <w:p w14:paraId="560FF55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00EF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63730EC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3</w:t>
            </w:r>
          </w:p>
        </w:tc>
        <w:tc>
          <w:tcPr>
            <w:tcW w:w="1824" w:type="pct"/>
            <w:noWrap w:val="0"/>
            <w:vAlign w:val="center"/>
          </w:tcPr>
          <w:p w14:paraId="666FC2C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14:paraId="210A863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96" w:type="pct"/>
            <w:noWrap w:val="0"/>
            <w:vAlign w:val="center"/>
          </w:tcPr>
          <w:p w14:paraId="6D90EEB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19" w:type="pct"/>
            <w:noWrap w:val="0"/>
            <w:vAlign w:val="center"/>
          </w:tcPr>
          <w:p w14:paraId="2087A30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23B5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7A4BB65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ascii="宋体" w:hAnsi="宋体" w:eastAsia="宋体"/>
                <w:sz w:val="24"/>
                <w:highlight w:val="none"/>
              </w:rPr>
              <w:t>…</w:t>
            </w:r>
          </w:p>
        </w:tc>
        <w:tc>
          <w:tcPr>
            <w:tcW w:w="1824" w:type="pct"/>
            <w:noWrap w:val="0"/>
            <w:vAlign w:val="center"/>
          </w:tcPr>
          <w:p w14:paraId="1508F16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14:paraId="2DA9BCC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96" w:type="pct"/>
            <w:noWrap w:val="0"/>
            <w:vAlign w:val="center"/>
          </w:tcPr>
          <w:p w14:paraId="3AC8085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19" w:type="pct"/>
            <w:noWrap w:val="0"/>
            <w:vAlign w:val="center"/>
          </w:tcPr>
          <w:p w14:paraId="7CCB6AB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6C5F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noWrap w:val="0"/>
            <w:vAlign w:val="center"/>
          </w:tcPr>
          <w:p w14:paraId="6FBEAEB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b/>
                <w:sz w:val="24"/>
                <w:highlight w:val="none"/>
              </w:rPr>
              <w:t>合计金额（元）</w:t>
            </w:r>
          </w:p>
        </w:tc>
        <w:tc>
          <w:tcPr>
            <w:tcW w:w="919" w:type="pct"/>
            <w:noWrap w:val="0"/>
            <w:vAlign w:val="center"/>
          </w:tcPr>
          <w:p w14:paraId="5005406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bl>
    <w:p w14:paraId="7C354805">
      <w:pPr>
        <w:pStyle w:val="51"/>
        <w:jc w:val="both"/>
        <w:rPr>
          <w:rFonts w:hint="eastAsia" w:ascii="宋体" w:hAnsi="宋体" w:eastAsia="宋体"/>
          <w:b/>
          <w:bCs/>
          <w:highlight w:val="none"/>
          <w:lang w:val="en-US" w:eastAsia="zh-CN"/>
        </w:rPr>
      </w:pPr>
      <w:r>
        <w:rPr>
          <w:rFonts w:hint="eastAsia" w:ascii="宋体" w:hAnsi="宋体" w:eastAsia="宋体"/>
          <w:b/>
          <w:bCs/>
          <w:highlight w:val="none"/>
          <w:lang w:val="en-US" w:eastAsia="zh-CN"/>
        </w:rPr>
        <w:t>5-3 符合本国产品标准的产品成本之和占比</w:t>
      </w:r>
    </w:p>
    <w:tbl>
      <w:tblPr>
        <w:tblStyle w:val="26"/>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8"/>
        <w:gridCol w:w="1766"/>
      </w:tblGrid>
      <w:tr w14:paraId="73E1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7588" w:type="dxa"/>
            <w:noWrap w:val="0"/>
            <w:vAlign w:val="top"/>
          </w:tcPr>
          <w:p w14:paraId="4DECA2F7">
            <w:pPr>
              <w:spacing w:line="360" w:lineRule="auto"/>
              <w:rPr>
                <w:rFonts w:hint="eastAsia" w:ascii="宋体" w:hAnsi="宋体" w:eastAsia="宋体"/>
                <w:b/>
                <w:bCs/>
                <w:sz w:val="21"/>
                <w:szCs w:val="21"/>
                <w:highlight w:val="none"/>
                <w:vertAlign w:val="baseline"/>
                <w:lang w:eastAsia="zh-CN"/>
              </w:rPr>
            </w:pPr>
            <w:r>
              <w:rPr>
                <w:rFonts w:hint="eastAsia" w:ascii="宋体" w:hAnsi="宋体" w:eastAsia="宋体" w:cs="宋体"/>
                <w:color w:val="auto"/>
                <w:sz w:val="24"/>
                <w:szCs w:val="24"/>
                <w:highlight w:val="none"/>
              </w:rPr>
              <w:t>本公司（单位）提供的符合本国产品标准的产品成本之和占提供的全部产品成本之和的比例</w:t>
            </w:r>
          </w:p>
        </w:tc>
        <w:tc>
          <w:tcPr>
            <w:tcW w:w="1766" w:type="dxa"/>
            <w:noWrap w:val="0"/>
            <w:vAlign w:val="top"/>
          </w:tcPr>
          <w:p w14:paraId="6345AD47">
            <w:pPr>
              <w:spacing w:line="360" w:lineRule="auto"/>
              <w:rPr>
                <w:rFonts w:hint="eastAsia" w:ascii="宋体" w:hAnsi="宋体" w:eastAsia="宋体" w:cs="宋体"/>
                <w:color w:val="auto"/>
                <w:sz w:val="24"/>
                <w:szCs w:val="24"/>
                <w:highlight w:val="none"/>
                <w:u w:val="single"/>
                <w:lang w:val="en-US" w:eastAsia="zh-CN"/>
              </w:rPr>
            </w:pPr>
          </w:p>
          <w:p w14:paraId="218CB0CA">
            <w:pPr>
              <w:spacing w:line="360" w:lineRule="auto"/>
              <w:rPr>
                <w:rFonts w:hint="eastAsia" w:ascii="宋体" w:hAnsi="宋体" w:eastAsia="宋体"/>
                <w:b/>
                <w:bCs/>
                <w:sz w:val="21"/>
                <w:szCs w:val="21"/>
                <w:highlight w:val="none"/>
                <w:vertAlign w:val="baseline"/>
                <w:lang w:eastAsia="zh-CN"/>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Times New Roman"/>
                <w:b w:val="0"/>
                <w:bCs/>
                <w:szCs w:val="24"/>
                <w:highlight w:val="none"/>
                <w:lang w:val="en-US" w:eastAsia="zh-CN"/>
              </w:rPr>
              <w:t>%</w:t>
            </w:r>
          </w:p>
        </w:tc>
      </w:tr>
      <w:tr w14:paraId="3752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15" w:hRule="atLeast"/>
        </w:trPr>
        <w:tc>
          <w:tcPr>
            <w:tcW w:w="9354" w:type="dxa"/>
            <w:gridSpan w:val="2"/>
            <w:noWrap w:val="0"/>
            <w:vAlign w:val="top"/>
          </w:tcPr>
          <w:p w14:paraId="6902F005">
            <w:pPr>
              <w:tabs>
                <w:tab w:val="left" w:pos="4620"/>
              </w:tabs>
              <w:spacing w:line="360" w:lineRule="auto"/>
              <w:jc w:val="left"/>
              <w:rPr>
                <w:rFonts w:hint="eastAsia" w:ascii="宋体" w:hAnsi="宋体" w:eastAsia="宋体" w:cs="Times New Roman"/>
                <w:b/>
                <w:bCs w:val="0"/>
                <w:szCs w:val="24"/>
                <w:highlight w:val="none"/>
                <w:lang w:val="en-US" w:eastAsia="zh-CN"/>
              </w:rPr>
            </w:pPr>
            <w:r>
              <w:rPr>
                <w:rFonts w:hint="eastAsia" w:ascii="宋体" w:hAnsi="宋体" w:eastAsia="宋体" w:cs="Times New Roman"/>
                <w:b/>
                <w:bCs w:val="0"/>
                <w:szCs w:val="24"/>
                <w:highlight w:val="none"/>
                <w:lang w:val="en-US" w:eastAsia="zh-CN"/>
              </w:rPr>
              <w:t>提醒：</w:t>
            </w:r>
          </w:p>
          <w:p w14:paraId="4211CC09">
            <w:pPr>
              <w:tabs>
                <w:tab w:val="left" w:pos="4620"/>
              </w:tabs>
              <w:spacing w:line="360" w:lineRule="auto"/>
              <w:jc w:val="left"/>
              <w:rPr>
                <w:rFonts w:hint="eastAsia" w:ascii="宋体" w:hAnsi="宋体" w:eastAsia="宋体" w:cs="Times New Roman"/>
                <w:b w:val="0"/>
                <w:bCs/>
                <w:szCs w:val="24"/>
                <w:highlight w:val="none"/>
                <w:lang w:val="en-US" w:eastAsia="zh-CN"/>
              </w:rPr>
            </w:pPr>
            <w:r>
              <w:rPr>
                <w:rFonts w:hint="eastAsia" w:ascii="宋体" w:hAnsi="宋体" w:eastAsia="宋体" w:cs="Times New Roman"/>
                <w:b w:val="0"/>
                <w:bCs/>
                <w:szCs w:val="24"/>
                <w:highlight w:val="none"/>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22252D7C">
            <w:pPr>
              <w:spacing w:line="360" w:lineRule="auto"/>
              <w:rPr>
                <w:rFonts w:hint="eastAsia" w:ascii="宋体" w:hAnsi="宋体" w:eastAsia="宋体" w:cs="Times New Roman"/>
                <w:b w:val="0"/>
                <w:bCs/>
                <w:szCs w:val="24"/>
                <w:highlight w:val="none"/>
                <w:lang w:val="en-US" w:eastAsia="zh-CN"/>
              </w:rPr>
            </w:pPr>
            <w:r>
              <w:rPr>
                <w:rFonts w:hint="eastAsia" w:ascii="宋体" w:hAnsi="宋体" w:eastAsia="宋体" w:cs="Times New Roman"/>
                <w:b w:val="0"/>
                <w:bCs/>
                <w:szCs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12230B6B">
            <w:pPr>
              <w:spacing w:line="360" w:lineRule="auto"/>
              <w:rPr>
                <w:rFonts w:hint="default" w:ascii="宋体" w:hAnsi="宋体" w:eastAsia="宋体" w:cs="Times New Roman"/>
                <w:b w:val="0"/>
                <w:bCs/>
                <w:szCs w:val="24"/>
                <w:highlight w:val="none"/>
                <w:lang w:val="en-US" w:eastAsia="zh-CN"/>
              </w:rPr>
            </w:pPr>
            <w:r>
              <w:rPr>
                <w:rFonts w:hint="eastAsia" w:ascii="宋体" w:hAnsi="宋体" w:eastAsia="宋体" w:cs="Times New Roman"/>
                <w:b w:val="0"/>
                <w:bCs/>
                <w:szCs w:val="24"/>
                <w:highlight w:val="none"/>
                <w:lang w:val="en-US" w:eastAsia="zh-CN"/>
              </w:rPr>
              <w:t>3.</w:t>
            </w:r>
            <w:r>
              <w:rPr>
                <w:rFonts w:hint="eastAsia" w:ascii="宋体" w:hAnsi="宋体" w:eastAsia="宋体" w:cs="宋体"/>
                <w:b w:val="0"/>
                <w:bCs/>
                <w:kern w:val="2"/>
                <w:sz w:val="21"/>
                <w:szCs w:val="21"/>
                <w:highlight w:val="none"/>
                <w:lang w:val="en-US" w:eastAsia="zh-CN" w:bidi="ar"/>
              </w:rPr>
              <w:t>上表中全部产品成本之和是指表5-1和表5-2包含的全部货物、服务产品成本之和。</w:t>
            </w:r>
          </w:p>
        </w:tc>
      </w:tr>
    </w:tbl>
    <w:p w14:paraId="41DF4DBB">
      <w:pPr>
        <w:spacing w:line="360" w:lineRule="auto"/>
        <w:rPr>
          <w:rFonts w:hint="eastAsia" w:ascii="宋体" w:hAnsi="宋体" w:eastAsia="宋体"/>
          <w:b/>
          <w:bCs/>
          <w:sz w:val="21"/>
          <w:szCs w:val="21"/>
          <w:highlight w:val="none"/>
          <w:lang w:eastAsia="zh-CN"/>
        </w:rPr>
      </w:pPr>
    </w:p>
    <w:p w14:paraId="725986D4">
      <w:pPr>
        <w:spacing w:line="360" w:lineRule="auto"/>
        <w:ind w:firstLine="4800" w:firstLineChars="2000"/>
        <w:jc w:val="center"/>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43493136">
      <w:pPr>
        <w:tabs>
          <w:tab w:val="left" w:pos="630"/>
        </w:tabs>
        <w:spacing w:line="360" w:lineRule="auto"/>
        <w:ind w:firstLine="4800" w:firstLineChars="2000"/>
        <w:jc w:val="center"/>
        <w:rPr>
          <w:rFonts w:ascii="宋体" w:hAnsi="宋体" w:eastAsia="宋体"/>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290C455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b/>
          <w:bCs/>
          <w:sz w:val="21"/>
          <w:szCs w:val="21"/>
          <w:highlight w:val="none"/>
          <w:lang w:eastAsia="zh-CN"/>
        </w:rPr>
      </w:pPr>
      <w:r>
        <w:rPr>
          <w:rFonts w:hint="eastAsia" w:ascii="宋体" w:hAnsi="宋体" w:eastAsia="宋体"/>
          <w:b/>
          <w:bCs/>
          <w:sz w:val="21"/>
          <w:szCs w:val="21"/>
          <w:highlight w:val="none"/>
          <w:lang w:eastAsia="zh-CN"/>
        </w:rPr>
        <w:t>注：</w:t>
      </w:r>
    </w:p>
    <w:p w14:paraId="0FC5F10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sz w:val="21"/>
          <w:szCs w:val="21"/>
          <w:highlight w:val="none"/>
          <w:lang w:val="en-US" w:eastAsia="zh-CN"/>
        </w:rPr>
      </w:pPr>
      <w:r>
        <w:rPr>
          <w:rFonts w:hint="eastAsia" w:ascii="宋体" w:hAnsi="宋体" w:eastAsia="宋体"/>
          <w:sz w:val="21"/>
          <w:szCs w:val="21"/>
          <w:highlight w:val="none"/>
          <w:lang w:val="en-US" w:eastAsia="zh-CN"/>
        </w:rPr>
        <w:t>1.表5-1</w:t>
      </w:r>
      <w:r>
        <w:rPr>
          <w:rFonts w:hint="eastAsia" w:ascii="宋体" w:hAnsi="宋体" w:eastAsia="宋体"/>
          <w:sz w:val="21"/>
          <w:szCs w:val="21"/>
          <w:highlight w:val="none"/>
        </w:rPr>
        <w:t>中须明确列出所投产品的货物名称、品牌、型号规格、原产地及生产厂商，否则可能导致</w:t>
      </w:r>
      <w:r>
        <w:rPr>
          <w:rFonts w:hint="eastAsia" w:ascii="宋体" w:hAnsi="宋体" w:eastAsia="宋体"/>
          <w:b/>
          <w:bCs/>
          <w:sz w:val="21"/>
          <w:szCs w:val="21"/>
          <w:highlight w:val="none"/>
        </w:rPr>
        <w:t>投标无效</w:t>
      </w:r>
      <w:r>
        <w:rPr>
          <w:rFonts w:hint="eastAsia" w:ascii="宋体" w:hAnsi="宋体" w:eastAsia="宋体"/>
          <w:b/>
          <w:bCs/>
          <w:sz w:val="21"/>
          <w:szCs w:val="21"/>
          <w:highlight w:val="none"/>
          <w:lang w:eastAsia="zh-CN"/>
        </w:rPr>
        <w:t>。</w:t>
      </w:r>
    </w:p>
    <w:p w14:paraId="6F8C732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sz w:val="21"/>
          <w:szCs w:val="21"/>
          <w:highlight w:val="none"/>
        </w:rPr>
      </w:pPr>
      <w:r>
        <w:rPr>
          <w:rFonts w:hint="eastAsia" w:ascii="宋体" w:hAnsi="宋体" w:eastAsia="宋体"/>
          <w:sz w:val="21"/>
          <w:szCs w:val="21"/>
          <w:highlight w:val="none"/>
          <w:lang w:val="en-US" w:eastAsia="zh-CN"/>
        </w:rPr>
        <w:t>2.上述报价为投标人完成本项目内容的全部费用（总报价为表5-1和表5-2合计金额之和），</w:t>
      </w:r>
      <w:r>
        <w:rPr>
          <w:rFonts w:hint="eastAsia" w:ascii="宋体" w:hAnsi="宋体" w:eastAsia="宋体"/>
          <w:sz w:val="21"/>
          <w:szCs w:val="21"/>
          <w:highlight w:val="none"/>
        </w:rPr>
        <w:t>如有漏项或缺项，</w:t>
      </w:r>
      <w:r>
        <w:rPr>
          <w:rFonts w:hint="eastAsia" w:ascii="宋体" w:hAnsi="宋体" w:eastAsia="宋体"/>
          <w:sz w:val="21"/>
          <w:szCs w:val="21"/>
          <w:highlight w:val="none"/>
          <w:lang w:val="en-US" w:eastAsia="zh-CN"/>
        </w:rPr>
        <w:t>自行</w:t>
      </w:r>
      <w:r>
        <w:rPr>
          <w:rFonts w:hint="eastAsia" w:ascii="宋体" w:hAnsi="宋体" w:eastAsia="宋体"/>
          <w:sz w:val="21"/>
          <w:szCs w:val="21"/>
          <w:highlight w:val="none"/>
        </w:rPr>
        <w:t>承担全部责任。</w:t>
      </w:r>
    </w:p>
    <w:p w14:paraId="3B885F7A">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6F065E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83" w:name="_Toc9573"/>
      <w:bookmarkStart w:id="84" w:name="_Toc14532"/>
      <w:bookmarkStart w:id="85" w:name="_Toc31244"/>
      <w:bookmarkStart w:id="86" w:name="OLE_LINK13"/>
      <w:bookmarkStart w:id="87" w:name="OLE_LINK14"/>
      <w:r>
        <w:rPr>
          <w:rFonts w:hint="eastAsia" w:asciiTheme="minorEastAsia" w:hAnsiTheme="minorEastAsia" w:eastAsiaTheme="minorEastAsia"/>
          <w:b/>
          <w:color w:val="auto"/>
          <w:sz w:val="24"/>
          <w:highlight w:val="none"/>
          <w:lang w:val="en-US" w:eastAsia="zh-CN"/>
        </w:rPr>
        <w:t>（4）中小企业声明函</w:t>
      </w:r>
      <w:bookmarkEnd w:id="83"/>
      <w:bookmarkEnd w:id="84"/>
      <w:bookmarkEnd w:id="85"/>
    </w:p>
    <w:p w14:paraId="7313C946">
      <w:pPr>
        <w:pStyle w:val="9"/>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eastAsiaTheme="minorEastAsia"/>
          <w:color w:val="auto"/>
          <w:sz w:val="24"/>
          <w:szCs w:val="24"/>
          <w:highlight w:val="none"/>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非中小企业投标</w:t>
      </w:r>
      <w:r>
        <w:rPr>
          <w:rFonts w:hint="eastAsia" w:ascii="宋体" w:hAnsi="宋体" w:eastAsia="宋体"/>
          <w:b w:val="0"/>
          <w:i/>
          <w:color w:val="auto"/>
          <w:sz w:val="24"/>
          <w:highlight w:val="none"/>
          <w:lang w:val="en-US" w:eastAsia="zh-CN"/>
        </w:rPr>
        <w:t>，不需此件，请删去“中小企业声明函”）</w:t>
      </w:r>
    </w:p>
    <w:p w14:paraId="1FAB130D">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16ADC880">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3DB835B6">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6959F9A2">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7D550789">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7E5A3731">
      <w:pPr>
        <w:spacing w:line="360" w:lineRule="auto"/>
        <w:ind w:firstLine="435"/>
        <w:rPr>
          <w:rFonts w:asciiTheme="minorEastAsia" w:hAnsiTheme="minorEastAsia" w:eastAsiaTheme="minorEastAsia"/>
          <w:color w:val="auto"/>
          <w:sz w:val="24"/>
          <w:szCs w:val="24"/>
          <w:highlight w:val="none"/>
        </w:rPr>
      </w:pPr>
      <w:r>
        <w:rPr>
          <w:rFonts w:hint="eastAsia" w:ascii="宋体" w:hAnsi="宋体" w:eastAsia="宋体"/>
          <w:color w:val="auto"/>
          <w:sz w:val="24"/>
          <w:szCs w:val="24"/>
          <w:highlight w:val="none"/>
          <w:lang w:val="zh-CN"/>
        </w:rPr>
        <w:t>本企业对上述声明内容的真实性负责。如有虚假，将依法承担相应责任。</w:t>
      </w:r>
    </w:p>
    <w:p w14:paraId="09DFE9DA">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6CAD3A32">
      <w:pPr>
        <w:tabs>
          <w:tab w:val="left" w:pos="4620"/>
        </w:tabs>
        <w:spacing w:line="360" w:lineRule="auto"/>
        <w:ind w:firstLine="4252" w:firstLineChars="1772"/>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263D840E">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outlineLvl w:val="9"/>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38031744">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00109325">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6555554D">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”，详见第三章采购需求中明确的“货物名称”。</w:t>
      </w:r>
    </w:p>
    <w:p w14:paraId="58B10A9D">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”，详见第三章采购需求中明确的“所属行业”。</w:t>
      </w:r>
    </w:p>
    <w:p w14:paraId="7798627F">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lang w:val="zh-CN"/>
        </w:rPr>
        <w:t>某设备</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rPr>
        <w:t>（填写第三章采购需求中对应货物的“所属行业”，如工业）</w:t>
      </w:r>
      <w:r>
        <w:rPr>
          <w:rFonts w:hint="eastAsia" w:ascii="宋体" w:hAnsi="宋体" w:eastAsia="宋体" w:cs="宋体"/>
          <w:b/>
          <w:bCs/>
          <w:color w:val="auto"/>
          <w:szCs w:val="21"/>
          <w:highlight w:val="none"/>
          <w:lang w:val="zh-CN"/>
        </w:rPr>
        <w:t>行业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制造</w:t>
      </w:r>
      <w:r>
        <w:rPr>
          <w:rFonts w:hint="eastAsia" w:ascii="宋体" w:hAnsi="宋体" w:eastAsia="宋体" w:cs="宋体"/>
          <w:b/>
          <w:bCs/>
          <w:color w:val="auto"/>
          <w:szCs w:val="21"/>
          <w:highlight w:val="none"/>
          <w:lang w:val="zh-CN"/>
        </w:rPr>
        <w:t>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lang w:val="zh-CN"/>
        </w:rPr>
        <w:t>小型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430C678E">
      <w:pPr>
        <w:rPr>
          <w:rFonts w:hint="eastAsia" w:asciiTheme="minorEastAsia" w:hAnsiTheme="minorEastAsia" w:eastAsiaTheme="minorEastAsia"/>
          <w:b/>
          <w:bCs/>
          <w:color w:val="auto"/>
          <w:szCs w:val="24"/>
          <w:highlight w:val="none"/>
        </w:rPr>
      </w:pPr>
      <w:r>
        <w:rPr>
          <w:rFonts w:hint="eastAsia" w:asciiTheme="minorEastAsia" w:hAnsiTheme="minorEastAsia" w:eastAsiaTheme="minorEastAsia"/>
          <w:b/>
          <w:bCs/>
          <w:color w:val="auto"/>
          <w:szCs w:val="24"/>
          <w:highlight w:val="none"/>
        </w:rPr>
        <w:br w:type="page"/>
      </w:r>
      <w:bookmarkEnd w:id="86"/>
      <w:bookmarkEnd w:id="87"/>
    </w:p>
    <w:p w14:paraId="052CBD7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88" w:name="_Toc24563"/>
      <w:bookmarkStart w:id="89" w:name="_Toc16713"/>
      <w:bookmarkStart w:id="90" w:name="_Toc513"/>
      <w:r>
        <w:rPr>
          <w:rFonts w:hint="eastAsia" w:asciiTheme="minorEastAsia" w:hAnsiTheme="minorEastAsia" w:eastAsiaTheme="minorEastAsia"/>
          <w:b/>
          <w:color w:val="auto"/>
          <w:sz w:val="24"/>
          <w:highlight w:val="none"/>
          <w:lang w:val="en-US" w:eastAsia="zh-CN"/>
        </w:rPr>
        <w:t>（6）残疾人福利性单位声明函</w:t>
      </w:r>
      <w:bookmarkEnd w:id="88"/>
      <w:bookmarkEnd w:id="89"/>
      <w:bookmarkEnd w:id="90"/>
    </w:p>
    <w:p w14:paraId="1BDECF44">
      <w:pPr>
        <w:pStyle w:val="9"/>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（非残疾人福利性单位投标，请删去“残疾人福利性单位声明函”）</w:t>
      </w:r>
    </w:p>
    <w:p w14:paraId="78AE8357">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4BFFEB57">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16DF1435">
      <w:pPr>
        <w:spacing w:line="360" w:lineRule="auto"/>
        <w:ind w:firstLine="4228" w:firstLineChars="1762"/>
        <w:rPr>
          <w:rFonts w:asciiTheme="minorEastAsia" w:hAnsiTheme="minorEastAsia" w:eastAsiaTheme="minorEastAsia"/>
          <w:color w:val="auto"/>
          <w:sz w:val="24"/>
          <w:szCs w:val="24"/>
          <w:highlight w:val="none"/>
        </w:rPr>
      </w:pPr>
    </w:p>
    <w:p w14:paraId="6F563A8F">
      <w:pPr>
        <w:spacing w:line="360" w:lineRule="auto"/>
        <w:ind w:firstLine="4228" w:firstLineChars="1762"/>
        <w:rPr>
          <w:rFonts w:asciiTheme="minorEastAsia" w:hAnsiTheme="minorEastAsia" w:eastAsiaTheme="minorEastAsia"/>
          <w:color w:val="auto"/>
          <w:sz w:val="24"/>
          <w:szCs w:val="24"/>
          <w:highlight w:val="none"/>
        </w:rPr>
      </w:pPr>
    </w:p>
    <w:p w14:paraId="67EC27EE">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548ACF92">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22933CBC">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1FA9EC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仿宋_GB2312"/>
          <w:b/>
          <w:sz w:val="24"/>
          <w:szCs w:val="20"/>
          <w:highlight w:val="none"/>
        </w:rPr>
      </w:pPr>
      <w:bookmarkStart w:id="91" w:name="_Toc21373"/>
      <w:bookmarkStart w:id="92" w:name="_Hlk11701496"/>
      <w:bookmarkStart w:id="93" w:name="_Toc457768004"/>
      <w:bookmarkStart w:id="94" w:name="_Toc300210382"/>
      <w:bookmarkStart w:id="95" w:name="_Toc25813"/>
      <w:bookmarkStart w:id="96" w:name="_Toc26536"/>
      <w:bookmarkStart w:id="97" w:name="_Toc520299348"/>
      <w:r>
        <w:rPr>
          <w:rFonts w:hint="eastAsia" w:asciiTheme="minorEastAsia" w:hAnsiTheme="minorEastAsia" w:eastAsiaTheme="minorEastAsia"/>
          <w:b/>
          <w:sz w:val="24"/>
          <w:highlight w:val="none"/>
          <w:lang w:val="en-US" w:eastAsia="zh-CN"/>
        </w:rPr>
        <w:t>（5）</w:t>
      </w:r>
      <w:r>
        <w:rPr>
          <w:rFonts w:hint="eastAsia" w:ascii="宋体" w:hAnsi="宋体" w:eastAsia="宋体" w:cs="@仿宋_GB2312"/>
          <w:b/>
          <w:sz w:val="24"/>
          <w:szCs w:val="20"/>
          <w:highlight w:val="none"/>
        </w:rPr>
        <w:t>关于符合本国产品标准的声明函</w:t>
      </w:r>
      <w:bookmarkEnd w:id="91"/>
    </w:p>
    <w:p w14:paraId="6FA5E4E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4F4970E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48C98507">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1.</w:t>
      </w:r>
      <w:r>
        <w:rPr>
          <w:rStyle w:val="30"/>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30"/>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0"/>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30"/>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0"/>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0"/>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0"/>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0"/>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0"/>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0"/>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0"/>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8D6729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2.</w:t>
      </w:r>
      <w:r>
        <w:rPr>
          <w:rStyle w:val="30"/>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0"/>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0"/>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0"/>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0"/>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0"/>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0"/>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0"/>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0"/>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3D17525">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3091097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16ED9C98">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sz w:val="24"/>
          <w:szCs w:val="24"/>
          <w:highlight w:val="none"/>
          <w:u w:val="single"/>
        </w:rPr>
      </w:pPr>
      <w:r>
        <w:rPr>
          <w:rFonts w:hint="eastAsia" w:ascii="宋体" w:hAnsi="宋体" w:eastAsia="宋体"/>
          <w:sz w:val="24"/>
          <w:szCs w:val="24"/>
          <w:highlight w:val="none"/>
        </w:rPr>
        <w:t>投标人</w:t>
      </w:r>
      <w:r>
        <w:rPr>
          <w:rFonts w:ascii="宋体" w:hAnsi="宋体" w:eastAsia="宋体"/>
          <w:sz w:val="24"/>
          <w:szCs w:val="24"/>
          <w:highlight w:val="none"/>
        </w:rPr>
        <w:t>电子签章</w:t>
      </w:r>
      <w:r>
        <w:rPr>
          <w:rFonts w:hint="eastAsia" w:ascii="宋体" w:hAnsi="宋体" w:eastAsia="宋体"/>
          <w:sz w:val="24"/>
          <w:szCs w:val="24"/>
          <w:highlight w:val="none"/>
        </w:rPr>
        <w:t>：</w:t>
      </w:r>
      <w:r>
        <w:rPr>
          <w:rFonts w:ascii="宋体" w:hAnsi="宋体" w:eastAsia="宋体"/>
          <w:sz w:val="24"/>
          <w:szCs w:val="24"/>
          <w:highlight w:val="none"/>
          <w:u w:val="single"/>
        </w:rPr>
        <w:t xml:space="preserve">             </w:t>
      </w:r>
    </w:p>
    <w:p w14:paraId="2BB3B160">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sz w:val="24"/>
          <w:szCs w:val="24"/>
          <w:highlight w:val="none"/>
        </w:rPr>
        <w:t>日</w:t>
      </w:r>
      <w:r>
        <w:rPr>
          <w:rFonts w:ascii="宋体" w:hAnsi="宋体" w:eastAsia="宋体"/>
          <w:sz w:val="24"/>
          <w:szCs w:val="24"/>
          <w:highlight w:val="none"/>
        </w:rPr>
        <w:t xml:space="preserve">      </w:t>
      </w:r>
      <w:r>
        <w:rPr>
          <w:rFonts w:hint="eastAsia" w:ascii="宋体" w:hAnsi="宋体" w:eastAsia="宋体"/>
          <w:sz w:val="24"/>
          <w:szCs w:val="24"/>
          <w:highlight w:val="none"/>
        </w:rPr>
        <w:t xml:space="preserve">    期：</w:t>
      </w:r>
      <w:r>
        <w:rPr>
          <w:rFonts w:ascii="宋体" w:hAnsi="宋体" w:eastAsia="宋体"/>
          <w:sz w:val="24"/>
          <w:szCs w:val="24"/>
          <w:highlight w:val="none"/>
          <w:u w:val="single"/>
        </w:rPr>
        <w:t xml:space="preserve">             </w:t>
      </w:r>
    </w:p>
    <w:p w14:paraId="7911893F">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hint="eastAsia" w:ascii="宋体" w:hAnsi="宋体" w:eastAsia="宋体"/>
          <w:b w:val="0"/>
          <w:bCs/>
          <w:szCs w:val="24"/>
          <w:highlight w:val="none"/>
          <w:lang w:eastAsia="zh-CN"/>
        </w:rPr>
      </w:pPr>
      <w:r>
        <w:rPr>
          <w:rFonts w:hint="eastAsia" w:ascii="宋体" w:hAnsi="宋体" w:eastAsia="宋体" w:cs="Times New Roman"/>
          <w:b/>
          <w:szCs w:val="24"/>
          <w:highlight w:val="none"/>
          <w:lang w:val="en-US" w:eastAsia="zh-CN"/>
        </w:rPr>
        <w:t>注：</w:t>
      </w:r>
    </w:p>
    <w:p w14:paraId="5587E5C8">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hint="eastAsia" w:ascii="宋体" w:hAnsi="宋体" w:eastAsia="宋体"/>
          <w:b w:val="0"/>
          <w:bCs/>
          <w:sz w:val="21"/>
          <w:szCs w:val="21"/>
          <w:highlight w:val="none"/>
          <w:lang w:eastAsia="zh-CN"/>
        </w:rPr>
      </w:pPr>
      <w:r>
        <w:rPr>
          <w:rFonts w:hint="eastAsia" w:ascii="宋体" w:hAnsi="宋体" w:eastAsia="宋体"/>
          <w:b w:val="0"/>
          <w:bCs/>
          <w:sz w:val="21"/>
          <w:szCs w:val="21"/>
          <w:highlight w:val="none"/>
          <w:lang w:eastAsia="zh-CN"/>
        </w:rPr>
        <w:t>1.产品如有型号，请在“产品名称”栏一并填写。</w:t>
      </w:r>
    </w:p>
    <w:p w14:paraId="3A737B37">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hint="eastAsia" w:ascii="宋体" w:hAnsi="宋体" w:eastAsia="宋体"/>
          <w:b w:val="0"/>
          <w:bCs/>
          <w:sz w:val="21"/>
          <w:szCs w:val="21"/>
          <w:highlight w:val="none"/>
          <w:lang w:eastAsia="zh-CN"/>
        </w:rPr>
      </w:pPr>
      <w:r>
        <w:rPr>
          <w:rFonts w:hint="eastAsia" w:ascii="宋体" w:hAnsi="宋体" w:eastAsia="宋体"/>
          <w:b w:val="0"/>
          <w:bCs/>
          <w:sz w:val="21"/>
          <w:szCs w:val="21"/>
          <w:highlight w:val="none"/>
          <w:lang w:eastAsia="zh-CN"/>
        </w:rPr>
        <w:t>2.生产厂名与厂址应与生产厂营业执照载明的相关信息保持一致。</w:t>
      </w:r>
    </w:p>
    <w:p w14:paraId="17016F2A">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hint="eastAsia" w:ascii="宋体" w:hAnsi="宋体" w:eastAsia="宋体" w:cs="Times New Roman"/>
          <w:b w:val="0"/>
          <w:bCs/>
          <w:sz w:val="21"/>
          <w:szCs w:val="21"/>
          <w:highlight w:val="none"/>
          <w:lang w:val="en-US" w:eastAsia="zh-CN"/>
        </w:rPr>
      </w:pPr>
      <w:r>
        <w:rPr>
          <w:rFonts w:hint="eastAsia" w:ascii="宋体" w:hAnsi="宋体" w:eastAsia="宋体" w:cs="Times New Roman"/>
          <w:b w:val="0"/>
          <w:bCs/>
          <w:sz w:val="21"/>
          <w:szCs w:val="21"/>
          <w:highlight w:val="none"/>
          <w:lang w:val="en-US" w:eastAsia="zh-CN"/>
        </w:rPr>
        <w:t>3.上述声明函中标注</w:t>
      </w:r>
      <w:r>
        <w:rPr>
          <w:rFonts w:hint="eastAsia" w:ascii="宋体" w:hAnsi="宋体" w:eastAsia="宋体" w:cs="Times New Roman"/>
          <w:b w:val="0"/>
          <w:bCs/>
          <w:sz w:val="21"/>
          <w:szCs w:val="21"/>
          <w:highlight w:val="none"/>
          <w:u w:val="single"/>
          <w:lang w:val="en-US" w:eastAsia="zh-CN"/>
        </w:rPr>
        <w:t xml:space="preserve">  /  </w:t>
      </w:r>
      <w:r>
        <w:rPr>
          <w:rFonts w:hint="eastAsia" w:ascii="宋体" w:hAnsi="宋体" w:eastAsia="宋体" w:cs="Times New Roman"/>
          <w:b w:val="0"/>
          <w:bCs/>
          <w:sz w:val="21"/>
          <w:szCs w:val="21"/>
          <w:highlight w:val="none"/>
          <w:lang w:val="en-US" w:eastAsia="zh-CN"/>
        </w:rPr>
        <w:t>的，无需填写。</w:t>
      </w:r>
    </w:p>
    <w:p w14:paraId="228CB750">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hint="default" w:ascii="宋体" w:hAnsi="宋体" w:eastAsia="宋体" w:cs="Times New Roman"/>
          <w:b w:val="0"/>
          <w:bCs/>
          <w:sz w:val="21"/>
          <w:szCs w:val="21"/>
          <w:highlight w:val="none"/>
          <w:lang w:val="en-US" w:eastAsia="zh-CN"/>
        </w:rPr>
      </w:pPr>
      <w:r>
        <w:rPr>
          <w:rFonts w:hint="eastAsia" w:ascii="宋体" w:hAnsi="宋体" w:eastAsia="宋体" w:cs="Times New Roman"/>
          <w:b w:val="0"/>
          <w:bCs/>
          <w:sz w:val="21"/>
          <w:szCs w:val="21"/>
          <w:highlight w:val="none"/>
          <w:lang w:val="en-US" w:eastAsia="zh-CN"/>
        </w:rPr>
        <w:t>4.投标人应当结合“五、投标分项报价表-货物部分”相关信息进行填写。</w:t>
      </w:r>
    </w:p>
    <w:p w14:paraId="61A1CAE0">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b/>
          <w:sz w:val="24"/>
          <w:highlight w:val="none"/>
          <w:lang w:val="en-US" w:eastAsia="zh-CN"/>
        </w:rPr>
      </w:pPr>
      <w:r>
        <w:rPr>
          <w:rFonts w:hint="eastAsia" w:ascii="宋体" w:hAnsi="宋体" w:eastAsia="宋体" w:cs="Times New Roman"/>
          <w:b w:val="0"/>
          <w:bCs/>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sz w:val="21"/>
          <w:szCs w:val="21"/>
          <w:highlight w:val="none"/>
          <w:lang w:eastAsia="zh-CN"/>
        </w:rPr>
        <w:t>国办发〔2025〕34号）</w:t>
      </w:r>
      <w:r>
        <w:rPr>
          <w:rFonts w:hint="eastAsia" w:ascii="宋体" w:hAnsi="宋体" w:eastAsia="宋体" w:cs="Times New Roman"/>
          <w:b w:val="0"/>
          <w:bCs/>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sz w:val="21"/>
          <w:szCs w:val="21"/>
          <w:highlight w:val="none"/>
          <w:lang w:eastAsia="zh-CN"/>
        </w:rPr>
        <w:t>中国境内生产</w:t>
      </w:r>
      <w:r>
        <w:rPr>
          <w:rFonts w:hint="eastAsia" w:ascii="宋体" w:hAnsi="宋体" w:eastAsia="宋体" w:cs="Times New Roman"/>
          <w:b w:val="0"/>
          <w:bCs/>
          <w:sz w:val="21"/>
          <w:szCs w:val="21"/>
          <w:highlight w:val="none"/>
          <w:lang w:val="en-US" w:eastAsia="zh-CN"/>
        </w:rPr>
        <w:t>的产品</w:t>
      </w:r>
      <w:r>
        <w:rPr>
          <w:rFonts w:hint="eastAsia" w:ascii="宋体" w:hAnsi="宋体" w:eastAsia="宋体" w:cs="Times New Roman"/>
          <w:b w:val="0"/>
          <w:bCs/>
          <w:sz w:val="21"/>
          <w:szCs w:val="21"/>
          <w:highlight w:val="none"/>
          <w:lang w:eastAsia="zh-CN"/>
        </w:rPr>
        <w:t>，即在中华人民共和国关境内实现从原材料、组件到产品的属性改变。</w:t>
      </w:r>
      <w:r>
        <w:rPr>
          <w:rFonts w:hint="eastAsia" w:ascii="宋体" w:hAnsi="宋体" w:eastAsia="宋体" w:cs="Times New Roman"/>
          <w:b w:val="0"/>
          <w:bCs/>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052667C">
      <w:pPr>
        <w:pStyle w:val="24"/>
        <w:ind w:left="0" w:leftChars="0" w:firstLine="0" w:firstLineChars="0"/>
        <w:rPr>
          <w:rFonts w:hint="eastAsia" w:asciiTheme="minorEastAsia" w:hAnsiTheme="minorEastAsia" w:eastAsiaTheme="minorEastAsia"/>
          <w:b/>
          <w:sz w:val="24"/>
          <w:highlight w:val="none"/>
          <w:lang w:val="en-US" w:eastAsia="zh-CN"/>
        </w:rPr>
      </w:pPr>
    </w:p>
    <w:bookmarkEnd w:id="92"/>
    <w:bookmarkEnd w:id="93"/>
    <w:bookmarkEnd w:id="94"/>
    <w:bookmarkEnd w:id="95"/>
    <w:bookmarkEnd w:id="96"/>
    <w:bookmarkEnd w:id="97"/>
    <w:p w14:paraId="0E2B6030">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98" w:name="_Toc32633"/>
      <w:bookmarkStart w:id="99" w:name="_Toc2683"/>
      <w:bookmarkStart w:id="100" w:name="_Toc17438"/>
      <w:r>
        <w:rPr>
          <w:rFonts w:hint="eastAsia" w:asciiTheme="minorEastAsia" w:hAnsiTheme="minorEastAsia" w:eastAsiaTheme="minorEastAsia"/>
          <w:b/>
          <w:color w:val="auto"/>
          <w:sz w:val="24"/>
          <w:highlight w:val="none"/>
          <w:lang w:val="en-US" w:eastAsia="zh-CN"/>
        </w:rPr>
        <w:t>（6）其他相关证明材料</w:t>
      </w:r>
      <w:bookmarkEnd w:id="98"/>
      <w:bookmarkEnd w:id="99"/>
      <w:bookmarkEnd w:id="100"/>
    </w:p>
    <w:p w14:paraId="48C537D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732DA80E">
      <w:pPr>
        <w:spacing w:line="360" w:lineRule="auto"/>
        <w:ind w:firstLine="480" w:firstLineChars="200"/>
        <w:rPr>
          <w:rFonts w:asciiTheme="minorEastAsia" w:hAnsiTheme="minorEastAsia" w:eastAsiaTheme="minorEastAsia"/>
          <w:color w:val="auto"/>
          <w:sz w:val="24"/>
          <w:highlight w:val="none"/>
        </w:rPr>
      </w:pPr>
    </w:p>
    <w:p w14:paraId="0EF54B81">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6D0C074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1BAB6A4B">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73A68081">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highlight w:val="none"/>
        </w:rPr>
      </w:pPr>
      <w:bookmarkStart w:id="101" w:name="_Toc6435"/>
      <w:r>
        <w:rPr>
          <w:rFonts w:hint="eastAsia" w:ascii="宋体" w:hAnsi="宋体" w:eastAsia="宋体" w:cs="宋体"/>
          <w:b/>
          <w:bCs w:val="0"/>
          <w:kern w:val="0"/>
          <w:sz w:val="28"/>
          <w:szCs w:val="28"/>
          <w:highlight w:val="none"/>
          <w:lang w:val="en-US" w:eastAsia="zh-CN" w:bidi="ar"/>
        </w:rPr>
        <w:t>附件</w:t>
      </w:r>
      <w:r>
        <w:rPr>
          <w:rFonts w:hint="default" w:ascii="Times New Roman" w:hAnsi="Times New Roman" w:eastAsia="宋体" w:cs="Times New Roman"/>
          <w:b/>
          <w:bCs w:val="0"/>
          <w:kern w:val="0"/>
          <w:sz w:val="28"/>
          <w:szCs w:val="28"/>
          <w:highlight w:val="none"/>
          <w:lang w:val="en-US" w:eastAsia="zh-CN" w:bidi="ar"/>
        </w:rPr>
        <w:t>1</w:t>
      </w:r>
    </w:p>
    <w:p w14:paraId="640D487B">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 w:val="28"/>
          <w:szCs w:val="28"/>
          <w:highlight w:val="none"/>
        </w:rPr>
      </w:pPr>
      <w:r>
        <w:rPr>
          <w:rFonts w:hint="eastAsia" w:ascii="宋体" w:hAnsi="宋体" w:eastAsia="宋体" w:cs="宋体"/>
          <w:b/>
          <w:bCs w:val="0"/>
          <w:kern w:val="0"/>
          <w:sz w:val="28"/>
          <w:szCs w:val="28"/>
          <w:highlight w:val="none"/>
          <w:lang w:val="en-US" w:eastAsia="zh-CN" w:bidi="ar"/>
        </w:rPr>
        <w:t>关于联合惩戒失信行为加强信用查询管理的通知</w:t>
      </w:r>
    </w:p>
    <w:p w14:paraId="50B9C452">
      <w:pPr>
        <w:keepNext w:val="0"/>
        <w:keepLines w:val="0"/>
        <w:widowControl w:val="0"/>
        <w:suppressLineNumbers w:val="0"/>
        <w:adjustRightInd w:val="0"/>
        <w:snapToGrid w:val="0"/>
        <w:spacing w:before="0" w:beforeAutospacing="0" w:after="0" w:afterAutospacing="0" w:line="560" w:lineRule="exact"/>
        <w:ind w:left="0" w:right="0" w:firstLine="482" w:firstLineChars="200"/>
        <w:jc w:val="both"/>
        <w:rPr>
          <w:rFonts w:hint="eastAsia" w:ascii="宋体" w:hAnsi="宋体" w:eastAsia="宋体" w:cs="宋体"/>
          <w:b/>
          <w:bCs w:val="0"/>
          <w:sz w:val="24"/>
          <w:szCs w:val="24"/>
          <w:highlight w:val="none"/>
        </w:rPr>
      </w:pPr>
      <w:r>
        <w:rPr>
          <w:rFonts w:hint="eastAsia" w:ascii="宋体" w:hAnsi="宋体" w:eastAsia="宋体" w:cs="宋体"/>
          <w:b/>
          <w:bCs w:val="0"/>
          <w:kern w:val="0"/>
          <w:sz w:val="24"/>
          <w:szCs w:val="24"/>
          <w:highlight w:val="none"/>
          <w:lang w:val="en-US" w:eastAsia="zh-CN" w:bidi="ar"/>
        </w:rPr>
        <w:t>一、失信行为联合惩戒的范围和查询渠道</w:t>
      </w:r>
    </w:p>
    <w:p w14:paraId="5CDC287D">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在我市公共资源交易活动中对存在下列失信行为的投标人、法定代表人及其项目经理（建造师）实施联合惩戒，禁止参与我市公共资源交易活动。</w:t>
      </w:r>
    </w:p>
    <w:p w14:paraId="6347A048">
      <w:pPr>
        <w:keepNext w:val="0"/>
        <w:keepLines w:val="0"/>
        <w:widowControl w:val="0"/>
        <w:suppressLineNumbers w:val="0"/>
        <w:adjustRightInd w:val="0"/>
        <w:snapToGrid w:val="0"/>
        <w:spacing w:before="0" w:beforeAutospacing="0" w:after="0" w:afterAutospacing="0" w:line="560" w:lineRule="exact"/>
        <w:ind w:left="0" w:right="0" w:firstLine="482" w:firstLineChars="200"/>
        <w:jc w:val="both"/>
        <w:rPr>
          <w:rFonts w:hint="eastAsia" w:ascii="宋体" w:hAnsi="宋体" w:eastAsia="宋体" w:cs="宋体"/>
          <w:b/>
          <w:bCs w:val="0"/>
          <w:sz w:val="24"/>
          <w:szCs w:val="24"/>
          <w:highlight w:val="none"/>
        </w:rPr>
      </w:pPr>
      <w:r>
        <w:rPr>
          <w:rFonts w:hint="eastAsia" w:ascii="宋体" w:hAnsi="宋体" w:eastAsia="宋体" w:cs="宋体"/>
          <w:b/>
          <w:bCs w:val="0"/>
          <w:kern w:val="0"/>
          <w:sz w:val="24"/>
          <w:szCs w:val="24"/>
          <w:highlight w:val="none"/>
          <w:lang w:val="en-US" w:eastAsia="zh-CN" w:bidi="ar"/>
        </w:rPr>
        <w:t>（一）工程建设项目</w:t>
      </w:r>
    </w:p>
    <w:p w14:paraId="785BE19E">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1、“信用中国”网站（www.creditchina.gov.cn）查询投标人、法定代表人及其项目经理(建造师)以下失信行为：</w:t>
      </w:r>
    </w:p>
    <w:p w14:paraId="080E0998">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①被列入“失信被执行人”的;</w:t>
      </w:r>
    </w:p>
    <w:p w14:paraId="207F5F5A">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②被列入“重大税收违法失信主体”的；</w:t>
      </w:r>
    </w:p>
    <w:p w14:paraId="2E112E1B">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③被列入“拖欠农民工工资失信联合惩戒对象名单”的；</w:t>
      </w:r>
    </w:p>
    <w:p w14:paraId="1A55B461">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④被列入 “严重失信主体名单”的；</w:t>
      </w:r>
    </w:p>
    <w:p w14:paraId="157D1682">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kern w:val="0"/>
          <w:sz w:val="24"/>
          <w:szCs w:val="24"/>
          <w:highlight w:val="none"/>
          <w:lang w:val="en-US" w:eastAsia="zh-CN" w:bidi="ar"/>
        </w:rPr>
        <w:t>⑤在“信用中国”网站上披露的仍在公示期的严重失信行为(具体行为类别</w:t>
      </w:r>
      <w:r>
        <w:rPr>
          <w:rFonts w:hint="eastAsia" w:ascii="宋体" w:hAnsi="宋体" w:eastAsia="宋体" w:cs="宋体"/>
          <w:color w:val="auto"/>
          <w:kern w:val="0"/>
          <w:sz w:val="24"/>
          <w:szCs w:val="24"/>
          <w:highlight w:val="none"/>
          <w:lang w:val="en-US" w:eastAsia="zh-CN" w:bidi="ar"/>
        </w:rPr>
        <w:t>及判定依据见附件2)的。</w:t>
      </w:r>
    </w:p>
    <w:p w14:paraId="57EBD4AA">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2、国家企业信用信息公示系统网站（</w:t>
      </w:r>
      <w:r>
        <w:rPr>
          <w:rFonts w:hint="eastAsia" w:ascii="宋体" w:hAnsi="宋体" w:eastAsia="宋体" w:cs="Times New Roman"/>
          <w:color w:val="auto"/>
          <w:kern w:val="0"/>
          <w:sz w:val="24"/>
          <w:szCs w:val="24"/>
          <w:highlight w:val="none"/>
          <w:lang w:val="en-US" w:eastAsia="zh-CN" w:bidi="ar"/>
        </w:rPr>
        <w:fldChar w:fldCharType="begin"/>
      </w:r>
      <w:r>
        <w:rPr>
          <w:rFonts w:hint="eastAsia" w:ascii="宋体" w:hAnsi="宋体" w:eastAsia="宋体" w:cs="Times New Roman"/>
          <w:color w:val="auto"/>
          <w:kern w:val="0"/>
          <w:sz w:val="24"/>
          <w:szCs w:val="24"/>
          <w:highlight w:val="none"/>
          <w:lang w:val="en-US" w:eastAsia="zh-CN" w:bidi="ar"/>
        </w:rPr>
        <w:instrText xml:space="preserve"> HYPERLINK "http://www.gsxt.gov.cn）查询" </w:instrText>
      </w:r>
      <w:r>
        <w:rPr>
          <w:rFonts w:hint="eastAsia" w:ascii="宋体" w:hAnsi="宋体" w:eastAsia="宋体" w:cs="Times New Roman"/>
          <w:color w:val="auto"/>
          <w:kern w:val="0"/>
          <w:sz w:val="24"/>
          <w:szCs w:val="24"/>
          <w:highlight w:val="none"/>
          <w:lang w:val="en-US" w:eastAsia="zh-CN" w:bidi="ar"/>
        </w:rPr>
        <w:fldChar w:fldCharType="separate"/>
      </w:r>
      <w:r>
        <w:rPr>
          <w:rStyle w:val="35"/>
          <w:rFonts w:hint="eastAsia" w:ascii="宋体" w:hAnsi="宋体" w:eastAsia="宋体" w:cs="宋体"/>
          <w:color w:val="auto"/>
          <w:sz w:val="24"/>
          <w:szCs w:val="24"/>
          <w:highlight w:val="none"/>
          <w:u w:val="single"/>
        </w:rPr>
        <w:t>www.gsxt.gov.cn）</w:t>
      </w:r>
      <w:r>
        <w:rPr>
          <w:rFonts w:hint="eastAsia" w:ascii="宋体" w:hAnsi="宋体" w:eastAsia="宋体" w:cs="Times New Roman"/>
          <w:color w:val="auto"/>
          <w:kern w:val="0"/>
          <w:sz w:val="24"/>
          <w:szCs w:val="24"/>
          <w:highlight w:val="none"/>
          <w:lang w:val="en-US" w:eastAsia="zh-CN" w:bidi="ar"/>
        </w:rPr>
        <w:fldChar w:fldCharType="end"/>
      </w:r>
      <w:r>
        <w:rPr>
          <w:rFonts w:hint="eastAsia" w:ascii="宋体" w:hAnsi="宋体" w:eastAsia="宋体" w:cs="宋体"/>
          <w:color w:val="auto"/>
          <w:kern w:val="0"/>
          <w:sz w:val="24"/>
          <w:szCs w:val="24"/>
          <w:highlight w:val="none"/>
          <w:lang w:val="en-US" w:eastAsia="zh-CN" w:bidi="ar"/>
        </w:rPr>
        <w:t>查询投标人以下失信行为：</w:t>
      </w:r>
    </w:p>
    <w:p w14:paraId="27943D82">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①被列入“经营异常名录”或者“严重违法失信名单”的。</w:t>
      </w:r>
    </w:p>
    <w:p w14:paraId="0041DE06">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3、由投标人、法定代表人及其项目经理(建造师)进行承诺，不进行现场网上信用查询的失信行为：</w:t>
      </w:r>
    </w:p>
    <w:p w14:paraId="0AB59558">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①前三年有行贿犯罪行为的单位和个人；</w:t>
      </w:r>
    </w:p>
    <w:p w14:paraId="6156DFB4">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②被滁州市县两级公管部门取消在一定期限内的投标资格且在取消期限内的；</w:t>
      </w:r>
    </w:p>
    <w:p w14:paraId="68CE1695">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③被滁州市县两级各行业主管部门取消在一定期限内的投标资格且在取消期限内的；</w:t>
      </w:r>
    </w:p>
    <w:p w14:paraId="5B93E0C1">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④因拖欠农民工工资被县级及以上有关行政主管部门限制投标资格且在限制期限内的；</w:t>
      </w:r>
    </w:p>
    <w:p w14:paraId="45C5FB18">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⑤被列入省级、市级农民工工资支付异常名录的施工企业，在限制其参加全市范围内房建和市政工程建设项目投标的期限内的；列入县级异常名录的施工企业，在限制其参加本行政区域内房建和市政建设项目投标的期限内的。</w:t>
      </w:r>
    </w:p>
    <w:p w14:paraId="5E623AEB">
      <w:pPr>
        <w:keepNext w:val="0"/>
        <w:keepLines w:val="0"/>
        <w:widowControl w:val="0"/>
        <w:suppressLineNumbers w:val="0"/>
        <w:adjustRightInd w:val="0"/>
        <w:snapToGrid w:val="0"/>
        <w:spacing w:before="0" w:beforeAutospacing="0" w:after="0" w:afterAutospacing="0" w:line="560" w:lineRule="exact"/>
        <w:ind w:left="0" w:right="0" w:firstLine="482" w:firstLineChars="200"/>
        <w:jc w:val="both"/>
        <w:rPr>
          <w:rFonts w:hint="eastAsia" w:ascii="宋体" w:hAnsi="宋体" w:eastAsia="宋体" w:cs="宋体"/>
          <w:b/>
          <w:bCs w:val="0"/>
          <w:color w:val="auto"/>
          <w:sz w:val="24"/>
          <w:szCs w:val="24"/>
          <w:highlight w:val="none"/>
        </w:rPr>
      </w:pPr>
      <w:r>
        <w:rPr>
          <w:rFonts w:hint="eastAsia" w:ascii="宋体" w:hAnsi="宋体" w:eastAsia="宋体" w:cs="宋体"/>
          <w:b/>
          <w:bCs w:val="0"/>
          <w:color w:val="auto"/>
          <w:kern w:val="0"/>
          <w:sz w:val="24"/>
          <w:szCs w:val="24"/>
          <w:highlight w:val="none"/>
          <w:lang w:val="en-US" w:eastAsia="zh-CN" w:bidi="ar"/>
        </w:rPr>
        <w:t>（二）政府采购项目</w:t>
      </w:r>
    </w:p>
    <w:p w14:paraId="09124820">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1、“信用中国”网站（</w:t>
      </w:r>
      <w:r>
        <w:rPr>
          <w:rStyle w:val="79"/>
          <w:rFonts w:hint="eastAsia" w:ascii="宋体" w:hAnsi="宋体" w:eastAsia="宋体" w:cs="宋体"/>
          <w:color w:val="auto"/>
          <w:sz w:val="24"/>
          <w:szCs w:val="24"/>
          <w:highlight w:val="none"/>
          <w:u w:val="single"/>
          <w:lang w:val="en-US" w:eastAsia="zh-CN" w:bidi="ar"/>
        </w:rPr>
        <w:t>www.creditchina.gov.cn</w:t>
      </w:r>
      <w:r>
        <w:rPr>
          <w:rFonts w:hint="eastAsia" w:ascii="宋体" w:hAnsi="宋体" w:eastAsia="宋体" w:cs="宋体"/>
          <w:color w:val="auto"/>
          <w:kern w:val="0"/>
          <w:sz w:val="24"/>
          <w:szCs w:val="24"/>
          <w:highlight w:val="none"/>
          <w:lang w:val="en-US" w:eastAsia="zh-CN" w:bidi="ar"/>
        </w:rPr>
        <w:t>）查询供应商、法定代表人及其项目负责人以下失信行为：</w:t>
      </w:r>
    </w:p>
    <w:p w14:paraId="5156FC14">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①被列入“失信被执行人”的;</w:t>
      </w:r>
    </w:p>
    <w:p w14:paraId="3196CAD7">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②被列入“重大税收违法失信主体”的；</w:t>
      </w:r>
    </w:p>
    <w:p w14:paraId="36E24298">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③被列入 “严重失信主体名单”的；</w:t>
      </w:r>
    </w:p>
    <w:p w14:paraId="577BFB0A">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④在“信用中国”网站上披露的仍在公示期的严重失信行为(具体行为类别及判定依据见附件2)的。</w:t>
      </w:r>
    </w:p>
    <w:p w14:paraId="2A07C5EC">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2、国家企业信用信息公示系统网站（</w:t>
      </w:r>
      <w:r>
        <w:rPr>
          <w:rFonts w:hint="eastAsia" w:ascii="宋体" w:hAnsi="宋体" w:eastAsia="宋体" w:cs="宋体"/>
          <w:color w:val="auto"/>
          <w:sz w:val="24"/>
          <w:szCs w:val="24"/>
          <w:highlight w:val="none"/>
          <w:u w:val="none"/>
        </w:rPr>
        <w:t>www.gsxt.gov.cn）</w:t>
      </w:r>
      <w:r>
        <w:rPr>
          <w:rFonts w:hint="eastAsia" w:ascii="宋体" w:hAnsi="宋体" w:eastAsia="宋体" w:cs="宋体"/>
          <w:color w:val="auto"/>
          <w:kern w:val="0"/>
          <w:sz w:val="24"/>
          <w:szCs w:val="24"/>
          <w:highlight w:val="none"/>
          <w:lang w:val="en-US" w:eastAsia="zh-CN" w:bidi="ar"/>
        </w:rPr>
        <w:t>查询供应商以下失信行为：</w:t>
      </w:r>
    </w:p>
    <w:p w14:paraId="2A288482">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①被列入“经营异常名录”或者“严重违法失信名单”的。</w:t>
      </w:r>
    </w:p>
    <w:p w14:paraId="75F2F612">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3、中国政府采购网站（</w:t>
      </w:r>
      <w:r>
        <w:rPr>
          <w:rFonts w:hint="eastAsia" w:ascii="宋体" w:hAnsi="宋体" w:eastAsia="宋体" w:cs="宋体"/>
          <w:color w:val="auto"/>
          <w:sz w:val="24"/>
          <w:szCs w:val="24"/>
          <w:highlight w:val="none"/>
          <w:u w:val="none"/>
        </w:rPr>
        <w:t>www.ccgp.gov.cn</w:t>
      </w:r>
      <w:r>
        <w:rPr>
          <w:rFonts w:hint="eastAsia" w:ascii="宋体" w:hAnsi="宋体" w:eastAsia="宋体" w:cs="宋体"/>
          <w:color w:val="auto"/>
          <w:kern w:val="0"/>
          <w:sz w:val="24"/>
          <w:szCs w:val="24"/>
          <w:highlight w:val="none"/>
          <w:lang w:val="en-US" w:eastAsia="zh-CN" w:bidi="ar"/>
        </w:rPr>
        <w:t>）查询以下失信行为：</w:t>
      </w:r>
    </w:p>
    <w:p w14:paraId="5BB56341">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①被列入“政府采购严重违法失信行为信息记录”的。</w:t>
      </w:r>
    </w:p>
    <w:p w14:paraId="3BB7898A">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4、由竞争主体进行承诺，不进行现场网上信用查询的失信行为：</w:t>
      </w:r>
    </w:p>
    <w:p w14:paraId="55A15CC8">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①前三年有行贿犯罪行为的单位和个人。</w:t>
      </w:r>
    </w:p>
    <w:p w14:paraId="2962BB91">
      <w:pPr>
        <w:keepNext w:val="0"/>
        <w:keepLines w:val="0"/>
        <w:widowControl w:val="0"/>
        <w:suppressLineNumbers w:val="0"/>
        <w:adjustRightInd w:val="0"/>
        <w:snapToGrid w:val="0"/>
        <w:spacing w:before="0" w:beforeAutospacing="0" w:after="0" w:afterAutospacing="0" w:line="560" w:lineRule="exact"/>
        <w:ind w:left="0" w:right="0" w:firstLine="482" w:firstLineChars="200"/>
        <w:jc w:val="both"/>
        <w:rPr>
          <w:rFonts w:hint="eastAsia" w:ascii="宋体" w:hAnsi="宋体" w:eastAsia="宋体" w:cs="宋体"/>
          <w:b/>
          <w:bCs w:val="0"/>
          <w:sz w:val="24"/>
          <w:szCs w:val="24"/>
          <w:highlight w:val="none"/>
        </w:rPr>
      </w:pPr>
      <w:r>
        <w:rPr>
          <w:rFonts w:hint="eastAsia" w:ascii="宋体" w:hAnsi="宋体" w:eastAsia="宋体" w:cs="宋体"/>
          <w:b/>
          <w:bCs w:val="0"/>
          <w:kern w:val="0"/>
          <w:sz w:val="24"/>
          <w:szCs w:val="24"/>
          <w:highlight w:val="none"/>
          <w:lang w:val="en-US" w:eastAsia="zh-CN" w:bidi="ar"/>
        </w:rPr>
        <w:t>二、在开评标活动中的查询程序</w:t>
      </w:r>
    </w:p>
    <w:p w14:paraId="5B94D8E2">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1、实行有限数量制资格审查的项目，由项目单位（代理机构）对入围的投标人、法定代表人及其项目经理（建造师）是否存在上述要求查询的失信行为进行网上核查；若核查结果与投标人承诺不一致，则提交评标委员会取消其入围资格，依次进行替补，并对替补单位进行核查。评审结论以核查后入围的结果重新计算最终评标基准价。</w:t>
      </w:r>
    </w:p>
    <w:p w14:paraId="3CF8AC35">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2、不实行有限数量制资格审查的项目，由项目单位（代理机构）对预中标候选人、法定代表人及其项目经理（建造师）是否存在上述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价。</w:t>
      </w:r>
    </w:p>
    <w:p w14:paraId="0E74FDE7">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3、项目单位及其委托的代理机构应当做好信用查询结果截图和记录留存。</w:t>
      </w:r>
    </w:p>
    <w:p w14:paraId="311D0009">
      <w:pPr>
        <w:keepNext w:val="0"/>
        <w:keepLines w:val="0"/>
        <w:widowControl w:val="0"/>
        <w:suppressLineNumbers w:val="0"/>
        <w:adjustRightInd w:val="0"/>
        <w:snapToGrid w:val="0"/>
        <w:spacing w:before="0" w:beforeAutospacing="0" w:after="0" w:afterAutospacing="0" w:line="560" w:lineRule="exact"/>
        <w:ind w:left="0" w:right="0" w:firstLine="482" w:firstLineChars="200"/>
        <w:jc w:val="both"/>
        <w:rPr>
          <w:rFonts w:hint="eastAsia" w:ascii="宋体" w:hAnsi="宋体" w:eastAsia="宋体" w:cs="宋体"/>
          <w:b/>
          <w:bCs w:val="0"/>
          <w:sz w:val="24"/>
          <w:szCs w:val="24"/>
          <w:highlight w:val="none"/>
        </w:rPr>
      </w:pPr>
      <w:r>
        <w:rPr>
          <w:rFonts w:hint="eastAsia" w:ascii="宋体" w:hAnsi="宋体" w:eastAsia="宋体" w:cs="宋体"/>
          <w:b/>
          <w:bCs w:val="0"/>
          <w:kern w:val="0"/>
          <w:sz w:val="24"/>
          <w:szCs w:val="24"/>
          <w:highlight w:val="none"/>
          <w:lang w:val="en-US" w:eastAsia="zh-CN" w:bidi="ar"/>
        </w:rPr>
        <w:t>三、相关要求</w:t>
      </w:r>
    </w:p>
    <w:p w14:paraId="5CBC33E0">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1、参与公共资源交易活动的竞争主体根据上述范围查询的内容进行自查并承诺，出具《诚信投标承诺书》（诚信投标承诺书包括但不限于上述自查并承诺内容）并注明承诺日期（投标截止时间前5日内）。</w:t>
      </w:r>
    </w:p>
    <w:p w14:paraId="21229BF8">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经核查，竞争主体在承诺日期之前（没有承诺日期的以资格审查日或开标日之前）有上述失信行为进行虚假承诺的，将视作不诚信行为，资格审查委员会或评标委员会及代理机构应当及时报告公共资源监管部门，依法依规予以处理。</w:t>
      </w:r>
    </w:p>
    <w:p w14:paraId="49B1E5C3">
      <w:pPr>
        <w:keepNext w:val="0"/>
        <w:keepLines w:val="0"/>
        <w:widowControl w:val="0"/>
        <w:suppressLineNumbers w:val="0"/>
        <w:wordWrap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注册地在安徽省内且未在安徽省外开展业务、省外无违法违规行为的企业可通过安徽政务服务网开具由安徽省公共信用信息服务中心出具的《公共信用信息报告（无违法违规证明版或核查版）》代替《诚信投标承诺书》。《公共信用信息报告（无违法违规证明版或核查版）》可通过 “信用中国(安徽)”网站信用报告核验系统 ( https://credit.ah.gov.cn/xinyong-fuwu/xvbahv/index.html)进行核验。核验不一致或提交《公共信用信息报告（无违法违规证明版或核查版）》的企业在省外有失信行为的将视作不诚信行为，资格审查委员会或评标委员会及代理机构应当及时报告公共资源监管部门，依法依规予以处理。</w:t>
      </w:r>
    </w:p>
    <w:p w14:paraId="15F6EF2D">
      <w:pPr>
        <w:keepNext w:val="0"/>
        <w:keepLines w:val="0"/>
        <w:widowControl w:val="0"/>
        <w:suppressLineNumbers w:val="0"/>
        <w:adjustRightInd w:val="0"/>
        <w:snapToGrid w:val="0"/>
        <w:spacing w:before="0" w:beforeAutospacing="0" w:after="0" w:afterAutospacing="0" w:line="560" w:lineRule="exact"/>
        <w:ind w:left="0" w:right="0" w:firstLine="482" w:firstLineChars="200"/>
        <w:jc w:val="both"/>
        <w:rPr>
          <w:rFonts w:hint="eastAsia" w:ascii="宋体" w:hAnsi="宋体" w:eastAsia="宋体" w:cs="宋体"/>
          <w:b/>
          <w:bCs w:val="0"/>
          <w:sz w:val="24"/>
          <w:szCs w:val="24"/>
          <w:highlight w:val="none"/>
        </w:rPr>
      </w:pPr>
      <w:r>
        <w:rPr>
          <w:rFonts w:hint="eastAsia" w:ascii="宋体" w:hAnsi="宋体" w:eastAsia="宋体" w:cs="宋体"/>
          <w:b/>
          <w:bCs w:val="0"/>
          <w:kern w:val="0"/>
          <w:sz w:val="24"/>
          <w:szCs w:val="24"/>
          <w:highlight w:val="none"/>
          <w:lang w:val="en-US" w:eastAsia="zh-CN" w:bidi="ar"/>
        </w:rPr>
        <w:t>2、“信用中国”查询的严重失信行为判定依据为各行业主管部门下发的联合惩戒文件中规定的行为（按附件2执行）。</w:t>
      </w:r>
    </w:p>
    <w:p w14:paraId="78DF927C">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 xml:space="preserve">3、资格预审的项目以递交资格预审申请文件截止时间查询为准；资格后审的项目以递交投标文件截止时间查询为准。 </w:t>
      </w:r>
    </w:p>
    <w:p w14:paraId="7CB93D1C">
      <w:pPr>
        <w:pStyle w:val="21"/>
        <w:keepNext w:val="0"/>
        <w:keepLines w:val="0"/>
        <w:widowControl w:val="0"/>
        <w:suppressLineNumbers w:val="0"/>
        <w:spacing w:before="0" w:beforeAutospacing="1" w:after="120" w:afterAutospacing="0" w:line="360" w:lineRule="auto"/>
        <w:ind w:left="420" w:leftChars="200" w:right="0" w:firstLine="420" w:firstLineChars="200"/>
        <w:jc w:val="both"/>
        <w:rPr>
          <w:rFonts w:hint="eastAsia" w:ascii="宋体" w:hAnsi="Calibri" w:eastAsia="宋体" w:cs="Times New Roman"/>
          <w:kern w:val="2"/>
          <w:sz w:val="21"/>
          <w:szCs w:val="21"/>
          <w:highlight w:val="none"/>
        </w:rPr>
      </w:pPr>
      <w:r>
        <w:rPr>
          <w:rFonts w:hint="eastAsia" w:ascii="宋体" w:hAnsi="Calibri" w:eastAsia="宋体" w:cs="Times New Roman"/>
          <w:color w:val="0066CC"/>
          <w:kern w:val="2"/>
          <w:sz w:val="21"/>
          <w:szCs w:val="21"/>
          <w:highlight w:val="none"/>
          <w:lang w:val="en-US" w:eastAsia="zh-CN" w:bidi="ar"/>
        </w:rPr>
        <w:t xml:space="preserve"> </w:t>
      </w:r>
    </w:p>
    <w:p w14:paraId="146D0212">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b/>
          <w:bCs w:val="0"/>
          <w:sz w:val="24"/>
          <w:szCs w:val="24"/>
          <w:highlight w:val="none"/>
        </w:rPr>
      </w:pPr>
      <w:r>
        <w:rPr>
          <w:rFonts w:hint="eastAsia" w:ascii="宋体" w:hAnsi="宋体" w:eastAsia="宋体" w:cs="宋体"/>
          <w:b/>
          <w:bCs w:val="0"/>
          <w:kern w:val="0"/>
          <w:sz w:val="24"/>
          <w:szCs w:val="24"/>
          <w:highlight w:val="none"/>
          <w:lang w:val="en-US" w:eastAsia="zh-CN" w:bidi="ar"/>
        </w:rPr>
        <w:br w:type="page"/>
      </w:r>
      <w:r>
        <w:rPr>
          <w:rFonts w:hint="eastAsia" w:ascii="宋体" w:hAnsi="宋体" w:eastAsia="宋体" w:cs="宋体"/>
          <w:b/>
          <w:bCs w:val="0"/>
          <w:kern w:val="0"/>
          <w:sz w:val="24"/>
          <w:szCs w:val="24"/>
          <w:highlight w:val="none"/>
          <w:lang w:val="en-US" w:eastAsia="zh-CN" w:bidi="ar"/>
        </w:rPr>
        <w:t>附件</w:t>
      </w:r>
      <w:r>
        <w:rPr>
          <w:rFonts w:hint="default" w:ascii="Times New Roman" w:hAnsi="Times New Roman" w:eastAsia="宋体" w:cs="Times New Roman"/>
          <w:b/>
          <w:bCs w:val="0"/>
          <w:kern w:val="0"/>
          <w:sz w:val="24"/>
          <w:szCs w:val="24"/>
          <w:highlight w:val="none"/>
          <w:lang w:val="en-US" w:eastAsia="zh-CN" w:bidi="ar"/>
        </w:rPr>
        <w:t>2</w:t>
      </w:r>
    </w:p>
    <w:p w14:paraId="280CFCFF">
      <w:pPr>
        <w:keepNext w:val="0"/>
        <w:keepLines w:val="0"/>
        <w:widowControl w:val="0"/>
        <w:suppressLineNumbers w:val="0"/>
        <w:adjustRightInd w:val="0"/>
        <w:snapToGrid w:val="0"/>
        <w:spacing w:before="0" w:beforeAutospacing="0" w:after="0" w:afterAutospacing="0" w:line="560" w:lineRule="exact"/>
        <w:ind w:left="0" w:right="0" w:firstLine="645"/>
        <w:jc w:val="center"/>
        <w:rPr>
          <w:rFonts w:hint="eastAsia" w:ascii="宋体" w:hAnsi="宋体" w:eastAsia="宋体" w:cs="宋体"/>
          <w:b/>
          <w:bCs w:val="0"/>
          <w:sz w:val="24"/>
          <w:szCs w:val="24"/>
          <w:highlight w:val="none"/>
        </w:rPr>
      </w:pPr>
      <w:r>
        <w:rPr>
          <w:rFonts w:hint="eastAsia" w:ascii="宋体" w:hAnsi="宋体" w:eastAsia="宋体" w:cs="宋体"/>
          <w:b/>
          <w:bCs w:val="0"/>
          <w:kern w:val="0"/>
          <w:sz w:val="24"/>
          <w:szCs w:val="24"/>
          <w:highlight w:val="none"/>
          <w:lang w:val="en-US" w:eastAsia="zh-CN" w:bidi="ar"/>
        </w:rPr>
        <w:t>“信用中国”查询的严重失信行为类别及判定依据</w:t>
      </w:r>
    </w:p>
    <w:p w14:paraId="70A35D34">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“信用中国”查询的严重失信行为判定依据为各行业主管部门下发的联合惩戒文件中规定的行为。下面将部分类别的严重失信行为列举如下：</w:t>
      </w:r>
    </w:p>
    <w:p w14:paraId="3E0D6124">
      <w:pPr>
        <w:keepNext w:val="0"/>
        <w:keepLines w:val="0"/>
        <w:widowControl w:val="0"/>
        <w:suppressLineNumbers w:val="0"/>
        <w:autoSpaceDE w:val="0"/>
        <w:autoSpaceDN/>
        <w:adjustRightInd w:val="0"/>
        <w:snapToGrid w:val="0"/>
        <w:spacing w:before="0" w:beforeAutospacing="0" w:after="0" w:afterAutospacing="0" w:line="560" w:lineRule="exact"/>
        <w:ind w:left="0" w:right="0" w:firstLine="482" w:firstLineChars="200"/>
        <w:jc w:val="left"/>
        <w:rPr>
          <w:rFonts w:hint="eastAsia" w:ascii="宋体" w:hAnsi="宋体" w:eastAsia="宋体" w:cs="宋体"/>
          <w:b/>
          <w:bCs w:val="0"/>
          <w:sz w:val="24"/>
          <w:szCs w:val="24"/>
          <w:highlight w:val="none"/>
        </w:rPr>
      </w:pPr>
      <w:r>
        <w:rPr>
          <w:rFonts w:hint="eastAsia" w:ascii="宋体" w:hAnsi="宋体" w:eastAsia="宋体" w:cs="宋体"/>
          <w:b/>
          <w:bCs w:val="0"/>
          <w:kern w:val="0"/>
          <w:sz w:val="24"/>
          <w:szCs w:val="24"/>
          <w:highlight w:val="none"/>
          <w:lang w:val="en-US" w:eastAsia="zh-CN" w:bidi="ar"/>
        </w:rPr>
        <w:t>一、安全生产领域严重失信行为：</w:t>
      </w:r>
    </w:p>
    <w:p w14:paraId="27C1C030">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（一）下列发生生产安全事故的生产经营单位及其有关人员应当列入严重失信主体名单：</w:t>
      </w:r>
    </w:p>
    <w:p w14:paraId="085F408A">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1、发生特别重大、重大生产安全事故的生产经营单位及其主要负责人，以及经调查认定对该事故发生负有责任，应当列入名单的其他单位和人员；</w:t>
      </w:r>
    </w:p>
    <w:p w14:paraId="56ADC6EB">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2、12个月内累计发生2起以上较大生产安全事故的生产经营单位及其主要负责人；</w:t>
      </w:r>
    </w:p>
    <w:p w14:paraId="7442A94C">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3、发生生产安全事故，情节特别严重、影响特别恶劣，依照《中华人民共和国安全生产法》第一百一十四条的规定被处以罚款数额2倍以上5倍以下罚款的生产经营单位及其主要负责人；</w:t>
      </w:r>
    </w:p>
    <w:p w14:paraId="7BEBE7E7">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4、瞒报、谎报生产安全事故的生产经营单位及其有关责任人员；</w:t>
      </w:r>
    </w:p>
    <w:p w14:paraId="04BD3CF8">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5、发生生产安全事故后，不立即组织抢救或者在事故调查处理期间擅离职守或者逃匿的生产经营单位主要负责人。</w:t>
      </w:r>
    </w:p>
    <w:p w14:paraId="43BF08E4">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（二）下列未发生生产安全事故，但因安全生产违法行为，受到行政处罚的生产经营单位或者机构及其有关人员，应当列入严重失信主体名单：</w:t>
      </w:r>
    </w:p>
    <w:p w14:paraId="5F22934C">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1、未依法取得安全生产相关许可或者许可被暂扣、吊销期间从事相关生产经营活动的生产经营单位及其主要负责人；</w:t>
      </w:r>
    </w:p>
    <w:p w14:paraId="01BF9FC4">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2、承担安全评价、认证、检测、检验职责的机构及其直接责任人员租借资质、挂靠、出具虚假报告或者证书的；</w:t>
      </w:r>
    </w:p>
    <w:p w14:paraId="7EAA8347">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3、在应急管理部门作出行政处罚后，有执行能力拒不执行或者逃避执行的生产经营单位及其主要负责人；</w:t>
      </w:r>
    </w:p>
    <w:p w14:paraId="6294D252">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4、其他违反安全生产法律法规受到行政处罚，且性质恶劣、情节严重的。</w:t>
      </w:r>
    </w:p>
    <w:p w14:paraId="34A91D27">
      <w:pPr>
        <w:keepNext w:val="0"/>
        <w:keepLines w:val="0"/>
        <w:widowControl w:val="0"/>
        <w:suppressLineNumbers w:val="0"/>
        <w:autoSpaceDE w:val="0"/>
        <w:autoSpaceDN/>
        <w:adjustRightInd w:val="0"/>
        <w:snapToGrid w:val="0"/>
        <w:spacing w:before="0" w:beforeAutospacing="0" w:after="0" w:afterAutospacing="0" w:line="560" w:lineRule="exact"/>
        <w:ind w:left="0" w:right="0" w:firstLine="482" w:firstLineChars="200"/>
        <w:jc w:val="left"/>
        <w:rPr>
          <w:rFonts w:hint="eastAsia" w:ascii="宋体" w:hAnsi="宋体" w:eastAsia="宋体" w:cs="宋体"/>
          <w:b/>
          <w:bCs w:val="0"/>
          <w:sz w:val="24"/>
          <w:szCs w:val="24"/>
          <w:highlight w:val="none"/>
        </w:rPr>
      </w:pPr>
      <w:r>
        <w:rPr>
          <w:rFonts w:hint="eastAsia" w:ascii="宋体" w:hAnsi="宋体" w:eastAsia="宋体" w:cs="宋体"/>
          <w:b/>
          <w:bCs w:val="0"/>
          <w:kern w:val="0"/>
          <w:sz w:val="24"/>
          <w:szCs w:val="24"/>
          <w:highlight w:val="none"/>
          <w:lang w:val="en-US" w:eastAsia="zh-CN" w:bidi="ar"/>
        </w:rPr>
        <w:t>依据：《安全生产严重失信主体名单管理办法》（2023年8月8日应急管理部令第11号）</w:t>
      </w:r>
    </w:p>
    <w:p w14:paraId="3239FA92">
      <w:pPr>
        <w:keepNext w:val="0"/>
        <w:keepLines w:val="0"/>
        <w:widowControl w:val="0"/>
        <w:suppressLineNumbers w:val="0"/>
        <w:autoSpaceDE w:val="0"/>
        <w:autoSpaceDN/>
        <w:adjustRightInd w:val="0"/>
        <w:snapToGrid w:val="0"/>
        <w:spacing w:before="0" w:beforeAutospacing="0" w:after="0" w:afterAutospacing="0" w:line="560" w:lineRule="exact"/>
        <w:ind w:left="0" w:right="0" w:firstLine="482" w:firstLineChars="200"/>
        <w:jc w:val="left"/>
        <w:rPr>
          <w:rFonts w:hint="eastAsia" w:ascii="宋体" w:hAnsi="宋体" w:eastAsia="宋体" w:cs="宋体"/>
          <w:b/>
          <w:bCs w:val="0"/>
          <w:sz w:val="24"/>
          <w:szCs w:val="24"/>
          <w:highlight w:val="none"/>
        </w:rPr>
      </w:pPr>
      <w:r>
        <w:rPr>
          <w:rFonts w:hint="eastAsia" w:ascii="宋体" w:hAnsi="宋体" w:eastAsia="宋体" w:cs="宋体"/>
          <w:b/>
          <w:bCs w:val="0"/>
          <w:kern w:val="0"/>
          <w:sz w:val="24"/>
          <w:szCs w:val="24"/>
          <w:highlight w:val="none"/>
          <w:lang w:val="en-US" w:eastAsia="zh-CN" w:bidi="ar"/>
        </w:rPr>
        <w:t>二、环境保护领域严重失信行为：</w:t>
      </w:r>
    </w:p>
    <w:p w14:paraId="39B7E88B">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（一）因为环境违法构成环境犯罪的；</w:t>
      </w:r>
    </w:p>
    <w:p w14:paraId="58169336">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（二）建设项目环境影响评价文件未按规定通过审批，擅自开工建设的；</w:t>
      </w:r>
    </w:p>
    <w:p w14:paraId="43ADAB92">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（三）建设项目环保设施未建成、环保措施未落实、未通过竣工环保验收或者验收不合格，主体工程正式投入生产或者使用的；</w:t>
      </w:r>
    </w:p>
    <w:p w14:paraId="389D92DA">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（四）建设项目性质、规模、地点、采用的生产工艺或者防治污染、防止生态破坏的措施发生重大变动，未重新报批环境影响评价文件，擅自投入生产或者使用的；</w:t>
      </w:r>
    </w:p>
    <w:p w14:paraId="3FF44D2B">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（五）主要污染物排放总量超过控制指标的；</w:t>
      </w:r>
    </w:p>
    <w:p w14:paraId="7E74B62C">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（六）私设暗管或者利用渗井、渗坑、裂隙、溶洞等排放、倾倒、处置水污染物，或者通过私设旁路排放大气污染物的；</w:t>
      </w:r>
    </w:p>
    <w:p w14:paraId="4FB0452E">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（七）非法排放、倾倒、处置危险废物，或者向无经营许可证或者超出经营许可范围的单位或个人提供或者委托其收集、贮存、利用、处置危险废物的；</w:t>
      </w:r>
    </w:p>
    <w:p w14:paraId="61113803">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（八）环境违法行为造成集中式生活饮用水水源取水中断的；</w:t>
      </w:r>
    </w:p>
    <w:p w14:paraId="1EB24922">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（九）环境违法行为对生活饮用水水源保护区、自然保护区、国家重点生态功能区、风景名胜区、居住功能区、基本农田保护区等环境敏感区造成重大不利影响的；</w:t>
      </w:r>
    </w:p>
    <w:p w14:paraId="0BFCFBB6">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（十）违法从事自然资源开发、交通基础设施建设，以及其他开发建设活动，造成严重生态破坏的；</w:t>
      </w:r>
    </w:p>
    <w:p w14:paraId="0883F131">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（十一）发生较大及以上突发环境事件的；</w:t>
      </w:r>
    </w:p>
    <w:p w14:paraId="288B9A07">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（十二）被环保部门挂牌督办，整改逾期未完成的；</w:t>
      </w:r>
    </w:p>
    <w:p w14:paraId="6E0AA492">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（十三）以暴力、威胁等方式拒绝、阻挠环保部门工作人员现场检查的；</w:t>
      </w:r>
    </w:p>
    <w:p w14:paraId="793ECE44">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（十四）违反重污染天气应急预案有关规定，对重污染天气响应不力的。</w:t>
      </w:r>
    </w:p>
    <w:p w14:paraId="66715658">
      <w:pPr>
        <w:keepNext w:val="0"/>
        <w:keepLines w:val="0"/>
        <w:widowControl w:val="0"/>
        <w:suppressLineNumbers w:val="0"/>
        <w:autoSpaceDE w:val="0"/>
        <w:autoSpaceDN/>
        <w:adjustRightInd w:val="0"/>
        <w:snapToGrid w:val="0"/>
        <w:spacing w:before="0" w:beforeAutospacing="0" w:after="0" w:afterAutospacing="0" w:line="560" w:lineRule="exact"/>
        <w:ind w:left="0" w:right="0" w:firstLine="482" w:firstLineChars="200"/>
        <w:jc w:val="left"/>
        <w:rPr>
          <w:rFonts w:hint="eastAsia" w:ascii="宋体" w:hAnsi="宋体" w:eastAsia="宋体" w:cs="宋体"/>
          <w:b/>
          <w:bCs w:val="0"/>
          <w:sz w:val="24"/>
          <w:szCs w:val="24"/>
          <w:highlight w:val="none"/>
        </w:rPr>
      </w:pPr>
      <w:r>
        <w:rPr>
          <w:rFonts w:hint="eastAsia" w:ascii="宋体" w:hAnsi="宋体" w:eastAsia="宋体" w:cs="宋体"/>
          <w:b/>
          <w:bCs w:val="0"/>
          <w:kern w:val="0"/>
          <w:sz w:val="24"/>
          <w:szCs w:val="24"/>
          <w:highlight w:val="none"/>
          <w:lang w:val="en-US" w:eastAsia="zh-CN" w:bidi="ar"/>
        </w:rPr>
        <w:t>依据：《关于对环境保护领域失信生产经营单位及其有关人员开展联合惩戒的合作备忘录》、《企业环境信用评价办法（试行）》（环发〔2013〕150号）</w:t>
      </w:r>
    </w:p>
    <w:p w14:paraId="56789F0E">
      <w:pPr>
        <w:keepNext w:val="0"/>
        <w:keepLines w:val="0"/>
        <w:widowControl w:val="0"/>
        <w:suppressLineNumbers w:val="0"/>
        <w:autoSpaceDE w:val="0"/>
        <w:autoSpaceDN/>
        <w:adjustRightInd w:val="0"/>
        <w:snapToGrid w:val="0"/>
        <w:spacing w:before="0" w:beforeAutospacing="0" w:after="0" w:afterAutospacing="0" w:line="560" w:lineRule="exact"/>
        <w:ind w:left="0" w:right="0" w:firstLine="482" w:firstLineChars="200"/>
        <w:jc w:val="left"/>
        <w:rPr>
          <w:rFonts w:hint="eastAsia" w:ascii="宋体" w:hAnsi="宋体" w:eastAsia="宋体" w:cs="宋体"/>
          <w:b/>
          <w:bCs w:val="0"/>
          <w:sz w:val="24"/>
          <w:szCs w:val="24"/>
          <w:highlight w:val="none"/>
        </w:rPr>
      </w:pPr>
      <w:r>
        <w:rPr>
          <w:rFonts w:hint="eastAsia" w:ascii="宋体" w:hAnsi="宋体" w:eastAsia="宋体" w:cs="宋体"/>
          <w:b/>
          <w:bCs w:val="0"/>
          <w:kern w:val="0"/>
          <w:sz w:val="24"/>
          <w:szCs w:val="24"/>
          <w:highlight w:val="none"/>
          <w:lang w:val="en-US" w:eastAsia="zh-CN" w:bidi="ar"/>
        </w:rPr>
        <w:t>三、</w:t>
      </w:r>
      <w:r>
        <w:rPr>
          <w:rFonts w:hint="eastAsia" w:ascii="宋体" w:hAnsi="宋体" w:eastAsia="宋体" w:cs="宋体"/>
          <w:b/>
          <w:bCs/>
          <w:kern w:val="0"/>
          <w:sz w:val="24"/>
          <w:szCs w:val="24"/>
          <w:highlight w:val="none"/>
          <w:lang w:val="en-US" w:eastAsia="zh-CN" w:bidi="ar"/>
        </w:rPr>
        <w:t>公共资源交易领域严重失信行为</w:t>
      </w:r>
    </w:p>
    <w:p w14:paraId="6A5F8A68">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 xml:space="preserve">（一）违反法律规定，必须进行招标的项目而不招标的，将必须进行招标的项目化整为零或者以其他任何方式规避招标的； </w:t>
      </w:r>
    </w:p>
    <w:p w14:paraId="7C18F56B">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（二）招标代理机构违反法律规定，泄露应当保密的与招标投标活动有关的情况和资料的，或者与招标人、投标人串通损害 国家利益、社会公共利益或者他人合法权益的；</w:t>
      </w:r>
    </w:p>
    <w:p w14:paraId="6C82972B">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（三）招标人以不合理的条件限制或者排斥潜在投标人的，对潜在投标人实行歧视待遇的，强制要求投标人组成联合体共同 投标的，或者限制投标人之间竞争的；</w:t>
      </w:r>
    </w:p>
    <w:p w14:paraId="666102E5">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（四）依法必须进行招标的项目的招标人向他人透露已获取招标文件的潜在投标人的名称、数量或者可能影响公平竞争的有 关招标投标的其他情况的，或者泄露标底的；</w:t>
      </w:r>
    </w:p>
    <w:p w14:paraId="61B1D16F">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 xml:space="preserve">（五）投标人相互串通投标或者与招标人串通投标的，投标人以向招标人或者评标委员会成员行贿的手段谋取中标的； </w:t>
      </w:r>
    </w:p>
    <w:p w14:paraId="5619CAC8">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（六）投标人以他人名义投标或者以其他方式弄虚作假，骗取中标的；</w:t>
      </w:r>
    </w:p>
    <w:p w14:paraId="40EA2E43">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（七）依法必须进行招标的项目，招标人违反法律规定，与投标人就投标价格、投标方案等实质性内容进行谈判的；</w:t>
      </w:r>
    </w:p>
    <w:p w14:paraId="3C6BEA23">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 xml:space="preserve">（八）评标委员会成员收受投标人的财物或者其他好处的，评标委员会成员或者参加评标的有关工作人员向他人透露对投 标文件的评审和比较、中标候选人的推荐以及与评标有关的其他 情况的； </w:t>
      </w:r>
    </w:p>
    <w:p w14:paraId="4EFD8655">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 xml:space="preserve">（九）招标人在评标委员会依法推荐的中标候选人以外确定中标人的，依法必须进行招标的项目在所有投标被评标委员会否 决后自行确定中标人的； </w:t>
      </w:r>
    </w:p>
    <w:p w14:paraId="1650C416">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 xml:space="preserve">（十）中标人将中标项目转让给他人的，将中标项目肢解后分别转让给他人的，违反法律规定将中标项目的部分主体、关键 性工作分包给他人的，或者分包人再次分包的； </w:t>
      </w:r>
    </w:p>
    <w:p w14:paraId="70A5AB02">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 xml:space="preserve">（十一）招标人与中标人不按照招标文件和中标人的投标文件订立合同的，或者招标人、中标人订立背离合同实质性内容的 协议的； </w:t>
      </w:r>
    </w:p>
    <w:p w14:paraId="335B38A3">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 xml:space="preserve">（十二）中标人不按照与招标人订立的合同履行义务，情节严重的； </w:t>
      </w:r>
    </w:p>
    <w:p w14:paraId="2E28FDC3">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（十三）采购人、采购代理机构存在应当采用公开招标方式而擅自采用其他方式采购，擅自提高采购标准，以不合理的条件 对供应商实行差别待遇或者歧视待遇，在招标采购过程中与投标 人进行协商谈判，中标、成交通知书发出后不与中标、成交供应商签订采购合同，或者拒绝有关部门依法实施监督检查等情形的；</w:t>
      </w:r>
    </w:p>
    <w:p w14:paraId="07891F8A">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 xml:space="preserve"> （十四）采购人、采购代理机构及其工作人员存在与供应商 或者采购代理机构恶意串通，在采购过程中接受贿赂或者获取其 他不正当利益，在有关部门依法实施的监督检查中提供虚假情况， 或者开标前泄露标底等情形的；</w:t>
      </w:r>
    </w:p>
    <w:p w14:paraId="4AC6C60F">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 xml:space="preserve">（十五）采购人对应当实行集中采购的政府采购项目，不委托集中采购机构实行集中采购的； </w:t>
      </w:r>
    </w:p>
    <w:p w14:paraId="2367F803">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 xml:space="preserve">（十六）采购人、采购代理机构违反法律规定隐匿、销毁应当保存的采购文件或者伪造、变造采购文件的； </w:t>
      </w:r>
    </w:p>
    <w:p w14:paraId="5FD85B05">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 xml:space="preserve">（十七）供应商存在提供虚假材料谋取中标、成交，采取不 正当手段诋毁、排挤其他供应商，与采购人、其他供应商或者采 购代理机构恶意串通，向采购人、采购代理机构行贿或者提供其 他不正当利益，在招标采购过程中与采购人进行协商谈判，或拒 绝有关部门监督检查或者提供虚假情况等情形的； </w:t>
      </w:r>
    </w:p>
    <w:p w14:paraId="730E4465">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 xml:space="preserve">（十八）疫苗生产企业向县级疾病预防控制机构以外的单位或者个人销售第二类疫苗的； </w:t>
      </w:r>
    </w:p>
    <w:p w14:paraId="4426A62E">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（十九）存在其他违反公共资源交易法律法规行为的。</w:t>
      </w:r>
    </w:p>
    <w:p w14:paraId="1DEE0973">
      <w:pPr>
        <w:keepNext w:val="0"/>
        <w:keepLines w:val="0"/>
        <w:widowControl w:val="0"/>
        <w:suppressLineNumbers w:val="0"/>
        <w:autoSpaceDE w:val="0"/>
        <w:autoSpaceDN/>
        <w:adjustRightInd w:val="0"/>
        <w:snapToGrid w:val="0"/>
        <w:spacing w:before="0" w:beforeAutospacing="0" w:after="0" w:afterAutospacing="0" w:line="560" w:lineRule="exact"/>
        <w:ind w:left="0" w:right="0" w:firstLine="482" w:firstLineChars="200"/>
        <w:jc w:val="left"/>
        <w:rPr>
          <w:rFonts w:hint="eastAsia" w:ascii="宋体" w:hAnsi="宋体" w:eastAsia="宋体" w:cs="宋体"/>
          <w:sz w:val="24"/>
          <w:szCs w:val="24"/>
          <w:highlight w:val="none"/>
        </w:rPr>
      </w:pPr>
      <w:r>
        <w:rPr>
          <w:rFonts w:hint="eastAsia" w:ascii="宋体" w:hAnsi="宋体" w:eastAsia="宋体" w:cs="宋体"/>
          <w:b/>
          <w:bCs w:val="0"/>
          <w:kern w:val="0"/>
          <w:sz w:val="24"/>
          <w:szCs w:val="24"/>
          <w:highlight w:val="none"/>
          <w:lang w:val="en-US" w:eastAsia="zh-CN" w:bidi="ar"/>
        </w:rPr>
        <w:t>依据：《关于对公共资源交易领域严重失信主体开展联合惩戒的备忘录》（发改法规〔2018〕457号）</w:t>
      </w:r>
    </w:p>
    <w:p w14:paraId="1E899A36">
      <w:pPr>
        <w:keepNext w:val="0"/>
        <w:keepLines w:val="0"/>
        <w:widowControl w:val="0"/>
        <w:suppressLineNumbers w:val="0"/>
        <w:autoSpaceDE w:val="0"/>
        <w:autoSpaceDN/>
        <w:adjustRightInd w:val="0"/>
        <w:snapToGrid w:val="0"/>
        <w:spacing w:before="0" w:beforeAutospacing="0" w:after="0" w:afterAutospacing="0" w:line="560" w:lineRule="exact"/>
        <w:ind w:left="0" w:right="0" w:firstLine="482" w:firstLineChars="200"/>
        <w:jc w:val="left"/>
        <w:rPr>
          <w:rFonts w:hint="eastAsia" w:ascii="宋体" w:hAnsi="宋体" w:eastAsia="宋体" w:cs="宋体"/>
          <w:b/>
          <w:bCs/>
          <w:sz w:val="24"/>
          <w:szCs w:val="24"/>
          <w:highlight w:val="none"/>
        </w:rPr>
      </w:pPr>
      <w:r>
        <w:rPr>
          <w:rFonts w:hint="eastAsia" w:ascii="宋体" w:hAnsi="宋体" w:eastAsia="宋体" w:cs="宋体"/>
          <w:b/>
          <w:bCs w:val="0"/>
          <w:kern w:val="0"/>
          <w:sz w:val="24"/>
          <w:szCs w:val="24"/>
          <w:highlight w:val="none"/>
          <w:lang w:val="en-US" w:eastAsia="zh-CN" w:bidi="ar"/>
        </w:rPr>
        <w:t>四、</w:t>
      </w:r>
      <w:r>
        <w:rPr>
          <w:rFonts w:hint="eastAsia" w:ascii="宋体" w:hAnsi="宋体" w:eastAsia="宋体" w:cs="宋体"/>
          <w:b/>
          <w:bCs/>
          <w:kern w:val="0"/>
          <w:sz w:val="24"/>
          <w:szCs w:val="24"/>
          <w:highlight w:val="none"/>
          <w:lang w:val="en-US" w:eastAsia="zh-CN" w:bidi="ar"/>
        </w:rPr>
        <w:t>社会保险领域严重失信行为</w:t>
      </w:r>
    </w:p>
    <w:p w14:paraId="5C2FD778">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 xml:space="preserve">（一）用人单位未按相关规定参加社会保险且拒不整改的； </w:t>
      </w:r>
    </w:p>
    <w:p w14:paraId="67E458E1">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 xml:space="preserve">（二）用人单位未如实申报社会保险缴费基数且拒不整改的； </w:t>
      </w:r>
    </w:p>
    <w:p w14:paraId="5910A5F9">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 xml:space="preserve">（三）应缴纳社会保险费却拒不缴纳的； </w:t>
      </w:r>
    </w:p>
    <w:p w14:paraId="0B0DC465">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（四）隐匿、转移、侵占、挪用社会保险费款、基金或者违规投资运营的；</w:t>
      </w:r>
    </w:p>
    <w:p w14:paraId="025DD8FD">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 xml:space="preserve">（五）以欺诈、伪造证明材料或者其他手段参加、申报社会保险和骗取社会保险基金支出或社会保险待遇的； </w:t>
      </w:r>
    </w:p>
    <w:p w14:paraId="2E714C29">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 xml:space="preserve">（六）非法获取、出售或变相交易社会保险个人权益数据的； </w:t>
      </w:r>
    </w:p>
    <w:p w14:paraId="44D37940">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 xml:space="preserve">（七）社会保险服务机构违反服务协议或相关规定的； </w:t>
      </w:r>
    </w:p>
    <w:p w14:paraId="2377077E">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 xml:space="preserve">（八）拒绝协助社会保险行政部门、经办机构对事故和问题进 行调查核实的；拒绝接受或协助税务部门对社会保险实施监督检查， 不如实提供与社会保险相关各项资料的； </w:t>
      </w:r>
    </w:p>
    <w:p w14:paraId="165CE1D7">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（九）其他违反法律法规规定的。</w:t>
      </w:r>
    </w:p>
    <w:p w14:paraId="56743DCC">
      <w:pPr>
        <w:keepNext w:val="0"/>
        <w:keepLines w:val="0"/>
        <w:widowControl w:val="0"/>
        <w:suppressLineNumbers w:val="0"/>
        <w:autoSpaceDE w:val="0"/>
        <w:autoSpaceDN/>
        <w:adjustRightInd w:val="0"/>
        <w:snapToGrid w:val="0"/>
        <w:spacing w:before="0" w:beforeAutospacing="0" w:after="0" w:afterAutospacing="0" w:line="560" w:lineRule="exact"/>
        <w:ind w:left="0" w:right="0" w:firstLine="482" w:firstLineChars="200"/>
        <w:jc w:val="left"/>
        <w:rPr>
          <w:rFonts w:hint="eastAsia" w:ascii="宋体" w:hAnsi="宋体" w:eastAsia="宋体" w:cs="宋体"/>
          <w:sz w:val="24"/>
          <w:szCs w:val="24"/>
          <w:highlight w:val="none"/>
        </w:rPr>
      </w:pPr>
      <w:r>
        <w:rPr>
          <w:rFonts w:hint="eastAsia" w:ascii="宋体" w:hAnsi="宋体" w:eastAsia="宋体" w:cs="宋体"/>
          <w:b/>
          <w:bCs w:val="0"/>
          <w:kern w:val="0"/>
          <w:sz w:val="24"/>
          <w:szCs w:val="24"/>
          <w:highlight w:val="none"/>
          <w:lang w:val="en-US" w:eastAsia="zh-CN" w:bidi="ar"/>
        </w:rPr>
        <w:t>依据：《关于对社会保险领域严重失信企业及其有关人员实施联合惩戒的合作备忘录》（发改财金〔2018〕1704号）</w:t>
      </w:r>
    </w:p>
    <w:p w14:paraId="74119124">
      <w:pPr>
        <w:keepNext w:val="0"/>
        <w:keepLines w:val="0"/>
        <w:widowControl w:val="0"/>
        <w:suppressLineNumbers w:val="0"/>
        <w:autoSpaceDE w:val="0"/>
        <w:autoSpaceDN/>
        <w:adjustRightInd w:val="0"/>
        <w:snapToGrid w:val="0"/>
        <w:spacing w:before="0" w:beforeAutospacing="0" w:after="0" w:afterAutospacing="0" w:line="560" w:lineRule="exact"/>
        <w:ind w:left="0" w:right="0" w:firstLine="482" w:firstLineChars="200"/>
        <w:jc w:val="left"/>
        <w:rPr>
          <w:rFonts w:hint="eastAsia" w:ascii="宋体" w:hAnsi="宋体" w:eastAsia="宋体" w:cs="宋体"/>
          <w:b/>
          <w:bCs/>
          <w:sz w:val="24"/>
          <w:szCs w:val="24"/>
          <w:highlight w:val="none"/>
        </w:rPr>
      </w:pPr>
      <w:r>
        <w:rPr>
          <w:rFonts w:hint="eastAsia" w:ascii="宋体" w:hAnsi="宋体" w:eastAsia="宋体" w:cs="宋体"/>
          <w:b/>
          <w:bCs w:val="0"/>
          <w:kern w:val="0"/>
          <w:sz w:val="24"/>
          <w:szCs w:val="24"/>
          <w:highlight w:val="none"/>
          <w:lang w:val="en-US" w:eastAsia="zh-CN" w:bidi="ar"/>
        </w:rPr>
        <w:t>五、建筑市场领域</w:t>
      </w:r>
      <w:r>
        <w:rPr>
          <w:rFonts w:hint="eastAsia" w:ascii="宋体" w:hAnsi="宋体" w:eastAsia="宋体" w:cs="宋体"/>
          <w:b/>
          <w:bCs/>
          <w:kern w:val="0"/>
          <w:sz w:val="24"/>
          <w:szCs w:val="24"/>
          <w:highlight w:val="none"/>
          <w:lang w:val="en-US" w:eastAsia="zh-CN" w:bidi="ar"/>
        </w:rPr>
        <w:t>严重失信行为</w:t>
      </w:r>
    </w:p>
    <w:p w14:paraId="5ED88CB6">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（一）利用虚假材料、以欺骗手段取得企业资质的；</w:t>
      </w:r>
    </w:p>
    <w:p w14:paraId="7B148F80">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（二）发生转包、出借资质，受到行政处罚的；</w:t>
      </w:r>
    </w:p>
    <w:p w14:paraId="600EFF16">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（三）发生重大及以上工程质量安全事故，或1年内累计发生2次及以上较大工程质量安全事故，或发生性质恶劣、危害性严重、社会影响大的较大工程质量安全事故，受到行政处罚的；</w:t>
      </w:r>
    </w:p>
    <w:p w14:paraId="590B7D12">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（四）经法院判决或仲裁机构裁决，认定为拖欠工程款,且拒不履行生效法律文书确定的义务的。</w:t>
      </w:r>
    </w:p>
    <w:p w14:paraId="67A30081">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各级住房城乡建设主管部门应当参照建筑市场主体“黑名单”，对被人力资源社会保障行政部门列入拖欠农民工工资“黑名单”的建筑市场各方主体加强监管。</w:t>
      </w:r>
    </w:p>
    <w:p w14:paraId="51F61AF5">
      <w:pPr>
        <w:keepNext w:val="0"/>
        <w:keepLines w:val="0"/>
        <w:widowControl w:val="0"/>
        <w:suppressLineNumbers w:val="0"/>
        <w:autoSpaceDE w:val="0"/>
        <w:autoSpaceDN/>
        <w:spacing w:before="0" w:beforeAutospacing="0" w:after="0" w:afterAutospacing="0"/>
        <w:ind w:left="0" w:right="0" w:firstLine="482" w:firstLineChars="200"/>
        <w:jc w:val="left"/>
        <w:rPr>
          <w:rFonts w:hint="eastAsia" w:ascii="宋体" w:hAnsi="宋体" w:eastAsia="宋体" w:cs="宋体"/>
          <w:b/>
          <w:bCs w:val="0"/>
          <w:sz w:val="24"/>
          <w:szCs w:val="24"/>
          <w:highlight w:val="none"/>
        </w:rPr>
      </w:pPr>
      <w:r>
        <w:rPr>
          <w:rFonts w:hint="eastAsia" w:ascii="宋体" w:hAnsi="宋体" w:eastAsia="宋体" w:cs="宋体"/>
          <w:b/>
          <w:bCs w:val="0"/>
          <w:kern w:val="0"/>
          <w:sz w:val="24"/>
          <w:szCs w:val="24"/>
          <w:highlight w:val="none"/>
          <w:lang w:val="en-US" w:eastAsia="zh-CN" w:bidi="ar"/>
        </w:rPr>
        <w:t>依据：《建筑市场信用管理暂行办法》（建市〔2017〕241号）</w:t>
      </w:r>
    </w:p>
    <w:p w14:paraId="3C7282D6">
      <w:pPr>
        <w:keepNext w:val="0"/>
        <w:keepLines w:val="0"/>
        <w:widowControl w:val="0"/>
        <w:suppressLineNumbers w:val="0"/>
        <w:autoSpaceDE w:val="0"/>
        <w:autoSpaceDN/>
        <w:adjustRightInd w:val="0"/>
        <w:snapToGrid w:val="0"/>
        <w:spacing w:before="0" w:beforeAutospacing="0" w:after="0" w:afterAutospacing="0" w:line="560" w:lineRule="exact"/>
        <w:ind w:left="0" w:right="0" w:firstLine="482" w:firstLineChars="200"/>
        <w:jc w:val="left"/>
        <w:rPr>
          <w:rFonts w:hint="eastAsia" w:ascii="宋体" w:hAnsi="宋体" w:eastAsia="宋体" w:cs="宋体"/>
          <w:b/>
          <w:bCs w:val="0"/>
          <w:sz w:val="24"/>
          <w:szCs w:val="24"/>
          <w:highlight w:val="none"/>
        </w:rPr>
      </w:pPr>
      <w:r>
        <w:rPr>
          <w:rFonts w:hint="eastAsia" w:ascii="宋体" w:hAnsi="宋体" w:eastAsia="宋体" w:cs="宋体"/>
          <w:b/>
          <w:bCs w:val="0"/>
          <w:kern w:val="0"/>
          <w:sz w:val="24"/>
          <w:szCs w:val="24"/>
          <w:highlight w:val="none"/>
          <w:lang w:val="en-US" w:eastAsia="zh-CN" w:bidi="ar"/>
        </w:rPr>
        <w:t>六、政府采购严重失信行为</w:t>
      </w:r>
    </w:p>
    <w:p w14:paraId="46AE3474">
      <w:pPr>
        <w:keepNext w:val="0"/>
        <w:keepLines w:val="0"/>
        <w:widowControl w:val="0"/>
        <w:suppressLineNumbers w:val="0"/>
        <w:autoSpaceDE w:val="0"/>
        <w:autoSpaceDN/>
        <w:adjustRightInd w:val="0"/>
        <w:snapToGrid w:val="0"/>
        <w:spacing w:before="0" w:beforeAutospacing="0" w:after="0" w:afterAutospacing="0" w:line="560" w:lineRule="exact"/>
        <w:ind w:left="0" w:right="0"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供应商、采购代理机构在三年内受到财政部门作出下列情形之一的行政处罚，列入政府采购严重违法失信行为记录名单。</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（一）三万元以上罚款；</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（二）在一至三年内禁止参加政府采购活动（处罚期限届满的除外）；</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（三）在一至三年内禁止代理政府采购业务（处罚期限届满的除外）；</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（四）撤销政府采购代理机构资格（仅针对《政府采购法》第78条修改前作出的处罚决定）。</w:t>
      </w:r>
    </w:p>
    <w:p w14:paraId="1E1D272A">
      <w:pPr>
        <w:keepNext w:val="0"/>
        <w:keepLines w:val="0"/>
        <w:widowControl w:val="0"/>
        <w:suppressLineNumbers w:val="0"/>
        <w:autoSpaceDE w:val="0"/>
        <w:autoSpaceDN/>
        <w:spacing w:before="0" w:beforeAutospacing="0" w:after="0" w:afterAutospacing="0"/>
        <w:ind w:left="0" w:right="0" w:firstLine="482" w:firstLineChars="200"/>
        <w:jc w:val="left"/>
        <w:rPr>
          <w:rFonts w:hint="eastAsia" w:ascii="宋体" w:hAnsi="宋体" w:eastAsia="宋体" w:cs="宋体"/>
          <w:b/>
          <w:bCs w:val="0"/>
          <w:kern w:val="0"/>
          <w:sz w:val="24"/>
          <w:szCs w:val="24"/>
          <w:highlight w:val="none"/>
          <w:lang w:val="en-US" w:eastAsia="zh-CN" w:bidi="ar"/>
        </w:rPr>
      </w:pPr>
      <w:r>
        <w:rPr>
          <w:rFonts w:hint="eastAsia" w:ascii="宋体" w:hAnsi="宋体" w:eastAsia="宋体" w:cs="宋体"/>
          <w:b/>
          <w:bCs w:val="0"/>
          <w:kern w:val="0"/>
          <w:sz w:val="24"/>
          <w:szCs w:val="24"/>
          <w:highlight w:val="none"/>
          <w:lang w:val="en-US" w:eastAsia="zh-CN" w:bidi="ar"/>
        </w:rPr>
        <w:t>依据：《关于报送政府采购严重违法失信行为信息记录的通知》（财办库〔2014〕526号）</w:t>
      </w:r>
    </w:p>
    <w:p w14:paraId="0FEF42FA">
      <w:pPr>
        <w:keepNext w:val="0"/>
        <w:keepLines w:val="0"/>
        <w:widowControl w:val="0"/>
        <w:suppressLineNumbers w:val="0"/>
        <w:autoSpaceDE w:val="0"/>
        <w:autoSpaceDN/>
        <w:spacing w:before="0" w:beforeAutospacing="0" w:after="0" w:afterAutospacing="0"/>
        <w:ind w:left="0" w:right="0" w:firstLine="482" w:firstLineChars="200"/>
        <w:jc w:val="left"/>
        <w:rPr>
          <w:rFonts w:hint="eastAsia" w:ascii="宋体" w:hAnsi="宋体" w:eastAsia="宋体" w:cs="宋体"/>
          <w:b/>
          <w:bCs w:val="0"/>
          <w:kern w:val="0"/>
          <w:sz w:val="24"/>
          <w:szCs w:val="24"/>
          <w:highlight w:val="none"/>
          <w:lang w:val="en-US" w:eastAsia="zh-CN" w:bidi="ar"/>
        </w:rPr>
      </w:pPr>
      <w:r>
        <w:rPr>
          <w:rFonts w:hint="eastAsia" w:ascii="宋体" w:hAnsi="宋体" w:eastAsia="宋体" w:cs="宋体"/>
          <w:b/>
          <w:bCs w:val="0"/>
          <w:kern w:val="0"/>
          <w:sz w:val="24"/>
          <w:szCs w:val="24"/>
          <w:highlight w:val="none"/>
          <w:lang w:val="en-US" w:eastAsia="zh-CN" w:bidi="ar"/>
        </w:rPr>
        <w:t>未列出的其他类别严重失信行为，由招标人（代理机构）根据各类别行业主管部门下发的联合惩戒文件进行判断。</w:t>
      </w:r>
    </w:p>
    <w:p w14:paraId="68FABB36">
      <w:pPr>
        <w:rPr>
          <w:rFonts w:hint="eastAsia"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br w:type="page"/>
      </w:r>
    </w:p>
    <w:p w14:paraId="4E44E95B">
      <w:pPr>
        <w:spacing w:line="360" w:lineRule="auto"/>
        <w:jc w:val="center"/>
        <w:outlineLvl w:val="0"/>
        <w:rPr>
          <w:rFonts w:ascii="宋体" w:hAnsi="宋体" w:eastAsia="宋体"/>
          <w:b/>
          <w:bCs/>
          <w:color w:val="auto"/>
          <w:sz w:val="28"/>
          <w:highlight w:val="none"/>
        </w:rPr>
      </w:pPr>
      <w:bookmarkStart w:id="102" w:name="_Toc15595"/>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101"/>
      <w:bookmarkEnd w:id="102"/>
    </w:p>
    <w:p w14:paraId="7A40B900">
      <w:pPr>
        <w:spacing w:line="360" w:lineRule="auto"/>
        <w:jc w:val="center"/>
        <w:outlineLvl w:val="1"/>
        <w:rPr>
          <w:rFonts w:ascii="仿宋" w:hAnsi="仿宋" w:eastAsia="仿宋" w:cs="仿宋"/>
          <w:b/>
          <w:bCs/>
          <w:color w:val="auto"/>
          <w:sz w:val="32"/>
          <w:szCs w:val="44"/>
          <w:highlight w:val="none"/>
        </w:rPr>
      </w:pPr>
      <w:bookmarkStart w:id="103" w:name="_Toc27159"/>
      <w:bookmarkStart w:id="104" w:name="_Toc17574"/>
      <w:bookmarkStart w:id="105" w:name="_Toc27489"/>
      <w:r>
        <w:rPr>
          <w:rFonts w:hint="eastAsia" w:ascii="仿宋" w:hAnsi="仿宋" w:eastAsia="仿宋" w:cs="仿宋"/>
          <w:b/>
          <w:bCs/>
          <w:color w:val="auto"/>
          <w:sz w:val="32"/>
          <w:szCs w:val="44"/>
          <w:highlight w:val="none"/>
        </w:rPr>
        <w:t>询问函范本</w:t>
      </w:r>
      <w:bookmarkEnd w:id="103"/>
      <w:bookmarkEnd w:id="104"/>
      <w:bookmarkEnd w:id="105"/>
    </w:p>
    <w:p w14:paraId="6CE43A10">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2AF82789">
      <w:pPr>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7828A08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3123B7C">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106" w:name="_Toc13899"/>
      <w:r>
        <w:rPr>
          <w:rFonts w:hint="eastAsia" w:cs="仿宋" w:asciiTheme="minorEastAsia" w:hAnsiTheme="minorEastAsia" w:eastAsiaTheme="minorEastAsia"/>
          <w:color w:val="auto"/>
          <w:sz w:val="24"/>
          <w:szCs w:val="24"/>
          <w:highlight w:val="none"/>
        </w:rPr>
        <w:t>一、(事项一)</w:t>
      </w:r>
      <w:bookmarkEnd w:id="106"/>
    </w:p>
    <w:p w14:paraId="1819F10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75CF52F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131742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BFB1D19">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107" w:name="_Toc3352"/>
      <w:r>
        <w:rPr>
          <w:rFonts w:hint="eastAsia" w:cs="仿宋" w:asciiTheme="minorEastAsia" w:hAnsiTheme="minorEastAsia" w:eastAsiaTheme="minorEastAsia"/>
          <w:color w:val="auto"/>
          <w:sz w:val="24"/>
          <w:szCs w:val="24"/>
          <w:highlight w:val="none"/>
        </w:rPr>
        <w:t>二、(事项二)</w:t>
      </w:r>
      <w:bookmarkEnd w:id="107"/>
    </w:p>
    <w:p w14:paraId="0B8BB9E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D5B281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4C1AC0F0">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67B9DFB">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5BE75B5B">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71388629">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0199CB6E">
      <w:pPr>
        <w:jc w:val="center"/>
        <w:outlineLvl w:val="1"/>
        <w:rPr>
          <w:rFonts w:ascii="仿宋" w:hAnsi="仿宋" w:eastAsia="仿宋" w:cs="仿宋"/>
          <w:b/>
          <w:bCs/>
          <w:color w:val="auto"/>
          <w:sz w:val="32"/>
          <w:szCs w:val="44"/>
          <w:highlight w:val="none"/>
        </w:rPr>
      </w:pPr>
      <w:bookmarkStart w:id="108" w:name="_Toc3245"/>
      <w:bookmarkStart w:id="109" w:name="_Toc8315"/>
      <w:bookmarkStart w:id="110" w:name="_Toc1575"/>
      <w:r>
        <w:rPr>
          <w:rFonts w:hint="eastAsia" w:ascii="仿宋" w:hAnsi="仿宋" w:eastAsia="仿宋" w:cs="仿宋"/>
          <w:b/>
          <w:bCs/>
          <w:color w:val="auto"/>
          <w:sz w:val="32"/>
          <w:szCs w:val="44"/>
          <w:highlight w:val="none"/>
        </w:rPr>
        <w:t>质疑函范本</w:t>
      </w:r>
      <w:bookmarkEnd w:id="108"/>
      <w:bookmarkEnd w:id="109"/>
      <w:bookmarkEnd w:id="110"/>
    </w:p>
    <w:p w14:paraId="5906BD0D">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111" w:name="_Toc21381"/>
      <w:r>
        <w:rPr>
          <w:rFonts w:hint="eastAsia" w:cs="仿宋" w:asciiTheme="minorEastAsia" w:hAnsiTheme="minorEastAsia" w:eastAsiaTheme="minorEastAsia"/>
          <w:b/>
          <w:bCs/>
          <w:color w:val="auto"/>
          <w:sz w:val="24"/>
          <w:szCs w:val="24"/>
          <w:highlight w:val="none"/>
        </w:rPr>
        <w:t>一、质疑供应商基本信息</w:t>
      </w:r>
      <w:bookmarkEnd w:id="111"/>
    </w:p>
    <w:p w14:paraId="6804775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0D9EA64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E5CB7F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4B1510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0E96A2A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562081D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D320F33">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112" w:name="_Toc28415"/>
      <w:r>
        <w:rPr>
          <w:rFonts w:hint="eastAsia" w:cs="仿宋" w:asciiTheme="minorEastAsia" w:hAnsiTheme="minorEastAsia" w:eastAsiaTheme="minorEastAsia"/>
          <w:b/>
          <w:bCs/>
          <w:color w:val="auto"/>
          <w:sz w:val="24"/>
          <w:szCs w:val="24"/>
          <w:highlight w:val="none"/>
        </w:rPr>
        <w:t>二、质疑项目基本情况</w:t>
      </w:r>
      <w:bookmarkEnd w:id="112"/>
    </w:p>
    <w:p w14:paraId="2860C14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502647A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5DBDEA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2D0895B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50ED8362">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113" w:name="_Toc19014"/>
      <w:r>
        <w:rPr>
          <w:rFonts w:hint="eastAsia" w:cs="仿宋" w:asciiTheme="minorEastAsia" w:hAnsiTheme="minorEastAsia" w:eastAsiaTheme="minorEastAsia"/>
          <w:b/>
          <w:bCs/>
          <w:color w:val="auto"/>
          <w:sz w:val="24"/>
          <w:szCs w:val="24"/>
          <w:highlight w:val="none"/>
        </w:rPr>
        <w:t>三、质疑事项具体内容</w:t>
      </w:r>
      <w:bookmarkEnd w:id="113"/>
    </w:p>
    <w:p w14:paraId="7A46C70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68D20E3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00C0267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0E2259F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B034B4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7785DD7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562F223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4CD7DF7">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114" w:name="_Toc17919"/>
      <w:r>
        <w:rPr>
          <w:rFonts w:hint="eastAsia" w:cs="仿宋" w:asciiTheme="minorEastAsia" w:hAnsiTheme="minorEastAsia" w:eastAsiaTheme="minorEastAsia"/>
          <w:b/>
          <w:bCs/>
          <w:color w:val="auto"/>
          <w:sz w:val="24"/>
          <w:szCs w:val="24"/>
          <w:highlight w:val="none"/>
        </w:rPr>
        <w:t>四、与质疑事项相关的质疑请求</w:t>
      </w:r>
      <w:bookmarkEnd w:id="114"/>
    </w:p>
    <w:p w14:paraId="18CD4FC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75373188">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066F4DAB">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4D174E90">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1CC46BFA">
      <w:pPr>
        <w:outlineLvl w:val="0"/>
        <w:rPr>
          <w:rFonts w:asciiTheme="minorEastAsia" w:hAnsiTheme="minorEastAsia" w:eastAsiaTheme="minorEastAsia"/>
          <w:b/>
          <w:color w:val="auto"/>
          <w:sz w:val="28"/>
          <w:szCs w:val="32"/>
          <w:highlight w:val="none"/>
        </w:rPr>
      </w:pPr>
      <w:bookmarkStart w:id="115" w:name="_Toc9754"/>
      <w:bookmarkStart w:id="116" w:name="_Toc26836"/>
      <w:bookmarkStart w:id="117" w:name="_Toc6045"/>
      <w:r>
        <w:rPr>
          <w:rFonts w:hint="eastAsia" w:asciiTheme="minorEastAsia" w:hAnsiTheme="minorEastAsia" w:eastAsiaTheme="minorEastAsia"/>
          <w:b/>
          <w:color w:val="auto"/>
          <w:sz w:val="28"/>
          <w:szCs w:val="32"/>
          <w:highlight w:val="none"/>
        </w:rPr>
        <w:t>质疑函制作说明：</w:t>
      </w:r>
      <w:bookmarkEnd w:id="115"/>
      <w:bookmarkEnd w:id="116"/>
      <w:bookmarkEnd w:id="117"/>
    </w:p>
    <w:p w14:paraId="72184C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1FEB50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658EA3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33684A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42446CC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186B405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footerReference r:id="rId5" w:type="default"/>
      <w:pgSz w:w="11906" w:h="16838"/>
      <w:pgMar w:top="1417" w:right="1417" w:bottom="1417" w:left="141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2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FFCAA62-92FB-493D-AA0F-99BC8AF245F4}"/>
  </w:font>
  <w:font w:name="Arial">
    <w:panose1 w:val="020B0604020202020204"/>
    <w:charset w:val="01"/>
    <w:family w:val="swiss"/>
    <w:pitch w:val="default"/>
    <w:sig w:usb0="E0002EFF" w:usb1="C000785B" w:usb2="00000009" w:usb3="00000000" w:csb0="400001FF" w:csb1="FFFF0000"/>
    <w:embedRegular r:id="rId2" w:fontKey="{6A365611-CDD2-4090-B4C6-F06C1DD8C6BC}"/>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704E4E0E-E743-4DA3-B5A4-04087C1EB276}"/>
  </w:font>
  <w:font w:name="@仿宋_GB2312">
    <w:altName w:val="仿宋"/>
    <w:panose1 w:val="02010609030101010101"/>
    <w:charset w:val="86"/>
    <w:family w:val="modern"/>
    <w:pitch w:val="default"/>
    <w:sig w:usb0="00000000" w:usb1="00000000" w:usb2="00000000" w:usb3="00000000" w:csb0="00040000" w:csb1="00000000"/>
    <w:embedRegular r:id="rId4" w:fontKey="{D3E49A35-6262-42F7-8BBF-14AB34FA79FE}"/>
  </w:font>
  <w:font w:name="仿宋">
    <w:panose1 w:val="02010609060101010101"/>
    <w:charset w:val="86"/>
    <w:family w:val="modern"/>
    <w:pitch w:val="default"/>
    <w:sig w:usb0="800002BF" w:usb1="38CF7CFA" w:usb2="00000016" w:usb3="00000000" w:csb0="00040001" w:csb1="00000000"/>
    <w:embedRegular r:id="rId5" w:fontKey="{A817D66A-A427-4BAE-96F2-F34C66A4ACAE}"/>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ctionIcon ! important">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embedRegular r:id="rId6" w:fontKey="{35E5DD8A-F929-4052-A31B-785A60CBA618}"/>
  </w:font>
  <w:font w:name="方正楷体_GB2312">
    <w:panose1 w:val="02000000000000000000"/>
    <w:charset w:val="86"/>
    <w:family w:val="auto"/>
    <w:pitch w:val="default"/>
    <w:sig w:usb0="A00002BF" w:usb1="184F6CFA" w:usb2="00000012" w:usb3="00000000" w:csb0="00040001" w:csb1="00000000"/>
    <w:embedRegular r:id="rId7" w:fontKey="{C836E8C6-5D6A-4ABD-9E34-E1AED6AE7BE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3CACA">
    <w:pPr>
      <w:spacing w:line="189" w:lineRule="auto"/>
      <w:ind w:left="4430"/>
      <w:rPr>
        <w:rFonts w:ascii="Arial" w:hAnsi="Arial" w:eastAsia="Arial" w:cs="Arial"/>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37FE3">
    <w:pPr>
      <w:pStyle w:val="1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E20048">
                          <w:pPr>
                            <w:pStyle w:val="1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9E20048">
                    <w:pPr>
                      <w:pStyle w:val="15"/>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5F213">
    <w:pPr>
      <w:pStyle w:val="17"/>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7FCE20"/>
    <w:multiLevelType w:val="singleLevel"/>
    <w:tmpl w:val="087FCE2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3AD1"/>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5925A4"/>
    <w:rsid w:val="017B1BF9"/>
    <w:rsid w:val="01E93A1B"/>
    <w:rsid w:val="01F66ABD"/>
    <w:rsid w:val="0214602E"/>
    <w:rsid w:val="025F2E79"/>
    <w:rsid w:val="03486B27"/>
    <w:rsid w:val="040A094E"/>
    <w:rsid w:val="05637A58"/>
    <w:rsid w:val="056F201D"/>
    <w:rsid w:val="05B664D4"/>
    <w:rsid w:val="064B485A"/>
    <w:rsid w:val="068C65C4"/>
    <w:rsid w:val="07076C01"/>
    <w:rsid w:val="071C12AC"/>
    <w:rsid w:val="07A934B3"/>
    <w:rsid w:val="07EB6287"/>
    <w:rsid w:val="0806421B"/>
    <w:rsid w:val="0842480A"/>
    <w:rsid w:val="0980799C"/>
    <w:rsid w:val="09944B8E"/>
    <w:rsid w:val="0A6A18DB"/>
    <w:rsid w:val="0A975B48"/>
    <w:rsid w:val="0AEF3828"/>
    <w:rsid w:val="0B406381"/>
    <w:rsid w:val="0BB452AA"/>
    <w:rsid w:val="0BBB665B"/>
    <w:rsid w:val="0EEA6FC1"/>
    <w:rsid w:val="0F790928"/>
    <w:rsid w:val="10CD72BB"/>
    <w:rsid w:val="10CE2CDC"/>
    <w:rsid w:val="12197477"/>
    <w:rsid w:val="12697EEF"/>
    <w:rsid w:val="131B5CD3"/>
    <w:rsid w:val="13776448"/>
    <w:rsid w:val="1466407E"/>
    <w:rsid w:val="14834E28"/>
    <w:rsid w:val="148E7D65"/>
    <w:rsid w:val="15231BF9"/>
    <w:rsid w:val="153A7FBF"/>
    <w:rsid w:val="15966195"/>
    <w:rsid w:val="15C4546D"/>
    <w:rsid w:val="17AA7099"/>
    <w:rsid w:val="1A064976"/>
    <w:rsid w:val="1A3B68AA"/>
    <w:rsid w:val="1A3E1C1E"/>
    <w:rsid w:val="1AAD52A6"/>
    <w:rsid w:val="1B6F4F40"/>
    <w:rsid w:val="1C141836"/>
    <w:rsid w:val="1C76537D"/>
    <w:rsid w:val="1D8B244D"/>
    <w:rsid w:val="1E6B6A14"/>
    <w:rsid w:val="1ED15AFD"/>
    <w:rsid w:val="1FD842B6"/>
    <w:rsid w:val="20550D9A"/>
    <w:rsid w:val="218E2416"/>
    <w:rsid w:val="226915FE"/>
    <w:rsid w:val="229273EC"/>
    <w:rsid w:val="23762A3E"/>
    <w:rsid w:val="23BC656D"/>
    <w:rsid w:val="241804A5"/>
    <w:rsid w:val="24B97929"/>
    <w:rsid w:val="24D632D7"/>
    <w:rsid w:val="266B14CE"/>
    <w:rsid w:val="26CF6D3E"/>
    <w:rsid w:val="27D65DBA"/>
    <w:rsid w:val="285F40CA"/>
    <w:rsid w:val="289E1AF0"/>
    <w:rsid w:val="28C01ECB"/>
    <w:rsid w:val="29BF71E3"/>
    <w:rsid w:val="29D6387F"/>
    <w:rsid w:val="2A127B63"/>
    <w:rsid w:val="2A451A6C"/>
    <w:rsid w:val="2AAA4765"/>
    <w:rsid w:val="2AC21606"/>
    <w:rsid w:val="2AD63D42"/>
    <w:rsid w:val="2B7E7608"/>
    <w:rsid w:val="2B7F04E9"/>
    <w:rsid w:val="2B8B554A"/>
    <w:rsid w:val="2D496D68"/>
    <w:rsid w:val="2DC53663"/>
    <w:rsid w:val="2DF86DBF"/>
    <w:rsid w:val="2E7A48DE"/>
    <w:rsid w:val="2EBA5177"/>
    <w:rsid w:val="2EDC3ED8"/>
    <w:rsid w:val="2F104B00"/>
    <w:rsid w:val="2F37226F"/>
    <w:rsid w:val="2F6351B4"/>
    <w:rsid w:val="2FC86126"/>
    <w:rsid w:val="2FCF199E"/>
    <w:rsid w:val="30483E83"/>
    <w:rsid w:val="30BF3991"/>
    <w:rsid w:val="3111619A"/>
    <w:rsid w:val="319775DB"/>
    <w:rsid w:val="31B139DC"/>
    <w:rsid w:val="32497AF3"/>
    <w:rsid w:val="343C0775"/>
    <w:rsid w:val="34DA1B89"/>
    <w:rsid w:val="356A5F87"/>
    <w:rsid w:val="356C50EC"/>
    <w:rsid w:val="36137E45"/>
    <w:rsid w:val="36376E0A"/>
    <w:rsid w:val="3700166C"/>
    <w:rsid w:val="379A1012"/>
    <w:rsid w:val="38694EE9"/>
    <w:rsid w:val="3A6818FA"/>
    <w:rsid w:val="3B365CC9"/>
    <w:rsid w:val="3B9A7B88"/>
    <w:rsid w:val="3D2C7AC8"/>
    <w:rsid w:val="3D855D12"/>
    <w:rsid w:val="3D8B42FF"/>
    <w:rsid w:val="3DE86C4C"/>
    <w:rsid w:val="3DF36A6E"/>
    <w:rsid w:val="3EBA1EE9"/>
    <w:rsid w:val="3F792F1E"/>
    <w:rsid w:val="40824826"/>
    <w:rsid w:val="40E63923"/>
    <w:rsid w:val="42D75BD6"/>
    <w:rsid w:val="43A91E5B"/>
    <w:rsid w:val="44192436"/>
    <w:rsid w:val="449E0D39"/>
    <w:rsid w:val="45E32B26"/>
    <w:rsid w:val="463A3650"/>
    <w:rsid w:val="46461627"/>
    <w:rsid w:val="469F0116"/>
    <w:rsid w:val="475259B7"/>
    <w:rsid w:val="488302AE"/>
    <w:rsid w:val="48831CF9"/>
    <w:rsid w:val="49024C9C"/>
    <w:rsid w:val="49B1408D"/>
    <w:rsid w:val="4A7D4FD2"/>
    <w:rsid w:val="4A913C9A"/>
    <w:rsid w:val="4AE50A49"/>
    <w:rsid w:val="4B1F70AC"/>
    <w:rsid w:val="4B240F94"/>
    <w:rsid w:val="4C0832E5"/>
    <w:rsid w:val="4C3C565C"/>
    <w:rsid w:val="4CCC79C7"/>
    <w:rsid w:val="4D7555C7"/>
    <w:rsid w:val="4EAE6DA0"/>
    <w:rsid w:val="4FE617D9"/>
    <w:rsid w:val="5016514B"/>
    <w:rsid w:val="50BD4DF3"/>
    <w:rsid w:val="50FC1A26"/>
    <w:rsid w:val="51723664"/>
    <w:rsid w:val="51CB1C78"/>
    <w:rsid w:val="51FD6A51"/>
    <w:rsid w:val="52500997"/>
    <w:rsid w:val="526B680A"/>
    <w:rsid w:val="52836F71"/>
    <w:rsid w:val="52D26B02"/>
    <w:rsid w:val="541A5D30"/>
    <w:rsid w:val="55AF3223"/>
    <w:rsid w:val="55C1559C"/>
    <w:rsid w:val="55F068CD"/>
    <w:rsid w:val="566C3136"/>
    <w:rsid w:val="568D04F2"/>
    <w:rsid w:val="5A526582"/>
    <w:rsid w:val="5A5F5C77"/>
    <w:rsid w:val="5A711A0D"/>
    <w:rsid w:val="5B1613E4"/>
    <w:rsid w:val="5B78003B"/>
    <w:rsid w:val="5BC11A60"/>
    <w:rsid w:val="5C7A4D54"/>
    <w:rsid w:val="5CD23B73"/>
    <w:rsid w:val="5F127819"/>
    <w:rsid w:val="5FC14778"/>
    <w:rsid w:val="5FFD6DB2"/>
    <w:rsid w:val="60350ED3"/>
    <w:rsid w:val="60B72AEE"/>
    <w:rsid w:val="61025188"/>
    <w:rsid w:val="61057D5F"/>
    <w:rsid w:val="6126068F"/>
    <w:rsid w:val="614D4977"/>
    <w:rsid w:val="62FD1A73"/>
    <w:rsid w:val="63C60FC0"/>
    <w:rsid w:val="64BA3D7A"/>
    <w:rsid w:val="64F179BC"/>
    <w:rsid w:val="65BF13F2"/>
    <w:rsid w:val="665704D3"/>
    <w:rsid w:val="67C065A4"/>
    <w:rsid w:val="67D359C9"/>
    <w:rsid w:val="68042537"/>
    <w:rsid w:val="68FE36DD"/>
    <w:rsid w:val="694E60FC"/>
    <w:rsid w:val="69E95A08"/>
    <w:rsid w:val="6A256904"/>
    <w:rsid w:val="6ABB1E2F"/>
    <w:rsid w:val="6B07751E"/>
    <w:rsid w:val="6B656832"/>
    <w:rsid w:val="6C675CE6"/>
    <w:rsid w:val="6CE253A8"/>
    <w:rsid w:val="6D4F4321"/>
    <w:rsid w:val="6DF41B82"/>
    <w:rsid w:val="6DFF7360"/>
    <w:rsid w:val="6E056D8A"/>
    <w:rsid w:val="6E7A5F73"/>
    <w:rsid w:val="6E873A42"/>
    <w:rsid w:val="6EE90F9D"/>
    <w:rsid w:val="6F3E1BF8"/>
    <w:rsid w:val="6FCB7C1F"/>
    <w:rsid w:val="6FD74228"/>
    <w:rsid w:val="7021106F"/>
    <w:rsid w:val="71497415"/>
    <w:rsid w:val="71633091"/>
    <w:rsid w:val="71AC1757"/>
    <w:rsid w:val="73081CA5"/>
    <w:rsid w:val="74201F7D"/>
    <w:rsid w:val="7487762D"/>
    <w:rsid w:val="74C33AA4"/>
    <w:rsid w:val="75210D7A"/>
    <w:rsid w:val="75385498"/>
    <w:rsid w:val="75F37776"/>
    <w:rsid w:val="76BC207F"/>
    <w:rsid w:val="76EB4904"/>
    <w:rsid w:val="77645DCD"/>
    <w:rsid w:val="777378F5"/>
    <w:rsid w:val="777A2D3C"/>
    <w:rsid w:val="77EF336C"/>
    <w:rsid w:val="78474930"/>
    <w:rsid w:val="79074B81"/>
    <w:rsid w:val="794F0939"/>
    <w:rsid w:val="79AF0FCA"/>
    <w:rsid w:val="7AF9279C"/>
    <w:rsid w:val="7C4F3575"/>
    <w:rsid w:val="7CC51958"/>
    <w:rsid w:val="7CD53DF9"/>
    <w:rsid w:val="7D097C86"/>
    <w:rsid w:val="7E2936C3"/>
    <w:rsid w:val="7E6411B9"/>
    <w:rsid w:val="7E9C365C"/>
    <w:rsid w:val="7F483C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nhideWhenUsed="0" w:uiPriority="0"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58"/>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60"/>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5"/>
    <w:autoRedefine/>
    <w:qFormat/>
    <w:uiPriority w:val="0"/>
    <w:pPr>
      <w:keepNext/>
      <w:keepLines/>
      <w:spacing w:before="280" w:after="290" w:line="376" w:lineRule="auto"/>
      <w:outlineLvl w:val="3"/>
    </w:pPr>
    <w:rPr>
      <w:b/>
      <w:bCs/>
      <w:sz w:val="28"/>
      <w:szCs w:val="28"/>
    </w:rPr>
  </w:style>
  <w:style w:type="character" w:default="1" w:styleId="27">
    <w:name w:val="Default Paragraph Font"/>
    <w:autoRedefine/>
    <w:semiHidden/>
    <w:unhideWhenUsed/>
    <w:qFormat/>
    <w:uiPriority w:val="1"/>
  </w:style>
  <w:style w:type="table" w:default="1" w:styleId="25">
    <w:name w:val="Normal Table"/>
    <w:autoRedefin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260"/>
      <w:jc w:val="left"/>
    </w:pPr>
    <w:rPr>
      <w:sz w:val="18"/>
      <w:szCs w:val="18"/>
    </w:rPr>
  </w:style>
  <w:style w:type="paragraph" w:styleId="7">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8">
    <w:name w:val="annotation text"/>
    <w:basedOn w:val="1"/>
    <w:link w:val="57"/>
    <w:autoRedefine/>
    <w:qFormat/>
    <w:uiPriority w:val="0"/>
    <w:pPr>
      <w:jc w:val="left"/>
    </w:pPr>
    <w:rPr>
      <w:rFonts w:ascii="Arial" w:hAnsi="Arial" w:eastAsia="黑体" w:cs="Arial"/>
    </w:rPr>
  </w:style>
  <w:style w:type="paragraph" w:styleId="9">
    <w:name w:val="Body Text"/>
    <w:basedOn w:val="1"/>
    <w:autoRedefine/>
    <w:qFormat/>
    <w:uiPriority w:val="0"/>
    <w:pPr>
      <w:spacing w:after="120"/>
    </w:pPr>
    <w:rPr>
      <w:rFonts w:ascii="@微软简标宋" w:hAnsi="@微软简标宋" w:eastAsia="@微软简标宋" w:cs="@微软简标宋"/>
      <w:szCs w:val="24"/>
      <w:lang w:val="zh-CN"/>
    </w:rPr>
  </w:style>
  <w:style w:type="paragraph" w:styleId="10">
    <w:name w:val="Body Text Indent"/>
    <w:basedOn w:val="1"/>
    <w:autoRedefine/>
    <w:qFormat/>
    <w:uiPriority w:val="0"/>
    <w:pPr>
      <w:spacing w:after="120"/>
      <w:ind w:left="420" w:leftChars="200"/>
    </w:pPr>
  </w:style>
  <w:style w:type="paragraph" w:styleId="11">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2">
    <w:name w:val="Plain Text"/>
    <w:basedOn w:val="1"/>
    <w:link w:val="47"/>
    <w:autoRedefine/>
    <w:qFormat/>
    <w:uiPriority w:val="99"/>
    <w:rPr>
      <w:rFonts w:ascii="宋体" w:hAnsi="Courier New" w:eastAsiaTheme="minorEastAsia" w:cstheme="minorBidi"/>
      <w:szCs w:val="22"/>
    </w:rPr>
  </w:style>
  <w:style w:type="paragraph" w:styleId="13">
    <w:name w:val="Date"/>
    <w:basedOn w:val="1"/>
    <w:next w:val="1"/>
    <w:link w:val="54"/>
    <w:autoRedefine/>
    <w:qFormat/>
    <w:uiPriority w:val="0"/>
    <w:rPr>
      <w:rFonts w:ascii="Arial" w:hAnsi="Arial" w:eastAsia="宋体" w:cs="Arial"/>
      <w:b/>
      <w:sz w:val="28"/>
    </w:rPr>
  </w:style>
  <w:style w:type="paragraph" w:styleId="14">
    <w:name w:val="Balloon Text"/>
    <w:basedOn w:val="1"/>
    <w:link w:val="41"/>
    <w:autoRedefine/>
    <w:semiHidden/>
    <w:unhideWhenUsed/>
    <w:qFormat/>
    <w:uiPriority w:val="99"/>
    <w:rPr>
      <w:sz w:val="18"/>
      <w:szCs w:val="18"/>
    </w:rPr>
  </w:style>
  <w:style w:type="paragraph" w:styleId="15">
    <w:name w:val="footer"/>
    <w:basedOn w:val="1"/>
    <w:link w:val="46"/>
    <w:autoRedefine/>
    <w:unhideWhenUsed/>
    <w:qFormat/>
    <w:uiPriority w:val="99"/>
    <w:pPr>
      <w:tabs>
        <w:tab w:val="center" w:pos="4153"/>
        <w:tab w:val="right" w:pos="8306"/>
      </w:tabs>
      <w:snapToGrid w:val="0"/>
      <w:jc w:val="left"/>
    </w:pPr>
    <w:rPr>
      <w:sz w:val="18"/>
      <w:szCs w:val="18"/>
    </w:rPr>
  </w:style>
  <w:style w:type="paragraph" w:styleId="16">
    <w:name w:val="envelope return"/>
    <w:basedOn w:val="1"/>
    <w:next w:val="6"/>
    <w:qFormat/>
    <w:uiPriority w:val="0"/>
    <w:pPr>
      <w:snapToGrid w:val="0"/>
    </w:pPr>
    <w:rPr>
      <w:rFonts w:ascii="Arial" w:hAnsi="Arial"/>
    </w:rPr>
  </w:style>
  <w:style w:type="paragraph" w:styleId="17">
    <w:name w:val="header"/>
    <w:basedOn w:val="1"/>
    <w:link w:val="4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9">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0">
    <w:name w:val="Body Text 2"/>
    <w:basedOn w:val="1"/>
    <w:unhideWhenUsed/>
    <w:qFormat/>
    <w:uiPriority w:val="99"/>
    <w:pPr>
      <w:spacing w:after="120" w:line="480" w:lineRule="auto"/>
    </w:pPr>
  </w:style>
  <w:style w:type="paragraph" w:styleId="21">
    <w:name w:val="Normal (Web)"/>
    <w:basedOn w:val="1"/>
    <w:autoRedefine/>
    <w:qFormat/>
    <w:uiPriority w:val="0"/>
    <w:pPr>
      <w:spacing w:before="100" w:beforeAutospacing="1" w:after="100" w:afterAutospacing="1"/>
      <w:jc w:val="left"/>
    </w:pPr>
    <w:rPr>
      <w:rFonts w:cs="Times New Roman"/>
      <w:kern w:val="0"/>
      <w:sz w:val="24"/>
    </w:rPr>
  </w:style>
  <w:style w:type="paragraph" w:styleId="22">
    <w:name w:val="index 1"/>
    <w:basedOn w:val="1"/>
    <w:next w:val="1"/>
    <w:autoRedefine/>
    <w:qFormat/>
    <w:uiPriority w:val="0"/>
    <w:pPr>
      <w:jc w:val="center"/>
    </w:pPr>
    <w:rPr>
      <w:rFonts w:ascii="Arial" w:hAnsi="Arial" w:eastAsia="Arial" w:cs="Arial"/>
      <w:b/>
      <w:bCs/>
      <w:sz w:val="28"/>
    </w:rPr>
  </w:style>
  <w:style w:type="paragraph" w:styleId="23">
    <w:name w:val="annotation subject"/>
    <w:basedOn w:val="8"/>
    <w:next w:val="8"/>
    <w:link w:val="68"/>
    <w:autoRedefine/>
    <w:semiHidden/>
    <w:unhideWhenUsed/>
    <w:qFormat/>
    <w:uiPriority w:val="99"/>
    <w:rPr>
      <w:rFonts w:ascii="@仿宋_GB2312" w:hAnsi="@仿宋_GB2312" w:eastAsia="@仿宋_GB2312" w:cs="@仿宋_GB2312"/>
      <w:b/>
      <w:bCs/>
    </w:rPr>
  </w:style>
  <w:style w:type="paragraph" w:styleId="24">
    <w:name w:val="Body Text First Indent"/>
    <w:basedOn w:val="9"/>
    <w:autoRedefine/>
    <w:unhideWhenUsed/>
    <w:qFormat/>
    <w:uiPriority w:val="99"/>
    <w:pPr>
      <w:ind w:firstLine="420" w:firstLineChars="100"/>
    </w:pPr>
  </w:style>
  <w:style w:type="table" w:styleId="26">
    <w:name w:val="Table Grid"/>
    <w:basedOn w:val="25"/>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autoRedefine/>
    <w:qFormat/>
    <w:uiPriority w:val="0"/>
    <w:rPr>
      <w:b/>
      <w:bCs/>
    </w:rPr>
  </w:style>
  <w:style w:type="character" w:styleId="29">
    <w:name w:val="FollowedHyperlink"/>
    <w:basedOn w:val="27"/>
    <w:semiHidden/>
    <w:unhideWhenUsed/>
    <w:qFormat/>
    <w:uiPriority w:val="99"/>
    <w:rPr>
      <w:color w:val="5C5C5C"/>
      <w:u w:val="none"/>
    </w:rPr>
  </w:style>
  <w:style w:type="character" w:styleId="30">
    <w:name w:val="Emphasis"/>
    <w:basedOn w:val="27"/>
    <w:qFormat/>
    <w:uiPriority w:val="0"/>
    <w:rPr>
      <w:b/>
      <w:bCs/>
    </w:rPr>
  </w:style>
  <w:style w:type="character" w:styleId="31">
    <w:name w:val="HTML Definition"/>
    <w:basedOn w:val="27"/>
    <w:semiHidden/>
    <w:unhideWhenUsed/>
    <w:qFormat/>
    <w:uiPriority w:val="99"/>
  </w:style>
  <w:style w:type="character" w:styleId="32">
    <w:name w:val="HTML Typewriter"/>
    <w:basedOn w:val="27"/>
    <w:semiHidden/>
    <w:unhideWhenUsed/>
    <w:qFormat/>
    <w:uiPriority w:val="99"/>
    <w:rPr>
      <w:rFonts w:hint="default" w:ascii="monospace" w:hAnsi="monospace" w:eastAsia="monospace" w:cs="monospace"/>
      <w:sz w:val="20"/>
    </w:rPr>
  </w:style>
  <w:style w:type="character" w:styleId="33">
    <w:name w:val="HTML Acronym"/>
    <w:basedOn w:val="27"/>
    <w:semiHidden/>
    <w:unhideWhenUsed/>
    <w:qFormat/>
    <w:uiPriority w:val="99"/>
    <w:rPr>
      <w:rFonts w:ascii="ActionIcon ! important" w:hAnsi="ActionIcon ! important" w:eastAsia="ActionIcon ! important" w:cs="ActionIcon ! important"/>
      <w:vanish/>
    </w:rPr>
  </w:style>
  <w:style w:type="character" w:styleId="34">
    <w:name w:val="HTML Variable"/>
    <w:basedOn w:val="27"/>
    <w:semiHidden/>
    <w:unhideWhenUsed/>
    <w:qFormat/>
    <w:uiPriority w:val="99"/>
  </w:style>
  <w:style w:type="character" w:styleId="35">
    <w:name w:val="Hyperlink"/>
    <w:basedOn w:val="27"/>
    <w:autoRedefine/>
    <w:unhideWhenUsed/>
    <w:qFormat/>
    <w:uiPriority w:val="99"/>
    <w:rPr>
      <w:color w:val="0000FF" w:themeColor="hyperlink"/>
      <w:u w:val="single"/>
      <w14:textFill>
        <w14:solidFill>
          <w14:schemeClr w14:val="hlink"/>
        </w14:solidFill>
      </w14:textFill>
    </w:rPr>
  </w:style>
  <w:style w:type="character" w:styleId="36">
    <w:name w:val="HTML Code"/>
    <w:basedOn w:val="27"/>
    <w:semiHidden/>
    <w:unhideWhenUsed/>
    <w:qFormat/>
    <w:uiPriority w:val="99"/>
    <w:rPr>
      <w:rFonts w:ascii="monospace" w:hAnsi="monospace" w:eastAsia="monospace" w:cs="monospace"/>
      <w:sz w:val="20"/>
    </w:rPr>
  </w:style>
  <w:style w:type="character" w:styleId="37">
    <w:name w:val="annotation reference"/>
    <w:basedOn w:val="27"/>
    <w:autoRedefine/>
    <w:semiHidden/>
    <w:unhideWhenUsed/>
    <w:qFormat/>
    <w:uiPriority w:val="99"/>
    <w:rPr>
      <w:sz w:val="21"/>
      <w:szCs w:val="21"/>
    </w:rPr>
  </w:style>
  <w:style w:type="character" w:styleId="38">
    <w:name w:val="HTML Cite"/>
    <w:basedOn w:val="27"/>
    <w:semiHidden/>
    <w:unhideWhenUsed/>
    <w:qFormat/>
    <w:uiPriority w:val="99"/>
  </w:style>
  <w:style w:type="character" w:styleId="39">
    <w:name w:val="HTML Keyboard"/>
    <w:basedOn w:val="27"/>
    <w:semiHidden/>
    <w:unhideWhenUsed/>
    <w:qFormat/>
    <w:uiPriority w:val="99"/>
    <w:rPr>
      <w:rFonts w:hint="default" w:ascii="monospace" w:hAnsi="monospace" w:eastAsia="monospace" w:cs="monospace"/>
      <w:sz w:val="20"/>
    </w:rPr>
  </w:style>
  <w:style w:type="character" w:styleId="40">
    <w:name w:val="HTML Sample"/>
    <w:basedOn w:val="27"/>
    <w:semiHidden/>
    <w:unhideWhenUsed/>
    <w:qFormat/>
    <w:uiPriority w:val="99"/>
    <w:rPr>
      <w:rFonts w:hint="default" w:ascii="monospace" w:hAnsi="monospace" w:eastAsia="monospace" w:cs="monospace"/>
    </w:rPr>
  </w:style>
  <w:style w:type="character" w:customStyle="1" w:styleId="41">
    <w:name w:val="批注框文本 Char"/>
    <w:basedOn w:val="27"/>
    <w:link w:val="14"/>
    <w:autoRedefine/>
    <w:semiHidden/>
    <w:qFormat/>
    <w:uiPriority w:val="99"/>
    <w:rPr>
      <w:rFonts w:ascii="@仿宋_GB2312" w:hAnsi="@仿宋_GB2312" w:eastAsia="@仿宋_GB2312" w:cs="@仿宋_GB2312"/>
      <w:sz w:val="18"/>
      <w:szCs w:val="18"/>
    </w:rPr>
  </w:style>
  <w:style w:type="paragraph" w:customStyle="1" w:styleId="42">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43">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4">
    <w:name w:val="D&amp;L"/>
    <w:basedOn w:val="17"/>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5">
    <w:name w:val="页眉 Char"/>
    <w:basedOn w:val="27"/>
    <w:link w:val="17"/>
    <w:autoRedefine/>
    <w:qFormat/>
    <w:uiPriority w:val="99"/>
    <w:rPr>
      <w:rFonts w:ascii="@仿宋_GB2312" w:hAnsi="@仿宋_GB2312" w:eastAsia="@仿宋_GB2312" w:cs="@仿宋_GB2312"/>
      <w:sz w:val="18"/>
      <w:szCs w:val="18"/>
    </w:rPr>
  </w:style>
  <w:style w:type="character" w:customStyle="1" w:styleId="46">
    <w:name w:val="页脚 Char"/>
    <w:basedOn w:val="27"/>
    <w:link w:val="15"/>
    <w:autoRedefine/>
    <w:qFormat/>
    <w:uiPriority w:val="99"/>
    <w:rPr>
      <w:rFonts w:ascii="@仿宋_GB2312" w:hAnsi="@仿宋_GB2312" w:eastAsia="@仿宋_GB2312" w:cs="@仿宋_GB2312"/>
      <w:sz w:val="18"/>
      <w:szCs w:val="18"/>
    </w:rPr>
  </w:style>
  <w:style w:type="character" w:customStyle="1" w:styleId="47">
    <w:name w:val="纯文本 Char"/>
    <w:link w:val="12"/>
    <w:autoRedefine/>
    <w:qFormat/>
    <w:uiPriority w:val="0"/>
    <w:rPr>
      <w:rFonts w:ascii="宋体" w:hAnsi="Courier New"/>
    </w:rPr>
  </w:style>
  <w:style w:type="character" w:customStyle="1" w:styleId="48">
    <w:name w:val="纯文本 字符1"/>
    <w:basedOn w:val="27"/>
    <w:autoRedefine/>
    <w:semiHidden/>
    <w:qFormat/>
    <w:uiPriority w:val="99"/>
    <w:rPr>
      <w:rFonts w:hAnsi="Courier New" w:cs="Courier New" w:asciiTheme="minorEastAsia"/>
      <w:szCs w:val="20"/>
    </w:rPr>
  </w:style>
  <w:style w:type="character" w:customStyle="1" w:styleId="49">
    <w:name w:val="未处理的提及1"/>
    <w:basedOn w:val="27"/>
    <w:autoRedefine/>
    <w:semiHidden/>
    <w:unhideWhenUsed/>
    <w:qFormat/>
    <w:uiPriority w:val="99"/>
    <w:rPr>
      <w:color w:val="605E5C"/>
      <w:shd w:val="clear" w:color="auto" w:fill="E1DFDD"/>
    </w:rPr>
  </w:style>
  <w:style w:type="paragraph" w:styleId="50">
    <w:name w:val="List Paragraph"/>
    <w:basedOn w:val="1"/>
    <w:autoRedefine/>
    <w:qFormat/>
    <w:uiPriority w:val="34"/>
    <w:pPr>
      <w:ind w:firstLine="420" w:firstLineChars="200"/>
    </w:pPr>
  </w:style>
  <w:style w:type="paragraph" w:customStyle="1" w:styleId="51">
    <w:name w:val="Char Char Char Char Char Char Char1 Char"/>
    <w:basedOn w:val="1"/>
    <w:autoRedefine/>
    <w:qFormat/>
    <w:uiPriority w:val="0"/>
    <w:rPr>
      <w:rFonts w:ascii="Arial" w:hAnsi="Arial" w:eastAsia="宋体" w:cs="Arial"/>
      <w:sz w:val="24"/>
    </w:rPr>
  </w:style>
  <w:style w:type="table" w:customStyle="1" w:styleId="52">
    <w:name w:val="网格表 1 浅色1"/>
    <w:basedOn w:val="25"/>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3">
    <w:name w:val="日期 字符"/>
    <w:basedOn w:val="27"/>
    <w:autoRedefine/>
    <w:semiHidden/>
    <w:qFormat/>
    <w:uiPriority w:val="99"/>
    <w:rPr>
      <w:rFonts w:ascii="@仿宋_GB2312" w:hAnsi="@仿宋_GB2312" w:eastAsia="@仿宋_GB2312" w:cs="@仿宋_GB2312"/>
      <w:szCs w:val="20"/>
    </w:rPr>
  </w:style>
  <w:style w:type="character" w:customStyle="1" w:styleId="54">
    <w:name w:val="日期 Char"/>
    <w:link w:val="13"/>
    <w:autoRedefine/>
    <w:qFormat/>
    <w:uiPriority w:val="0"/>
    <w:rPr>
      <w:rFonts w:ascii="Arial" w:hAnsi="Arial" w:eastAsia="宋体" w:cs="Arial"/>
      <w:b/>
      <w:sz w:val="28"/>
      <w:szCs w:val="20"/>
    </w:rPr>
  </w:style>
  <w:style w:type="character" w:customStyle="1" w:styleId="55">
    <w:name w:val="纯文本 Char1"/>
    <w:autoRedefine/>
    <w:qFormat/>
    <w:locked/>
    <w:uiPriority w:val="99"/>
    <w:rPr>
      <w:rFonts w:ascii="Arial" w:hAnsi="Arial" w:eastAsia="Arial"/>
      <w:kern w:val="2"/>
      <w:sz w:val="21"/>
      <w:lang w:val="en-US" w:eastAsia="zh-CN" w:bidi="ar-SA"/>
    </w:rPr>
  </w:style>
  <w:style w:type="character" w:customStyle="1" w:styleId="56">
    <w:name w:val="批注文字 Char"/>
    <w:basedOn w:val="27"/>
    <w:autoRedefine/>
    <w:semiHidden/>
    <w:qFormat/>
    <w:uiPriority w:val="99"/>
    <w:rPr>
      <w:rFonts w:ascii="@仿宋_GB2312" w:hAnsi="@仿宋_GB2312" w:eastAsia="@仿宋_GB2312" w:cs="@仿宋_GB2312"/>
      <w:szCs w:val="20"/>
    </w:rPr>
  </w:style>
  <w:style w:type="character" w:customStyle="1" w:styleId="57">
    <w:name w:val="批注文字 Char1"/>
    <w:link w:val="8"/>
    <w:autoRedefine/>
    <w:qFormat/>
    <w:uiPriority w:val="0"/>
    <w:rPr>
      <w:rFonts w:ascii="Arial" w:hAnsi="Arial" w:eastAsia="黑体" w:cs="Arial"/>
      <w:szCs w:val="20"/>
    </w:rPr>
  </w:style>
  <w:style w:type="character" w:customStyle="1" w:styleId="58">
    <w:name w:val="标题 1 Char"/>
    <w:basedOn w:val="27"/>
    <w:link w:val="2"/>
    <w:autoRedefine/>
    <w:qFormat/>
    <w:uiPriority w:val="9"/>
    <w:rPr>
      <w:rFonts w:ascii="@仿宋_GB2312" w:hAnsi="@仿宋_GB2312" w:eastAsia="@仿宋_GB2312" w:cs="@仿宋_GB2312"/>
      <w:b/>
      <w:bCs/>
      <w:kern w:val="44"/>
      <w:sz w:val="44"/>
      <w:szCs w:val="44"/>
    </w:rPr>
  </w:style>
  <w:style w:type="paragraph" w:customStyle="1" w:styleId="59">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0">
    <w:name w:val="标题 3 Char"/>
    <w:basedOn w:val="27"/>
    <w:link w:val="4"/>
    <w:autoRedefine/>
    <w:semiHidden/>
    <w:qFormat/>
    <w:uiPriority w:val="9"/>
    <w:rPr>
      <w:rFonts w:ascii="@仿宋_GB2312" w:hAnsi="@仿宋_GB2312" w:eastAsia="@仿宋_GB2312" w:cs="@仿宋_GB2312"/>
      <w:b/>
      <w:bCs/>
      <w:sz w:val="32"/>
      <w:szCs w:val="32"/>
    </w:rPr>
  </w:style>
  <w:style w:type="character" w:customStyle="1" w:styleId="61">
    <w:name w:val="fontstyle01"/>
    <w:basedOn w:val="27"/>
    <w:autoRedefine/>
    <w:qFormat/>
    <w:uiPriority w:val="0"/>
    <w:rPr>
      <w:rFonts w:hint="eastAsia" w:ascii="宋体" w:hAnsi="宋体" w:eastAsia="宋体"/>
      <w:color w:val="000000"/>
      <w:sz w:val="22"/>
      <w:szCs w:val="22"/>
    </w:rPr>
  </w:style>
  <w:style w:type="character" w:customStyle="1" w:styleId="62">
    <w:name w:val="fontstyle21"/>
    <w:basedOn w:val="27"/>
    <w:autoRedefine/>
    <w:qFormat/>
    <w:uiPriority w:val="0"/>
    <w:rPr>
      <w:rFonts w:hint="default" w:ascii="TimesNewRomanPSMT" w:hAnsi="TimesNewRomanPSMT"/>
      <w:color w:val="000000"/>
      <w:sz w:val="22"/>
      <w:szCs w:val="22"/>
    </w:rPr>
  </w:style>
  <w:style w:type="character" w:customStyle="1" w:styleId="63">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4">
    <w:name w:val="标题 4 字符"/>
    <w:basedOn w:val="27"/>
    <w:autoRedefine/>
    <w:semiHidden/>
    <w:qFormat/>
    <w:uiPriority w:val="9"/>
    <w:rPr>
      <w:rFonts w:asciiTheme="majorHAnsi" w:hAnsiTheme="majorHAnsi" w:eastAsiaTheme="majorEastAsia" w:cstheme="majorBidi"/>
      <w:b/>
      <w:bCs/>
      <w:sz w:val="28"/>
      <w:szCs w:val="28"/>
    </w:rPr>
  </w:style>
  <w:style w:type="character" w:customStyle="1" w:styleId="65">
    <w:name w:val="标题 4 Char1"/>
    <w:link w:val="5"/>
    <w:autoRedefine/>
    <w:qFormat/>
    <w:uiPriority w:val="0"/>
    <w:rPr>
      <w:rFonts w:ascii="@仿宋_GB2312" w:hAnsi="@仿宋_GB2312" w:eastAsia="@仿宋_GB2312" w:cs="@仿宋_GB2312"/>
      <w:b/>
      <w:bCs/>
      <w:sz w:val="28"/>
      <w:szCs w:val="28"/>
    </w:rPr>
  </w:style>
  <w:style w:type="character" w:customStyle="1" w:styleId="66">
    <w:name w:val="标题 4 Char"/>
    <w:autoRedefine/>
    <w:qFormat/>
    <w:uiPriority w:val="0"/>
    <w:rPr>
      <w:rFonts w:ascii="Arial" w:hAnsi="Arial" w:eastAsia="Arial"/>
      <w:b/>
      <w:bCs/>
      <w:kern w:val="2"/>
      <w:sz w:val="28"/>
      <w:szCs w:val="28"/>
      <w:lang w:val="en-US" w:eastAsia="zh-CN" w:bidi="ar-SA"/>
    </w:rPr>
  </w:style>
  <w:style w:type="table" w:customStyle="1" w:styleId="67">
    <w:name w:val="网格型1"/>
    <w:basedOn w:val="2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8">
    <w:name w:val="批注主题 Char"/>
    <w:basedOn w:val="57"/>
    <w:link w:val="23"/>
    <w:autoRedefine/>
    <w:semiHidden/>
    <w:qFormat/>
    <w:uiPriority w:val="99"/>
    <w:rPr>
      <w:rFonts w:ascii="@仿宋_GB2312" w:hAnsi="@仿宋_GB2312" w:eastAsia="@仿宋_GB2312" w:cs="@仿宋_GB2312"/>
      <w:b/>
      <w:bCs/>
      <w:szCs w:val="20"/>
    </w:rPr>
  </w:style>
  <w:style w:type="table" w:customStyle="1" w:styleId="69">
    <w:name w:val="Table Normal"/>
    <w:autoRedefine/>
    <w:semiHidden/>
    <w:unhideWhenUsed/>
    <w:qFormat/>
    <w:uiPriority w:val="0"/>
    <w:tblPr>
      <w:tblCellMar>
        <w:top w:w="0" w:type="dxa"/>
        <w:left w:w="0" w:type="dxa"/>
        <w:bottom w:w="0" w:type="dxa"/>
        <w:right w:w="0" w:type="dxa"/>
      </w:tblCellMar>
    </w:tblPr>
  </w:style>
  <w:style w:type="paragraph" w:customStyle="1" w:styleId="70">
    <w:name w:val="Table Text"/>
    <w:basedOn w:val="1"/>
    <w:autoRedefine/>
    <w:semiHidden/>
    <w:qFormat/>
    <w:uiPriority w:val="0"/>
    <w:rPr>
      <w:rFonts w:ascii="Arial" w:hAnsi="Arial" w:eastAsia="Arial" w:cs="Arial"/>
      <w:sz w:val="21"/>
      <w:szCs w:val="21"/>
      <w:lang w:val="en-US" w:eastAsia="en-US" w:bidi="ar-SA"/>
    </w:rPr>
  </w:style>
  <w:style w:type="paragraph" w:customStyle="1" w:styleId="71">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2">
    <w:name w:val="列出段落1"/>
    <w:basedOn w:val="1"/>
    <w:autoRedefine/>
    <w:qFormat/>
    <w:uiPriority w:val="0"/>
    <w:pPr>
      <w:ind w:firstLine="420" w:firstLineChars="200"/>
    </w:pPr>
    <w:rPr>
      <w:szCs w:val="21"/>
    </w:rPr>
  </w:style>
  <w:style w:type="paragraph" w:customStyle="1" w:styleId="73">
    <w:name w:val="样式 ！正文 + 首行缩进:  2 字符"/>
    <w:basedOn w:val="1"/>
    <w:qFormat/>
    <w:uiPriority w:val="0"/>
    <w:pPr>
      <w:ind w:firstLine="480" w:firstLineChars="200"/>
    </w:pPr>
    <w:rPr>
      <w:rFonts w:hint="eastAsia" w:ascii="Arial" w:hAnsi="Arial" w:cs="宋体"/>
    </w:rPr>
  </w:style>
  <w:style w:type="character" w:customStyle="1" w:styleId="74">
    <w:name w:val="hover"/>
    <w:basedOn w:val="27"/>
    <w:qFormat/>
    <w:uiPriority w:val="0"/>
    <w:rPr>
      <w:color w:val="2590EB"/>
    </w:rPr>
  </w:style>
  <w:style w:type="character" w:customStyle="1" w:styleId="75">
    <w:name w:val="hover1"/>
    <w:basedOn w:val="27"/>
    <w:qFormat/>
    <w:uiPriority w:val="0"/>
    <w:rPr>
      <w:color w:val="2590EB"/>
    </w:rPr>
  </w:style>
  <w:style w:type="character" w:customStyle="1" w:styleId="76">
    <w:name w:val="hover2"/>
    <w:basedOn w:val="27"/>
    <w:qFormat/>
    <w:uiPriority w:val="0"/>
  </w:style>
  <w:style w:type="character" w:customStyle="1" w:styleId="77">
    <w:name w:val="hover3"/>
    <w:basedOn w:val="27"/>
    <w:qFormat/>
    <w:uiPriority w:val="0"/>
    <w:rPr>
      <w:color w:val="2590EB"/>
      <w:shd w:val="clear" w:fill="E9F4FD"/>
    </w:rPr>
  </w:style>
  <w:style w:type="paragraph" w:customStyle="1" w:styleId="78">
    <w:name w:val="正文文字 8"/>
    <w:basedOn w:val="1"/>
    <w:next w:val="1"/>
    <w:qFormat/>
    <w:uiPriority w:val="0"/>
    <w:pPr>
      <w:ind w:left="240"/>
    </w:pPr>
    <w:rPr>
      <w:sz w:val="16"/>
    </w:rPr>
  </w:style>
  <w:style w:type="character" w:customStyle="1" w:styleId="79">
    <w:name w:val="16"/>
    <w:basedOn w:val="27"/>
    <w:qFormat/>
    <w:uiPriority w:val="0"/>
    <w:rPr>
      <w:rFonts w:hint="default" w:ascii="Times New Roman" w:hAnsi="Times New Roman" w:cs="Times New Roman"/>
      <w:color w:val="0000FF"/>
      <w:u w:val="single"/>
    </w:rPr>
  </w:style>
  <w:style w:type="character" w:customStyle="1" w:styleId="80">
    <w:name w:val="font41"/>
    <w:basedOn w:val="27"/>
    <w:qFormat/>
    <w:uiPriority w:val="0"/>
    <w:rPr>
      <w:rFonts w:hint="eastAsia" w:ascii="宋体" w:hAnsi="宋体" w:eastAsia="宋体" w:cs="宋体"/>
      <w:color w:val="000000"/>
      <w:sz w:val="18"/>
      <w:szCs w:val="18"/>
      <w:u w:val="none"/>
    </w:rPr>
  </w:style>
  <w:style w:type="character" w:customStyle="1" w:styleId="81">
    <w:name w:val="font51"/>
    <w:basedOn w:val="27"/>
    <w:qFormat/>
    <w:uiPriority w:val="0"/>
    <w:rPr>
      <w:rFonts w:hint="eastAsia" w:ascii="宋体" w:hAnsi="宋体" w:eastAsia="宋体" w:cs="宋体"/>
      <w:color w:val="000000"/>
      <w:sz w:val="18"/>
      <w:szCs w:val="18"/>
      <w:u w:val="none"/>
    </w:rPr>
  </w:style>
  <w:style w:type="character" w:customStyle="1" w:styleId="82">
    <w:name w:val="font81"/>
    <w:basedOn w:val="27"/>
    <w:qFormat/>
    <w:uiPriority w:val="0"/>
    <w:rPr>
      <w:rFonts w:hint="eastAsia" w:ascii="宋体" w:hAnsi="宋体" w:eastAsia="宋体" w:cs="宋体"/>
      <w:b/>
      <w:bCs/>
      <w:color w:val="000000"/>
      <w:sz w:val="18"/>
      <w:szCs w:val="18"/>
      <w:u w:val="none"/>
    </w:rPr>
  </w:style>
  <w:style w:type="character" w:customStyle="1" w:styleId="83">
    <w:name w:val="font11"/>
    <w:basedOn w:val="27"/>
    <w:qFormat/>
    <w:uiPriority w:val="0"/>
    <w:rPr>
      <w:rFonts w:hint="eastAsia" w:ascii="宋体" w:hAnsi="宋体" w:eastAsia="宋体" w:cs="宋体"/>
      <w:color w:val="000000"/>
      <w:sz w:val="18"/>
      <w:szCs w:val="18"/>
      <w:u w:val="none"/>
    </w:rPr>
  </w:style>
  <w:style w:type="character" w:customStyle="1" w:styleId="84">
    <w:name w:val="font31"/>
    <w:basedOn w:val="27"/>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96</Pages>
  <Words>2435</Words>
  <Characters>2786</Characters>
  <Lines>244</Lines>
  <Paragraphs>68</Paragraphs>
  <TotalTime>10</TotalTime>
  <ScaleCrop>false</ScaleCrop>
  <LinksUpToDate>false</LinksUpToDate>
  <CharactersWithSpaces>2875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NTKO</cp:lastModifiedBy>
  <cp:lastPrinted>2019-12-07T15:18:00Z</cp:lastPrinted>
  <dcterms:modified xsi:type="dcterms:W3CDTF">2026-08-18T02:35:07Z</dcterms:modified>
  <cp:revision>388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1ECEA165F94845FFAF35C1C96E4FB9B0_12</vt:lpwstr>
  </property>
  <property fmtid="{D5CDD505-2E9C-101B-9397-08002B2CF9AE}" pid="4" name="KSOTemplateDocerSaveRecord">
    <vt:lpwstr>eyJoZGlkIjoiY2RkMWEyZWQzMzVlMTIwNmU2NzU0ODgxZjI5MDllYTciLCJ1c2VySWQiOiI0MDkyMjI1MTkifQ==</vt:lpwstr>
  </property>
</Properties>
</file>