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C20541">
      <w:pPr>
        <w:tabs>
          <w:tab w:val="left" w:pos="315"/>
          <w:tab w:val="left" w:pos="8820"/>
        </w:tabs>
        <w:spacing w:before="312" w:beforeLines="100" w:after="156" w:afterLines="50" w:line="500" w:lineRule="exact"/>
        <w:ind w:right="267" w:rightChars="127"/>
        <w:jc w:val="center"/>
        <w:rPr>
          <w:rFonts w:hint="eastAsia" w:ascii="宋体" w:hAnsi="宋体" w:eastAsia="宋体" w:cs="宋体"/>
          <w:b/>
          <w:bCs/>
          <w:color w:val="auto"/>
          <w:sz w:val="52"/>
          <w:szCs w:val="52"/>
          <w:highlight w:val="none"/>
        </w:rPr>
      </w:pPr>
    </w:p>
    <w:p w14:paraId="3C507378">
      <w:pPr>
        <w:tabs>
          <w:tab w:val="left" w:pos="315"/>
          <w:tab w:val="left" w:pos="8820"/>
        </w:tabs>
        <w:spacing w:before="312" w:beforeLines="100" w:after="156" w:afterLines="50" w:line="500" w:lineRule="exact"/>
        <w:ind w:right="267" w:rightChars="127"/>
        <w:jc w:val="center"/>
        <w:rPr>
          <w:rFonts w:hint="eastAsia" w:ascii="宋体" w:hAnsi="宋体" w:eastAsia="宋体" w:cs="宋体"/>
          <w:b/>
          <w:bCs/>
          <w:color w:val="auto"/>
          <w:sz w:val="52"/>
          <w:szCs w:val="52"/>
          <w:highlight w:val="none"/>
        </w:rPr>
      </w:pPr>
    </w:p>
    <w:p w14:paraId="756A88CC">
      <w:pPr>
        <w:tabs>
          <w:tab w:val="left" w:pos="315"/>
          <w:tab w:val="left" w:pos="8820"/>
        </w:tabs>
        <w:spacing w:before="312" w:beforeLines="100" w:after="156" w:afterLines="50" w:line="500" w:lineRule="exact"/>
        <w:ind w:right="267" w:rightChars="127"/>
        <w:jc w:val="center"/>
        <w:rPr>
          <w:rFonts w:hint="eastAsia" w:ascii="宋体" w:hAnsi="宋体" w:eastAsia="宋体" w:cs="宋体"/>
          <w:b/>
          <w:bCs/>
          <w:color w:val="auto"/>
          <w:sz w:val="52"/>
          <w:szCs w:val="52"/>
          <w:highlight w:val="none"/>
        </w:rPr>
      </w:pPr>
      <w:bookmarkStart w:id="0" w:name="_Hlk9544796"/>
      <w:r>
        <w:rPr>
          <w:rFonts w:hint="eastAsia" w:ascii="宋体" w:hAnsi="宋体" w:eastAsia="宋体" w:cs="宋体"/>
          <w:b/>
          <w:bCs/>
          <w:color w:val="auto"/>
          <w:sz w:val="52"/>
          <w:szCs w:val="52"/>
          <w:highlight w:val="none"/>
        </w:rPr>
        <w:t>安徽省政府采购项目</w:t>
      </w:r>
    </w:p>
    <w:p w14:paraId="130F01E2">
      <w:pPr>
        <w:tabs>
          <w:tab w:val="left" w:pos="315"/>
          <w:tab w:val="left" w:pos="8820"/>
        </w:tabs>
        <w:spacing w:before="312" w:beforeLines="100" w:after="156" w:afterLines="50" w:line="500" w:lineRule="exact"/>
        <w:ind w:right="267" w:rightChars="127"/>
        <w:jc w:val="center"/>
        <w:rPr>
          <w:rFonts w:hint="eastAsia" w:ascii="宋体" w:hAnsi="宋体" w:eastAsia="宋体" w:cs="宋体"/>
          <w:b/>
          <w:bCs/>
          <w:color w:val="auto"/>
          <w:sz w:val="52"/>
          <w:szCs w:val="52"/>
          <w:highlight w:val="none"/>
        </w:rPr>
      </w:pPr>
      <w:r>
        <w:rPr>
          <w:rFonts w:hint="eastAsia" w:ascii="宋体" w:hAnsi="宋体" w:eastAsia="宋体" w:cs="宋体"/>
          <w:b/>
          <w:bCs/>
          <w:color w:val="auto"/>
          <w:sz w:val="52"/>
          <w:szCs w:val="52"/>
          <w:highlight w:val="none"/>
        </w:rPr>
        <w:t>公开招标文件示范文本</w:t>
      </w:r>
      <w:bookmarkEnd w:id="0"/>
      <w:r>
        <w:rPr>
          <w:rFonts w:hint="eastAsia" w:ascii="宋体" w:hAnsi="宋体" w:eastAsia="宋体" w:cs="宋体"/>
          <w:b/>
          <w:bCs/>
          <w:color w:val="auto"/>
          <w:sz w:val="52"/>
          <w:szCs w:val="52"/>
          <w:highlight w:val="none"/>
        </w:rPr>
        <w:t>（货物类）</w:t>
      </w:r>
    </w:p>
    <w:p w14:paraId="41C7F3AC">
      <w:pPr>
        <w:tabs>
          <w:tab w:val="left" w:pos="315"/>
          <w:tab w:val="left" w:pos="8820"/>
        </w:tabs>
        <w:spacing w:before="312" w:beforeLines="100" w:after="156" w:afterLines="50" w:line="500" w:lineRule="exact"/>
        <w:ind w:right="267" w:rightChars="127"/>
        <w:jc w:val="center"/>
        <w:rPr>
          <w:rFonts w:hint="eastAsia" w:ascii="宋体" w:hAnsi="宋体" w:eastAsia="宋体" w:cs="宋体"/>
          <w:b/>
          <w:bCs/>
          <w:color w:val="auto"/>
          <w:sz w:val="52"/>
          <w:szCs w:val="52"/>
          <w:highlight w:val="none"/>
        </w:rPr>
      </w:pPr>
      <w:r>
        <w:rPr>
          <w:rFonts w:hint="eastAsia" w:ascii="宋体" w:hAnsi="宋体" w:eastAsia="宋体" w:cs="宋体"/>
          <w:b/>
          <w:bCs/>
          <w:color w:val="auto"/>
          <w:sz w:val="52"/>
          <w:szCs w:val="52"/>
          <w:highlight w:val="none"/>
        </w:rPr>
        <w:t>（2024年版）</w:t>
      </w:r>
    </w:p>
    <w:p w14:paraId="2EDBECA5">
      <w:pPr>
        <w:tabs>
          <w:tab w:val="left" w:pos="315"/>
          <w:tab w:val="left" w:pos="8820"/>
        </w:tabs>
        <w:spacing w:before="312" w:beforeLines="100" w:after="156" w:afterLines="50" w:line="500" w:lineRule="exact"/>
        <w:ind w:right="267" w:rightChars="127"/>
        <w:jc w:val="center"/>
        <w:rPr>
          <w:rFonts w:hint="eastAsia" w:ascii="宋体" w:hAnsi="宋体" w:eastAsia="宋体" w:cs="宋体"/>
          <w:b/>
          <w:bCs/>
          <w:color w:val="auto"/>
          <w:sz w:val="44"/>
          <w:szCs w:val="44"/>
          <w:highlight w:val="none"/>
        </w:rPr>
      </w:pPr>
    </w:p>
    <w:p w14:paraId="461243A4">
      <w:pPr>
        <w:tabs>
          <w:tab w:val="left" w:pos="315"/>
          <w:tab w:val="left" w:pos="8820"/>
        </w:tabs>
        <w:spacing w:before="312" w:beforeLines="100" w:after="156" w:afterLines="50" w:line="500" w:lineRule="exact"/>
        <w:ind w:right="267" w:rightChars="127"/>
        <w:jc w:val="center"/>
        <w:rPr>
          <w:rFonts w:hint="eastAsia" w:ascii="宋体" w:hAnsi="宋体" w:eastAsia="宋体" w:cs="宋体"/>
          <w:b/>
          <w:bCs/>
          <w:color w:val="auto"/>
          <w:sz w:val="44"/>
          <w:szCs w:val="44"/>
          <w:highlight w:val="none"/>
        </w:rPr>
      </w:pPr>
    </w:p>
    <w:p w14:paraId="45B9D247">
      <w:pPr>
        <w:tabs>
          <w:tab w:val="left" w:pos="315"/>
          <w:tab w:val="left" w:pos="8820"/>
        </w:tabs>
        <w:spacing w:before="312" w:beforeLines="100" w:after="156" w:afterLines="50" w:line="500" w:lineRule="exact"/>
        <w:ind w:right="267" w:rightChars="127"/>
        <w:jc w:val="center"/>
        <w:rPr>
          <w:rFonts w:hint="eastAsia" w:ascii="宋体" w:hAnsi="宋体" w:eastAsia="宋体" w:cs="宋体"/>
          <w:b/>
          <w:bCs/>
          <w:color w:val="auto"/>
          <w:sz w:val="44"/>
          <w:szCs w:val="44"/>
          <w:highlight w:val="none"/>
        </w:rPr>
      </w:pPr>
    </w:p>
    <w:p w14:paraId="04C4D69F">
      <w:pPr>
        <w:tabs>
          <w:tab w:val="left" w:pos="315"/>
          <w:tab w:val="left" w:pos="8820"/>
        </w:tabs>
        <w:spacing w:before="312" w:beforeLines="100" w:after="156" w:afterLines="50" w:line="500" w:lineRule="exact"/>
        <w:ind w:right="267" w:rightChars="127"/>
        <w:jc w:val="center"/>
        <w:rPr>
          <w:rFonts w:hint="eastAsia" w:ascii="宋体" w:hAnsi="宋体" w:eastAsia="宋体" w:cs="宋体"/>
          <w:b/>
          <w:bCs/>
          <w:color w:val="auto"/>
          <w:sz w:val="44"/>
          <w:szCs w:val="44"/>
          <w:highlight w:val="none"/>
        </w:rPr>
      </w:pPr>
    </w:p>
    <w:p w14:paraId="0E6A49A9">
      <w:pPr>
        <w:tabs>
          <w:tab w:val="left" w:pos="315"/>
          <w:tab w:val="left" w:pos="8820"/>
        </w:tabs>
        <w:spacing w:before="312" w:beforeLines="100" w:after="156" w:afterLines="50" w:line="500" w:lineRule="exact"/>
        <w:ind w:right="267" w:rightChars="127"/>
        <w:jc w:val="center"/>
        <w:rPr>
          <w:rFonts w:hint="eastAsia" w:ascii="宋体" w:hAnsi="宋体" w:eastAsia="宋体" w:cs="宋体"/>
          <w:b/>
          <w:bCs/>
          <w:color w:val="auto"/>
          <w:sz w:val="44"/>
          <w:szCs w:val="44"/>
          <w:highlight w:val="none"/>
        </w:rPr>
      </w:pPr>
    </w:p>
    <w:p w14:paraId="1E989F34">
      <w:pPr>
        <w:tabs>
          <w:tab w:val="left" w:pos="2410"/>
        </w:tabs>
        <w:autoSpaceDE w:val="0"/>
        <w:autoSpaceDN w:val="0"/>
        <w:adjustRightInd w:val="0"/>
        <w:snapToGrid w:val="0"/>
        <w:spacing w:line="360" w:lineRule="auto"/>
        <w:ind w:left="2244" w:leftChars="304" w:hanging="1606" w:hangingChars="50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项目名称：</w:t>
      </w:r>
      <w:r>
        <w:rPr>
          <w:rFonts w:hint="eastAsia" w:ascii="宋体" w:hAnsi="宋体" w:eastAsia="宋体" w:cs="宋体"/>
          <w:b/>
          <w:color w:val="auto"/>
          <w:kern w:val="0"/>
          <w:sz w:val="32"/>
          <w:szCs w:val="32"/>
          <w:highlight w:val="none"/>
          <w:u w:val="single"/>
        </w:rPr>
        <w:t>滁州市特种设备安全科普教育基地办公家具采购及安装项目</w:t>
      </w:r>
    </w:p>
    <w:p w14:paraId="60205A51">
      <w:pPr>
        <w:tabs>
          <w:tab w:val="left" w:pos="2410"/>
        </w:tabs>
        <w:autoSpaceDE w:val="0"/>
        <w:autoSpaceDN w:val="0"/>
        <w:adjustRightInd w:val="0"/>
        <w:snapToGrid w:val="0"/>
        <w:spacing w:line="360" w:lineRule="auto"/>
        <w:ind w:firstLine="643" w:firstLineChars="200"/>
        <w:rPr>
          <w:rFonts w:hint="eastAsia" w:ascii="宋体" w:hAnsi="宋体" w:eastAsia="宋体" w:cs="宋体"/>
          <w:b/>
          <w:color w:val="auto"/>
          <w:kern w:val="0"/>
          <w:sz w:val="32"/>
          <w:szCs w:val="32"/>
          <w:highlight w:val="none"/>
          <w:u w:val="single"/>
        </w:rPr>
      </w:pPr>
      <w:r>
        <w:rPr>
          <w:rFonts w:hint="eastAsia" w:ascii="宋体" w:hAnsi="宋体" w:eastAsia="宋体" w:cs="宋体"/>
          <w:b/>
          <w:color w:val="auto"/>
          <w:kern w:val="0"/>
          <w:sz w:val="32"/>
          <w:szCs w:val="32"/>
          <w:highlight w:val="none"/>
        </w:rPr>
        <w:t>项目编号：</w:t>
      </w:r>
      <w:r>
        <w:rPr>
          <w:rFonts w:hint="eastAsia" w:ascii="宋体" w:hAnsi="宋体" w:eastAsia="宋体" w:cs="宋体"/>
          <w:b/>
          <w:color w:val="auto"/>
          <w:kern w:val="0"/>
          <w:sz w:val="32"/>
          <w:szCs w:val="32"/>
          <w:highlight w:val="none"/>
          <w:u w:val="single"/>
        </w:rPr>
        <w:t>czsjcg202508-006</w:t>
      </w:r>
    </w:p>
    <w:p w14:paraId="5435B9C1">
      <w:pPr>
        <w:tabs>
          <w:tab w:val="left" w:pos="2410"/>
        </w:tabs>
        <w:autoSpaceDE w:val="0"/>
        <w:autoSpaceDN w:val="0"/>
        <w:adjustRightInd w:val="0"/>
        <w:snapToGrid w:val="0"/>
        <w:spacing w:line="360" w:lineRule="auto"/>
        <w:ind w:firstLine="643" w:firstLineChars="20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采 购 人：</w:t>
      </w:r>
      <w:r>
        <w:rPr>
          <w:rFonts w:hint="eastAsia" w:ascii="宋体" w:hAnsi="宋体" w:eastAsia="宋体" w:cs="宋体"/>
          <w:b/>
          <w:color w:val="auto"/>
          <w:kern w:val="0"/>
          <w:sz w:val="32"/>
          <w:szCs w:val="32"/>
          <w:highlight w:val="none"/>
          <w:u w:val="single"/>
        </w:rPr>
        <w:t>滁州市特种设备监督检验中心</w:t>
      </w:r>
    </w:p>
    <w:p w14:paraId="2C240345">
      <w:pPr>
        <w:tabs>
          <w:tab w:val="left" w:pos="2410"/>
        </w:tabs>
        <w:autoSpaceDE w:val="0"/>
        <w:autoSpaceDN w:val="0"/>
        <w:adjustRightInd w:val="0"/>
        <w:snapToGrid w:val="0"/>
        <w:spacing w:line="360" w:lineRule="auto"/>
        <w:ind w:firstLine="643" w:firstLineChars="200"/>
        <w:rPr>
          <w:rFonts w:hint="eastAsia" w:ascii="宋体" w:hAnsi="宋体" w:eastAsia="宋体" w:cs="宋体"/>
          <w:b/>
          <w:color w:val="auto"/>
          <w:spacing w:val="20"/>
          <w:kern w:val="0"/>
          <w:sz w:val="32"/>
          <w:szCs w:val="32"/>
          <w:highlight w:val="none"/>
        </w:rPr>
      </w:pPr>
      <w:r>
        <w:rPr>
          <w:rFonts w:hint="eastAsia" w:ascii="宋体" w:hAnsi="宋体" w:eastAsia="宋体" w:cs="宋体"/>
          <w:b/>
          <w:color w:val="auto"/>
          <w:kern w:val="0"/>
          <w:sz w:val="32"/>
          <w:szCs w:val="32"/>
          <w:highlight w:val="none"/>
        </w:rPr>
        <w:t>采购代理机构：</w:t>
      </w:r>
      <w:r>
        <w:rPr>
          <w:rFonts w:hint="eastAsia" w:ascii="宋体" w:hAnsi="宋体" w:eastAsia="宋体" w:cs="宋体"/>
          <w:b/>
          <w:color w:val="auto"/>
          <w:kern w:val="0"/>
          <w:sz w:val="32"/>
          <w:szCs w:val="32"/>
          <w:highlight w:val="none"/>
          <w:u w:val="single"/>
        </w:rPr>
        <w:t>滁州市政府采购中心</w:t>
      </w:r>
    </w:p>
    <w:p w14:paraId="7C9E45F4">
      <w:pPr>
        <w:tabs>
          <w:tab w:val="left" w:pos="2410"/>
        </w:tabs>
        <w:autoSpaceDE w:val="0"/>
        <w:autoSpaceDN w:val="0"/>
        <w:adjustRightInd w:val="0"/>
        <w:snapToGrid w:val="0"/>
        <w:spacing w:line="360" w:lineRule="auto"/>
        <w:ind w:firstLine="643" w:firstLineChars="200"/>
        <w:rPr>
          <w:rFonts w:hint="eastAsia" w:ascii="宋体" w:hAnsi="宋体" w:eastAsia="宋体" w:cs="宋体"/>
          <w:b/>
          <w:color w:val="auto"/>
          <w:kern w:val="0"/>
          <w:sz w:val="32"/>
          <w:szCs w:val="32"/>
          <w:highlight w:val="none"/>
        </w:rPr>
      </w:pPr>
    </w:p>
    <w:p w14:paraId="5EEEA450">
      <w:pPr>
        <w:tabs>
          <w:tab w:val="left" w:pos="2410"/>
        </w:tabs>
        <w:autoSpaceDE w:val="0"/>
        <w:autoSpaceDN w:val="0"/>
        <w:adjustRightInd w:val="0"/>
        <w:snapToGrid w:val="0"/>
        <w:spacing w:line="360" w:lineRule="auto"/>
        <w:jc w:val="center"/>
        <w:rPr>
          <w:rFonts w:hint="eastAsia" w:ascii="宋体" w:hAnsi="宋体" w:eastAsia="宋体" w:cs="宋体"/>
          <w:b/>
          <w:color w:val="auto"/>
          <w:sz w:val="28"/>
          <w:highlight w:val="none"/>
        </w:rPr>
      </w:pPr>
      <w:r>
        <w:rPr>
          <w:rFonts w:hint="eastAsia" w:ascii="宋体" w:hAnsi="宋体" w:eastAsia="宋体" w:cs="宋体"/>
          <w:b/>
          <w:color w:val="auto"/>
          <w:sz w:val="36"/>
          <w:highlight w:val="none"/>
          <w:u w:val="single"/>
        </w:rPr>
        <w:t xml:space="preserve"> 2025 </w:t>
      </w:r>
      <w:r>
        <w:rPr>
          <w:rFonts w:hint="eastAsia" w:ascii="宋体" w:hAnsi="宋体" w:eastAsia="宋体" w:cs="宋体"/>
          <w:b/>
          <w:color w:val="auto"/>
          <w:sz w:val="36"/>
          <w:highlight w:val="none"/>
        </w:rPr>
        <w:t>年</w:t>
      </w:r>
      <w:r>
        <w:rPr>
          <w:rFonts w:hint="eastAsia" w:ascii="宋体" w:hAnsi="宋体" w:eastAsia="宋体" w:cs="宋体"/>
          <w:b/>
          <w:color w:val="auto"/>
          <w:sz w:val="36"/>
          <w:highlight w:val="none"/>
          <w:u w:val="single"/>
        </w:rPr>
        <w:t xml:space="preserve"> </w:t>
      </w:r>
      <w:r>
        <w:rPr>
          <w:rFonts w:hint="eastAsia" w:ascii="宋体" w:hAnsi="宋体" w:eastAsia="宋体" w:cs="宋体"/>
          <w:b/>
          <w:color w:val="auto"/>
          <w:sz w:val="36"/>
          <w:highlight w:val="none"/>
          <w:u w:val="single"/>
          <w:lang w:val="en-US" w:eastAsia="zh-CN"/>
        </w:rPr>
        <w:t>8</w:t>
      </w:r>
      <w:r>
        <w:rPr>
          <w:rFonts w:hint="eastAsia" w:ascii="宋体" w:hAnsi="宋体" w:eastAsia="宋体" w:cs="宋体"/>
          <w:b/>
          <w:color w:val="auto"/>
          <w:sz w:val="36"/>
          <w:highlight w:val="none"/>
          <w:u w:val="single"/>
        </w:rPr>
        <w:t xml:space="preserve"> </w:t>
      </w:r>
      <w:r>
        <w:rPr>
          <w:rFonts w:hint="eastAsia" w:ascii="宋体" w:hAnsi="宋体" w:eastAsia="宋体" w:cs="宋体"/>
          <w:b/>
          <w:color w:val="auto"/>
          <w:sz w:val="36"/>
          <w:highlight w:val="none"/>
        </w:rPr>
        <w:t>月</w:t>
      </w:r>
      <w:r>
        <w:rPr>
          <w:rFonts w:hint="eastAsia" w:ascii="宋体" w:hAnsi="宋体" w:eastAsia="宋体" w:cs="宋体"/>
          <w:b/>
          <w:color w:val="auto"/>
          <w:sz w:val="36"/>
          <w:highlight w:val="none"/>
        </w:rPr>
        <w:br w:type="page"/>
      </w:r>
    </w:p>
    <w:p w14:paraId="042288E0">
      <w:pPr>
        <w:tabs>
          <w:tab w:val="left" w:pos="2410"/>
        </w:tabs>
        <w:autoSpaceDE w:val="0"/>
        <w:autoSpaceDN w:val="0"/>
        <w:adjustRightInd w:val="0"/>
        <w:snapToGrid w:val="0"/>
        <w:spacing w:line="360" w:lineRule="auto"/>
        <w:jc w:val="center"/>
        <w:rPr>
          <w:rFonts w:hint="eastAsia" w:ascii="宋体" w:hAnsi="宋体" w:eastAsia="宋体" w:cs="宋体"/>
          <w:b/>
          <w:color w:val="auto"/>
          <w:sz w:val="28"/>
          <w:highlight w:val="none"/>
        </w:rPr>
      </w:pPr>
      <w:r>
        <w:rPr>
          <w:rFonts w:hint="eastAsia" w:ascii="宋体" w:hAnsi="宋体" w:eastAsia="宋体" w:cs="宋体"/>
          <w:b/>
          <w:color w:val="auto"/>
          <w:sz w:val="28"/>
          <w:highlight w:val="none"/>
        </w:rPr>
        <w:t>目  录</w:t>
      </w:r>
    </w:p>
    <w:p w14:paraId="13F0A314">
      <w:pPr>
        <w:pStyle w:val="18"/>
        <w:tabs>
          <w:tab w:val="right" w:leader="dot" w:pos="8306"/>
        </w:tabs>
        <w:rPr>
          <w:rFonts w:hint="eastAsia" w:ascii="宋体" w:hAnsi="宋体" w:eastAsia="宋体" w:cs="宋体"/>
          <w:sz w:val="28"/>
          <w:szCs w:val="28"/>
        </w:rPr>
      </w:pPr>
      <w:r>
        <w:rPr>
          <w:rFonts w:hint="eastAsia" w:ascii="宋体" w:hAnsi="宋体" w:eastAsia="宋体" w:cs="宋体"/>
          <w:b/>
          <w:color w:val="auto"/>
          <w:sz w:val="32"/>
          <w:highlight w:val="none"/>
        </w:rPr>
        <w:fldChar w:fldCharType="begin"/>
      </w:r>
      <w:r>
        <w:rPr>
          <w:rFonts w:hint="eastAsia" w:ascii="宋体" w:hAnsi="宋体" w:eastAsia="宋体" w:cs="宋体"/>
          <w:b/>
          <w:color w:val="auto"/>
          <w:sz w:val="32"/>
          <w:highlight w:val="none"/>
        </w:rPr>
        <w:instrText xml:space="preserve">TOC \o "1-1" \h \u </w:instrText>
      </w:r>
      <w:r>
        <w:rPr>
          <w:rFonts w:hint="eastAsia" w:ascii="宋体" w:hAnsi="宋体" w:eastAsia="宋体" w:cs="宋体"/>
          <w:b/>
          <w:color w:val="auto"/>
          <w:sz w:val="32"/>
          <w:highlight w:val="none"/>
        </w:rPr>
        <w:fldChar w:fldCharType="separate"/>
      </w: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_Toc8273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第一章  投标邀请</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_Toc8273 \h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r>
        <w:rPr>
          <w:rFonts w:hint="eastAsia" w:ascii="宋体" w:hAnsi="宋体" w:eastAsia="宋体" w:cs="宋体"/>
          <w:color w:val="auto"/>
          <w:sz w:val="28"/>
          <w:szCs w:val="28"/>
          <w:highlight w:val="none"/>
        </w:rPr>
        <w:fldChar w:fldCharType="end"/>
      </w:r>
    </w:p>
    <w:p w14:paraId="71FDB348">
      <w:pPr>
        <w:pStyle w:val="18"/>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_Toc4974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第二章  投标人须知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_Toc4974 \h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r>
        <w:rPr>
          <w:rFonts w:hint="eastAsia" w:ascii="宋体" w:hAnsi="宋体" w:eastAsia="宋体" w:cs="宋体"/>
          <w:color w:val="auto"/>
          <w:sz w:val="28"/>
          <w:szCs w:val="28"/>
          <w:highlight w:val="none"/>
        </w:rPr>
        <w:fldChar w:fldCharType="end"/>
      </w:r>
    </w:p>
    <w:p w14:paraId="5C4C629E">
      <w:pPr>
        <w:pStyle w:val="18"/>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_Toc12597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第三章  采购需求</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_Toc12597 \h </w:instrText>
      </w:r>
      <w:r>
        <w:rPr>
          <w:rFonts w:hint="eastAsia" w:ascii="宋体" w:hAnsi="宋体" w:eastAsia="宋体" w:cs="宋体"/>
          <w:sz w:val="28"/>
          <w:szCs w:val="28"/>
        </w:rPr>
        <w:fldChar w:fldCharType="separate"/>
      </w:r>
      <w:r>
        <w:rPr>
          <w:rFonts w:hint="eastAsia" w:ascii="宋体" w:hAnsi="宋体" w:eastAsia="宋体" w:cs="宋体"/>
          <w:sz w:val="28"/>
          <w:szCs w:val="28"/>
        </w:rPr>
        <w:t>27</w:t>
      </w:r>
      <w:r>
        <w:rPr>
          <w:rFonts w:hint="eastAsia" w:ascii="宋体" w:hAnsi="宋体" w:eastAsia="宋体" w:cs="宋体"/>
          <w:sz w:val="28"/>
          <w:szCs w:val="28"/>
        </w:rPr>
        <w:fldChar w:fldCharType="end"/>
      </w:r>
      <w:r>
        <w:rPr>
          <w:rFonts w:hint="eastAsia" w:ascii="宋体" w:hAnsi="宋体" w:eastAsia="宋体" w:cs="宋体"/>
          <w:color w:val="auto"/>
          <w:sz w:val="28"/>
          <w:szCs w:val="28"/>
          <w:highlight w:val="none"/>
        </w:rPr>
        <w:fldChar w:fldCharType="end"/>
      </w:r>
    </w:p>
    <w:p w14:paraId="548D67FD">
      <w:pPr>
        <w:pStyle w:val="18"/>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_Toc13882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第四章  评标方法和标准（综合评分法）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_Toc13882 \h </w:instrText>
      </w:r>
      <w:r>
        <w:rPr>
          <w:rFonts w:hint="eastAsia" w:ascii="宋体" w:hAnsi="宋体" w:eastAsia="宋体" w:cs="宋体"/>
          <w:sz w:val="28"/>
          <w:szCs w:val="28"/>
        </w:rPr>
        <w:fldChar w:fldCharType="separate"/>
      </w:r>
      <w:r>
        <w:rPr>
          <w:rFonts w:hint="eastAsia" w:ascii="宋体" w:hAnsi="宋体" w:eastAsia="宋体" w:cs="宋体"/>
          <w:sz w:val="28"/>
          <w:szCs w:val="28"/>
        </w:rPr>
        <w:t>44</w:t>
      </w:r>
      <w:r>
        <w:rPr>
          <w:rFonts w:hint="eastAsia" w:ascii="宋体" w:hAnsi="宋体" w:eastAsia="宋体" w:cs="宋体"/>
          <w:sz w:val="28"/>
          <w:szCs w:val="28"/>
        </w:rPr>
        <w:fldChar w:fldCharType="end"/>
      </w:r>
      <w:r>
        <w:rPr>
          <w:rFonts w:hint="eastAsia" w:ascii="宋体" w:hAnsi="宋体" w:eastAsia="宋体" w:cs="宋体"/>
          <w:color w:val="auto"/>
          <w:sz w:val="28"/>
          <w:szCs w:val="28"/>
          <w:highlight w:val="none"/>
        </w:rPr>
        <w:fldChar w:fldCharType="end"/>
      </w:r>
    </w:p>
    <w:p w14:paraId="42E5F496">
      <w:pPr>
        <w:pStyle w:val="18"/>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_Toc273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第五章  政府采购合同</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_Toc273 \h </w:instrText>
      </w:r>
      <w:r>
        <w:rPr>
          <w:rFonts w:hint="eastAsia" w:ascii="宋体" w:hAnsi="宋体" w:eastAsia="宋体" w:cs="宋体"/>
          <w:sz w:val="28"/>
          <w:szCs w:val="28"/>
        </w:rPr>
        <w:fldChar w:fldCharType="separate"/>
      </w:r>
      <w:r>
        <w:rPr>
          <w:rFonts w:hint="eastAsia" w:ascii="宋体" w:hAnsi="宋体" w:eastAsia="宋体" w:cs="宋体"/>
          <w:sz w:val="28"/>
          <w:szCs w:val="28"/>
        </w:rPr>
        <w:t>54</w:t>
      </w:r>
      <w:r>
        <w:rPr>
          <w:rFonts w:hint="eastAsia" w:ascii="宋体" w:hAnsi="宋体" w:eastAsia="宋体" w:cs="宋体"/>
          <w:sz w:val="28"/>
          <w:szCs w:val="28"/>
        </w:rPr>
        <w:fldChar w:fldCharType="end"/>
      </w:r>
      <w:r>
        <w:rPr>
          <w:rFonts w:hint="eastAsia" w:ascii="宋体" w:hAnsi="宋体" w:eastAsia="宋体" w:cs="宋体"/>
          <w:color w:val="auto"/>
          <w:sz w:val="28"/>
          <w:szCs w:val="28"/>
          <w:highlight w:val="none"/>
        </w:rPr>
        <w:fldChar w:fldCharType="end"/>
      </w:r>
    </w:p>
    <w:p w14:paraId="4E016C6A">
      <w:pPr>
        <w:pStyle w:val="18"/>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_Toc29705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第六章  投标文件格式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_Toc29705 \h </w:instrText>
      </w:r>
      <w:r>
        <w:rPr>
          <w:rFonts w:hint="eastAsia" w:ascii="宋体" w:hAnsi="宋体" w:eastAsia="宋体" w:cs="宋体"/>
          <w:sz w:val="28"/>
          <w:szCs w:val="28"/>
        </w:rPr>
        <w:fldChar w:fldCharType="separate"/>
      </w:r>
      <w:r>
        <w:rPr>
          <w:rFonts w:hint="eastAsia" w:ascii="宋体" w:hAnsi="宋体" w:eastAsia="宋体" w:cs="宋体"/>
          <w:sz w:val="28"/>
          <w:szCs w:val="28"/>
        </w:rPr>
        <w:t>75</w:t>
      </w:r>
      <w:r>
        <w:rPr>
          <w:rFonts w:hint="eastAsia" w:ascii="宋体" w:hAnsi="宋体" w:eastAsia="宋体" w:cs="宋体"/>
          <w:sz w:val="28"/>
          <w:szCs w:val="28"/>
        </w:rPr>
        <w:fldChar w:fldCharType="end"/>
      </w:r>
      <w:r>
        <w:rPr>
          <w:rFonts w:hint="eastAsia" w:ascii="宋体" w:hAnsi="宋体" w:eastAsia="宋体" w:cs="宋体"/>
          <w:color w:val="auto"/>
          <w:sz w:val="28"/>
          <w:szCs w:val="28"/>
          <w:highlight w:val="none"/>
        </w:rPr>
        <w:fldChar w:fldCharType="end"/>
      </w:r>
    </w:p>
    <w:p w14:paraId="27117646">
      <w:pPr>
        <w:pStyle w:val="18"/>
        <w:tabs>
          <w:tab w:val="right" w:leader="dot" w:pos="8306"/>
        </w:tabs>
        <w:rPr>
          <w:rFonts w:hint="eastAsia" w:ascii="宋体" w:hAnsi="宋体" w:eastAsia="宋体" w:cs="宋体"/>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_Toc15642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第七章</w:t>
      </w:r>
      <w:r>
        <w:rPr>
          <w:rFonts w:hint="eastAsia" w:ascii="宋体" w:hAnsi="宋体" w:eastAsia="宋体" w:cs="宋体"/>
          <w:bCs/>
          <w:sz w:val="28"/>
          <w:szCs w:val="28"/>
          <w:highlight w:val="none"/>
        </w:rPr>
        <w:t xml:space="preserve">  政府采购</w:t>
      </w:r>
      <w:r>
        <w:rPr>
          <w:rFonts w:hint="eastAsia" w:ascii="宋体" w:hAnsi="宋体" w:eastAsia="宋体" w:cs="宋体"/>
          <w:sz w:val="28"/>
          <w:szCs w:val="28"/>
          <w:highlight w:val="none"/>
        </w:rPr>
        <w:t>供应</w:t>
      </w:r>
      <w:r>
        <w:rPr>
          <w:rFonts w:hint="eastAsia" w:ascii="宋体" w:hAnsi="宋体" w:eastAsia="宋体" w:cs="宋体"/>
          <w:bCs/>
          <w:sz w:val="28"/>
          <w:szCs w:val="28"/>
          <w:highlight w:val="none"/>
        </w:rPr>
        <w:t>商询问函和质疑函范本</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_Toc15642 \h </w:instrText>
      </w:r>
      <w:r>
        <w:rPr>
          <w:rFonts w:hint="eastAsia" w:ascii="宋体" w:hAnsi="宋体" w:eastAsia="宋体" w:cs="宋体"/>
          <w:sz w:val="28"/>
          <w:szCs w:val="28"/>
        </w:rPr>
        <w:fldChar w:fldCharType="separate"/>
      </w:r>
      <w:r>
        <w:rPr>
          <w:rFonts w:hint="eastAsia" w:ascii="宋体" w:hAnsi="宋体" w:eastAsia="宋体" w:cs="宋体"/>
          <w:sz w:val="28"/>
          <w:szCs w:val="28"/>
        </w:rPr>
        <w:t>103</w:t>
      </w:r>
      <w:r>
        <w:rPr>
          <w:rFonts w:hint="eastAsia" w:ascii="宋体" w:hAnsi="宋体" w:eastAsia="宋体" w:cs="宋体"/>
          <w:sz w:val="28"/>
          <w:szCs w:val="28"/>
        </w:rPr>
        <w:fldChar w:fldCharType="end"/>
      </w:r>
      <w:r>
        <w:rPr>
          <w:rFonts w:hint="eastAsia" w:ascii="宋体" w:hAnsi="宋体" w:eastAsia="宋体" w:cs="宋体"/>
          <w:color w:val="auto"/>
          <w:sz w:val="28"/>
          <w:szCs w:val="28"/>
          <w:highlight w:val="none"/>
        </w:rPr>
        <w:fldChar w:fldCharType="end"/>
      </w:r>
    </w:p>
    <w:p w14:paraId="4AD84ED0">
      <w:pPr>
        <w:pStyle w:val="18"/>
        <w:tabs>
          <w:tab w:val="right" w:leader="dot" w:pos="8306"/>
        </w:tabs>
      </w:pPr>
    </w:p>
    <w:p w14:paraId="4658F6D5">
      <w:pPr>
        <w:spacing w:line="360" w:lineRule="auto"/>
        <w:rPr>
          <w:rFonts w:hint="eastAsia" w:ascii="宋体" w:hAnsi="宋体" w:eastAsia="宋体" w:cs="宋体"/>
          <w:b/>
          <w:color w:val="auto"/>
          <w:sz w:val="32"/>
          <w:highlight w:val="none"/>
        </w:rPr>
      </w:pPr>
      <w:r>
        <w:rPr>
          <w:rFonts w:hint="eastAsia" w:ascii="宋体" w:hAnsi="宋体" w:eastAsia="宋体" w:cs="宋体"/>
          <w:color w:val="auto"/>
          <w:highlight w:val="none"/>
        </w:rPr>
        <w:fldChar w:fldCharType="end"/>
      </w:r>
    </w:p>
    <w:p w14:paraId="5E022DA2">
      <w:pPr>
        <w:pStyle w:val="9"/>
        <w:rPr>
          <w:rFonts w:hint="eastAsia" w:ascii="宋体" w:hAnsi="宋体" w:eastAsia="宋体" w:cs="宋体"/>
          <w:color w:val="auto"/>
          <w:highlight w:val="none"/>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14:paraId="149D7B0B">
      <w:pPr>
        <w:spacing w:line="360" w:lineRule="auto"/>
        <w:jc w:val="center"/>
        <w:outlineLvl w:val="0"/>
        <w:rPr>
          <w:rFonts w:hint="eastAsia" w:ascii="宋体" w:hAnsi="宋体" w:eastAsia="宋体" w:cs="宋体"/>
          <w:b/>
          <w:color w:val="auto"/>
          <w:sz w:val="28"/>
          <w:highlight w:val="none"/>
        </w:rPr>
      </w:pPr>
      <w:bookmarkStart w:id="1" w:name="_Toc8273"/>
      <w:bookmarkStart w:id="2" w:name="_Toc23443"/>
      <w:r>
        <w:rPr>
          <w:rFonts w:hint="eastAsia" w:ascii="宋体" w:hAnsi="宋体" w:eastAsia="宋体" w:cs="宋体"/>
          <w:b/>
          <w:color w:val="auto"/>
          <w:sz w:val="28"/>
          <w:highlight w:val="none"/>
        </w:rPr>
        <w:t>第一章  投标邀请</w:t>
      </w:r>
      <w:bookmarkEnd w:id="1"/>
      <w:bookmarkEnd w:id="2"/>
    </w:p>
    <w:p w14:paraId="78860AA4">
      <w:pPr>
        <w:keepNext/>
        <w:keepLines/>
        <w:pageBreakBefore w:val="0"/>
        <w:widowControl w:val="0"/>
        <w:kinsoku/>
        <w:overflowPunct/>
        <w:topLinePunct w:val="0"/>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项目概况</w:t>
      </w:r>
    </w:p>
    <w:p w14:paraId="495337E1">
      <w:pPr>
        <w:keepNext/>
        <w:keepLines/>
        <w:pageBreakBefore w:val="0"/>
        <w:widowControl w:val="0"/>
        <w:kinsoku/>
        <w:wordWrap w:val="0"/>
        <w:overflowPunct/>
        <w:topLinePunct w:val="0"/>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lang w:bidi="ar"/>
        </w:rPr>
        <w:t>滁州市特种设备安全科普教育基地办公家具采购及安装项目</w:t>
      </w:r>
      <w:r>
        <w:rPr>
          <w:rFonts w:hint="eastAsia" w:ascii="宋体" w:hAnsi="宋体" w:eastAsia="宋体" w:cs="宋体"/>
          <w:color w:val="auto"/>
          <w:sz w:val="24"/>
          <w:szCs w:val="24"/>
          <w:highlight w:val="none"/>
          <w:lang w:bidi="ar"/>
        </w:rPr>
        <w:t>的潜在投标人应在</w:t>
      </w:r>
      <w:r>
        <w:rPr>
          <w:rFonts w:hint="eastAsia" w:ascii="宋体" w:hAnsi="宋体" w:eastAsia="宋体" w:cs="宋体"/>
          <w:color w:val="auto"/>
          <w:sz w:val="24"/>
          <w:szCs w:val="24"/>
          <w:highlight w:val="none"/>
          <w:u w:val="single"/>
          <w:lang w:bidi="ar"/>
        </w:rPr>
        <w:t>滁州市公共资源交易中心网（http：//ggzy.chuzhou.gov.cn/）</w:t>
      </w:r>
      <w:r>
        <w:rPr>
          <w:rFonts w:hint="eastAsia" w:ascii="宋体" w:hAnsi="宋体" w:eastAsia="宋体" w:cs="宋体"/>
          <w:color w:val="auto"/>
          <w:sz w:val="24"/>
          <w:szCs w:val="24"/>
          <w:highlight w:val="none"/>
          <w:lang w:bidi="ar"/>
        </w:rPr>
        <w:t>获取招标文件，并于</w:t>
      </w:r>
      <w:r>
        <w:rPr>
          <w:rFonts w:hint="eastAsia" w:ascii="宋体" w:hAnsi="宋体" w:eastAsia="宋体" w:cs="宋体"/>
          <w:color w:val="auto"/>
          <w:sz w:val="24"/>
          <w:szCs w:val="24"/>
          <w:highlight w:val="none"/>
          <w:u w:val="single"/>
          <w:lang w:bidi="ar"/>
        </w:rPr>
        <w:t>2025年8月</w:t>
      </w:r>
      <w:r>
        <w:rPr>
          <w:rFonts w:hint="eastAsia" w:ascii="宋体" w:hAnsi="宋体" w:eastAsia="宋体" w:cs="宋体"/>
          <w:color w:val="auto"/>
          <w:sz w:val="24"/>
          <w:szCs w:val="24"/>
          <w:highlight w:val="none"/>
          <w:u w:val="single"/>
          <w:lang w:val="en-US" w:eastAsia="zh-CN" w:bidi="ar"/>
        </w:rPr>
        <w:t>27</w:t>
      </w:r>
      <w:r>
        <w:rPr>
          <w:rFonts w:hint="eastAsia" w:ascii="宋体" w:hAnsi="宋体" w:eastAsia="宋体" w:cs="宋体"/>
          <w:color w:val="auto"/>
          <w:sz w:val="24"/>
          <w:szCs w:val="24"/>
          <w:highlight w:val="none"/>
          <w:u w:val="single"/>
          <w:lang w:bidi="ar"/>
        </w:rPr>
        <w:t>日8点00分</w:t>
      </w:r>
      <w:r>
        <w:rPr>
          <w:rFonts w:hint="eastAsia" w:ascii="宋体" w:hAnsi="宋体" w:eastAsia="宋体" w:cs="宋体"/>
          <w:color w:val="auto"/>
          <w:sz w:val="24"/>
          <w:szCs w:val="24"/>
          <w:highlight w:val="none"/>
          <w:lang w:bidi="ar"/>
        </w:rPr>
        <w:t>（北京时间）前递交投标文件。</w:t>
      </w:r>
    </w:p>
    <w:p w14:paraId="189387C9">
      <w:pPr>
        <w:keepNext/>
        <w:keepLines/>
        <w:pageBreakBefore w:val="0"/>
        <w:widowControl w:val="0"/>
        <w:kinsoku/>
        <w:overflowPunct/>
        <w:topLinePunct w:val="0"/>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一、项目基本情况</w:t>
      </w:r>
    </w:p>
    <w:p w14:paraId="6ECCE3B6">
      <w:pPr>
        <w:pageBreakBefore w:val="0"/>
        <w:widowControl w:val="0"/>
        <w:kinsoku/>
        <w:overflowPunct/>
        <w:topLinePunct w:val="0"/>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项目编号：czsjcg202508-006</w:t>
      </w:r>
    </w:p>
    <w:p w14:paraId="4548B813">
      <w:pPr>
        <w:pageBreakBefore w:val="0"/>
        <w:widowControl w:val="0"/>
        <w:kinsoku/>
        <w:overflowPunct/>
        <w:topLinePunct w:val="0"/>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项目名称：滁州市特种设备安全科普教育基地办公家具采购及安装项目</w:t>
      </w:r>
    </w:p>
    <w:p w14:paraId="11CA8D97">
      <w:pPr>
        <w:pageBreakBefore w:val="0"/>
        <w:widowControl w:val="0"/>
        <w:kinsoku/>
        <w:overflowPunct/>
        <w:topLinePunct w:val="0"/>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预算金额：739430元</w:t>
      </w:r>
    </w:p>
    <w:p w14:paraId="22A6A7C8">
      <w:pPr>
        <w:pageBreakBefore w:val="0"/>
        <w:widowControl w:val="0"/>
        <w:kinsoku/>
        <w:overflowPunct/>
        <w:topLinePunct w:val="0"/>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最高限价：739430元，投标报价高于最高限价的，其投标文件按无效投标处理。</w:t>
      </w:r>
    </w:p>
    <w:p w14:paraId="6E7F79E5">
      <w:pPr>
        <w:pageBreakBefore w:val="0"/>
        <w:widowControl w:val="0"/>
        <w:kinsoku/>
        <w:overflowPunct/>
        <w:topLinePunct w:val="0"/>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采购需求：办公家具采购及安装。</w:t>
      </w:r>
    </w:p>
    <w:p w14:paraId="2B744905">
      <w:pPr>
        <w:pageBreakBefore w:val="0"/>
        <w:widowControl w:val="0"/>
        <w:kinsoku/>
        <w:overflowPunct/>
        <w:topLinePunct w:val="0"/>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合同履行期限：合同签订后，自接到采购人通知之日起30个日历天内完成全部货物的供货、安装、调试。</w:t>
      </w:r>
    </w:p>
    <w:p w14:paraId="2721FDFD">
      <w:pPr>
        <w:pageBreakBefore w:val="0"/>
        <w:widowControl w:val="0"/>
        <w:kinsoku/>
        <w:overflowPunct/>
        <w:topLinePunct w:val="0"/>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本项目不接受联合体投标。</w:t>
      </w:r>
    </w:p>
    <w:p w14:paraId="5E199D16">
      <w:pPr>
        <w:keepNext/>
        <w:keepLines/>
        <w:pageBreakBefore w:val="0"/>
        <w:widowControl w:val="0"/>
        <w:kinsoku/>
        <w:overflowPunct/>
        <w:topLinePunct w:val="0"/>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二、申请人的资格要求</w:t>
      </w:r>
    </w:p>
    <w:p w14:paraId="17AC4E74">
      <w:pPr>
        <w:pageBreakBefore w:val="0"/>
        <w:widowControl w:val="0"/>
        <w:kinsoku/>
        <w:overflowPunct/>
        <w:topLinePunct w:val="0"/>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1.满足《中华人民共和国政府采购法》第二十二条规定；</w:t>
      </w:r>
    </w:p>
    <w:p w14:paraId="484A7C7A">
      <w:pPr>
        <w:pageBreakBefore w:val="0"/>
        <w:widowControl w:val="0"/>
        <w:kinsoku/>
        <w:overflowPunct/>
        <w:topLinePunct w:val="0"/>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bidi="ar"/>
        </w:rPr>
        <w:t>2.落实政府采购政策需满足的资格要求：</w:t>
      </w:r>
      <w:r>
        <w:rPr>
          <w:rFonts w:hint="eastAsia" w:ascii="宋体" w:hAnsi="宋体" w:eastAsia="宋体" w:cs="宋体"/>
          <w:color w:val="auto"/>
          <w:sz w:val="24"/>
          <w:szCs w:val="24"/>
          <w:highlight w:val="none"/>
          <w:u w:val="single"/>
          <w:lang w:bidi="ar"/>
        </w:rPr>
        <w:t>按照财政部、工业和信息化部制定的《政府采购促进中小企业发展管理办法》，本项目为专门面向中小企业采购项目。企业划型标准按照《关于印发中小企业划型标准规定的通知》（工信部联企业〔2011〕300号）规定执行。</w:t>
      </w:r>
    </w:p>
    <w:p w14:paraId="6C9620F8">
      <w:pPr>
        <w:pageBreakBefore w:val="0"/>
        <w:widowControl w:val="0"/>
        <w:kinsoku/>
        <w:overflowPunct/>
        <w:topLinePunct w:val="0"/>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bidi="ar"/>
        </w:rPr>
        <w:t>3.本项目的特定资格要求：/；</w:t>
      </w:r>
    </w:p>
    <w:p w14:paraId="567BC354">
      <w:pPr>
        <w:pageBreakBefore w:val="0"/>
        <w:widowControl w:val="0"/>
        <w:kinsoku/>
        <w:overflowPunct/>
        <w:topLinePunct w:val="0"/>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4.信誉要求：投标人不得存在以下情形：</w:t>
      </w:r>
    </w:p>
    <w:p w14:paraId="65014375">
      <w:pPr>
        <w:pageBreakBefore w:val="0"/>
        <w:widowControl w:val="0"/>
        <w:kinsoku/>
        <w:overflowPunct/>
        <w:topLinePunct w:val="0"/>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①被列入“信用中国”网站“失信被执行人”的；</w:t>
      </w:r>
    </w:p>
    <w:p w14:paraId="7C85C674">
      <w:pPr>
        <w:pageBreakBefore w:val="0"/>
        <w:widowControl w:val="0"/>
        <w:kinsoku/>
        <w:overflowPunct/>
        <w:topLinePunct w:val="0"/>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②被列入“信用中国”网站“重大税收违法失信主体”的；</w:t>
      </w:r>
    </w:p>
    <w:p w14:paraId="331B4002">
      <w:pPr>
        <w:pageBreakBefore w:val="0"/>
        <w:widowControl w:val="0"/>
        <w:kinsoku/>
        <w:overflowPunct/>
        <w:topLinePunct w:val="0"/>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③被列入“信用中国”网站 “严重失信主体名单”的；</w:t>
      </w:r>
    </w:p>
    <w:p w14:paraId="37736DE9">
      <w:pPr>
        <w:pageBreakBefore w:val="0"/>
        <w:widowControl w:val="0"/>
        <w:kinsoku/>
        <w:overflowPunct/>
        <w:topLinePunct w:val="0"/>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④在</w:t>
      </w:r>
      <w:bookmarkStart w:id="3" w:name="OLE_LINK128"/>
      <w:bookmarkStart w:id="4" w:name="OLE_LINK127"/>
      <w:bookmarkStart w:id="5" w:name="OLE_LINK129"/>
      <w:r>
        <w:rPr>
          <w:rFonts w:hint="eastAsia" w:ascii="宋体" w:hAnsi="宋体" w:eastAsia="宋体" w:cs="宋体"/>
          <w:color w:val="auto"/>
          <w:sz w:val="24"/>
          <w:szCs w:val="24"/>
          <w:highlight w:val="none"/>
          <w:lang w:bidi="ar"/>
        </w:rPr>
        <w:t>“信用中国”网站</w:t>
      </w:r>
      <w:bookmarkEnd w:id="3"/>
      <w:bookmarkEnd w:id="4"/>
      <w:bookmarkEnd w:id="5"/>
      <w:r>
        <w:rPr>
          <w:rFonts w:hint="eastAsia" w:ascii="宋体" w:hAnsi="宋体" w:eastAsia="宋体" w:cs="宋体"/>
          <w:color w:val="auto"/>
          <w:sz w:val="24"/>
          <w:szCs w:val="24"/>
          <w:highlight w:val="none"/>
          <w:lang w:bidi="ar"/>
        </w:rPr>
        <w:t>上披露的仍在公示期的严重失信行为(具体行为类别及判定依据见“信用中国”查询的严重失信行为类别及判定依据)的。</w:t>
      </w:r>
    </w:p>
    <w:p w14:paraId="624C4DAC">
      <w:pPr>
        <w:pageBreakBefore w:val="0"/>
        <w:widowControl w:val="0"/>
        <w:kinsoku/>
        <w:overflowPunct/>
        <w:topLinePunct w:val="0"/>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⑤被列入国家企业信用信息公示系统网站“经营异常名录”或者“严重违法失信名单”的。</w:t>
      </w:r>
    </w:p>
    <w:p w14:paraId="244CAB02">
      <w:pPr>
        <w:pageBreakBefore w:val="0"/>
        <w:widowControl w:val="0"/>
        <w:kinsoku/>
        <w:overflowPunct/>
        <w:topLinePunct w:val="0"/>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bidi="ar"/>
        </w:rPr>
      </w:pPr>
      <w:bookmarkStart w:id="6" w:name="OLE_LINK113"/>
      <w:bookmarkStart w:id="7" w:name="OLE_LINK114"/>
      <w:r>
        <w:rPr>
          <w:rFonts w:hint="eastAsia" w:ascii="宋体" w:hAnsi="宋体" w:eastAsia="宋体" w:cs="宋体"/>
          <w:color w:val="auto"/>
          <w:sz w:val="24"/>
          <w:szCs w:val="24"/>
          <w:highlight w:val="none"/>
          <w:lang w:bidi="ar"/>
        </w:rPr>
        <w:t>⑥</w:t>
      </w:r>
      <w:bookmarkEnd w:id="6"/>
      <w:bookmarkEnd w:id="7"/>
      <w:r>
        <w:rPr>
          <w:rFonts w:hint="eastAsia" w:ascii="宋体" w:hAnsi="宋体" w:eastAsia="宋体" w:cs="宋体"/>
          <w:color w:val="auto"/>
          <w:sz w:val="24"/>
          <w:szCs w:val="24"/>
          <w:highlight w:val="none"/>
          <w:lang w:bidi="ar"/>
        </w:rPr>
        <w:t>被列入中国政府采购网站“政府采购严重违法失信行为信息记录”的。</w:t>
      </w:r>
    </w:p>
    <w:p w14:paraId="2C49384E">
      <w:pPr>
        <w:pageBreakBefore w:val="0"/>
        <w:widowControl w:val="0"/>
        <w:kinsoku/>
        <w:overflowPunct/>
        <w:topLinePunct w:val="0"/>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⑦前三年有行贿犯罪行为的单位和个人。</w:t>
      </w:r>
    </w:p>
    <w:p w14:paraId="1001D43E">
      <w:pPr>
        <w:pageBreakBefore w:val="0"/>
        <w:widowControl w:val="0"/>
        <w:kinsoku/>
        <w:overflowPunct/>
        <w:topLinePunct w:val="0"/>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5.投标人所属分公司、办事处等分支机构存在第4款信誉要求①-⑦项情形之一的，接受投标人参加本项目。</w:t>
      </w:r>
    </w:p>
    <w:p w14:paraId="31380213">
      <w:pPr>
        <w:pageBreakBefore w:val="0"/>
        <w:widowControl w:val="0"/>
        <w:kinsoku/>
        <w:overflowPunct/>
        <w:topLinePunct w:val="0"/>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备注：第4、5条按照“关于联合惩戒失信行为加强信用查询管理的通知”查询或承诺。</w:t>
      </w:r>
    </w:p>
    <w:p w14:paraId="4CB46B8B">
      <w:pPr>
        <w:keepNext/>
        <w:keepLines/>
        <w:pageBreakBefore w:val="0"/>
        <w:widowControl w:val="0"/>
        <w:kinsoku/>
        <w:overflowPunct/>
        <w:topLinePunct w:val="0"/>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三、获取招标文件</w:t>
      </w:r>
    </w:p>
    <w:p w14:paraId="408E88C4">
      <w:pPr>
        <w:pageBreakBefore w:val="0"/>
        <w:widowControl w:val="0"/>
        <w:kinsoku/>
        <w:overflowPunct/>
        <w:topLinePunct w:val="0"/>
        <w:autoSpaceDN/>
        <w:bidi w:val="0"/>
        <w:adjustRightInd/>
        <w:snapToGrid/>
        <w:spacing w:line="360" w:lineRule="auto"/>
        <w:ind w:firstLine="54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bidi="ar"/>
        </w:rPr>
        <w:t>时间：</w:t>
      </w:r>
      <w:r>
        <w:rPr>
          <w:rFonts w:hint="eastAsia" w:ascii="宋体" w:hAnsi="宋体" w:eastAsia="宋体" w:cs="宋体"/>
          <w:color w:val="auto"/>
          <w:sz w:val="24"/>
          <w:szCs w:val="24"/>
          <w:highlight w:val="none"/>
          <w:u w:val="single"/>
          <w:lang w:bidi="ar"/>
        </w:rPr>
        <w:t>2025年</w:t>
      </w:r>
      <w:r>
        <w:rPr>
          <w:rFonts w:hint="eastAsia" w:ascii="宋体" w:hAnsi="宋体" w:eastAsia="宋体" w:cs="宋体"/>
          <w:color w:val="auto"/>
          <w:sz w:val="24"/>
          <w:szCs w:val="24"/>
          <w:highlight w:val="none"/>
          <w:u w:val="single"/>
          <w:lang w:val="en-US" w:eastAsia="zh-CN" w:bidi="ar"/>
        </w:rPr>
        <w:t>8</w:t>
      </w:r>
      <w:r>
        <w:rPr>
          <w:rFonts w:hint="eastAsia" w:ascii="宋体" w:hAnsi="宋体" w:eastAsia="宋体" w:cs="宋体"/>
          <w:color w:val="auto"/>
          <w:sz w:val="24"/>
          <w:szCs w:val="24"/>
          <w:highlight w:val="none"/>
          <w:u w:val="single"/>
          <w:lang w:bidi="ar"/>
        </w:rPr>
        <w:t>月</w:t>
      </w:r>
      <w:r>
        <w:rPr>
          <w:rFonts w:hint="eastAsia" w:ascii="宋体" w:hAnsi="宋体" w:eastAsia="宋体" w:cs="宋体"/>
          <w:color w:val="auto"/>
          <w:sz w:val="24"/>
          <w:szCs w:val="24"/>
          <w:highlight w:val="none"/>
          <w:u w:val="single"/>
          <w:lang w:val="en-US" w:eastAsia="zh-CN" w:bidi="ar"/>
        </w:rPr>
        <w:t>6</w:t>
      </w:r>
      <w:r>
        <w:rPr>
          <w:rFonts w:hint="eastAsia" w:ascii="宋体" w:hAnsi="宋体" w:eastAsia="宋体" w:cs="宋体"/>
          <w:color w:val="auto"/>
          <w:sz w:val="24"/>
          <w:szCs w:val="24"/>
          <w:highlight w:val="none"/>
          <w:u w:val="single"/>
          <w:lang w:bidi="ar"/>
        </w:rPr>
        <w:t>日</w:t>
      </w:r>
      <w:r>
        <w:rPr>
          <w:rFonts w:hint="eastAsia" w:ascii="宋体" w:hAnsi="宋体" w:eastAsia="宋体" w:cs="宋体"/>
          <w:color w:val="auto"/>
          <w:sz w:val="24"/>
          <w:szCs w:val="24"/>
          <w:highlight w:val="none"/>
          <w:lang w:bidi="ar"/>
        </w:rPr>
        <w:t>至</w:t>
      </w:r>
      <w:r>
        <w:rPr>
          <w:rFonts w:hint="eastAsia" w:ascii="宋体" w:hAnsi="宋体" w:eastAsia="宋体" w:cs="宋体"/>
          <w:color w:val="auto"/>
          <w:sz w:val="24"/>
          <w:szCs w:val="24"/>
          <w:highlight w:val="none"/>
          <w:u w:val="single"/>
          <w:lang w:bidi="ar"/>
        </w:rPr>
        <w:t>2025年8月</w:t>
      </w:r>
      <w:r>
        <w:rPr>
          <w:rFonts w:hint="eastAsia" w:ascii="宋体" w:hAnsi="宋体" w:eastAsia="宋体" w:cs="宋体"/>
          <w:color w:val="auto"/>
          <w:sz w:val="24"/>
          <w:szCs w:val="24"/>
          <w:highlight w:val="none"/>
          <w:u w:val="single"/>
          <w:lang w:val="en-US" w:eastAsia="zh-CN" w:bidi="ar"/>
        </w:rPr>
        <w:t>27</w:t>
      </w:r>
      <w:r>
        <w:rPr>
          <w:rFonts w:hint="eastAsia" w:ascii="宋体" w:hAnsi="宋体" w:eastAsia="宋体" w:cs="宋体"/>
          <w:color w:val="auto"/>
          <w:sz w:val="24"/>
          <w:szCs w:val="24"/>
          <w:highlight w:val="none"/>
          <w:u w:val="single"/>
          <w:lang w:bidi="ar"/>
        </w:rPr>
        <w:t>日</w:t>
      </w:r>
    </w:p>
    <w:p w14:paraId="372195CE">
      <w:pPr>
        <w:pageBreakBefore w:val="0"/>
        <w:widowControl w:val="0"/>
        <w:kinsoku/>
        <w:overflowPunct/>
        <w:topLinePunct w:val="0"/>
        <w:autoSpaceDN/>
        <w:bidi w:val="0"/>
        <w:adjustRightInd/>
        <w:snapToGrid/>
        <w:spacing w:line="360" w:lineRule="auto"/>
        <w:ind w:firstLine="54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bidi="ar"/>
        </w:rPr>
        <w:t>地点：滁州市公共资源交易中心网</w:t>
      </w:r>
    </w:p>
    <w:p w14:paraId="1E7CC812">
      <w:pPr>
        <w:pageBreakBefore w:val="0"/>
        <w:widowControl w:val="0"/>
        <w:kinsoku/>
        <w:overflowPunct/>
        <w:topLinePunct w:val="0"/>
        <w:autoSpaceDN/>
        <w:bidi w:val="0"/>
        <w:adjustRightInd/>
        <w:snapToGrid/>
        <w:spacing w:line="360" w:lineRule="auto"/>
        <w:ind w:firstLine="54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bidi="ar"/>
        </w:rPr>
        <w:t>方式：网上下载</w:t>
      </w:r>
    </w:p>
    <w:p w14:paraId="341411EA">
      <w:pPr>
        <w:pageBreakBefore w:val="0"/>
        <w:widowControl w:val="0"/>
        <w:kinsoku/>
        <w:overflowPunct/>
        <w:topLinePunct w:val="0"/>
        <w:autoSpaceDN/>
        <w:bidi w:val="0"/>
        <w:adjustRightInd/>
        <w:snapToGrid/>
        <w:spacing w:line="360" w:lineRule="auto"/>
        <w:ind w:firstLine="54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售价：0元</w:t>
      </w:r>
    </w:p>
    <w:p w14:paraId="00FFFA67">
      <w:pPr>
        <w:keepNext/>
        <w:keepLines/>
        <w:pageBreakBefore w:val="0"/>
        <w:widowControl w:val="0"/>
        <w:kinsoku/>
        <w:overflowPunct/>
        <w:topLinePunct w:val="0"/>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四、提交投标文件截止时间、开标时间和地点</w:t>
      </w:r>
    </w:p>
    <w:p w14:paraId="77360453">
      <w:pPr>
        <w:pageBreakBefore w:val="0"/>
        <w:widowControl w:val="0"/>
        <w:kinsoku/>
        <w:overflowPunct/>
        <w:topLinePunct w:val="0"/>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u w:val="single"/>
          <w:lang w:bidi="ar"/>
        </w:rPr>
        <w:t>2025年8月</w:t>
      </w:r>
      <w:r>
        <w:rPr>
          <w:rFonts w:hint="eastAsia" w:ascii="宋体" w:hAnsi="宋体" w:eastAsia="宋体" w:cs="宋体"/>
          <w:color w:val="auto"/>
          <w:kern w:val="0"/>
          <w:sz w:val="24"/>
          <w:szCs w:val="24"/>
          <w:highlight w:val="none"/>
          <w:u w:val="single"/>
          <w:lang w:val="en-US" w:eastAsia="zh-CN" w:bidi="ar"/>
        </w:rPr>
        <w:t>27</w:t>
      </w:r>
      <w:r>
        <w:rPr>
          <w:rFonts w:hint="eastAsia" w:ascii="宋体" w:hAnsi="宋体" w:eastAsia="宋体" w:cs="宋体"/>
          <w:color w:val="auto"/>
          <w:kern w:val="0"/>
          <w:sz w:val="24"/>
          <w:szCs w:val="24"/>
          <w:highlight w:val="none"/>
          <w:u w:val="single"/>
          <w:lang w:bidi="ar"/>
        </w:rPr>
        <w:t>日8点00分</w:t>
      </w:r>
      <w:r>
        <w:rPr>
          <w:rFonts w:hint="eastAsia" w:ascii="宋体" w:hAnsi="宋体" w:eastAsia="宋体" w:cs="宋体"/>
          <w:color w:val="auto"/>
          <w:kern w:val="0"/>
          <w:sz w:val="24"/>
          <w:szCs w:val="24"/>
          <w:highlight w:val="none"/>
          <w:lang w:bidi="ar"/>
        </w:rPr>
        <w:t>（北京时间）</w:t>
      </w:r>
    </w:p>
    <w:p w14:paraId="6E50EC39">
      <w:pPr>
        <w:pageBreakBefore w:val="0"/>
        <w:widowControl w:val="0"/>
        <w:kinsoku/>
        <w:overflowPunct/>
        <w:topLinePunct w:val="0"/>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bidi="ar"/>
        </w:rPr>
        <w:t>地点：</w:t>
      </w:r>
      <w:r>
        <w:rPr>
          <w:rFonts w:hint="eastAsia" w:ascii="宋体" w:hAnsi="宋体" w:eastAsia="宋体" w:cs="宋体"/>
          <w:color w:val="auto"/>
          <w:sz w:val="24"/>
          <w:szCs w:val="24"/>
          <w:highlight w:val="none"/>
          <w:lang w:bidi="ar"/>
        </w:rPr>
        <w:t>滁州市公共资源交易平台电子交易系统</w:t>
      </w:r>
    </w:p>
    <w:p w14:paraId="318326B1">
      <w:pPr>
        <w:keepNext/>
        <w:keepLines/>
        <w:pageBreakBefore w:val="0"/>
        <w:widowControl w:val="0"/>
        <w:kinsoku/>
        <w:overflowPunct/>
        <w:topLinePunct w:val="0"/>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五、公告期限</w:t>
      </w:r>
    </w:p>
    <w:p w14:paraId="0F702201">
      <w:pPr>
        <w:pageBreakBefore w:val="0"/>
        <w:widowControl w:val="0"/>
        <w:kinsoku/>
        <w:overflowPunct/>
        <w:topLinePunct w:val="0"/>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bidi="ar"/>
        </w:rPr>
        <w:t>自本公告发布之日起5个工作日。</w:t>
      </w:r>
    </w:p>
    <w:p w14:paraId="5BD541B3">
      <w:pPr>
        <w:keepNext/>
        <w:keepLines/>
        <w:pageBreakBefore w:val="0"/>
        <w:widowControl w:val="0"/>
        <w:kinsoku/>
        <w:overflowPunct/>
        <w:topLinePunct w:val="0"/>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六、其他补充事宜</w:t>
      </w:r>
    </w:p>
    <w:p w14:paraId="1F4658DB">
      <w:pPr>
        <w:pageBreakBefore w:val="0"/>
        <w:widowControl w:val="0"/>
        <w:kinsoku/>
        <w:wordWrap w:val="0"/>
        <w:overflowPunct/>
        <w:topLinePunct w:val="0"/>
        <w:autoSpaceDE w:val="0"/>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本项目只接受在安徽省公共资源交易市场主体库（http://ggzy.ah.gov.cn/ahggfwpt-zhutiku/dengludenglu）登记并进行信息确认提交的投标人投标，未登记的投标人请及时办理CA数字证书并登录安徽省公共资源交易市场主体库进行信息填写及确认提交；已办理过CA数字证书视为已在省库登记，进行信息更新及确认提交即可。办理流程为登录滁州市公共资源交易中心网&gt;服务指南&gt;办事指南中的“CA数字证书和电子签章”及“市场主体登记”。相关服务电话：1.安徽省公共资源交易市场主体库使用相关问题（系统登录、信息登记、录入及提交、数字证书关联等）：010-86483801转5-2 ；2. CA数字证书有关问题：安徽CA客服400-880-4959、0550-3019013（工作日），CFCA客服025-66085508、0550-3801669（工作日）；3.市场主体招标环节和投标环节系统使用问题：0512-58188516（8：00-21：00）、0550-3801701（工作日）。因未及时通过CA数字证书登录省主体库对相关信息进行补充完善并确认提交，导致无法投标的，责任自负。为保证系统使用过程中产生的问题能够及时得到解决，请各主体在工作时间进行主体信息登记、更新、投标文件制作等相关操作。</w:t>
      </w:r>
    </w:p>
    <w:p w14:paraId="68CB8174">
      <w:pPr>
        <w:pageBreakBefore w:val="0"/>
        <w:widowControl w:val="0"/>
        <w:kinsoku/>
        <w:overflowPunct/>
        <w:topLinePunct w:val="0"/>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2.请投标人登录滁州市公共资源交易中心网站查看参加本项目的程序。（具体操作步骤和程序请参见服务指南&gt;交易须知&gt;投标人填写投标信息、下载文件及网上提问操作手册）。</w:t>
      </w:r>
    </w:p>
    <w:p w14:paraId="62322C4F">
      <w:pPr>
        <w:pageBreakBefore w:val="0"/>
        <w:widowControl w:val="0"/>
        <w:kinsoku/>
        <w:wordWrap w:val="0"/>
        <w:overflowPunct/>
        <w:topLinePunct w:val="0"/>
        <w:autoSpaceDE w:val="0"/>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3.本项目采用不见面开标（远程解密)方式，开标时投标人无须至开标现场进行解密，开标采取远程解密方式解密投标文件，投标人在开标时间前使用CA数字证书登录滁州市“不见面开标系统”，网址为https://ggzy.chuzhou.gov.cn/BidOpening,等待开标并按系统提示进行相应的投标人解密等事项，无需到开标现场。采用本方式可以观看开标现场音视频直播并进行互动交流。具体操作方法见中心网站&gt;服务指南&gt;交易须知中的《滁州市不见面开标系统操作手册》。</w:t>
      </w:r>
    </w:p>
    <w:p w14:paraId="39DAC57D">
      <w:pPr>
        <w:pageBreakBefore w:val="0"/>
        <w:widowControl w:val="0"/>
        <w:kinsoku/>
        <w:overflowPunct/>
        <w:topLinePunct w:val="0"/>
        <w:autoSpaceDE w:val="0"/>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4.投标人接到远程解密指令后，须在规定时间内解密。因投标人自身原因导致投标文件在规定时间内未能解密、解密失败或解密超时，投标文件无效；因采购代理机构原因或网上平台发生故障，导致无法按时完成投标文件解密的，经采购代理机构申请后可延迟解密时间。</w:t>
      </w:r>
    </w:p>
    <w:p w14:paraId="18D730BE">
      <w:pPr>
        <w:keepNext/>
        <w:keepLines/>
        <w:pageBreakBefore w:val="0"/>
        <w:widowControl w:val="0"/>
        <w:kinsoku/>
        <w:overflowPunct/>
        <w:topLinePunct w:val="0"/>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七、对本次招标提出询问，请按以下方式联系</w:t>
      </w:r>
    </w:p>
    <w:p w14:paraId="1275A4D2">
      <w:pPr>
        <w:pageBreakBefore w:val="0"/>
        <w:widowControl w:val="0"/>
        <w:kinsoku/>
        <w:overflowPunct/>
        <w:topLinePunct w:val="0"/>
        <w:autoSpaceDE w:val="0"/>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1.采购人信息</w:t>
      </w:r>
    </w:p>
    <w:p w14:paraId="4640BDD1">
      <w:pPr>
        <w:pageBreakBefore w:val="0"/>
        <w:widowControl w:val="0"/>
        <w:kinsoku/>
        <w:wordWrap w:val="0"/>
        <w:overflowPunct/>
        <w:topLinePunct w:val="0"/>
        <w:autoSpaceDE w:val="0"/>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名  称：</w:t>
      </w:r>
      <w:r>
        <w:rPr>
          <w:rFonts w:hint="eastAsia" w:ascii="宋体" w:hAnsi="宋体" w:eastAsia="宋体" w:cs="宋体"/>
          <w:color w:val="auto"/>
          <w:sz w:val="24"/>
          <w:szCs w:val="24"/>
          <w:highlight w:val="none"/>
          <w:u w:val="single"/>
          <w:lang w:bidi="ar"/>
        </w:rPr>
        <w:t>滁州市特种设备监督检验中心</w:t>
      </w:r>
    </w:p>
    <w:p w14:paraId="3CBED73D">
      <w:pPr>
        <w:pageBreakBefore w:val="0"/>
        <w:widowControl w:val="0"/>
        <w:kinsoku/>
        <w:wordWrap w:val="0"/>
        <w:overflowPunct/>
        <w:topLinePunct w:val="0"/>
        <w:autoSpaceDE w:val="0"/>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地  址：</w:t>
      </w:r>
      <w:r>
        <w:rPr>
          <w:rFonts w:hint="eastAsia" w:ascii="宋体" w:hAnsi="宋体" w:eastAsia="宋体" w:cs="宋体"/>
          <w:color w:val="auto"/>
          <w:sz w:val="24"/>
          <w:szCs w:val="24"/>
          <w:highlight w:val="none"/>
          <w:u w:val="single"/>
          <w:lang w:bidi="ar"/>
        </w:rPr>
        <w:t>滁州市会峰西路83号</w:t>
      </w:r>
    </w:p>
    <w:p w14:paraId="0054109D">
      <w:pPr>
        <w:pageBreakBefore w:val="0"/>
        <w:widowControl w:val="0"/>
        <w:kinsoku/>
        <w:wordWrap w:val="0"/>
        <w:overflowPunct/>
        <w:topLinePunct w:val="0"/>
        <w:autoSpaceDE w:val="0"/>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联系人：</w:t>
      </w:r>
      <w:r>
        <w:rPr>
          <w:rFonts w:hint="eastAsia" w:ascii="宋体" w:hAnsi="宋体" w:eastAsia="宋体" w:cs="宋体"/>
          <w:color w:val="auto"/>
          <w:sz w:val="24"/>
          <w:szCs w:val="24"/>
          <w:highlight w:val="none"/>
          <w:u w:val="single"/>
          <w:lang w:bidi="ar"/>
        </w:rPr>
        <w:t>夏文健</w:t>
      </w:r>
    </w:p>
    <w:p w14:paraId="340DF528">
      <w:pPr>
        <w:pageBreakBefore w:val="0"/>
        <w:widowControl w:val="0"/>
        <w:kinsoku/>
        <w:wordWrap w:val="0"/>
        <w:overflowPunct/>
        <w:topLinePunct w:val="0"/>
        <w:autoSpaceDE w:val="0"/>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联系方式：</w:t>
      </w:r>
      <w:r>
        <w:rPr>
          <w:rFonts w:hint="eastAsia" w:ascii="宋体" w:hAnsi="宋体" w:eastAsia="宋体" w:cs="宋体"/>
          <w:color w:val="auto"/>
          <w:sz w:val="24"/>
          <w:szCs w:val="24"/>
          <w:highlight w:val="none"/>
          <w:u w:val="single"/>
          <w:lang w:bidi="ar"/>
        </w:rPr>
        <w:t>0550-3212118</w:t>
      </w:r>
    </w:p>
    <w:p w14:paraId="1682DA20">
      <w:pPr>
        <w:pageBreakBefore w:val="0"/>
        <w:widowControl w:val="0"/>
        <w:kinsoku/>
        <w:overflowPunct/>
        <w:topLinePunct w:val="0"/>
        <w:autoSpaceDE w:val="0"/>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2.采购代理机构信息</w:t>
      </w:r>
    </w:p>
    <w:p w14:paraId="34F6B047">
      <w:pPr>
        <w:pageBreakBefore w:val="0"/>
        <w:widowControl w:val="0"/>
        <w:kinsoku/>
        <w:overflowPunct/>
        <w:topLinePunct w:val="0"/>
        <w:autoSpaceDE w:val="0"/>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名  称：</w:t>
      </w:r>
      <w:r>
        <w:rPr>
          <w:rFonts w:hint="eastAsia" w:ascii="宋体" w:hAnsi="宋体" w:eastAsia="宋体" w:cs="宋体"/>
          <w:color w:val="auto"/>
          <w:sz w:val="24"/>
          <w:szCs w:val="24"/>
          <w:highlight w:val="none"/>
          <w:u w:val="single"/>
          <w:lang w:bidi="ar"/>
        </w:rPr>
        <w:t>滁州市政府采购中心</w:t>
      </w:r>
    </w:p>
    <w:p w14:paraId="76D56589">
      <w:pPr>
        <w:pageBreakBefore w:val="0"/>
        <w:widowControl w:val="0"/>
        <w:kinsoku/>
        <w:overflowPunct/>
        <w:topLinePunct w:val="0"/>
        <w:autoSpaceDE w:val="0"/>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bidi="ar"/>
        </w:rPr>
        <w:t>地  址：</w:t>
      </w:r>
      <w:r>
        <w:rPr>
          <w:rFonts w:hint="eastAsia" w:ascii="宋体" w:hAnsi="宋体" w:eastAsia="宋体" w:cs="宋体"/>
          <w:color w:val="auto"/>
          <w:sz w:val="24"/>
          <w:szCs w:val="24"/>
          <w:highlight w:val="none"/>
          <w:u w:val="single"/>
          <w:lang w:eastAsia="zh-CN" w:bidi="ar"/>
        </w:rPr>
        <w:t>滁州市龙蟠大道109号房产商务大厦2楼</w:t>
      </w:r>
    </w:p>
    <w:p w14:paraId="73A53F7D">
      <w:pPr>
        <w:pageBreakBefore w:val="0"/>
        <w:widowControl w:val="0"/>
        <w:kinsoku/>
        <w:overflowPunct/>
        <w:topLinePunct w:val="0"/>
        <w:autoSpaceDE w:val="0"/>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联系人：</w:t>
      </w:r>
      <w:r>
        <w:rPr>
          <w:rFonts w:hint="eastAsia" w:ascii="宋体" w:hAnsi="宋体" w:eastAsia="宋体" w:cs="宋体"/>
          <w:color w:val="auto"/>
          <w:sz w:val="24"/>
          <w:szCs w:val="24"/>
          <w:highlight w:val="none"/>
          <w:u w:val="single"/>
          <w:lang w:bidi="ar"/>
        </w:rPr>
        <w:t>胡国庆</w:t>
      </w:r>
    </w:p>
    <w:p w14:paraId="25818F08">
      <w:pPr>
        <w:pageBreakBefore w:val="0"/>
        <w:widowControl w:val="0"/>
        <w:kinsoku/>
        <w:overflowPunct/>
        <w:topLinePunct w:val="0"/>
        <w:autoSpaceDE w:val="0"/>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联系方式：</w:t>
      </w:r>
      <w:r>
        <w:rPr>
          <w:rFonts w:hint="eastAsia" w:ascii="宋体" w:hAnsi="宋体" w:eastAsia="宋体" w:cs="宋体"/>
          <w:color w:val="auto"/>
          <w:sz w:val="24"/>
          <w:szCs w:val="24"/>
          <w:highlight w:val="none"/>
          <w:u w:val="single"/>
          <w:lang w:bidi="ar"/>
        </w:rPr>
        <w:t>0550-3519517、18005500950</w:t>
      </w:r>
    </w:p>
    <w:p w14:paraId="7658D9AE">
      <w:pPr>
        <w:pageBreakBefore w:val="0"/>
        <w:widowControl w:val="0"/>
        <w:kinsoku/>
        <w:overflowPunct/>
        <w:topLinePunct w:val="0"/>
        <w:autoSpaceDE w:val="0"/>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3.政府采购监督管理部门信息</w:t>
      </w:r>
    </w:p>
    <w:p w14:paraId="49A3D5C1">
      <w:pPr>
        <w:pageBreakBefore w:val="0"/>
        <w:widowControl w:val="0"/>
        <w:kinsoku/>
        <w:overflowPunct/>
        <w:topLinePunct w:val="0"/>
        <w:autoSpaceDE w:val="0"/>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名  称：</w:t>
      </w:r>
      <w:r>
        <w:rPr>
          <w:rFonts w:hint="eastAsia" w:ascii="宋体" w:hAnsi="宋体" w:eastAsia="宋体" w:cs="宋体"/>
          <w:color w:val="auto"/>
          <w:sz w:val="24"/>
          <w:szCs w:val="24"/>
          <w:highlight w:val="none"/>
          <w:u w:val="single"/>
          <w:lang w:bidi="ar"/>
        </w:rPr>
        <w:t>滁州市公共资源交易监督管理局</w:t>
      </w:r>
    </w:p>
    <w:p w14:paraId="2D4C3C88">
      <w:pPr>
        <w:pageBreakBefore w:val="0"/>
        <w:widowControl w:val="0"/>
        <w:kinsoku/>
        <w:overflowPunct/>
        <w:topLinePunct w:val="0"/>
        <w:autoSpaceDE w:val="0"/>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地  址：</w:t>
      </w:r>
      <w:r>
        <w:rPr>
          <w:rFonts w:hint="eastAsia" w:ascii="宋体" w:hAnsi="宋体" w:eastAsia="宋体" w:cs="宋体"/>
          <w:color w:val="auto"/>
          <w:sz w:val="24"/>
          <w:szCs w:val="24"/>
          <w:highlight w:val="none"/>
          <w:u w:val="single"/>
          <w:lang w:bidi="ar"/>
        </w:rPr>
        <w:t>滁州市龙蟠大道109号房产商务大厦</w:t>
      </w:r>
      <w:r>
        <w:rPr>
          <w:rFonts w:hint="eastAsia" w:ascii="宋体" w:hAnsi="宋体" w:eastAsia="宋体" w:cs="宋体"/>
          <w:color w:val="auto"/>
          <w:sz w:val="24"/>
          <w:szCs w:val="24"/>
          <w:highlight w:val="none"/>
          <w:u w:val="single"/>
          <w:lang w:val="en-US" w:eastAsia="zh-CN" w:bidi="ar"/>
        </w:rPr>
        <w:t>3</w:t>
      </w:r>
      <w:r>
        <w:rPr>
          <w:rFonts w:hint="eastAsia" w:ascii="宋体" w:hAnsi="宋体" w:eastAsia="宋体" w:cs="宋体"/>
          <w:color w:val="auto"/>
          <w:sz w:val="24"/>
          <w:szCs w:val="24"/>
          <w:highlight w:val="none"/>
          <w:u w:val="single"/>
          <w:lang w:bidi="ar"/>
        </w:rPr>
        <w:t>楼</w:t>
      </w:r>
    </w:p>
    <w:p w14:paraId="60BB0B11">
      <w:pPr>
        <w:pageBreakBefore w:val="0"/>
        <w:widowControl w:val="0"/>
        <w:kinsoku/>
        <w:overflowPunct/>
        <w:topLinePunct w:val="0"/>
        <w:autoSpaceDE w:val="0"/>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联系方式：</w:t>
      </w:r>
      <w:r>
        <w:rPr>
          <w:rFonts w:hint="eastAsia" w:ascii="宋体" w:hAnsi="宋体" w:eastAsia="宋体" w:cs="宋体"/>
          <w:color w:val="auto"/>
          <w:sz w:val="24"/>
          <w:szCs w:val="24"/>
          <w:highlight w:val="none"/>
          <w:u w:val="single"/>
          <w:lang w:bidi="ar"/>
        </w:rPr>
        <w:t>0550-3801601</w:t>
      </w:r>
    </w:p>
    <w:p w14:paraId="02A466F8">
      <w:pPr>
        <w:pageBreakBefore w:val="0"/>
        <w:widowControl w:val="0"/>
        <w:kinsoku/>
        <w:overflowPunct/>
        <w:topLinePunct w:val="0"/>
        <w:autoSpaceDN/>
        <w:bidi w:val="0"/>
        <w:adjustRightInd/>
        <w:snapToGrid/>
        <w:spacing w:line="360" w:lineRule="auto"/>
        <w:ind w:firstLine="435"/>
        <w:textAlignment w:val="auto"/>
        <w:rPr>
          <w:rFonts w:hint="eastAsia" w:ascii="宋体" w:hAnsi="宋体" w:eastAsia="宋体" w:cs="宋体"/>
          <w:color w:val="auto"/>
          <w:sz w:val="24"/>
          <w:szCs w:val="18"/>
          <w:highlight w:val="none"/>
          <w:u w:val="single"/>
        </w:rPr>
      </w:pPr>
    </w:p>
    <w:p w14:paraId="780ED8C2">
      <w:pPr>
        <w:widowControl/>
        <w:jc w:val="left"/>
        <w:rPr>
          <w:rFonts w:hint="eastAsia" w:ascii="宋体" w:hAnsi="宋体" w:eastAsia="宋体" w:cs="宋体"/>
          <w:color w:val="auto"/>
          <w:sz w:val="24"/>
          <w:szCs w:val="18"/>
          <w:highlight w:val="none"/>
        </w:rPr>
      </w:pPr>
      <w:r>
        <w:rPr>
          <w:rFonts w:hint="eastAsia" w:ascii="宋体" w:hAnsi="宋体" w:eastAsia="宋体" w:cs="宋体"/>
          <w:color w:val="auto"/>
          <w:sz w:val="24"/>
          <w:szCs w:val="18"/>
          <w:highlight w:val="none"/>
        </w:rPr>
        <w:br w:type="page"/>
      </w:r>
    </w:p>
    <w:p w14:paraId="6C9E922C">
      <w:pPr>
        <w:spacing w:line="360" w:lineRule="auto"/>
        <w:jc w:val="center"/>
        <w:outlineLvl w:val="0"/>
        <w:rPr>
          <w:rFonts w:hint="eastAsia" w:ascii="宋体" w:hAnsi="宋体" w:eastAsia="宋体" w:cs="宋体"/>
          <w:b/>
          <w:color w:val="auto"/>
          <w:sz w:val="28"/>
          <w:highlight w:val="none"/>
        </w:rPr>
      </w:pPr>
      <w:bookmarkStart w:id="8" w:name="_Toc4974"/>
      <w:bookmarkStart w:id="9" w:name="_Toc31935"/>
      <w:r>
        <w:rPr>
          <w:rFonts w:hint="eastAsia" w:ascii="宋体" w:hAnsi="宋体" w:eastAsia="宋体" w:cs="宋体"/>
          <w:b/>
          <w:color w:val="auto"/>
          <w:sz w:val="28"/>
          <w:highlight w:val="none"/>
        </w:rPr>
        <w:t>第二章  投标人须知</w:t>
      </w:r>
      <w:bookmarkEnd w:id="8"/>
      <w:bookmarkEnd w:id="9"/>
    </w:p>
    <w:p w14:paraId="1A5A90F5">
      <w:pPr>
        <w:spacing w:line="360" w:lineRule="auto"/>
        <w:jc w:val="center"/>
        <w:outlineLvl w:val="1"/>
        <w:rPr>
          <w:rFonts w:hint="eastAsia" w:ascii="宋体" w:hAnsi="宋体" w:eastAsia="宋体" w:cs="宋体"/>
          <w:b/>
          <w:color w:val="auto"/>
          <w:sz w:val="24"/>
          <w:highlight w:val="none"/>
        </w:rPr>
      </w:pPr>
      <w:bookmarkStart w:id="10" w:name="_Toc3114"/>
      <w:bookmarkStart w:id="11" w:name="_Toc7178"/>
      <w:r>
        <w:rPr>
          <w:rFonts w:hint="eastAsia" w:ascii="宋体" w:hAnsi="宋体" w:eastAsia="宋体" w:cs="宋体"/>
          <w:b/>
          <w:color w:val="auto"/>
          <w:sz w:val="24"/>
          <w:highlight w:val="none"/>
        </w:rPr>
        <w:t>一、投标人须知前附表</w:t>
      </w:r>
      <w:bookmarkEnd w:id="10"/>
      <w:bookmarkEnd w:id="11"/>
    </w:p>
    <w:p w14:paraId="1F77BAEE">
      <w:pPr>
        <w:spacing w:line="360" w:lineRule="auto"/>
        <w:ind w:firstLine="435"/>
        <w:rPr>
          <w:rFonts w:hint="eastAsia" w:ascii="宋体" w:hAnsi="宋体" w:eastAsia="宋体" w:cs="宋体"/>
          <w:color w:val="auto"/>
          <w:sz w:val="24"/>
          <w:szCs w:val="18"/>
          <w:highlight w:val="none"/>
        </w:rPr>
      </w:pPr>
      <w:r>
        <w:rPr>
          <w:rFonts w:hint="eastAsia" w:ascii="宋体" w:hAnsi="宋体" w:eastAsia="宋体" w:cs="宋体"/>
          <w:b/>
          <w:bCs/>
          <w:color w:val="auto"/>
          <w:sz w:val="24"/>
          <w:szCs w:val="18"/>
          <w:highlight w:val="none"/>
        </w:rPr>
        <w:t>注：</w:t>
      </w:r>
      <w:r>
        <w:rPr>
          <w:rFonts w:hint="eastAsia" w:ascii="宋体" w:hAnsi="宋体" w:eastAsia="宋体" w:cs="宋体"/>
          <w:color w:val="auto"/>
          <w:sz w:val="24"/>
          <w:szCs w:val="18"/>
          <w:highlight w:val="none"/>
        </w:rPr>
        <w:t>本表是本项目的具体要求，是对投标人须知的具体补充和修改，如有不一致，以本表为准。</w:t>
      </w:r>
    </w:p>
    <w:tbl>
      <w:tblPr>
        <w:tblStyle w:val="27"/>
        <w:tblW w:w="50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6"/>
        <w:gridCol w:w="2033"/>
        <w:gridCol w:w="5618"/>
      </w:tblGrid>
      <w:tr w14:paraId="39C01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4F4B1194">
            <w:pPr>
              <w:pStyle w:val="45"/>
              <w:widowControl w:val="0"/>
              <w:spacing w:before="0" w:beforeAutospacing="0" w:after="0" w:afterAutospacing="0"/>
              <w:rPr>
                <w:rFonts w:hint="eastAsia" w:ascii="宋体" w:hAnsi="宋体" w:eastAsia="宋体" w:cs="宋体"/>
                <w:bCs w:val="0"/>
                <w:color w:val="auto"/>
                <w:kern w:val="2"/>
                <w:sz w:val="24"/>
                <w:szCs w:val="20"/>
                <w:highlight w:val="none"/>
              </w:rPr>
            </w:pPr>
            <w:r>
              <w:rPr>
                <w:rFonts w:hint="eastAsia" w:ascii="宋体" w:hAnsi="宋体" w:eastAsia="宋体" w:cs="宋体"/>
                <w:bCs w:val="0"/>
                <w:color w:val="auto"/>
                <w:kern w:val="2"/>
                <w:sz w:val="24"/>
                <w:szCs w:val="20"/>
                <w:highlight w:val="none"/>
              </w:rPr>
              <w:t>条款号</w:t>
            </w:r>
          </w:p>
        </w:tc>
        <w:tc>
          <w:tcPr>
            <w:tcW w:w="1174" w:type="pct"/>
            <w:vAlign w:val="center"/>
          </w:tcPr>
          <w:p w14:paraId="0DEE41CC">
            <w:pPr>
              <w:pStyle w:val="45"/>
              <w:widowControl w:val="0"/>
              <w:spacing w:before="0" w:beforeAutospacing="0" w:after="0" w:afterAutospacing="0"/>
              <w:rPr>
                <w:rFonts w:hint="eastAsia" w:ascii="宋体" w:hAnsi="宋体" w:eastAsia="宋体" w:cs="宋体"/>
                <w:bCs w:val="0"/>
                <w:color w:val="auto"/>
                <w:kern w:val="2"/>
                <w:sz w:val="24"/>
                <w:szCs w:val="20"/>
                <w:highlight w:val="none"/>
              </w:rPr>
            </w:pPr>
            <w:r>
              <w:rPr>
                <w:rFonts w:hint="eastAsia" w:ascii="宋体" w:hAnsi="宋体" w:eastAsia="宋体" w:cs="宋体"/>
                <w:bCs w:val="0"/>
                <w:color w:val="auto"/>
                <w:kern w:val="2"/>
                <w:sz w:val="24"/>
                <w:szCs w:val="20"/>
                <w:highlight w:val="none"/>
              </w:rPr>
              <w:t>条款名称</w:t>
            </w:r>
          </w:p>
        </w:tc>
        <w:tc>
          <w:tcPr>
            <w:tcW w:w="3244" w:type="pct"/>
            <w:vAlign w:val="center"/>
          </w:tcPr>
          <w:p w14:paraId="085ED939">
            <w:pPr>
              <w:pStyle w:val="45"/>
              <w:widowControl w:val="0"/>
              <w:spacing w:before="0" w:beforeAutospacing="0" w:after="0" w:afterAutospacing="0"/>
              <w:rPr>
                <w:rFonts w:hint="eastAsia" w:ascii="宋体" w:hAnsi="宋体" w:eastAsia="宋体" w:cs="宋体"/>
                <w:bCs w:val="0"/>
                <w:color w:val="auto"/>
                <w:kern w:val="2"/>
                <w:sz w:val="24"/>
                <w:szCs w:val="20"/>
                <w:highlight w:val="none"/>
              </w:rPr>
            </w:pPr>
            <w:r>
              <w:rPr>
                <w:rFonts w:hint="eastAsia" w:ascii="宋体" w:hAnsi="宋体" w:eastAsia="宋体" w:cs="宋体"/>
                <w:bCs w:val="0"/>
                <w:color w:val="auto"/>
                <w:kern w:val="2"/>
                <w:sz w:val="24"/>
                <w:szCs w:val="20"/>
                <w:highlight w:val="none"/>
              </w:rPr>
              <w:t>内容、说明与要求</w:t>
            </w:r>
          </w:p>
        </w:tc>
      </w:tr>
      <w:tr w14:paraId="7BA5E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19257E51">
            <w:pPr>
              <w:pStyle w:val="46"/>
              <w:pBdr>
                <w:bottom w:val="none" w:color="auto" w:sz="0" w:space="0"/>
              </w:pBdr>
              <w:tabs>
                <w:tab w:val="clear" w:pos="4153"/>
                <w:tab w:val="clear" w:pos="8306"/>
              </w:tabs>
              <w:adjustRightInd/>
              <w:spacing w:line="240" w:lineRule="auto"/>
              <w:textAlignment w:val="auto"/>
              <w:rPr>
                <w:rFonts w:hint="eastAsia" w:ascii="宋体" w:hAnsi="宋体" w:eastAsia="宋体" w:cs="宋体"/>
                <w:bCs/>
                <w:color w:val="auto"/>
                <w:kern w:val="2"/>
                <w:highlight w:val="none"/>
              </w:rPr>
            </w:pPr>
            <w:r>
              <w:rPr>
                <w:rFonts w:hint="eastAsia" w:ascii="宋体" w:hAnsi="宋体" w:eastAsia="宋体" w:cs="宋体"/>
                <w:bCs/>
                <w:color w:val="auto"/>
                <w:kern w:val="2"/>
                <w:highlight w:val="none"/>
              </w:rPr>
              <w:t>5.2</w:t>
            </w:r>
          </w:p>
        </w:tc>
        <w:tc>
          <w:tcPr>
            <w:tcW w:w="1174" w:type="pct"/>
            <w:vAlign w:val="center"/>
          </w:tcPr>
          <w:p w14:paraId="4E6BAF2F">
            <w:pPr>
              <w:pStyle w:val="45"/>
              <w:widowControl w:val="0"/>
              <w:spacing w:before="0" w:beforeAutospacing="0" w:after="0" w:afterAutospacing="0" w:line="360" w:lineRule="auto"/>
              <w:jc w:val="left"/>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rPr>
              <w:t>现场考察或标前答疑会</w:t>
            </w:r>
          </w:p>
        </w:tc>
        <w:tc>
          <w:tcPr>
            <w:tcW w:w="3244" w:type="pct"/>
            <w:vAlign w:val="center"/>
          </w:tcPr>
          <w:p w14:paraId="142C7C0A">
            <w:pPr>
              <w:spacing w:line="360" w:lineRule="auto"/>
              <w:rPr>
                <w:rFonts w:hint="eastAsia" w:ascii="宋体" w:hAnsi="宋体" w:eastAsia="宋体" w:cs="宋体"/>
                <w:bCs/>
                <w:color w:val="auto"/>
                <w:sz w:val="24"/>
                <w:highlight w:val="none"/>
              </w:rPr>
            </w:pPr>
            <w:r>
              <w:rPr>
                <w:rFonts w:ascii="Segoe UI Symbol" w:hAnsi="Segoe UI Symbol" w:eastAsia="宋体" w:cs="Segoe UI Symbol"/>
                <w:bCs/>
                <w:color w:val="auto"/>
                <w:sz w:val="24"/>
                <w:szCs w:val="24"/>
                <w:highlight w:val="none"/>
              </w:rPr>
              <w:t>☑</w:t>
            </w:r>
            <w:r>
              <w:rPr>
                <w:rFonts w:hint="eastAsia" w:ascii="宋体" w:hAnsi="宋体" w:eastAsia="宋体" w:cs="宋体"/>
                <w:color w:val="auto"/>
                <w:sz w:val="24"/>
                <w:highlight w:val="none"/>
              </w:rPr>
              <w:t>不组织或不召开</w:t>
            </w:r>
          </w:p>
          <w:p w14:paraId="099F3692">
            <w:pPr>
              <w:spacing w:line="360" w:lineRule="auto"/>
              <w:rPr>
                <w:rFonts w:hint="eastAsia" w:ascii="宋体" w:hAnsi="宋体" w:eastAsia="宋体" w:cs="宋体"/>
                <w:bCs/>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bCs/>
                <w:color w:val="auto"/>
                <w:sz w:val="24"/>
                <w:highlight w:val="none"/>
              </w:rPr>
              <w:t>统一组织或统一召开</w:t>
            </w:r>
          </w:p>
          <w:p w14:paraId="3BFD3596">
            <w:pPr>
              <w:spacing w:line="360" w:lineRule="auto"/>
              <w:rPr>
                <w:rFonts w:hint="eastAsia" w:ascii="宋体" w:hAnsi="宋体" w:eastAsia="宋体" w:cs="宋体"/>
                <w:bCs/>
                <w:color w:val="auto"/>
                <w:sz w:val="24"/>
                <w:highlight w:val="none"/>
                <w:u w:val="single"/>
              </w:rPr>
            </w:pPr>
            <w:r>
              <w:rPr>
                <w:rFonts w:hint="eastAsia" w:ascii="宋体" w:hAnsi="宋体" w:eastAsia="宋体" w:cs="宋体"/>
                <w:bCs/>
                <w:color w:val="auto"/>
                <w:sz w:val="24"/>
                <w:highlight w:val="none"/>
              </w:rPr>
              <w:t>时间：</w:t>
            </w:r>
            <w:r>
              <w:rPr>
                <w:rFonts w:hint="eastAsia" w:ascii="宋体" w:hAnsi="宋体" w:eastAsia="宋体" w:cs="宋体"/>
                <w:bCs/>
                <w:color w:val="auto"/>
                <w:sz w:val="24"/>
                <w:highlight w:val="none"/>
                <w:u w:val="single"/>
              </w:rPr>
              <w:t xml:space="preserve">  /  </w:t>
            </w:r>
            <w:r>
              <w:rPr>
                <w:rFonts w:hint="eastAsia" w:ascii="宋体" w:hAnsi="宋体" w:eastAsia="宋体" w:cs="宋体"/>
                <w:bCs/>
                <w:color w:val="auto"/>
                <w:sz w:val="24"/>
                <w:highlight w:val="none"/>
              </w:rPr>
              <w:t>年</w:t>
            </w:r>
            <w:r>
              <w:rPr>
                <w:rFonts w:hint="eastAsia" w:ascii="宋体" w:hAnsi="宋体" w:eastAsia="宋体" w:cs="宋体"/>
                <w:bCs/>
                <w:color w:val="auto"/>
                <w:sz w:val="24"/>
                <w:highlight w:val="none"/>
                <w:u w:val="single"/>
              </w:rPr>
              <w:t xml:space="preserve"> / </w:t>
            </w:r>
            <w:r>
              <w:rPr>
                <w:rFonts w:hint="eastAsia" w:ascii="宋体" w:hAnsi="宋体" w:eastAsia="宋体" w:cs="宋体"/>
                <w:bCs/>
                <w:color w:val="auto"/>
                <w:sz w:val="24"/>
                <w:highlight w:val="none"/>
              </w:rPr>
              <w:t>月</w:t>
            </w:r>
            <w:r>
              <w:rPr>
                <w:rFonts w:hint="eastAsia" w:ascii="宋体" w:hAnsi="宋体" w:eastAsia="宋体" w:cs="宋体"/>
                <w:bCs/>
                <w:color w:val="auto"/>
                <w:sz w:val="24"/>
                <w:highlight w:val="none"/>
                <w:u w:val="single"/>
              </w:rPr>
              <w:t xml:space="preserve"> / </w:t>
            </w:r>
            <w:r>
              <w:rPr>
                <w:rFonts w:hint="eastAsia" w:ascii="宋体" w:hAnsi="宋体" w:eastAsia="宋体" w:cs="宋体"/>
                <w:bCs/>
                <w:color w:val="auto"/>
                <w:sz w:val="24"/>
                <w:highlight w:val="none"/>
              </w:rPr>
              <w:t>日</w:t>
            </w:r>
            <w:r>
              <w:rPr>
                <w:rFonts w:hint="eastAsia" w:ascii="宋体" w:hAnsi="宋体" w:eastAsia="宋体" w:cs="宋体"/>
                <w:bCs/>
                <w:color w:val="auto"/>
                <w:sz w:val="24"/>
                <w:highlight w:val="none"/>
                <w:u w:val="single"/>
              </w:rPr>
              <w:t xml:space="preserve"> / </w:t>
            </w:r>
            <w:r>
              <w:rPr>
                <w:rFonts w:hint="eastAsia" w:ascii="宋体" w:hAnsi="宋体" w:eastAsia="宋体" w:cs="宋体"/>
                <w:bCs/>
                <w:color w:val="auto"/>
                <w:sz w:val="24"/>
                <w:highlight w:val="none"/>
              </w:rPr>
              <w:t>时</w:t>
            </w:r>
            <w:r>
              <w:rPr>
                <w:rFonts w:hint="eastAsia" w:ascii="宋体" w:hAnsi="宋体" w:eastAsia="宋体" w:cs="宋体"/>
                <w:bCs/>
                <w:color w:val="auto"/>
                <w:sz w:val="24"/>
                <w:highlight w:val="none"/>
                <w:u w:val="single"/>
              </w:rPr>
              <w:t xml:space="preserve"> / </w:t>
            </w:r>
            <w:r>
              <w:rPr>
                <w:rFonts w:hint="eastAsia" w:ascii="宋体" w:hAnsi="宋体" w:eastAsia="宋体" w:cs="宋体"/>
                <w:bCs/>
                <w:color w:val="auto"/>
                <w:sz w:val="24"/>
                <w:highlight w:val="none"/>
              </w:rPr>
              <w:t>分</w:t>
            </w:r>
          </w:p>
          <w:p w14:paraId="7BFD9E52">
            <w:pPr>
              <w:spacing w:line="360" w:lineRule="auto"/>
              <w:rPr>
                <w:rFonts w:hint="eastAsia" w:ascii="宋体" w:hAnsi="宋体" w:eastAsia="宋体" w:cs="宋体"/>
                <w:bCs/>
                <w:color w:val="auto"/>
                <w:sz w:val="24"/>
                <w:highlight w:val="none"/>
                <w:u w:val="single"/>
              </w:rPr>
            </w:pPr>
            <w:r>
              <w:rPr>
                <w:rFonts w:hint="eastAsia" w:ascii="宋体" w:hAnsi="宋体" w:eastAsia="宋体" w:cs="宋体"/>
                <w:bCs/>
                <w:color w:val="auto"/>
                <w:sz w:val="24"/>
                <w:highlight w:val="none"/>
              </w:rPr>
              <w:t>地点：</w:t>
            </w:r>
            <w:r>
              <w:rPr>
                <w:rFonts w:hint="eastAsia" w:ascii="宋体" w:hAnsi="宋体" w:eastAsia="宋体" w:cs="宋体"/>
                <w:bCs/>
                <w:color w:val="auto"/>
                <w:sz w:val="24"/>
                <w:highlight w:val="none"/>
                <w:u w:val="single"/>
              </w:rPr>
              <w:t xml:space="preserve">     /                  </w:t>
            </w:r>
          </w:p>
          <w:p w14:paraId="4BAFA008">
            <w:pPr>
              <w:spacing w:line="360" w:lineRule="auto"/>
              <w:rPr>
                <w:rFonts w:hint="eastAsia" w:ascii="宋体" w:hAnsi="宋体" w:eastAsia="宋体" w:cs="宋体"/>
                <w:bCs/>
                <w:color w:val="auto"/>
                <w:sz w:val="24"/>
                <w:highlight w:val="none"/>
                <w:u w:val="single"/>
              </w:rPr>
            </w:pPr>
            <w:r>
              <w:rPr>
                <w:rFonts w:hint="eastAsia" w:ascii="宋体" w:hAnsi="宋体" w:eastAsia="宋体" w:cs="宋体"/>
                <w:bCs/>
                <w:color w:val="auto"/>
                <w:sz w:val="24"/>
                <w:highlight w:val="none"/>
              </w:rPr>
              <w:t>联系人及联系电话：</w:t>
            </w:r>
            <w:r>
              <w:rPr>
                <w:rFonts w:hint="eastAsia" w:ascii="宋体" w:hAnsi="宋体" w:eastAsia="宋体" w:cs="宋体"/>
                <w:bCs/>
                <w:color w:val="auto"/>
                <w:sz w:val="24"/>
                <w:highlight w:val="none"/>
                <w:u w:val="single"/>
              </w:rPr>
              <w:t xml:space="preserve">     /      </w:t>
            </w:r>
          </w:p>
          <w:p w14:paraId="2B9B30A5">
            <w:pPr>
              <w:pStyle w:val="45"/>
              <w:widowControl w:val="0"/>
              <w:spacing w:before="0" w:beforeAutospacing="0" w:after="0" w:afterAutospacing="0" w:line="360" w:lineRule="auto"/>
              <w:jc w:val="both"/>
              <w:rPr>
                <w:rFonts w:hint="eastAsia" w:ascii="宋体" w:hAnsi="宋体" w:eastAsia="宋体" w:cs="宋体"/>
                <w:b w:val="0"/>
                <w:color w:val="auto"/>
                <w:sz w:val="24"/>
                <w:highlight w:val="none"/>
              </w:rPr>
            </w:pPr>
            <w:r>
              <w:rPr>
                <w:rFonts w:hint="eastAsia" w:ascii="宋体" w:hAnsi="宋体" w:eastAsia="宋体" w:cs="宋体"/>
                <w:bCs w:val="0"/>
                <w:color w:val="auto"/>
                <w:sz w:val="24"/>
                <w:highlight w:val="none"/>
              </w:rPr>
              <w:t>注：如投标人未参加采购人统一组织的现场考察或采购人统一召开的标前答疑会，视同放弃现场考察或标前答疑会，由此引起的一切责任由投标人自行承担。</w:t>
            </w:r>
          </w:p>
        </w:tc>
      </w:tr>
      <w:tr w14:paraId="3CBEA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26823428">
            <w:pPr>
              <w:pStyle w:val="46"/>
              <w:pBdr>
                <w:bottom w:val="none" w:color="auto" w:sz="0" w:space="0"/>
              </w:pBdr>
              <w:tabs>
                <w:tab w:val="clear" w:pos="4153"/>
                <w:tab w:val="clear" w:pos="8306"/>
              </w:tabs>
              <w:adjustRightInd/>
              <w:spacing w:line="240" w:lineRule="auto"/>
              <w:textAlignment w:val="auto"/>
              <w:rPr>
                <w:rFonts w:hint="eastAsia" w:ascii="宋体" w:hAnsi="宋体" w:eastAsia="宋体" w:cs="宋体"/>
                <w:bCs/>
                <w:color w:val="auto"/>
                <w:kern w:val="2"/>
                <w:highlight w:val="none"/>
              </w:rPr>
            </w:pPr>
            <w:r>
              <w:rPr>
                <w:rFonts w:hint="eastAsia" w:ascii="宋体" w:hAnsi="宋体" w:eastAsia="宋体" w:cs="宋体"/>
                <w:bCs/>
                <w:color w:val="auto"/>
                <w:kern w:val="2"/>
                <w:highlight w:val="none"/>
              </w:rPr>
              <w:t>6.1</w:t>
            </w:r>
          </w:p>
        </w:tc>
        <w:tc>
          <w:tcPr>
            <w:tcW w:w="1174" w:type="pct"/>
            <w:vAlign w:val="center"/>
          </w:tcPr>
          <w:p w14:paraId="6C179DF2">
            <w:pPr>
              <w:pStyle w:val="45"/>
              <w:widowControl w:val="0"/>
              <w:spacing w:before="0" w:beforeAutospacing="0" w:after="0" w:afterAutospacing="0"/>
              <w:jc w:val="left"/>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rPr>
              <w:t>网上询问截止时间</w:t>
            </w:r>
          </w:p>
        </w:tc>
        <w:tc>
          <w:tcPr>
            <w:tcW w:w="3244" w:type="pct"/>
            <w:vAlign w:val="center"/>
          </w:tcPr>
          <w:p w14:paraId="61134EB0">
            <w:pPr>
              <w:pStyle w:val="45"/>
              <w:widowControl w:val="0"/>
              <w:spacing w:before="0" w:beforeAutospacing="0" w:after="0" w:afterAutospacing="0"/>
              <w:jc w:val="both"/>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u w:val="single"/>
              </w:rPr>
              <w:t xml:space="preserve">2025 </w:t>
            </w:r>
            <w:r>
              <w:rPr>
                <w:rFonts w:hint="eastAsia" w:ascii="宋体" w:hAnsi="宋体" w:eastAsia="宋体" w:cs="宋体"/>
                <w:b w:val="0"/>
                <w:color w:val="auto"/>
                <w:sz w:val="24"/>
                <w:highlight w:val="none"/>
              </w:rPr>
              <w:t>年</w:t>
            </w:r>
            <w:r>
              <w:rPr>
                <w:rFonts w:hint="eastAsia" w:ascii="宋体" w:hAnsi="宋体" w:eastAsia="宋体" w:cs="宋体"/>
                <w:b w:val="0"/>
                <w:color w:val="auto"/>
                <w:sz w:val="24"/>
                <w:highlight w:val="none"/>
                <w:u w:val="single"/>
                <w:lang w:val="en-US" w:eastAsia="zh-CN"/>
              </w:rPr>
              <w:t>8</w:t>
            </w:r>
            <w:r>
              <w:rPr>
                <w:rFonts w:hint="eastAsia" w:ascii="宋体" w:hAnsi="宋体" w:eastAsia="宋体" w:cs="宋体"/>
                <w:b w:val="0"/>
                <w:color w:val="auto"/>
                <w:sz w:val="24"/>
                <w:highlight w:val="none"/>
              </w:rPr>
              <w:t>月</w:t>
            </w:r>
            <w:r>
              <w:rPr>
                <w:rFonts w:hint="eastAsia" w:ascii="宋体" w:hAnsi="宋体" w:eastAsia="宋体" w:cs="宋体"/>
                <w:b w:val="0"/>
                <w:color w:val="auto"/>
                <w:sz w:val="24"/>
                <w:highlight w:val="none"/>
                <w:u w:val="single"/>
              </w:rPr>
              <w:t xml:space="preserve"> </w:t>
            </w:r>
            <w:r>
              <w:rPr>
                <w:rFonts w:hint="eastAsia" w:ascii="宋体" w:hAnsi="宋体" w:eastAsia="宋体" w:cs="宋体"/>
                <w:b w:val="0"/>
                <w:color w:val="auto"/>
                <w:sz w:val="24"/>
                <w:highlight w:val="none"/>
                <w:u w:val="single"/>
                <w:lang w:val="en-US" w:eastAsia="zh-CN"/>
              </w:rPr>
              <w:t>13</w:t>
            </w:r>
            <w:r>
              <w:rPr>
                <w:rFonts w:hint="eastAsia" w:ascii="宋体" w:hAnsi="宋体" w:eastAsia="宋体" w:cs="宋体"/>
                <w:b w:val="0"/>
                <w:color w:val="auto"/>
                <w:sz w:val="24"/>
                <w:highlight w:val="none"/>
                <w:u w:val="single"/>
              </w:rPr>
              <w:t xml:space="preserve"> </w:t>
            </w:r>
            <w:r>
              <w:rPr>
                <w:rFonts w:hint="eastAsia" w:ascii="宋体" w:hAnsi="宋体" w:eastAsia="宋体" w:cs="宋体"/>
                <w:b w:val="0"/>
                <w:color w:val="auto"/>
                <w:sz w:val="24"/>
                <w:highlight w:val="none"/>
              </w:rPr>
              <w:t>日</w:t>
            </w:r>
            <w:r>
              <w:rPr>
                <w:rFonts w:hint="eastAsia" w:ascii="宋体" w:hAnsi="宋体" w:eastAsia="宋体" w:cs="宋体"/>
                <w:b w:val="0"/>
                <w:color w:val="auto"/>
                <w:sz w:val="24"/>
                <w:highlight w:val="none"/>
                <w:u w:val="single"/>
              </w:rPr>
              <w:t xml:space="preserve"> 17 </w:t>
            </w:r>
            <w:r>
              <w:rPr>
                <w:rFonts w:hint="eastAsia" w:ascii="宋体" w:hAnsi="宋体" w:eastAsia="宋体" w:cs="宋体"/>
                <w:b w:val="0"/>
                <w:color w:val="auto"/>
                <w:sz w:val="24"/>
                <w:highlight w:val="none"/>
              </w:rPr>
              <w:t>时</w:t>
            </w:r>
            <w:r>
              <w:rPr>
                <w:rFonts w:hint="eastAsia" w:ascii="宋体" w:hAnsi="宋体" w:eastAsia="宋体" w:cs="宋体"/>
                <w:b w:val="0"/>
                <w:color w:val="auto"/>
                <w:sz w:val="24"/>
                <w:highlight w:val="none"/>
                <w:u w:val="single"/>
              </w:rPr>
              <w:t xml:space="preserve"> 30 </w:t>
            </w:r>
            <w:r>
              <w:rPr>
                <w:rFonts w:hint="eastAsia" w:ascii="宋体" w:hAnsi="宋体" w:eastAsia="宋体" w:cs="宋体"/>
                <w:b w:val="0"/>
                <w:color w:val="auto"/>
                <w:sz w:val="24"/>
                <w:highlight w:val="none"/>
              </w:rPr>
              <w:t>分</w:t>
            </w:r>
          </w:p>
        </w:tc>
      </w:tr>
      <w:tr w14:paraId="54EE1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7913EF21">
            <w:pPr>
              <w:pStyle w:val="46"/>
              <w:pBdr>
                <w:bottom w:val="none" w:color="auto" w:sz="0" w:space="0"/>
              </w:pBdr>
              <w:tabs>
                <w:tab w:val="clear" w:pos="4153"/>
                <w:tab w:val="clear" w:pos="8306"/>
              </w:tabs>
              <w:adjustRightInd/>
              <w:spacing w:line="240" w:lineRule="auto"/>
              <w:textAlignment w:val="auto"/>
              <w:rPr>
                <w:rFonts w:hint="eastAsia" w:ascii="宋体" w:hAnsi="宋体" w:eastAsia="宋体" w:cs="宋体"/>
                <w:bCs/>
                <w:color w:val="auto"/>
                <w:kern w:val="2"/>
                <w:highlight w:val="none"/>
              </w:rPr>
            </w:pPr>
            <w:r>
              <w:rPr>
                <w:rFonts w:hint="eastAsia" w:ascii="宋体" w:hAnsi="宋体" w:eastAsia="宋体" w:cs="宋体"/>
                <w:bCs/>
                <w:color w:val="auto"/>
                <w:kern w:val="2"/>
                <w:highlight w:val="none"/>
              </w:rPr>
              <w:t>7.1</w:t>
            </w:r>
          </w:p>
        </w:tc>
        <w:tc>
          <w:tcPr>
            <w:tcW w:w="1174" w:type="pct"/>
            <w:vAlign w:val="center"/>
          </w:tcPr>
          <w:p w14:paraId="0CC9C173">
            <w:pPr>
              <w:pStyle w:val="45"/>
              <w:widowControl w:val="0"/>
              <w:spacing w:before="0" w:beforeAutospacing="0" w:after="0" w:afterAutospacing="0"/>
              <w:jc w:val="left"/>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rPr>
              <w:t>包别划分</w:t>
            </w:r>
          </w:p>
        </w:tc>
        <w:tc>
          <w:tcPr>
            <w:tcW w:w="3244" w:type="pct"/>
            <w:vAlign w:val="center"/>
          </w:tcPr>
          <w:p w14:paraId="330F0104">
            <w:pPr>
              <w:pStyle w:val="45"/>
              <w:widowControl w:val="0"/>
              <w:spacing w:before="0" w:beforeAutospacing="0" w:after="0" w:afterAutospacing="0" w:line="360" w:lineRule="auto"/>
              <w:jc w:val="both"/>
              <w:rPr>
                <w:rFonts w:hint="eastAsia" w:ascii="宋体" w:hAnsi="宋体" w:eastAsia="宋体" w:cs="宋体"/>
                <w:b w:val="0"/>
                <w:color w:val="auto"/>
                <w:sz w:val="24"/>
                <w:highlight w:val="none"/>
              </w:rPr>
            </w:pPr>
            <w:r>
              <w:rPr>
                <w:rFonts w:ascii="Segoe UI Symbol" w:hAnsi="Segoe UI Symbol" w:eastAsia="宋体" w:cs="Segoe UI Symbol"/>
                <w:b w:val="0"/>
                <w:bCs w:val="0"/>
                <w:color w:val="auto"/>
                <w:sz w:val="24"/>
                <w:szCs w:val="24"/>
                <w:highlight w:val="none"/>
              </w:rPr>
              <w:t>☑</w:t>
            </w:r>
            <w:r>
              <w:rPr>
                <w:rFonts w:hint="eastAsia" w:ascii="宋体" w:hAnsi="宋体" w:eastAsia="宋体" w:cs="宋体"/>
                <w:b w:val="0"/>
                <w:color w:val="auto"/>
                <w:sz w:val="24"/>
                <w:highlight w:val="none"/>
              </w:rPr>
              <w:t>不分包     □分为</w:t>
            </w:r>
            <w:r>
              <w:rPr>
                <w:rFonts w:hint="eastAsia" w:ascii="宋体" w:hAnsi="宋体" w:eastAsia="宋体" w:cs="宋体"/>
                <w:b w:val="0"/>
                <w:color w:val="auto"/>
                <w:sz w:val="24"/>
                <w:highlight w:val="none"/>
                <w:u w:val="single"/>
              </w:rPr>
              <w:t xml:space="preserve"> / </w:t>
            </w:r>
            <w:r>
              <w:rPr>
                <w:rFonts w:hint="eastAsia" w:ascii="宋体" w:hAnsi="宋体" w:eastAsia="宋体" w:cs="宋体"/>
                <w:b w:val="0"/>
                <w:color w:val="auto"/>
                <w:sz w:val="24"/>
                <w:highlight w:val="none"/>
              </w:rPr>
              <w:t>个包</w:t>
            </w:r>
          </w:p>
          <w:p w14:paraId="61A6BEAF">
            <w:pPr>
              <w:pStyle w:val="45"/>
              <w:widowControl w:val="0"/>
              <w:spacing w:before="0" w:beforeAutospacing="0" w:after="0" w:afterAutospacing="0"/>
              <w:jc w:val="both"/>
              <w:rPr>
                <w:rFonts w:hint="eastAsia" w:ascii="宋体" w:hAnsi="宋体" w:eastAsia="宋体" w:cs="宋体"/>
                <w:b w:val="0"/>
                <w:color w:val="auto"/>
                <w:sz w:val="24"/>
                <w:highlight w:val="none"/>
                <w:u w:val="single"/>
              </w:rPr>
            </w:pPr>
            <w:r>
              <w:rPr>
                <w:rFonts w:hint="eastAsia" w:ascii="宋体" w:hAnsi="宋体" w:eastAsia="宋体" w:cs="宋体"/>
                <w:b w:val="0"/>
                <w:color w:val="auto"/>
                <w:sz w:val="24"/>
                <w:highlight w:val="none"/>
              </w:rPr>
              <w:t>投标人对多个包进行投标的中标包数规定：</w:t>
            </w:r>
            <w:r>
              <w:rPr>
                <w:rFonts w:hint="eastAsia" w:ascii="宋体" w:hAnsi="宋体" w:eastAsia="宋体" w:cs="宋体"/>
                <w:b w:val="0"/>
                <w:bCs w:val="0"/>
                <w:color w:val="auto"/>
                <w:sz w:val="24"/>
                <w:szCs w:val="18"/>
                <w:highlight w:val="none"/>
                <w:u w:val="single"/>
              </w:rPr>
              <w:t xml:space="preserve">  /    </w:t>
            </w:r>
          </w:p>
        </w:tc>
      </w:tr>
      <w:tr w14:paraId="6DDC7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581" w:type="pct"/>
            <w:vAlign w:val="center"/>
          </w:tcPr>
          <w:p w14:paraId="4DE74274">
            <w:pPr>
              <w:pStyle w:val="46"/>
              <w:pBdr>
                <w:bottom w:val="none" w:color="auto" w:sz="0" w:space="0"/>
              </w:pBdr>
              <w:tabs>
                <w:tab w:val="clear" w:pos="4153"/>
                <w:tab w:val="clear" w:pos="8306"/>
              </w:tabs>
              <w:adjustRightInd/>
              <w:spacing w:line="240" w:lineRule="auto"/>
              <w:textAlignment w:val="auto"/>
              <w:rPr>
                <w:rFonts w:hint="eastAsia" w:ascii="宋体" w:hAnsi="宋体" w:eastAsia="宋体" w:cs="宋体"/>
                <w:bCs/>
                <w:color w:val="auto"/>
                <w:kern w:val="2"/>
                <w:highlight w:val="none"/>
              </w:rPr>
            </w:pPr>
            <w:r>
              <w:rPr>
                <w:rFonts w:hint="eastAsia" w:ascii="宋体" w:hAnsi="宋体" w:eastAsia="宋体" w:cs="宋体"/>
                <w:bCs/>
                <w:color w:val="auto"/>
                <w:kern w:val="2"/>
                <w:highlight w:val="none"/>
              </w:rPr>
              <w:t>10.1</w:t>
            </w:r>
          </w:p>
        </w:tc>
        <w:tc>
          <w:tcPr>
            <w:tcW w:w="1174" w:type="pct"/>
            <w:vAlign w:val="center"/>
          </w:tcPr>
          <w:p w14:paraId="3BED456A">
            <w:pPr>
              <w:pStyle w:val="45"/>
              <w:widowControl w:val="0"/>
              <w:spacing w:before="0" w:beforeAutospacing="0" w:after="0" w:afterAutospacing="0" w:line="360" w:lineRule="auto"/>
              <w:jc w:val="left"/>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rPr>
              <w:t>投标保证金</w:t>
            </w:r>
          </w:p>
        </w:tc>
        <w:tc>
          <w:tcPr>
            <w:tcW w:w="3244" w:type="pct"/>
            <w:vAlign w:val="center"/>
          </w:tcPr>
          <w:p w14:paraId="188CD538">
            <w:pPr>
              <w:spacing w:line="360" w:lineRule="auto"/>
              <w:rPr>
                <w:rFonts w:hint="eastAsia" w:ascii="宋体" w:hAnsi="宋体" w:eastAsia="宋体" w:cs="宋体"/>
                <w:color w:val="auto"/>
                <w:highlight w:val="none"/>
              </w:rPr>
            </w:pPr>
            <w:r>
              <w:rPr>
                <w:rFonts w:hint="eastAsia" w:ascii="宋体" w:hAnsi="宋体" w:eastAsia="宋体" w:cs="宋体"/>
                <w:bCs/>
                <w:color w:val="auto"/>
                <w:kern w:val="0"/>
                <w:sz w:val="24"/>
                <w:szCs w:val="28"/>
                <w:highlight w:val="none"/>
              </w:rPr>
              <w:t>不收取</w:t>
            </w:r>
          </w:p>
        </w:tc>
      </w:tr>
      <w:tr w14:paraId="387FB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3D44EB46">
            <w:pPr>
              <w:pStyle w:val="46"/>
              <w:pBdr>
                <w:bottom w:val="none" w:color="auto" w:sz="0" w:space="0"/>
              </w:pBdr>
              <w:tabs>
                <w:tab w:val="clear" w:pos="4153"/>
                <w:tab w:val="clear" w:pos="8306"/>
              </w:tabs>
              <w:adjustRightInd/>
              <w:spacing w:line="240" w:lineRule="auto"/>
              <w:textAlignment w:val="auto"/>
              <w:rPr>
                <w:rFonts w:hint="eastAsia" w:ascii="宋体" w:hAnsi="宋体" w:eastAsia="宋体" w:cs="宋体"/>
                <w:bCs/>
                <w:color w:val="auto"/>
                <w:kern w:val="2"/>
                <w:highlight w:val="none"/>
              </w:rPr>
            </w:pPr>
            <w:r>
              <w:rPr>
                <w:rFonts w:hint="eastAsia" w:ascii="宋体" w:hAnsi="宋体" w:eastAsia="宋体" w:cs="宋体"/>
                <w:bCs/>
                <w:color w:val="auto"/>
                <w:kern w:val="2"/>
                <w:highlight w:val="none"/>
              </w:rPr>
              <w:t>11.1</w:t>
            </w:r>
          </w:p>
        </w:tc>
        <w:tc>
          <w:tcPr>
            <w:tcW w:w="1174" w:type="pct"/>
            <w:vAlign w:val="center"/>
          </w:tcPr>
          <w:p w14:paraId="1802ABC8">
            <w:pPr>
              <w:pStyle w:val="45"/>
              <w:widowControl w:val="0"/>
              <w:spacing w:before="0" w:beforeAutospacing="0" w:after="0" w:afterAutospacing="0" w:line="360" w:lineRule="auto"/>
              <w:jc w:val="both"/>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rPr>
              <w:t>投标有效期</w:t>
            </w:r>
          </w:p>
        </w:tc>
        <w:tc>
          <w:tcPr>
            <w:tcW w:w="3244" w:type="pct"/>
            <w:vAlign w:val="center"/>
          </w:tcPr>
          <w:p w14:paraId="3984D8D8">
            <w:pPr>
              <w:pStyle w:val="45"/>
              <w:widowControl w:val="0"/>
              <w:spacing w:before="0" w:beforeAutospacing="0" w:after="0" w:afterAutospacing="0" w:line="360" w:lineRule="auto"/>
              <w:jc w:val="both"/>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u w:val="single"/>
              </w:rPr>
              <w:t xml:space="preserve"> 90 </w:t>
            </w:r>
            <w:r>
              <w:rPr>
                <w:rFonts w:hint="eastAsia" w:ascii="宋体" w:hAnsi="宋体" w:eastAsia="宋体" w:cs="宋体"/>
                <w:b w:val="0"/>
                <w:color w:val="auto"/>
                <w:sz w:val="24"/>
                <w:highlight w:val="none"/>
              </w:rPr>
              <w:t>日历日</w:t>
            </w:r>
          </w:p>
        </w:tc>
      </w:tr>
      <w:tr w14:paraId="16AEC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15C3D690">
            <w:pPr>
              <w:pStyle w:val="46"/>
              <w:pBdr>
                <w:bottom w:val="none" w:color="auto" w:sz="0" w:space="0"/>
              </w:pBdr>
              <w:tabs>
                <w:tab w:val="clear" w:pos="4153"/>
                <w:tab w:val="clear" w:pos="8306"/>
              </w:tabs>
              <w:adjustRightInd/>
              <w:spacing w:line="240" w:lineRule="auto"/>
              <w:textAlignment w:val="auto"/>
              <w:rPr>
                <w:rFonts w:hint="eastAsia" w:ascii="宋体" w:hAnsi="宋体" w:eastAsia="宋体" w:cs="宋体"/>
                <w:bCs/>
                <w:color w:val="auto"/>
                <w:kern w:val="2"/>
                <w:highlight w:val="none"/>
              </w:rPr>
            </w:pPr>
            <w:r>
              <w:rPr>
                <w:rFonts w:hint="eastAsia" w:ascii="宋体" w:hAnsi="宋体" w:eastAsia="宋体" w:cs="宋体"/>
                <w:bCs/>
                <w:color w:val="auto"/>
                <w:kern w:val="2"/>
                <w:highlight w:val="none"/>
              </w:rPr>
              <w:t>13.1</w:t>
            </w:r>
          </w:p>
        </w:tc>
        <w:tc>
          <w:tcPr>
            <w:tcW w:w="1174" w:type="pct"/>
            <w:vAlign w:val="center"/>
          </w:tcPr>
          <w:p w14:paraId="150B1860">
            <w:pPr>
              <w:pStyle w:val="45"/>
              <w:widowControl w:val="0"/>
              <w:spacing w:before="0" w:beforeAutospacing="0" w:after="0" w:afterAutospacing="0" w:line="360" w:lineRule="auto"/>
              <w:jc w:val="both"/>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rPr>
              <w:t>投标文件解密时间</w:t>
            </w:r>
          </w:p>
        </w:tc>
        <w:tc>
          <w:tcPr>
            <w:tcW w:w="3244" w:type="pct"/>
            <w:vAlign w:val="center"/>
          </w:tcPr>
          <w:p w14:paraId="65B2C7FB">
            <w:pPr>
              <w:pStyle w:val="45"/>
              <w:widowControl w:val="0"/>
              <w:spacing w:before="0" w:beforeAutospacing="0" w:after="0" w:afterAutospacing="0" w:line="360" w:lineRule="auto"/>
              <w:jc w:val="both"/>
              <w:rPr>
                <w:rFonts w:hint="eastAsia" w:ascii="宋体" w:hAnsi="宋体" w:eastAsia="宋体" w:cs="宋体"/>
                <w:b w:val="0"/>
                <w:color w:val="auto"/>
                <w:sz w:val="24"/>
                <w:highlight w:val="none"/>
                <w:u w:val="single"/>
              </w:rPr>
            </w:pPr>
            <w:r>
              <w:rPr>
                <w:rFonts w:hint="eastAsia" w:ascii="宋体" w:hAnsi="宋体" w:eastAsia="宋体" w:cs="宋体"/>
                <w:b w:val="0"/>
                <w:color w:val="auto"/>
                <w:sz w:val="24"/>
                <w:highlight w:val="none"/>
              </w:rPr>
              <w:t>投标截止时间后</w:t>
            </w:r>
            <w:r>
              <w:rPr>
                <w:rFonts w:hint="eastAsia" w:ascii="宋体" w:hAnsi="宋体" w:eastAsia="宋体" w:cs="宋体"/>
                <w:b w:val="0"/>
                <w:color w:val="auto"/>
                <w:sz w:val="24"/>
                <w:highlight w:val="none"/>
                <w:u w:val="single"/>
              </w:rPr>
              <w:t>60</w:t>
            </w:r>
            <w:r>
              <w:rPr>
                <w:rFonts w:hint="eastAsia" w:ascii="宋体" w:hAnsi="宋体" w:eastAsia="宋体" w:cs="宋体"/>
                <w:b w:val="0"/>
                <w:color w:val="auto"/>
                <w:sz w:val="24"/>
                <w:highlight w:val="none"/>
              </w:rPr>
              <w:t>分钟内（以本项目网上招投标系统解密倒计时为准）</w:t>
            </w:r>
          </w:p>
        </w:tc>
      </w:tr>
      <w:tr w14:paraId="70D08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4B55DAD5">
            <w:pPr>
              <w:pStyle w:val="46"/>
              <w:pBdr>
                <w:bottom w:val="none" w:color="auto" w:sz="0" w:space="0"/>
              </w:pBdr>
              <w:tabs>
                <w:tab w:val="clear" w:pos="4153"/>
                <w:tab w:val="clear" w:pos="8306"/>
              </w:tabs>
              <w:adjustRightInd/>
              <w:spacing w:line="240" w:lineRule="auto"/>
              <w:textAlignment w:val="auto"/>
              <w:rPr>
                <w:rFonts w:hint="eastAsia" w:ascii="宋体" w:hAnsi="宋体" w:eastAsia="宋体" w:cs="宋体"/>
                <w:bCs/>
                <w:color w:val="auto"/>
                <w:kern w:val="2"/>
                <w:highlight w:val="none"/>
              </w:rPr>
            </w:pPr>
            <w:r>
              <w:rPr>
                <w:rFonts w:hint="eastAsia" w:ascii="宋体" w:hAnsi="宋体" w:eastAsia="宋体" w:cs="宋体"/>
                <w:bCs/>
                <w:color w:val="auto"/>
                <w:kern w:val="2"/>
                <w:highlight w:val="none"/>
              </w:rPr>
              <w:t>14.1</w:t>
            </w:r>
          </w:p>
        </w:tc>
        <w:tc>
          <w:tcPr>
            <w:tcW w:w="1174" w:type="pct"/>
            <w:vAlign w:val="center"/>
          </w:tcPr>
          <w:p w14:paraId="37B8F220">
            <w:pPr>
              <w:pStyle w:val="45"/>
              <w:widowControl w:val="0"/>
              <w:spacing w:before="0" w:beforeAutospacing="0" w:after="0" w:afterAutospacing="0" w:line="360" w:lineRule="auto"/>
              <w:jc w:val="both"/>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rPr>
              <w:t>资格审查</w:t>
            </w:r>
          </w:p>
        </w:tc>
        <w:tc>
          <w:tcPr>
            <w:tcW w:w="3244" w:type="pct"/>
            <w:vAlign w:val="center"/>
          </w:tcPr>
          <w:p w14:paraId="4D2D79CF">
            <w:pPr>
              <w:pStyle w:val="45"/>
              <w:widowControl w:val="0"/>
              <w:spacing w:before="0" w:beforeAutospacing="0" w:after="0" w:afterAutospacing="0" w:line="360" w:lineRule="auto"/>
              <w:jc w:val="both"/>
              <w:rPr>
                <w:rFonts w:hint="eastAsia" w:ascii="宋体" w:hAnsi="宋体" w:eastAsia="宋体" w:cs="宋体"/>
                <w:b w:val="0"/>
                <w:bCs w:val="0"/>
                <w:color w:val="auto"/>
                <w:sz w:val="24"/>
                <w:highlight w:val="none"/>
              </w:rPr>
            </w:pPr>
            <w:r>
              <w:rPr>
                <w:rFonts w:ascii="Segoe UI Symbol" w:hAnsi="Segoe UI Symbol" w:eastAsia="宋体" w:cs="Segoe UI Symbol"/>
                <w:b w:val="0"/>
                <w:bCs w:val="0"/>
                <w:color w:val="auto"/>
                <w:sz w:val="24"/>
                <w:szCs w:val="24"/>
                <w:highlight w:val="none"/>
              </w:rPr>
              <w:t>☑</w:t>
            </w:r>
            <w:r>
              <w:rPr>
                <w:rFonts w:hint="eastAsia" w:ascii="宋体" w:hAnsi="宋体" w:eastAsia="宋体" w:cs="宋体"/>
                <w:b w:val="0"/>
                <w:bCs w:val="0"/>
                <w:color w:val="auto"/>
                <w:sz w:val="24"/>
                <w:highlight w:val="none"/>
              </w:rPr>
              <w:t>采购人审查</w:t>
            </w:r>
          </w:p>
          <w:p w14:paraId="64A6DF47">
            <w:pPr>
              <w:pStyle w:val="45"/>
              <w:widowControl w:val="0"/>
              <w:spacing w:before="0" w:beforeAutospacing="0" w:after="0" w:afterAutospacing="0" w:line="360" w:lineRule="auto"/>
              <w:jc w:val="both"/>
              <w:rPr>
                <w:rFonts w:hint="eastAsia" w:ascii="宋体" w:hAnsi="宋体" w:eastAsia="宋体" w:cs="宋体"/>
                <w:b w:val="0"/>
                <w:color w:val="auto"/>
                <w:sz w:val="24"/>
                <w:highlight w:val="none"/>
                <w:u w:val="single"/>
              </w:rPr>
            </w:pP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highlight w:val="none"/>
              </w:rPr>
              <w:t>采购人出具委托函委托采购代理机构进行审查</w:t>
            </w:r>
          </w:p>
        </w:tc>
      </w:tr>
      <w:tr w14:paraId="4F0CC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0A147654">
            <w:pPr>
              <w:pStyle w:val="46"/>
              <w:pBdr>
                <w:bottom w:val="none" w:color="auto" w:sz="0" w:space="0"/>
              </w:pBdr>
              <w:tabs>
                <w:tab w:val="clear" w:pos="4153"/>
                <w:tab w:val="clear" w:pos="8306"/>
              </w:tabs>
              <w:adjustRightInd/>
              <w:spacing w:line="240" w:lineRule="auto"/>
              <w:textAlignment w:val="auto"/>
              <w:rPr>
                <w:rFonts w:hint="eastAsia" w:ascii="宋体" w:hAnsi="宋体" w:eastAsia="宋体" w:cs="宋体"/>
                <w:bCs/>
                <w:color w:val="auto"/>
                <w:kern w:val="2"/>
                <w:highlight w:val="none"/>
              </w:rPr>
            </w:pPr>
            <w:r>
              <w:rPr>
                <w:rFonts w:hint="eastAsia" w:ascii="宋体" w:hAnsi="宋体" w:eastAsia="宋体" w:cs="宋体"/>
                <w:bCs/>
                <w:color w:val="auto"/>
                <w:kern w:val="2"/>
                <w:highlight w:val="none"/>
              </w:rPr>
              <w:t>17.2</w:t>
            </w:r>
          </w:p>
        </w:tc>
        <w:tc>
          <w:tcPr>
            <w:tcW w:w="1174" w:type="pct"/>
            <w:vAlign w:val="center"/>
          </w:tcPr>
          <w:p w14:paraId="4E0C2E49">
            <w:pPr>
              <w:pStyle w:val="45"/>
              <w:widowControl w:val="0"/>
              <w:spacing w:before="0" w:beforeAutospacing="0" w:after="0" w:afterAutospacing="0" w:line="360" w:lineRule="auto"/>
              <w:jc w:val="both"/>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rPr>
              <w:t>评标方法</w:t>
            </w:r>
          </w:p>
        </w:tc>
        <w:tc>
          <w:tcPr>
            <w:tcW w:w="3244" w:type="pct"/>
            <w:vAlign w:val="center"/>
          </w:tcPr>
          <w:p w14:paraId="44588215">
            <w:pPr>
              <w:pStyle w:val="45"/>
              <w:widowControl w:val="0"/>
              <w:spacing w:before="0" w:beforeAutospacing="0" w:after="0" w:afterAutospacing="0" w:line="360" w:lineRule="auto"/>
              <w:jc w:val="both"/>
              <w:rPr>
                <w:rFonts w:hint="eastAsia" w:ascii="宋体" w:hAnsi="宋体" w:eastAsia="宋体" w:cs="宋体"/>
                <w:b w:val="0"/>
                <w:color w:val="auto"/>
                <w:sz w:val="24"/>
                <w:highlight w:val="none"/>
              </w:rPr>
            </w:pPr>
            <w:r>
              <w:rPr>
                <w:rFonts w:hint="eastAsia" w:ascii="宋体" w:hAnsi="宋体" w:eastAsia="宋体" w:cs="宋体"/>
                <w:b w:val="0"/>
                <w:bCs w:val="0"/>
                <w:color w:val="auto"/>
                <w:sz w:val="24"/>
                <w:szCs w:val="24"/>
                <w:highlight w:val="none"/>
              </w:rPr>
              <w:t>□</w:t>
            </w:r>
            <w:r>
              <w:rPr>
                <w:rFonts w:hint="eastAsia" w:ascii="宋体" w:hAnsi="宋体" w:eastAsia="宋体" w:cs="宋体"/>
                <w:b w:val="0"/>
                <w:color w:val="auto"/>
                <w:sz w:val="24"/>
                <w:highlight w:val="none"/>
              </w:rPr>
              <w:t>最低评标价法</w:t>
            </w:r>
          </w:p>
          <w:p w14:paraId="1283381F">
            <w:pPr>
              <w:pStyle w:val="45"/>
              <w:widowControl w:val="0"/>
              <w:spacing w:before="0" w:beforeAutospacing="0" w:after="0" w:afterAutospacing="0" w:line="360" w:lineRule="auto"/>
              <w:jc w:val="both"/>
              <w:rPr>
                <w:rFonts w:hint="eastAsia" w:ascii="宋体" w:hAnsi="宋体" w:eastAsia="宋体" w:cs="宋体"/>
                <w:b w:val="0"/>
                <w:color w:val="auto"/>
                <w:sz w:val="24"/>
                <w:highlight w:val="none"/>
              </w:rPr>
            </w:pPr>
            <w:r>
              <w:rPr>
                <w:rFonts w:ascii="Segoe UI Symbol" w:hAnsi="Segoe UI Symbol" w:eastAsia="宋体" w:cs="Segoe UI Symbol"/>
                <w:b w:val="0"/>
                <w:bCs w:val="0"/>
                <w:color w:val="auto"/>
                <w:sz w:val="24"/>
                <w:szCs w:val="24"/>
                <w:highlight w:val="none"/>
              </w:rPr>
              <w:t>☑</w:t>
            </w:r>
            <w:r>
              <w:rPr>
                <w:rFonts w:hint="eastAsia" w:ascii="宋体" w:hAnsi="宋体" w:eastAsia="宋体" w:cs="宋体"/>
                <w:b w:val="0"/>
                <w:color w:val="auto"/>
                <w:sz w:val="24"/>
                <w:highlight w:val="none"/>
              </w:rPr>
              <w:t>综合评分法</w:t>
            </w:r>
          </w:p>
        </w:tc>
      </w:tr>
      <w:tr w14:paraId="60A1C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37DED210">
            <w:pPr>
              <w:pStyle w:val="46"/>
              <w:pBdr>
                <w:bottom w:val="none" w:color="auto" w:sz="0" w:space="0"/>
              </w:pBdr>
              <w:tabs>
                <w:tab w:val="clear" w:pos="4153"/>
                <w:tab w:val="clear" w:pos="8306"/>
              </w:tabs>
              <w:adjustRightInd/>
              <w:spacing w:line="240" w:lineRule="auto"/>
              <w:textAlignment w:val="auto"/>
              <w:rPr>
                <w:rFonts w:hint="eastAsia" w:ascii="宋体" w:hAnsi="宋体" w:eastAsia="宋体" w:cs="宋体"/>
                <w:bCs/>
                <w:color w:val="auto"/>
                <w:kern w:val="2"/>
                <w:highlight w:val="none"/>
              </w:rPr>
            </w:pPr>
            <w:r>
              <w:rPr>
                <w:rFonts w:hint="eastAsia" w:ascii="宋体" w:hAnsi="宋体" w:eastAsia="宋体" w:cs="宋体"/>
                <w:bCs/>
                <w:color w:val="auto"/>
                <w:kern w:val="2"/>
                <w:highlight w:val="none"/>
              </w:rPr>
              <w:t>17.3</w:t>
            </w:r>
          </w:p>
        </w:tc>
        <w:tc>
          <w:tcPr>
            <w:tcW w:w="1174" w:type="pct"/>
            <w:vAlign w:val="center"/>
          </w:tcPr>
          <w:p w14:paraId="7A2D774A">
            <w:pPr>
              <w:pStyle w:val="45"/>
              <w:widowControl w:val="0"/>
              <w:spacing w:before="0" w:beforeAutospacing="0" w:after="0" w:afterAutospacing="0" w:line="360" w:lineRule="auto"/>
              <w:jc w:val="both"/>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rPr>
              <w:t>报价扣除</w:t>
            </w:r>
          </w:p>
          <w:p w14:paraId="3D465D06">
            <w:pPr>
              <w:pStyle w:val="45"/>
              <w:widowControl w:val="0"/>
              <w:spacing w:before="0" w:beforeAutospacing="0" w:after="0" w:afterAutospacing="0" w:line="360" w:lineRule="auto"/>
              <w:jc w:val="both"/>
              <w:rPr>
                <w:rFonts w:hint="eastAsia" w:ascii="宋体" w:hAnsi="宋体" w:eastAsia="宋体" w:cs="宋体"/>
                <w:b w:val="0"/>
                <w:i/>
                <w:color w:val="auto"/>
                <w:sz w:val="24"/>
                <w:highlight w:val="none"/>
              </w:rPr>
            </w:pPr>
            <w:r>
              <w:rPr>
                <w:rFonts w:hint="eastAsia" w:ascii="宋体" w:hAnsi="宋体" w:eastAsia="宋体" w:cs="宋体"/>
                <w:b w:val="0"/>
                <w:i/>
                <w:color w:val="auto"/>
                <w:sz w:val="24"/>
                <w:highlight w:val="none"/>
              </w:rPr>
              <w:t>（非专门面向中小企业采购项目适用）</w:t>
            </w:r>
          </w:p>
          <w:p w14:paraId="4F6B94DB">
            <w:pPr>
              <w:pStyle w:val="45"/>
              <w:widowControl w:val="0"/>
              <w:spacing w:before="0" w:beforeAutospacing="0" w:after="0" w:afterAutospacing="0" w:line="360" w:lineRule="auto"/>
              <w:jc w:val="both"/>
              <w:rPr>
                <w:rFonts w:hint="eastAsia" w:ascii="宋体" w:hAnsi="宋体" w:eastAsia="宋体" w:cs="宋体"/>
                <w:b w:val="0"/>
                <w:i/>
                <w:color w:val="auto"/>
                <w:sz w:val="24"/>
                <w:highlight w:val="none"/>
              </w:rPr>
            </w:pPr>
            <w:r>
              <w:rPr>
                <w:rFonts w:hint="eastAsia" w:ascii="宋体" w:hAnsi="宋体" w:eastAsia="宋体" w:cs="宋体"/>
                <w:b w:val="0"/>
                <w:iCs/>
                <w:color w:val="auto"/>
                <w:sz w:val="24"/>
                <w:highlight w:val="none"/>
              </w:rPr>
              <w:t>（本项目不适用）</w:t>
            </w:r>
          </w:p>
        </w:tc>
        <w:tc>
          <w:tcPr>
            <w:tcW w:w="3244" w:type="pct"/>
            <w:vAlign w:val="center"/>
          </w:tcPr>
          <w:p w14:paraId="6D3A820D">
            <w:pPr>
              <w:pStyle w:val="45"/>
              <w:widowControl w:val="0"/>
              <w:spacing w:before="0" w:beforeAutospacing="0" w:after="0" w:afterAutospacing="0" w:line="360" w:lineRule="auto"/>
              <w:jc w:val="both"/>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rPr>
              <w:t>（1）小型和微型企业价格扣除：</w:t>
            </w:r>
            <w:r>
              <w:rPr>
                <w:rFonts w:hint="eastAsia" w:ascii="宋体" w:hAnsi="宋体" w:eastAsia="宋体" w:cs="宋体"/>
                <w:b w:val="0"/>
                <w:bCs w:val="0"/>
                <w:color w:val="auto"/>
                <w:sz w:val="24"/>
                <w:highlight w:val="none"/>
                <w:u w:val="single"/>
              </w:rPr>
              <w:t>对小型和微型企业产品的价格给予10%的扣除后参与评审；其评审价=投标报价*90%</w:t>
            </w:r>
            <w:r>
              <w:rPr>
                <w:rFonts w:hint="eastAsia" w:ascii="宋体" w:hAnsi="宋体" w:eastAsia="宋体" w:cs="宋体"/>
                <w:b w:val="0"/>
                <w:color w:val="auto"/>
                <w:sz w:val="24"/>
                <w:highlight w:val="none"/>
              </w:rPr>
              <w:t>。</w:t>
            </w:r>
          </w:p>
          <w:p w14:paraId="789C2D85">
            <w:pPr>
              <w:pStyle w:val="45"/>
              <w:widowControl w:val="0"/>
              <w:spacing w:before="0" w:beforeAutospacing="0" w:after="0" w:afterAutospacing="0" w:line="360" w:lineRule="auto"/>
              <w:jc w:val="both"/>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rPr>
              <w:t>（2）监狱企业价格扣除：同小型和微型企业。</w:t>
            </w:r>
          </w:p>
          <w:p w14:paraId="1A8B50D0">
            <w:pPr>
              <w:pStyle w:val="45"/>
              <w:widowControl w:val="0"/>
              <w:spacing w:before="0" w:beforeAutospacing="0" w:after="0" w:afterAutospacing="0" w:line="360" w:lineRule="auto"/>
              <w:jc w:val="both"/>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rPr>
              <w:t>（3）残疾人福利性单位价格扣除：同小型和微型企业。</w:t>
            </w:r>
          </w:p>
          <w:p w14:paraId="6DA7FB06">
            <w:pPr>
              <w:pStyle w:val="45"/>
              <w:widowControl w:val="0"/>
              <w:spacing w:before="0" w:beforeAutospacing="0" w:after="0" w:afterAutospacing="0" w:line="360" w:lineRule="auto"/>
              <w:jc w:val="both"/>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rPr>
              <w:t>（4）符合条件的联合体价格扣除：</w:t>
            </w:r>
            <w:r>
              <w:rPr>
                <w:rFonts w:hint="eastAsia" w:ascii="宋体" w:hAnsi="宋体" w:eastAsia="宋体" w:cs="宋体"/>
                <w:b w:val="0"/>
                <w:bCs w:val="0"/>
                <w:color w:val="auto"/>
                <w:sz w:val="24"/>
                <w:highlight w:val="none"/>
                <w:u w:val="single"/>
              </w:rPr>
              <w:t>联合体投标的，小型、微型企业的协议合同金额占联合体协议合同总金额30%以上的，价格给予联合体4%的扣除后参与评审；其评审价=投标报价*96%；联合体各方均为小型、微型企业的，联合体视同为小型、微型企业，其评审价按（1）款执行</w:t>
            </w:r>
            <w:r>
              <w:rPr>
                <w:rFonts w:hint="eastAsia" w:ascii="宋体" w:hAnsi="宋体" w:eastAsia="宋体" w:cs="宋体"/>
                <w:b w:val="0"/>
                <w:color w:val="auto"/>
                <w:sz w:val="24"/>
                <w:highlight w:val="none"/>
              </w:rPr>
              <w:t>。</w:t>
            </w:r>
          </w:p>
          <w:p w14:paraId="60560F9C">
            <w:pPr>
              <w:pStyle w:val="45"/>
              <w:widowControl w:val="0"/>
              <w:spacing w:before="0" w:beforeAutospacing="0" w:after="0" w:afterAutospacing="0" w:line="360" w:lineRule="auto"/>
              <w:jc w:val="both"/>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rPr>
              <w:t>（5）符合条件的向小微企业分包的大中型企业价格扣除：</w:t>
            </w:r>
            <w:r>
              <w:rPr>
                <w:rFonts w:hint="eastAsia" w:ascii="宋体" w:hAnsi="宋体" w:eastAsia="宋体" w:cs="宋体"/>
                <w:color w:val="auto"/>
                <w:sz w:val="24"/>
                <w:highlight w:val="none"/>
                <w:u w:val="single"/>
              </w:rPr>
              <w:t>/</w:t>
            </w:r>
            <w:r>
              <w:rPr>
                <w:rFonts w:hint="eastAsia" w:ascii="宋体" w:hAnsi="宋体" w:eastAsia="宋体" w:cs="宋体"/>
                <w:b w:val="0"/>
                <w:color w:val="auto"/>
                <w:sz w:val="24"/>
                <w:highlight w:val="none"/>
              </w:rPr>
              <w:t>。</w:t>
            </w:r>
            <w:r>
              <w:rPr>
                <w:rFonts w:hint="eastAsia" w:ascii="宋体" w:hAnsi="宋体" w:eastAsia="宋体" w:cs="宋体"/>
                <w:b w:val="0"/>
                <w:i/>
                <w:color w:val="auto"/>
                <w:sz w:val="24"/>
                <w:highlight w:val="none"/>
              </w:rPr>
              <w:t>（允许大中型企业向小微企业分包的项目适用）</w:t>
            </w:r>
          </w:p>
        </w:tc>
      </w:tr>
      <w:tr w14:paraId="75DD4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3A2A96FB">
            <w:pPr>
              <w:pStyle w:val="46"/>
              <w:pBdr>
                <w:bottom w:val="none" w:color="auto" w:sz="0" w:space="0"/>
              </w:pBdr>
              <w:tabs>
                <w:tab w:val="clear" w:pos="4153"/>
                <w:tab w:val="clear" w:pos="8306"/>
              </w:tabs>
              <w:adjustRightInd/>
              <w:spacing w:line="240" w:lineRule="auto"/>
              <w:textAlignment w:val="auto"/>
              <w:rPr>
                <w:rFonts w:hint="eastAsia" w:ascii="宋体" w:hAnsi="宋体" w:eastAsia="宋体" w:cs="宋体"/>
                <w:bCs/>
                <w:color w:val="auto"/>
                <w:kern w:val="2"/>
                <w:highlight w:val="none"/>
              </w:rPr>
            </w:pPr>
            <w:r>
              <w:rPr>
                <w:rFonts w:hint="eastAsia" w:ascii="宋体" w:hAnsi="宋体" w:eastAsia="宋体" w:cs="宋体"/>
                <w:bCs/>
                <w:color w:val="auto"/>
                <w:kern w:val="2"/>
                <w:highlight w:val="none"/>
              </w:rPr>
              <w:t>21.1</w:t>
            </w:r>
          </w:p>
        </w:tc>
        <w:tc>
          <w:tcPr>
            <w:tcW w:w="1174" w:type="pct"/>
            <w:vAlign w:val="center"/>
          </w:tcPr>
          <w:p w14:paraId="0EEEEAB0">
            <w:pPr>
              <w:pStyle w:val="45"/>
              <w:widowControl w:val="0"/>
              <w:spacing w:before="0" w:beforeAutospacing="0" w:after="0" w:afterAutospacing="0" w:line="360" w:lineRule="auto"/>
              <w:jc w:val="both"/>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rPr>
              <w:t>评标委员会推荐中标候选人的数量</w:t>
            </w:r>
          </w:p>
        </w:tc>
        <w:tc>
          <w:tcPr>
            <w:tcW w:w="3244" w:type="pct"/>
            <w:vAlign w:val="center"/>
          </w:tcPr>
          <w:p w14:paraId="7EAE0AB2">
            <w:pPr>
              <w:pStyle w:val="45"/>
              <w:widowControl w:val="0"/>
              <w:spacing w:before="0" w:beforeAutospacing="0" w:after="0" w:afterAutospacing="0" w:line="360" w:lineRule="auto"/>
              <w:jc w:val="both"/>
              <w:rPr>
                <w:rFonts w:hint="eastAsia" w:ascii="宋体" w:hAnsi="宋体" w:eastAsia="宋体" w:cs="宋体"/>
                <w:b w:val="0"/>
                <w:color w:val="auto"/>
                <w:sz w:val="24"/>
                <w:highlight w:val="none"/>
                <w:u w:val="single"/>
              </w:rPr>
            </w:pPr>
            <w:r>
              <w:rPr>
                <w:rFonts w:hint="eastAsia" w:ascii="宋体" w:hAnsi="宋体" w:eastAsia="宋体" w:cs="宋体"/>
                <w:b w:val="0"/>
                <w:color w:val="auto"/>
                <w:sz w:val="24"/>
                <w:highlight w:val="none"/>
                <w:u w:val="single"/>
              </w:rPr>
              <w:t>推荐3名中标候选人</w:t>
            </w:r>
          </w:p>
        </w:tc>
      </w:tr>
      <w:tr w14:paraId="5DA11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451378CF">
            <w:pPr>
              <w:pStyle w:val="46"/>
              <w:pBdr>
                <w:bottom w:val="none" w:color="auto" w:sz="0" w:space="0"/>
              </w:pBdr>
              <w:tabs>
                <w:tab w:val="clear" w:pos="4153"/>
                <w:tab w:val="clear" w:pos="8306"/>
              </w:tabs>
              <w:adjustRightInd/>
              <w:spacing w:line="240" w:lineRule="auto"/>
              <w:textAlignment w:val="auto"/>
              <w:rPr>
                <w:rFonts w:hint="eastAsia" w:ascii="宋体" w:hAnsi="宋体" w:eastAsia="宋体" w:cs="宋体"/>
                <w:bCs/>
                <w:color w:val="auto"/>
                <w:kern w:val="2"/>
                <w:highlight w:val="none"/>
              </w:rPr>
            </w:pPr>
            <w:r>
              <w:rPr>
                <w:rFonts w:hint="eastAsia" w:ascii="宋体" w:hAnsi="宋体" w:eastAsia="宋体" w:cs="宋体"/>
                <w:bCs/>
                <w:color w:val="auto"/>
                <w:kern w:val="2"/>
                <w:highlight w:val="none"/>
              </w:rPr>
              <w:t>21.2</w:t>
            </w:r>
          </w:p>
        </w:tc>
        <w:tc>
          <w:tcPr>
            <w:tcW w:w="1174" w:type="pct"/>
            <w:vAlign w:val="center"/>
          </w:tcPr>
          <w:p w14:paraId="170E89A0">
            <w:pPr>
              <w:pStyle w:val="45"/>
              <w:widowControl w:val="0"/>
              <w:spacing w:before="0" w:beforeAutospacing="0" w:after="0" w:afterAutospacing="0" w:line="360" w:lineRule="auto"/>
              <w:jc w:val="both"/>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rPr>
              <w:t>确定中标人</w:t>
            </w:r>
          </w:p>
        </w:tc>
        <w:tc>
          <w:tcPr>
            <w:tcW w:w="3244" w:type="pct"/>
            <w:vAlign w:val="center"/>
          </w:tcPr>
          <w:p w14:paraId="23C26C3C">
            <w:p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□采购人委托评标委员会确定</w:t>
            </w:r>
          </w:p>
          <w:p w14:paraId="74BEFA9B">
            <w:pPr>
              <w:pStyle w:val="45"/>
              <w:widowControl w:val="0"/>
              <w:spacing w:before="0" w:beforeAutospacing="0" w:after="0" w:afterAutospacing="0" w:line="360" w:lineRule="auto"/>
              <w:jc w:val="both"/>
              <w:rPr>
                <w:rFonts w:hint="eastAsia" w:ascii="宋体" w:hAnsi="宋体" w:eastAsia="宋体" w:cs="宋体"/>
                <w:b w:val="0"/>
                <w:color w:val="auto"/>
                <w:sz w:val="24"/>
                <w:highlight w:val="none"/>
              </w:rPr>
            </w:pPr>
            <w:r>
              <w:rPr>
                <w:rFonts w:hint="eastAsia" w:ascii="宋体" w:hAnsi="宋体" w:eastAsia="宋体" w:cs="宋体"/>
                <w:b w:val="0"/>
                <w:bCs w:val="0"/>
                <w:color w:val="auto"/>
                <w:sz w:val="24"/>
                <w:szCs w:val="24"/>
                <w:highlight w:val="none"/>
              </w:rPr>
              <w:sym w:font="Wingdings" w:char="00FE"/>
            </w:r>
            <w:r>
              <w:rPr>
                <w:rFonts w:hint="eastAsia" w:ascii="宋体" w:hAnsi="宋体" w:eastAsia="宋体" w:cs="宋体"/>
                <w:b w:val="0"/>
                <w:bCs w:val="0"/>
                <w:color w:val="auto"/>
                <w:sz w:val="24"/>
                <w:szCs w:val="24"/>
                <w:highlight w:val="none"/>
              </w:rPr>
              <w:t>采购人</w:t>
            </w:r>
            <w:r>
              <w:rPr>
                <w:rFonts w:hint="eastAsia" w:ascii="宋体" w:hAnsi="宋体" w:eastAsia="宋体" w:cs="宋体"/>
                <w:b w:val="0"/>
                <w:bCs w:val="0"/>
                <w:color w:val="auto"/>
                <w:kern w:val="2"/>
                <w:sz w:val="24"/>
                <w:szCs w:val="24"/>
                <w:highlight w:val="none"/>
              </w:rPr>
              <w:t>确定</w:t>
            </w:r>
          </w:p>
        </w:tc>
      </w:tr>
      <w:tr w14:paraId="5D8B2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07192760">
            <w:pPr>
              <w:pStyle w:val="46"/>
              <w:pBdr>
                <w:bottom w:val="none" w:color="auto" w:sz="0" w:space="0"/>
              </w:pBdr>
              <w:tabs>
                <w:tab w:val="clear" w:pos="4153"/>
                <w:tab w:val="clear" w:pos="8306"/>
              </w:tabs>
              <w:adjustRightInd/>
              <w:spacing w:line="240" w:lineRule="auto"/>
              <w:textAlignment w:val="auto"/>
              <w:rPr>
                <w:rFonts w:hint="eastAsia" w:ascii="宋体" w:hAnsi="宋体" w:eastAsia="宋体" w:cs="宋体"/>
                <w:bCs/>
                <w:color w:val="auto"/>
                <w:kern w:val="2"/>
                <w:highlight w:val="none"/>
              </w:rPr>
            </w:pPr>
            <w:r>
              <w:rPr>
                <w:rFonts w:hint="eastAsia" w:ascii="宋体" w:hAnsi="宋体" w:eastAsia="宋体" w:cs="宋体"/>
                <w:bCs/>
                <w:color w:val="auto"/>
                <w:kern w:val="2"/>
                <w:highlight w:val="none"/>
              </w:rPr>
              <w:t>23.3</w:t>
            </w:r>
          </w:p>
        </w:tc>
        <w:tc>
          <w:tcPr>
            <w:tcW w:w="1174" w:type="pct"/>
            <w:vAlign w:val="center"/>
          </w:tcPr>
          <w:p w14:paraId="6B08520F">
            <w:pPr>
              <w:pStyle w:val="45"/>
              <w:widowControl w:val="0"/>
              <w:spacing w:before="0" w:beforeAutospacing="0" w:after="0" w:afterAutospacing="0" w:line="360" w:lineRule="auto"/>
              <w:jc w:val="both"/>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rPr>
              <w:t>随中标结果公告同时公告的内容</w:t>
            </w:r>
          </w:p>
        </w:tc>
        <w:tc>
          <w:tcPr>
            <w:tcW w:w="3244" w:type="pct"/>
            <w:vAlign w:val="center"/>
          </w:tcPr>
          <w:p w14:paraId="3940EE87">
            <w:pPr>
              <w:pStyle w:val="45"/>
              <w:widowControl w:val="0"/>
              <w:numPr>
                <w:ilvl w:val="0"/>
                <w:numId w:val="1"/>
              </w:numPr>
              <w:spacing w:before="0" w:beforeAutospacing="0" w:after="0" w:afterAutospacing="0" w:line="360" w:lineRule="auto"/>
              <w:jc w:val="both"/>
              <w:rPr>
                <w:rFonts w:hint="eastAsia" w:ascii="宋体" w:hAnsi="宋体" w:eastAsia="宋体"/>
                <w:b w:val="0"/>
                <w:color w:val="auto"/>
                <w:sz w:val="24"/>
                <w:highlight w:val="none"/>
              </w:rPr>
            </w:pPr>
            <w:r>
              <w:rPr>
                <w:rFonts w:hint="eastAsia" w:ascii="宋体" w:hAnsi="宋体" w:eastAsia="宋体"/>
                <w:b w:val="0"/>
                <w:color w:val="auto"/>
                <w:sz w:val="24"/>
                <w:highlight w:val="none"/>
              </w:rPr>
              <w:t>中小企业声明函；</w:t>
            </w:r>
          </w:p>
          <w:p w14:paraId="0B0B8C3C">
            <w:pPr>
              <w:pStyle w:val="45"/>
              <w:widowControl w:val="0"/>
              <w:spacing w:before="0" w:beforeAutospacing="0" w:after="0" w:afterAutospacing="0" w:line="360" w:lineRule="auto"/>
              <w:jc w:val="both"/>
              <w:rPr>
                <w:rFonts w:hint="eastAsia" w:ascii="宋体" w:hAnsi="宋体" w:eastAsia="宋体"/>
                <w:b w:val="0"/>
                <w:i/>
                <w:color w:val="auto"/>
                <w:sz w:val="24"/>
                <w:highlight w:val="none"/>
              </w:rPr>
            </w:pPr>
            <w:r>
              <w:rPr>
                <w:rFonts w:hint="eastAsia" w:ascii="宋体" w:hAnsi="宋体" w:eastAsia="宋体"/>
                <w:b w:val="0"/>
                <w:color w:val="auto"/>
                <w:sz w:val="24"/>
                <w:highlight w:val="none"/>
              </w:rPr>
              <w:t>（2）残疾人福利性单位声明函；</w:t>
            </w:r>
            <w:r>
              <w:rPr>
                <w:rFonts w:hint="eastAsia" w:ascii="宋体" w:hAnsi="宋体" w:eastAsia="宋体"/>
                <w:b w:val="0"/>
                <w:i/>
                <w:iCs/>
                <w:color w:val="auto"/>
                <w:sz w:val="24"/>
                <w:highlight w:val="none"/>
              </w:rPr>
              <w:t>（如有）</w:t>
            </w:r>
          </w:p>
          <w:p w14:paraId="550F8F72">
            <w:pPr>
              <w:pStyle w:val="45"/>
              <w:widowControl w:val="0"/>
              <w:spacing w:before="0" w:beforeAutospacing="0" w:after="0" w:afterAutospacing="0" w:line="360" w:lineRule="auto"/>
              <w:jc w:val="both"/>
              <w:rPr>
                <w:rFonts w:hint="eastAsia" w:ascii="宋体" w:hAnsi="宋体" w:eastAsia="宋体"/>
                <w:b w:val="0"/>
                <w:i/>
                <w:iCs/>
                <w:color w:val="auto"/>
                <w:sz w:val="24"/>
                <w:highlight w:val="none"/>
              </w:rPr>
            </w:pPr>
            <w:r>
              <w:rPr>
                <w:rFonts w:hint="eastAsia" w:ascii="宋体" w:hAnsi="宋体" w:eastAsia="宋体"/>
                <w:b w:val="0"/>
                <w:color w:val="auto"/>
                <w:sz w:val="24"/>
                <w:highlight w:val="none"/>
              </w:rPr>
              <w:t>（3）中标（成交）供应商的评审总得分；</w:t>
            </w:r>
          </w:p>
          <w:p w14:paraId="50FEE45A">
            <w:pPr>
              <w:pStyle w:val="45"/>
              <w:widowControl w:val="0"/>
              <w:spacing w:before="0" w:beforeAutospacing="0" w:after="0" w:afterAutospacing="0" w:line="360" w:lineRule="auto"/>
              <w:jc w:val="both"/>
              <w:rPr>
                <w:rFonts w:hint="eastAsia" w:ascii="宋体" w:hAnsi="宋体" w:eastAsia="宋体" w:cs="宋体"/>
                <w:b w:val="0"/>
                <w:bCs w:val="0"/>
                <w:color w:val="auto"/>
                <w:sz w:val="24"/>
                <w:szCs w:val="24"/>
                <w:highlight w:val="none"/>
              </w:rPr>
            </w:pPr>
            <w:r>
              <w:rPr>
                <w:rFonts w:hint="eastAsia" w:ascii="宋体" w:hAnsi="宋体" w:eastAsia="宋体"/>
                <w:b w:val="0"/>
                <w:color w:val="auto"/>
                <w:sz w:val="24"/>
                <w:highlight w:val="none"/>
              </w:rPr>
              <w:t>（4）中标（成交）供应商的投标分项报价表。</w:t>
            </w:r>
          </w:p>
        </w:tc>
      </w:tr>
      <w:tr w14:paraId="3BD87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3E30C3D9">
            <w:pPr>
              <w:pStyle w:val="46"/>
              <w:pBdr>
                <w:bottom w:val="none" w:color="auto" w:sz="0" w:space="0"/>
              </w:pBdr>
              <w:tabs>
                <w:tab w:val="clear" w:pos="4153"/>
                <w:tab w:val="clear" w:pos="8306"/>
              </w:tabs>
              <w:adjustRightInd/>
              <w:spacing w:line="240" w:lineRule="auto"/>
              <w:textAlignment w:val="auto"/>
              <w:rPr>
                <w:rFonts w:hint="eastAsia" w:ascii="宋体" w:hAnsi="宋体" w:eastAsia="宋体" w:cs="宋体"/>
                <w:bCs/>
                <w:color w:val="auto"/>
                <w:kern w:val="2"/>
                <w:highlight w:val="none"/>
              </w:rPr>
            </w:pPr>
            <w:r>
              <w:rPr>
                <w:rFonts w:hint="eastAsia" w:ascii="宋体" w:hAnsi="宋体" w:eastAsia="宋体" w:cs="宋体"/>
                <w:bCs/>
                <w:color w:val="auto"/>
                <w:kern w:val="2"/>
                <w:highlight w:val="none"/>
              </w:rPr>
              <w:t>24.1</w:t>
            </w:r>
          </w:p>
        </w:tc>
        <w:tc>
          <w:tcPr>
            <w:tcW w:w="1174" w:type="pct"/>
            <w:vAlign w:val="center"/>
          </w:tcPr>
          <w:p w14:paraId="6FD6348B">
            <w:pPr>
              <w:pStyle w:val="45"/>
              <w:widowControl w:val="0"/>
              <w:spacing w:before="0" w:beforeAutospacing="0" w:after="0" w:afterAutospacing="0" w:line="360" w:lineRule="auto"/>
              <w:jc w:val="both"/>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rPr>
              <w:t>中标通知书发出的形式</w:t>
            </w:r>
          </w:p>
        </w:tc>
        <w:tc>
          <w:tcPr>
            <w:tcW w:w="3244" w:type="pct"/>
            <w:vAlign w:val="center"/>
          </w:tcPr>
          <w:p w14:paraId="07AABB1A">
            <w:pPr>
              <w:pStyle w:val="45"/>
              <w:widowControl w:val="0"/>
              <w:spacing w:before="0" w:beforeAutospacing="0" w:after="0" w:afterAutospacing="0" w:line="360" w:lineRule="auto"/>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□书面     </w:t>
            </w:r>
            <w:r>
              <w:rPr>
                <w:rFonts w:hint="eastAsia" w:ascii="宋体" w:hAnsi="宋体" w:eastAsia="宋体" w:cs="宋体"/>
                <w:b w:val="0"/>
                <w:bCs w:val="0"/>
                <w:color w:val="auto"/>
                <w:sz w:val="24"/>
                <w:szCs w:val="24"/>
                <w:highlight w:val="none"/>
              </w:rPr>
              <w:sym w:font="Wingdings" w:char="00FE"/>
            </w:r>
            <w:r>
              <w:rPr>
                <w:rFonts w:hint="eastAsia" w:ascii="宋体" w:hAnsi="宋体" w:eastAsia="宋体" w:cs="宋体"/>
                <w:b w:val="0"/>
                <w:bCs w:val="0"/>
                <w:color w:val="auto"/>
                <w:sz w:val="24"/>
                <w:szCs w:val="24"/>
                <w:highlight w:val="none"/>
              </w:rPr>
              <w:t>数据电文</w:t>
            </w:r>
          </w:p>
        </w:tc>
      </w:tr>
      <w:tr w14:paraId="53D43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7A98D4C9">
            <w:pPr>
              <w:pStyle w:val="46"/>
              <w:pBdr>
                <w:bottom w:val="none" w:color="auto" w:sz="0" w:space="0"/>
              </w:pBdr>
              <w:tabs>
                <w:tab w:val="clear" w:pos="4153"/>
                <w:tab w:val="clear" w:pos="8306"/>
              </w:tabs>
              <w:adjustRightInd/>
              <w:spacing w:line="240" w:lineRule="auto"/>
              <w:textAlignment w:val="auto"/>
              <w:rPr>
                <w:rFonts w:hint="eastAsia" w:ascii="宋体" w:hAnsi="宋体" w:eastAsia="宋体" w:cs="宋体"/>
                <w:bCs/>
                <w:color w:val="auto"/>
                <w:kern w:val="2"/>
                <w:highlight w:val="none"/>
              </w:rPr>
            </w:pPr>
            <w:r>
              <w:rPr>
                <w:rFonts w:hint="eastAsia" w:ascii="宋体" w:hAnsi="宋体" w:eastAsia="宋体" w:cs="宋体"/>
                <w:bCs/>
                <w:color w:val="auto"/>
                <w:kern w:val="2"/>
                <w:highlight w:val="none"/>
              </w:rPr>
              <w:t>25.1</w:t>
            </w:r>
          </w:p>
        </w:tc>
        <w:tc>
          <w:tcPr>
            <w:tcW w:w="1174" w:type="pct"/>
            <w:vAlign w:val="center"/>
          </w:tcPr>
          <w:p w14:paraId="54281F79">
            <w:pPr>
              <w:pStyle w:val="45"/>
              <w:widowControl w:val="0"/>
              <w:spacing w:before="0" w:beforeAutospacing="0" w:after="0" w:afterAutospacing="0" w:line="360" w:lineRule="auto"/>
              <w:jc w:val="both"/>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rPr>
              <w:t>告知招标结果的形式</w:t>
            </w:r>
          </w:p>
        </w:tc>
        <w:tc>
          <w:tcPr>
            <w:tcW w:w="3244" w:type="pct"/>
            <w:vAlign w:val="center"/>
          </w:tcPr>
          <w:p w14:paraId="224C59EC">
            <w:p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sym w:font="Wingdings" w:char="00FE"/>
            </w:r>
            <w:r>
              <w:rPr>
                <w:rFonts w:hint="eastAsia" w:ascii="宋体" w:hAnsi="宋体" w:eastAsia="宋体" w:cs="宋体"/>
                <w:color w:val="auto"/>
                <w:kern w:val="0"/>
                <w:sz w:val="24"/>
                <w:szCs w:val="24"/>
                <w:highlight w:val="none"/>
              </w:rPr>
              <w:t>投标人自行登录电子</w:t>
            </w:r>
            <w:r>
              <w:rPr>
                <w:rFonts w:hint="eastAsia" w:ascii="宋体" w:hAnsi="宋体" w:eastAsia="宋体" w:cs="宋体"/>
                <w:color w:val="auto"/>
                <w:sz w:val="24"/>
                <w:szCs w:val="24"/>
                <w:highlight w:val="none"/>
              </w:rPr>
              <w:t>交易</w:t>
            </w:r>
            <w:r>
              <w:rPr>
                <w:rFonts w:hint="eastAsia" w:ascii="宋体" w:hAnsi="宋体" w:eastAsia="宋体" w:cs="宋体"/>
                <w:color w:val="auto"/>
                <w:kern w:val="0"/>
                <w:sz w:val="24"/>
                <w:szCs w:val="24"/>
                <w:highlight w:val="none"/>
              </w:rPr>
              <w:t>系统查看</w:t>
            </w:r>
          </w:p>
          <w:p w14:paraId="66227AF7">
            <w:pPr>
              <w:pStyle w:val="45"/>
              <w:widowControl w:val="0"/>
              <w:spacing w:before="0" w:beforeAutospacing="0" w:after="0" w:afterAutospacing="0" w:line="360" w:lineRule="auto"/>
              <w:jc w:val="both"/>
              <w:rPr>
                <w:rFonts w:hint="eastAsia" w:ascii="宋体" w:hAnsi="宋体" w:eastAsia="宋体" w:cs="宋体"/>
                <w:b w:val="0"/>
                <w:bCs w:val="0"/>
                <w:color w:val="auto"/>
                <w:kern w:val="2"/>
                <w:sz w:val="24"/>
                <w:szCs w:val="24"/>
                <w:highlight w:val="none"/>
              </w:rPr>
            </w:pPr>
            <w:r>
              <w:rPr>
                <w:rFonts w:hint="eastAsia" w:ascii="宋体" w:hAnsi="宋体" w:eastAsia="宋体" w:cs="宋体"/>
                <w:b w:val="0"/>
                <w:bCs w:val="0"/>
                <w:color w:val="auto"/>
                <w:kern w:val="2"/>
                <w:sz w:val="24"/>
                <w:szCs w:val="24"/>
                <w:highlight w:val="none"/>
              </w:rPr>
              <w:t>□评标现场告知</w:t>
            </w:r>
          </w:p>
        </w:tc>
      </w:tr>
      <w:tr w14:paraId="6915F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581" w:type="pct"/>
            <w:vAlign w:val="center"/>
          </w:tcPr>
          <w:p w14:paraId="0EC73EFD">
            <w:pPr>
              <w:pStyle w:val="46"/>
              <w:pBdr>
                <w:bottom w:val="none" w:color="auto" w:sz="0" w:space="0"/>
              </w:pBdr>
              <w:tabs>
                <w:tab w:val="clear" w:pos="4153"/>
                <w:tab w:val="clear" w:pos="8306"/>
              </w:tabs>
              <w:adjustRightInd/>
              <w:spacing w:line="240" w:lineRule="auto"/>
              <w:textAlignment w:val="auto"/>
              <w:rPr>
                <w:rFonts w:hint="eastAsia" w:ascii="宋体" w:hAnsi="宋体" w:eastAsia="宋体" w:cs="宋体"/>
                <w:bCs/>
                <w:color w:val="auto"/>
                <w:kern w:val="2"/>
                <w:highlight w:val="none"/>
              </w:rPr>
            </w:pPr>
            <w:r>
              <w:rPr>
                <w:rFonts w:hint="eastAsia" w:ascii="宋体" w:hAnsi="宋体" w:eastAsia="宋体" w:cs="宋体"/>
                <w:bCs/>
                <w:color w:val="auto"/>
                <w:kern w:val="2"/>
                <w:highlight w:val="none"/>
              </w:rPr>
              <w:t>26.1</w:t>
            </w:r>
          </w:p>
        </w:tc>
        <w:tc>
          <w:tcPr>
            <w:tcW w:w="1174" w:type="pct"/>
            <w:vAlign w:val="center"/>
          </w:tcPr>
          <w:p w14:paraId="0CC832D3">
            <w:pPr>
              <w:pStyle w:val="45"/>
              <w:widowControl w:val="0"/>
              <w:spacing w:before="0" w:beforeAutospacing="0" w:after="0" w:afterAutospacing="0" w:line="360" w:lineRule="auto"/>
              <w:jc w:val="both"/>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rPr>
              <w:t>履约保证金</w:t>
            </w:r>
          </w:p>
        </w:tc>
        <w:tc>
          <w:tcPr>
            <w:tcW w:w="3244" w:type="pct"/>
          </w:tcPr>
          <w:p w14:paraId="775283FE">
            <w:pPr>
              <w:spacing w:line="360" w:lineRule="auto"/>
              <w:rPr>
                <w:rFonts w:hint="eastAsia" w:ascii="宋体" w:hAnsi="宋体" w:eastAsia="宋体" w:cs="宋体"/>
                <w:bCs/>
                <w:color w:val="auto"/>
                <w:kern w:val="0"/>
                <w:sz w:val="24"/>
                <w:szCs w:val="28"/>
                <w:highlight w:val="none"/>
              </w:rPr>
            </w:pPr>
            <w:r>
              <w:rPr>
                <w:rFonts w:hint="eastAsia" w:ascii="宋体" w:hAnsi="宋体" w:eastAsia="宋体" w:cs="宋体"/>
                <w:bCs/>
                <w:color w:val="auto"/>
                <w:kern w:val="0"/>
                <w:sz w:val="24"/>
                <w:szCs w:val="28"/>
                <w:highlight w:val="none"/>
              </w:rPr>
              <w:t>（1）金额：</w:t>
            </w:r>
          </w:p>
          <w:p w14:paraId="339EA215">
            <w:pPr>
              <w:spacing w:line="360" w:lineRule="auto"/>
              <w:rPr>
                <w:rFonts w:hint="eastAsia" w:ascii="宋体" w:hAnsi="宋体" w:eastAsia="宋体" w:cs="宋体"/>
                <w:bCs/>
                <w:color w:val="auto"/>
                <w:kern w:val="0"/>
                <w:sz w:val="24"/>
                <w:szCs w:val="28"/>
                <w:highlight w:val="none"/>
              </w:rPr>
            </w:pPr>
            <w:r>
              <w:rPr>
                <w:rFonts w:hint="eastAsia" w:ascii="宋体" w:hAnsi="宋体" w:eastAsia="宋体" w:cs="宋体"/>
                <w:bCs/>
                <w:color w:val="auto"/>
                <w:kern w:val="0"/>
                <w:sz w:val="24"/>
                <w:szCs w:val="28"/>
                <w:highlight w:val="none"/>
              </w:rPr>
              <w:t>□免收</w:t>
            </w:r>
          </w:p>
          <w:p w14:paraId="67BCCE60">
            <w:pPr>
              <w:spacing w:line="360" w:lineRule="auto"/>
              <w:rPr>
                <w:rFonts w:hint="eastAsia" w:ascii="宋体" w:hAnsi="宋体" w:eastAsia="宋体" w:cs="宋体"/>
                <w:bCs/>
                <w:color w:val="auto"/>
                <w:kern w:val="0"/>
                <w:sz w:val="24"/>
                <w:szCs w:val="28"/>
                <w:highlight w:val="none"/>
              </w:rPr>
            </w:pPr>
            <w:r>
              <w:rPr>
                <w:rFonts w:ascii="Segoe UI Symbol" w:hAnsi="Segoe UI Symbol" w:eastAsia="宋体" w:cs="Segoe UI Symbol"/>
                <w:bCs/>
                <w:color w:val="auto"/>
                <w:kern w:val="0"/>
                <w:sz w:val="24"/>
                <w:szCs w:val="28"/>
                <w:highlight w:val="none"/>
              </w:rPr>
              <w:t>☑</w:t>
            </w:r>
            <w:r>
              <w:rPr>
                <w:rFonts w:hint="eastAsia" w:ascii="宋体" w:hAnsi="宋体" w:eastAsia="宋体" w:cs="宋体"/>
                <w:bCs/>
                <w:color w:val="auto"/>
                <w:kern w:val="0"/>
                <w:sz w:val="24"/>
                <w:szCs w:val="28"/>
                <w:highlight w:val="none"/>
              </w:rPr>
              <w:t>合同价的</w:t>
            </w:r>
            <w:r>
              <w:rPr>
                <w:rFonts w:hint="eastAsia" w:ascii="宋体" w:hAnsi="宋体" w:eastAsia="宋体" w:cs="宋体"/>
                <w:bCs/>
                <w:color w:val="auto"/>
                <w:kern w:val="0"/>
                <w:sz w:val="24"/>
                <w:szCs w:val="28"/>
                <w:highlight w:val="none"/>
                <w:u w:val="single"/>
              </w:rPr>
              <w:t xml:space="preserve"> 2.5 </w:t>
            </w:r>
            <w:r>
              <w:rPr>
                <w:rFonts w:hint="eastAsia" w:ascii="宋体" w:hAnsi="宋体" w:eastAsia="宋体" w:cs="宋体"/>
                <w:bCs/>
                <w:color w:val="auto"/>
                <w:kern w:val="0"/>
                <w:sz w:val="24"/>
                <w:szCs w:val="28"/>
                <w:highlight w:val="none"/>
              </w:rPr>
              <w:t>%</w:t>
            </w:r>
          </w:p>
          <w:p w14:paraId="51463568">
            <w:pPr>
              <w:spacing w:line="360" w:lineRule="auto"/>
              <w:rPr>
                <w:rFonts w:hint="eastAsia" w:ascii="宋体" w:hAnsi="宋体" w:eastAsia="宋体" w:cs="宋体"/>
                <w:bCs/>
                <w:color w:val="auto"/>
                <w:kern w:val="0"/>
                <w:sz w:val="24"/>
                <w:szCs w:val="28"/>
                <w:highlight w:val="none"/>
              </w:rPr>
            </w:pPr>
            <w:r>
              <w:rPr>
                <w:rFonts w:hint="eastAsia" w:ascii="宋体" w:hAnsi="宋体" w:eastAsia="宋体" w:cs="宋体"/>
                <w:bCs/>
                <w:color w:val="auto"/>
                <w:kern w:val="0"/>
                <w:sz w:val="24"/>
                <w:szCs w:val="28"/>
                <w:highlight w:val="none"/>
              </w:rPr>
              <w:t>□定额收取：人民币</w:t>
            </w:r>
            <w:r>
              <w:rPr>
                <w:rFonts w:hint="eastAsia" w:ascii="宋体" w:hAnsi="宋体" w:eastAsia="宋体" w:cs="宋体"/>
                <w:bCs/>
                <w:color w:val="auto"/>
                <w:kern w:val="0"/>
                <w:sz w:val="24"/>
                <w:szCs w:val="28"/>
                <w:highlight w:val="none"/>
                <w:u w:val="single"/>
              </w:rPr>
              <w:t xml:space="preserve">       /     </w:t>
            </w:r>
            <w:r>
              <w:rPr>
                <w:rFonts w:hint="eastAsia" w:ascii="宋体" w:hAnsi="宋体" w:eastAsia="宋体" w:cs="宋体"/>
                <w:bCs/>
                <w:color w:val="auto"/>
                <w:kern w:val="0"/>
                <w:sz w:val="24"/>
                <w:szCs w:val="28"/>
                <w:highlight w:val="none"/>
              </w:rPr>
              <w:t>元</w:t>
            </w:r>
          </w:p>
          <w:p w14:paraId="0D7BAC47">
            <w:pPr>
              <w:spacing w:line="360" w:lineRule="auto"/>
              <w:rPr>
                <w:rFonts w:hint="eastAsia" w:ascii="宋体" w:hAnsi="宋体" w:eastAsia="宋体" w:cs="宋体"/>
                <w:bCs/>
                <w:color w:val="auto"/>
                <w:kern w:val="0"/>
                <w:sz w:val="24"/>
                <w:szCs w:val="28"/>
                <w:highlight w:val="none"/>
              </w:rPr>
            </w:pPr>
            <w:r>
              <w:rPr>
                <w:rFonts w:hint="eastAsia" w:ascii="宋体" w:hAnsi="宋体" w:eastAsia="宋体" w:cs="宋体"/>
                <w:bCs/>
                <w:color w:val="auto"/>
                <w:kern w:val="0"/>
                <w:sz w:val="24"/>
                <w:szCs w:val="28"/>
                <w:highlight w:val="none"/>
              </w:rPr>
              <w:t>（2）支付方式：</w:t>
            </w:r>
          </w:p>
          <w:p w14:paraId="5C8CDCEF">
            <w:pPr>
              <w:spacing w:line="360" w:lineRule="auto"/>
              <w:rPr>
                <w:rFonts w:hint="eastAsia" w:ascii="宋体" w:hAnsi="宋体" w:eastAsia="宋体" w:cs="宋体"/>
                <w:bCs/>
                <w:color w:val="auto"/>
                <w:kern w:val="0"/>
                <w:sz w:val="24"/>
                <w:szCs w:val="28"/>
                <w:highlight w:val="none"/>
              </w:rPr>
            </w:pPr>
            <w:r>
              <w:rPr>
                <w:rFonts w:hint="eastAsia" w:ascii="宋体" w:hAnsi="宋体" w:eastAsia="宋体" w:cs="宋体"/>
                <w:bCs/>
                <w:color w:val="auto"/>
                <w:kern w:val="0"/>
                <w:sz w:val="24"/>
                <w:szCs w:val="28"/>
                <w:highlight w:val="none"/>
              </w:rPr>
              <w:sym w:font="Wingdings" w:char="00FE"/>
            </w:r>
            <w:r>
              <w:rPr>
                <w:rFonts w:hint="eastAsia" w:ascii="宋体" w:hAnsi="宋体" w:eastAsia="宋体" w:cs="宋体"/>
                <w:bCs/>
                <w:color w:val="auto"/>
                <w:kern w:val="0"/>
                <w:sz w:val="24"/>
                <w:szCs w:val="28"/>
                <w:highlight w:val="none"/>
              </w:rPr>
              <w:t xml:space="preserve">转账/电汇 </w:t>
            </w:r>
            <w:r>
              <w:rPr>
                <w:rFonts w:hint="eastAsia" w:ascii="宋体" w:hAnsi="宋体" w:eastAsia="宋体" w:cs="宋体"/>
                <w:bCs/>
                <w:color w:val="auto"/>
                <w:kern w:val="0"/>
                <w:sz w:val="24"/>
                <w:szCs w:val="28"/>
                <w:highlight w:val="none"/>
              </w:rPr>
              <w:sym w:font="Wingdings" w:char="00FE"/>
            </w:r>
            <w:r>
              <w:rPr>
                <w:rFonts w:hint="eastAsia" w:ascii="宋体" w:hAnsi="宋体" w:eastAsia="宋体" w:cs="宋体"/>
                <w:bCs/>
                <w:color w:val="auto"/>
                <w:kern w:val="0"/>
                <w:sz w:val="24"/>
                <w:szCs w:val="28"/>
                <w:highlight w:val="none"/>
              </w:rPr>
              <w:t xml:space="preserve">支票 </w:t>
            </w:r>
            <w:r>
              <w:rPr>
                <w:rFonts w:hint="eastAsia" w:ascii="宋体" w:hAnsi="宋体" w:eastAsia="宋体" w:cs="宋体"/>
                <w:bCs/>
                <w:color w:val="auto"/>
                <w:kern w:val="0"/>
                <w:sz w:val="24"/>
                <w:szCs w:val="28"/>
                <w:highlight w:val="none"/>
              </w:rPr>
              <w:sym w:font="Wingdings" w:char="00FE"/>
            </w:r>
            <w:r>
              <w:rPr>
                <w:rFonts w:hint="eastAsia" w:ascii="宋体" w:hAnsi="宋体" w:eastAsia="宋体" w:cs="宋体"/>
                <w:bCs/>
                <w:color w:val="auto"/>
                <w:kern w:val="0"/>
                <w:sz w:val="24"/>
                <w:szCs w:val="28"/>
                <w:highlight w:val="none"/>
              </w:rPr>
              <w:t xml:space="preserve">汇票 </w:t>
            </w:r>
            <w:r>
              <w:rPr>
                <w:rFonts w:hint="eastAsia" w:ascii="宋体" w:hAnsi="宋体" w:eastAsia="宋体" w:cs="宋体"/>
                <w:bCs/>
                <w:color w:val="auto"/>
                <w:kern w:val="0"/>
                <w:sz w:val="24"/>
                <w:szCs w:val="28"/>
                <w:highlight w:val="none"/>
              </w:rPr>
              <w:sym w:font="Wingdings" w:char="00FE"/>
            </w:r>
            <w:r>
              <w:rPr>
                <w:rFonts w:hint="eastAsia" w:ascii="宋体" w:hAnsi="宋体" w:eastAsia="宋体" w:cs="宋体"/>
                <w:bCs/>
                <w:color w:val="auto"/>
                <w:kern w:val="0"/>
                <w:sz w:val="24"/>
                <w:szCs w:val="28"/>
                <w:highlight w:val="none"/>
              </w:rPr>
              <w:t xml:space="preserve">本票 </w:t>
            </w:r>
            <w:r>
              <w:rPr>
                <w:rFonts w:hint="eastAsia" w:ascii="宋体" w:hAnsi="宋体" w:eastAsia="宋体" w:cs="宋体"/>
                <w:bCs/>
                <w:color w:val="auto"/>
                <w:kern w:val="0"/>
                <w:sz w:val="24"/>
                <w:szCs w:val="28"/>
                <w:highlight w:val="none"/>
              </w:rPr>
              <w:sym w:font="Wingdings" w:char="00FE"/>
            </w:r>
            <w:r>
              <w:rPr>
                <w:rFonts w:hint="eastAsia" w:ascii="宋体" w:hAnsi="宋体" w:eastAsia="宋体" w:cs="宋体"/>
                <w:bCs/>
                <w:color w:val="auto"/>
                <w:kern w:val="0"/>
                <w:sz w:val="24"/>
                <w:szCs w:val="28"/>
                <w:highlight w:val="none"/>
              </w:rPr>
              <w:t xml:space="preserve">保险 </w:t>
            </w:r>
            <w:r>
              <w:rPr>
                <w:rFonts w:hint="eastAsia" w:ascii="宋体" w:hAnsi="宋体" w:eastAsia="宋体" w:cs="宋体"/>
                <w:bCs/>
                <w:color w:val="auto"/>
                <w:kern w:val="0"/>
                <w:sz w:val="24"/>
                <w:szCs w:val="28"/>
                <w:highlight w:val="none"/>
              </w:rPr>
              <w:sym w:font="Wingdings" w:char="00FE"/>
            </w:r>
            <w:r>
              <w:rPr>
                <w:rFonts w:hint="eastAsia" w:ascii="宋体" w:hAnsi="宋体" w:eastAsia="宋体" w:cs="宋体"/>
                <w:bCs/>
                <w:color w:val="auto"/>
                <w:kern w:val="0"/>
                <w:sz w:val="24"/>
                <w:szCs w:val="28"/>
                <w:highlight w:val="none"/>
              </w:rPr>
              <w:t>保函</w:t>
            </w:r>
          </w:p>
          <w:p w14:paraId="23049F0F">
            <w:pPr>
              <w:spacing w:line="360" w:lineRule="auto"/>
              <w:rPr>
                <w:rFonts w:hint="eastAsia" w:ascii="宋体" w:hAnsi="宋体" w:eastAsia="宋体" w:cs="宋体"/>
                <w:bCs/>
                <w:color w:val="auto"/>
                <w:kern w:val="0"/>
                <w:sz w:val="24"/>
                <w:szCs w:val="28"/>
                <w:highlight w:val="none"/>
              </w:rPr>
            </w:pPr>
            <w:r>
              <w:rPr>
                <w:rFonts w:hint="eastAsia" w:ascii="宋体" w:hAnsi="宋体" w:eastAsia="宋体" w:cs="宋体"/>
                <w:bCs/>
                <w:color w:val="auto"/>
                <w:kern w:val="0"/>
                <w:sz w:val="24"/>
                <w:szCs w:val="28"/>
                <w:highlight w:val="none"/>
              </w:rPr>
              <w:t>（3）收取单位：</w:t>
            </w:r>
            <w:r>
              <w:rPr>
                <w:rFonts w:hint="eastAsia" w:ascii="宋体" w:hAnsi="宋体" w:eastAsia="宋体" w:cs="宋体"/>
                <w:bCs/>
                <w:color w:val="auto"/>
                <w:kern w:val="0"/>
                <w:sz w:val="24"/>
                <w:szCs w:val="28"/>
                <w:highlight w:val="none"/>
                <w:u w:val="single"/>
              </w:rPr>
              <w:t xml:space="preserve"> 另行通知   </w:t>
            </w:r>
            <w:r>
              <w:rPr>
                <w:rFonts w:hint="eastAsia" w:ascii="宋体" w:hAnsi="宋体" w:eastAsia="宋体" w:cs="宋体"/>
                <w:bCs/>
                <w:color w:val="auto"/>
                <w:kern w:val="0"/>
                <w:sz w:val="24"/>
                <w:szCs w:val="28"/>
                <w:highlight w:val="none"/>
              </w:rPr>
              <w:t xml:space="preserve">              </w:t>
            </w:r>
          </w:p>
          <w:p w14:paraId="0356BAF3">
            <w:pPr>
              <w:spacing w:line="360" w:lineRule="auto"/>
              <w:rPr>
                <w:rFonts w:hint="eastAsia" w:ascii="宋体" w:hAnsi="宋体" w:eastAsia="宋体" w:cs="宋体"/>
                <w:bCs/>
                <w:color w:val="auto"/>
                <w:kern w:val="0"/>
                <w:sz w:val="24"/>
                <w:szCs w:val="28"/>
                <w:highlight w:val="none"/>
              </w:rPr>
            </w:pPr>
            <w:r>
              <w:rPr>
                <w:rFonts w:hint="eastAsia" w:ascii="宋体" w:hAnsi="宋体" w:eastAsia="宋体" w:cs="宋体"/>
                <w:bCs/>
                <w:color w:val="auto"/>
                <w:kern w:val="0"/>
                <w:sz w:val="24"/>
                <w:szCs w:val="28"/>
                <w:highlight w:val="none"/>
              </w:rPr>
              <w:t>（4）收取账号：</w:t>
            </w:r>
            <w:r>
              <w:rPr>
                <w:rFonts w:hint="eastAsia" w:ascii="宋体" w:hAnsi="宋体" w:eastAsia="宋体" w:cs="宋体"/>
                <w:bCs/>
                <w:color w:val="auto"/>
                <w:kern w:val="0"/>
                <w:sz w:val="24"/>
                <w:szCs w:val="28"/>
                <w:highlight w:val="none"/>
                <w:u w:val="single"/>
              </w:rPr>
              <w:t xml:space="preserve"> 另行通知   </w:t>
            </w:r>
          </w:p>
          <w:p w14:paraId="314EAE1B">
            <w:pPr>
              <w:spacing w:line="360" w:lineRule="auto"/>
              <w:rPr>
                <w:rFonts w:hint="eastAsia" w:ascii="宋体" w:hAnsi="宋体" w:eastAsia="宋体" w:cs="宋体"/>
                <w:color w:val="auto"/>
                <w:sz w:val="24"/>
                <w:highlight w:val="none"/>
              </w:rPr>
            </w:pPr>
            <w:r>
              <w:rPr>
                <w:rFonts w:hint="eastAsia" w:ascii="宋体" w:hAnsi="宋体" w:eastAsia="宋体" w:cs="宋体"/>
                <w:bCs/>
                <w:color w:val="auto"/>
                <w:kern w:val="0"/>
                <w:sz w:val="24"/>
                <w:szCs w:val="28"/>
                <w:highlight w:val="none"/>
              </w:rPr>
              <w:t>（5）</w:t>
            </w:r>
            <w:r>
              <w:rPr>
                <w:rFonts w:hint="eastAsia" w:ascii="宋体" w:hAnsi="宋体" w:eastAsia="宋体" w:cs="宋体"/>
                <w:color w:val="auto"/>
                <w:sz w:val="24"/>
                <w:highlight w:val="none"/>
              </w:rPr>
              <w:t>退还时间：</w:t>
            </w:r>
            <w:r>
              <w:rPr>
                <w:rFonts w:hint="eastAsia" w:ascii="宋体" w:hAnsi="宋体" w:eastAsia="宋体" w:cs="宋体"/>
                <w:bCs/>
                <w:color w:val="auto"/>
                <w:kern w:val="0"/>
                <w:sz w:val="24"/>
                <w:szCs w:val="28"/>
                <w:highlight w:val="none"/>
                <w:u w:val="single"/>
              </w:rPr>
              <w:t>①采用银行转账方式：政府采购验收合格后，一次性退还；②采用支票、汇票、本票、保函等方式：有效期为自合同签订之日起至供货期满后止。</w:t>
            </w:r>
          </w:p>
          <w:p w14:paraId="327A13A2">
            <w:pPr>
              <w:spacing w:line="360" w:lineRule="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注意事项：</w:t>
            </w:r>
          </w:p>
          <w:p w14:paraId="104FEED1">
            <w:pPr>
              <w:spacing w:line="360" w:lineRule="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（1）以上各类机构出具的以担保函、保证保险承担责任的方式均须满足无条件见索即付条件。</w:t>
            </w:r>
          </w:p>
          <w:p w14:paraId="65898DE8">
            <w:pPr>
              <w:spacing w:line="360" w:lineRule="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（2）以担保函、保证保险形式缴纳履约保证金的，受益人和收取单位须为采购人。</w:t>
            </w:r>
          </w:p>
        </w:tc>
      </w:tr>
      <w:tr w14:paraId="3C11E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 w:hRule="atLeast"/>
          <w:jc w:val="center"/>
        </w:trPr>
        <w:tc>
          <w:tcPr>
            <w:tcW w:w="581" w:type="pct"/>
            <w:vAlign w:val="center"/>
          </w:tcPr>
          <w:p w14:paraId="09AAA6BE">
            <w:pPr>
              <w:pStyle w:val="46"/>
              <w:pBdr>
                <w:bottom w:val="none" w:color="auto" w:sz="0" w:space="0"/>
              </w:pBdr>
              <w:tabs>
                <w:tab w:val="clear" w:pos="4153"/>
                <w:tab w:val="clear" w:pos="8306"/>
              </w:tabs>
              <w:adjustRightInd/>
              <w:spacing w:line="240" w:lineRule="auto"/>
              <w:textAlignment w:val="auto"/>
              <w:rPr>
                <w:rFonts w:hint="eastAsia" w:ascii="宋体" w:hAnsi="宋体" w:eastAsia="宋体" w:cs="宋体"/>
                <w:bCs/>
                <w:color w:val="auto"/>
                <w:kern w:val="2"/>
                <w:highlight w:val="none"/>
              </w:rPr>
            </w:pPr>
            <w:r>
              <w:rPr>
                <w:rFonts w:hint="eastAsia" w:ascii="宋体" w:hAnsi="宋体" w:eastAsia="宋体" w:cs="宋体"/>
                <w:bCs/>
                <w:color w:val="auto"/>
                <w:kern w:val="2"/>
                <w:highlight w:val="none"/>
              </w:rPr>
              <w:t>27.1</w:t>
            </w:r>
          </w:p>
        </w:tc>
        <w:tc>
          <w:tcPr>
            <w:tcW w:w="1174" w:type="pct"/>
            <w:vAlign w:val="center"/>
          </w:tcPr>
          <w:p w14:paraId="72CB7EB1">
            <w:pPr>
              <w:pStyle w:val="45"/>
              <w:widowControl w:val="0"/>
              <w:spacing w:before="0" w:beforeAutospacing="0" w:after="0" w:afterAutospacing="0" w:line="360" w:lineRule="auto"/>
              <w:jc w:val="both"/>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rPr>
              <w:t>签订合同和合同公告时间</w:t>
            </w:r>
          </w:p>
        </w:tc>
        <w:tc>
          <w:tcPr>
            <w:tcW w:w="3244" w:type="pct"/>
          </w:tcPr>
          <w:p w14:paraId="03C84AEF">
            <w:pPr>
              <w:pStyle w:val="21"/>
              <w:widowControl/>
              <w:spacing w:before="0" w:beforeAutospacing="0" w:after="0" w:afterAutospacing="0" w:line="360" w:lineRule="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（1）采购人与中标人应当自发出中标通知书之日起7个工作日内签订合同，采购合同签订之日起2个工作日内完成政府采购合同公开。</w:t>
            </w:r>
          </w:p>
          <w:p w14:paraId="35EF6567">
            <w:pPr>
              <w:pStyle w:val="21"/>
              <w:widowControl/>
              <w:spacing w:before="0" w:beforeAutospacing="0" w:after="0" w:afterAutospacing="0" w:line="360" w:lineRule="auto"/>
              <w:rPr>
                <w:rFonts w:hint="eastAsia" w:ascii="宋体" w:hAnsi="宋体" w:eastAsia="宋体" w:cs="宋体"/>
                <w:b/>
                <w:bCs/>
                <w:color w:val="auto"/>
                <w:szCs w:val="24"/>
                <w:highlight w:val="none"/>
              </w:rPr>
            </w:pPr>
            <w:r>
              <w:rPr>
                <w:rFonts w:hint="eastAsia" w:ascii="宋体" w:hAnsi="宋体" w:eastAsia="宋体" w:cs="宋体"/>
                <w:color w:val="auto"/>
                <w:szCs w:val="24"/>
                <w:highlight w:val="none"/>
              </w:rPr>
              <w:t>（2）采购人与中标人不得擅自变更合同，依照政府采购法确需变更政府采购合同内容的，采购人应当自合同变更之日起2个工作日内在安徽省政府采购网和滁州市公共资源交易中心网发布政府采购合同变更公告，但涉及国家秘密、商业秘密的信息和其他依法不得公开的信息除外。</w:t>
            </w:r>
          </w:p>
        </w:tc>
      </w:tr>
      <w:tr w14:paraId="1DE93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1678C1A5">
            <w:pPr>
              <w:pStyle w:val="46"/>
              <w:pBdr>
                <w:bottom w:val="none" w:color="auto" w:sz="0" w:space="0"/>
              </w:pBdr>
              <w:tabs>
                <w:tab w:val="clear" w:pos="4153"/>
                <w:tab w:val="clear" w:pos="8306"/>
              </w:tabs>
              <w:adjustRightInd/>
              <w:spacing w:line="240" w:lineRule="auto"/>
              <w:textAlignment w:val="auto"/>
              <w:rPr>
                <w:rFonts w:hint="eastAsia" w:ascii="宋体" w:hAnsi="宋体" w:eastAsia="宋体" w:cs="宋体"/>
                <w:bCs/>
                <w:color w:val="auto"/>
                <w:kern w:val="2"/>
                <w:highlight w:val="none"/>
              </w:rPr>
            </w:pPr>
            <w:r>
              <w:rPr>
                <w:rFonts w:hint="eastAsia" w:ascii="宋体" w:hAnsi="宋体" w:eastAsia="宋体" w:cs="宋体"/>
                <w:bCs/>
                <w:color w:val="auto"/>
                <w:kern w:val="2"/>
                <w:highlight w:val="none"/>
              </w:rPr>
              <w:t>28.1</w:t>
            </w:r>
          </w:p>
        </w:tc>
        <w:tc>
          <w:tcPr>
            <w:tcW w:w="1174" w:type="pct"/>
            <w:vAlign w:val="center"/>
          </w:tcPr>
          <w:p w14:paraId="31A9A0AC">
            <w:pPr>
              <w:pStyle w:val="45"/>
              <w:widowControl w:val="0"/>
              <w:spacing w:before="0" w:beforeAutospacing="0" w:after="0" w:afterAutospacing="0" w:line="360" w:lineRule="auto"/>
              <w:jc w:val="both"/>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rPr>
              <w:t>代理费用</w:t>
            </w:r>
          </w:p>
        </w:tc>
        <w:tc>
          <w:tcPr>
            <w:tcW w:w="3244" w:type="pct"/>
            <w:vAlign w:val="center"/>
          </w:tcPr>
          <w:p w14:paraId="5385B622">
            <w:pPr>
              <w:spacing w:before="39" w:line="360" w:lineRule="auto"/>
              <w:rPr>
                <w:rFonts w:hint="eastAsia" w:ascii="宋体" w:hAnsi="宋体" w:eastAsia="宋体" w:cs="宋体"/>
                <w:color w:val="auto"/>
                <w:sz w:val="24"/>
                <w:szCs w:val="24"/>
                <w:highlight w:val="none"/>
              </w:rPr>
            </w:pPr>
            <w:r>
              <w:rPr>
                <w:rFonts w:hint="eastAsia" w:ascii="宋体" w:hAnsi="宋体" w:eastAsia="宋体" w:cs="宋体"/>
                <w:bCs/>
                <w:color w:val="auto"/>
                <w:kern w:val="0"/>
                <w:sz w:val="24"/>
                <w:szCs w:val="28"/>
                <w:highlight w:val="none"/>
              </w:rPr>
              <w:t>（1）收费对象</w:t>
            </w:r>
            <w:r>
              <w:rPr>
                <w:rFonts w:hint="eastAsia" w:ascii="宋体" w:hAnsi="宋体" w:eastAsia="宋体" w:cs="宋体"/>
                <w:color w:val="auto"/>
                <w:spacing w:val="-12"/>
                <w:sz w:val="24"/>
                <w:szCs w:val="24"/>
                <w:highlight w:val="none"/>
              </w:rPr>
              <w:t>：</w:t>
            </w:r>
            <w:r>
              <w:rPr>
                <w:rFonts w:hint="eastAsia" w:ascii="宋体" w:hAnsi="宋体" w:eastAsia="宋体" w:cs="宋体"/>
                <w:bCs/>
                <w:color w:val="auto"/>
                <w:kern w:val="0"/>
                <w:sz w:val="24"/>
                <w:szCs w:val="28"/>
                <w:highlight w:val="none"/>
              </w:rPr>
              <w:sym w:font="Wingdings" w:char="00A8"/>
            </w:r>
            <w:r>
              <w:rPr>
                <w:rFonts w:hint="eastAsia" w:ascii="宋体" w:hAnsi="宋体" w:eastAsia="宋体" w:cs="宋体"/>
                <w:color w:val="auto"/>
                <w:spacing w:val="14"/>
                <w:sz w:val="24"/>
                <w:szCs w:val="24"/>
                <w:highlight w:val="none"/>
              </w:rPr>
              <w:t xml:space="preserve">采购人   </w:t>
            </w:r>
            <w:r>
              <w:rPr>
                <w:rFonts w:hint="eastAsia" w:ascii="宋体" w:hAnsi="宋体" w:eastAsia="宋体" w:cs="宋体"/>
                <w:bCs/>
                <w:color w:val="auto"/>
                <w:kern w:val="0"/>
                <w:sz w:val="24"/>
                <w:szCs w:val="28"/>
                <w:highlight w:val="none"/>
              </w:rPr>
              <w:sym w:font="Wingdings" w:char="00A8"/>
            </w:r>
            <w:r>
              <w:rPr>
                <w:rFonts w:hint="eastAsia" w:ascii="宋体" w:hAnsi="宋体" w:eastAsia="宋体" w:cs="宋体"/>
                <w:color w:val="auto"/>
                <w:spacing w:val="14"/>
                <w:sz w:val="24"/>
                <w:szCs w:val="24"/>
                <w:highlight w:val="none"/>
              </w:rPr>
              <w:t>中标人</w:t>
            </w:r>
          </w:p>
          <w:p w14:paraId="4BA9136A">
            <w:pPr>
              <w:spacing w:before="24" w:line="360" w:lineRule="auto"/>
              <w:rPr>
                <w:rFonts w:hint="eastAsia" w:ascii="宋体" w:hAnsi="宋体" w:eastAsia="宋体" w:cs="宋体"/>
                <w:bCs/>
                <w:color w:val="auto"/>
                <w:kern w:val="0"/>
                <w:sz w:val="24"/>
                <w:szCs w:val="28"/>
                <w:highlight w:val="none"/>
              </w:rPr>
            </w:pPr>
            <w:r>
              <w:rPr>
                <w:rFonts w:hint="eastAsia" w:ascii="宋体" w:hAnsi="宋体" w:eastAsia="宋体" w:cs="宋体"/>
                <w:bCs/>
                <w:color w:val="auto"/>
                <w:kern w:val="0"/>
                <w:sz w:val="24"/>
                <w:szCs w:val="28"/>
                <w:highlight w:val="none"/>
              </w:rPr>
              <w:t>（2）收取方式</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w:t>
            </w:r>
          </w:p>
          <w:p w14:paraId="305A93EA">
            <w:pPr>
              <w:pStyle w:val="45"/>
              <w:widowControl w:val="0"/>
              <w:spacing w:before="0" w:beforeAutospacing="0" w:after="0" w:afterAutospacing="0" w:line="360" w:lineRule="auto"/>
              <w:jc w:val="both"/>
              <w:rPr>
                <w:rFonts w:hint="eastAsia" w:ascii="宋体" w:hAnsi="宋体" w:eastAsia="宋体" w:cs="宋体"/>
                <w:b w:val="0"/>
                <w:color w:val="auto"/>
                <w:sz w:val="24"/>
                <w:highlight w:val="none"/>
              </w:rPr>
            </w:pPr>
            <w:r>
              <w:rPr>
                <w:rFonts w:hint="eastAsia" w:ascii="宋体" w:hAnsi="宋体" w:eastAsia="宋体" w:cs="宋体"/>
                <w:b w:val="0"/>
                <w:bCs w:val="0"/>
                <w:color w:val="auto"/>
                <w:sz w:val="24"/>
                <w:highlight w:val="none"/>
              </w:rPr>
              <w:t>（3）</w:t>
            </w:r>
            <w:r>
              <w:rPr>
                <w:rFonts w:hint="eastAsia" w:ascii="宋体" w:hAnsi="宋体" w:eastAsia="宋体" w:cs="宋体"/>
                <w:b w:val="0"/>
                <w:color w:val="auto"/>
                <w:sz w:val="24"/>
                <w:highlight w:val="none"/>
              </w:rPr>
              <w:t>收费标准：</w:t>
            </w:r>
            <w:r>
              <w:rPr>
                <w:rFonts w:hint="eastAsia" w:ascii="宋体" w:hAnsi="宋体" w:eastAsia="宋体" w:cs="宋体"/>
                <w:b w:val="0"/>
                <w:bCs w:val="0"/>
                <w:color w:val="auto"/>
                <w:kern w:val="2"/>
                <w:sz w:val="24"/>
                <w:szCs w:val="24"/>
                <w:highlight w:val="none"/>
                <w:u w:val="single"/>
              </w:rPr>
              <w:t xml:space="preserve"> 参考《滁州市公共资源交易代理机构及从业人员管理办法》(滁公管〔2025〕1 号)以及《关于进一步明确代理费计取标准的通知》（滁公管综〔2023〕19号）文件，以最高限价（控制价）计算。</w:t>
            </w:r>
          </w:p>
        </w:tc>
      </w:tr>
      <w:tr w14:paraId="470EA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17554D47">
            <w:pPr>
              <w:pStyle w:val="46"/>
              <w:pBdr>
                <w:bottom w:val="none" w:color="auto" w:sz="0" w:space="0"/>
              </w:pBdr>
              <w:tabs>
                <w:tab w:val="clear" w:pos="4153"/>
                <w:tab w:val="clear" w:pos="8306"/>
              </w:tabs>
              <w:adjustRightInd/>
              <w:spacing w:line="240" w:lineRule="auto"/>
              <w:textAlignment w:val="auto"/>
              <w:rPr>
                <w:rFonts w:hint="eastAsia" w:ascii="宋体" w:hAnsi="宋体" w:eastAsia="宋体" w:cs="宋体"/>
                <w:bCs/>
                <w:color w:val="auto"/>
                <w:kern w:val="2"/>
                <w:highlight w:val="none"/>
              </w:rPr>
            </w:pPr>
            <w:r>
              <w:rPr>
                <w:rFonts w:hint="eastAsia" w:ascii="宋体" w:hAnsi="宋体" w:eastAsia="宋体" w:cs="宋体"/>
                <w:bCs/>
                <w:color w:val="auto"/>
                <w:kern w:val="2"/>
                <w:highlight w:val="none"/>
              </w:rPr>
              <w:t>31.3</w:t>
            </w:r>
          </w:p>
        </w:tc>
        <w:tc>
          <w:tcPr>
            <w:tcW w:w="1174" w:type="pct"/>
            <w:vAlign w:val="center"/>
          </w:tcPr>
          <w:p w14:paraId="3E826A92">
            <w:pPr>
              <w:pStyle w:val="45"/>
              <w:widowControl w:val="0"/>
              <w:spacing w:before="0" w:beforeAutospacing="0" w:after="0" w:afterAutospacing="0" w:line="360" w:lineRule="auto"/>
              <w:jc w:val="both"/>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rPr>
              <w:t>质疑函递交方式、接收部门、联系电话和通讯地址</w:t>
            </w:r>
          </w:p>
        </w:tc>
        <w:tc>
          <w:tcPr>
            <w:tcW w:w="3244" w:type="pct"/>
            <w:vAlign w:val="center"/>
          </w:tcPr>
          <w:p w14:paraId="2C3F2B59">
            <w:pPr>
              <w:pStyle w:val="45"/>
              <w:widowControl w:val="0"/>
              <w:spacing w:before="0" w:beforeAutospacing="0" w:after="0" w:afterAutospacing="0" w:line="360" w:lineRule="auto"/>
              <w:jc w:val="both"/>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rPr>
              <w:t>递交方式：</w:t>
            </w:r>
            <w:r>
              <w:rPr>
                <w:rFonts w:hint="eastAsia" w:ascii="宋体" w:hAnsi="宋体" w:eastAsia="宋体" w:cs="宋体"/>
                <w:color w:val="auto"/>
                <w:sz w:val="24"/>
                <w:highlight w:val="none"/>
                <w:u w:val="single"/>
              </w:rPr>
              <w:t>如投标人对招标文件有质疑，可以依据中华人民共和国财政部令第94号《政府采购质疑和投诉办法》规定，以书面形式向采购人、采购代理机构提出质疑，也可以在滁州市公共资源交易中心网电子交易系统中进行质疑，具体操作步骤和程序请参见服务指南&gt;交易须知&gt;在线异议、质疑和投诉操作手册；</w:t>
            </w:r>
          </w:p>
          <w:p w14:paraId="0E6EB3AD">
            <w:pPr>
              <w:pStyle w:val="45"/>
              <w:widowControl w:val="0"/>
              <w:spacing w:before="0" w:beforeAutospacing="0" w:after="0" w:afterAutospacing="0" w:line="360" w:lineRule="auto"/>
              <w:jc w:val="both"/>
              <w:rPr>
                <w:rFonts w:hint="eastAsia" w:ascii="宋体" w:hAnsi="宋体" w:eastAsia="宋体" w:cs="宋体"/>
                <w:b w:val="0"/>
                <w:bCs w:val="0"/>
                <w:color w:val="auto"/>
                <w:sz w:val="24"/>
                <w:szCs w:val="18"/>
                <w:highlight w:val="none"/>
              </w:rPr>
            </w:pPr>
            <w:r>
              <w:rPr>
                <w:rFonts w:hint="eastAsia" w:ascii="宋体" w:hAnsi="宋体" w:eastAsia="宋体" w:cs="宋体"/>
                <w:b w:val="0"/>
                <w:color w:val="auto"/>
                <w:sz w:val="24"/>
                <w:highlight w:val="none"/>
              </w:rPr>
              <w:t>接收部门：</w:t>
            </w:r>
            <w:r>
              <w:rPr>
                <w:rFonts w:hint="eastAsia" w:ascii="宋体" w:hAnsi="宋体" w:eastAsia="宋体" w:cs="宋体"/>
                <w:color w:val="auto"/>
                <w:sz w:val="24"/>
                <w:highlight w:val="none"/>
                <w:u w:val="single"/>
              </w:rPr>
              <w:t>滁州市特种设备监督检验中心、滁州市政府采购中心；</w:t>
            </w:r>
          </w:p>
          <w:p w14:paraId="47EFAC1E">
            <w:pPr>
              <w:pStyle w:val="45"/>
              <w:widowControl w:val="0"/>
              <w:spacing w:before="0" w:beforeAutospacing="0" w:after="0" w:afterAutospacing="0" w:line="360" w:lineRule="auto"/>
              <w:jc w:val="both"/>
              <w:rPr>
                <w:rFonts w:hint="eastAsia" w:ascii="宋体" w:hAnsi="宋体" w:eastAsia="宋体" w:cs="宋体"/>
                <w:b w:val="0"/>
                <w:bCs w:val="0"/>
                <w:color w:val="auto"/>
                <w:sz w:val="24"/>
                <w:szCs w:val="18"/>
                <w:highlight w:val="none"/>
              </w:rPr>
            </w:pPr>
            <w:r>
              <w:rPr>
                <w:rFonts w:hint="eastAsia" w:ascii="宋体" w:hAnsi="宋体" w:eastAsia="宋体" w:cs="宋体"/>
                <w:b w:val="0"/>
                <w:color w:val="auto"/>
                <w:sz w:val="24"/>
                <w:highlight w:val="none"/>
              </w:rPr>
              <w:t>联系电话：</w:t>
            </w:r>
            <w:r>
              <w:rPr>
                <w:rFonts w:hint="eastAsia" w:ascii="宋体" w:hAnsi="宋体" w:eastAsia="宋体" w:cs="宋体"/>
                <w:color w:val="auto"/>
                <w:sz w:val="24"/>
                <w:highlight w:val="none"/>
                <w:u w:val="single"/>
              </w:rPr>
              <w:t>0550-3212118、0550-3519517；</w:t>
            </w:r>
          </w:p>
          <w:p w14:paraId="50AAE48C">
            <w:pPr>
              <w:pStyle w:val="45"/>
              <w:widowControl w:val="0"/>
              <w:spacing w:before="0" w:beforeAutospacing="0" w:after="0" w:afterAutospacing="0" w:line="360" w:lineRule="auto"/>
              <w:jc w:val="both"/>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rPr>
              <w:t>通讯地址：</w:t>
            </w:r>
            <w:r>
              <w:rPr>
                <w:rFonts w:hint="eastAsia" w:ascii="宋体" w:hAnsi="宋体" w:eastAsia="宋体" w:cs="宋体"/>
                <w:color w:val="auto"/>
                <w:sz w:val="24"/>
                <w:highlight w:val="none"/>
                <w:u w:val="single"/>
              </w:rPr>
              <w:t>滁州市会峰西路83号、</w:t>
            </w:r>
            <w:r>
              <w:rPr>
                <w:rFonts w:hint="eastAsia" w:ascii="宋体" w:hAnsi="宋体" w:eastAsia="宋体" w:cs="宋体"/>
                <w:color w:val="auto"/>
                <w:sz w:val="24"/>
                <w:highlight w:val="none"/>
                <w:u w:val="single"/>
                <w:lang w:eastAsia="zh-CN"/>
              </w:rPr>
              <w:t>滁州市龙蟠大道109号房产商务大厦2楼</w:t>
            </w:r>
            <w:r>
              <w:rPr>
                <w:rFonts w:hint="eastAsia" w:ascii="宋体" w:hAnsi="宋体" w:eastAsia="宋体" w:cs="宋体"/>
                <w:color w:val="auto"/>
                <w:sz w:val="24"/>
                <w:highlight w:val="none"/>
                <w:u w:val="single"/>
              </w:rPr>
              <w:t>。</w:t>
            </w:r>
          </w:p>
        </w:tc>
      </w:tr>
      <w:tr w14:paraId="635D0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19116533">
            <w:pPr>
              <w:pStyle w:val="46"/>
              <w:pBdr>
                <w:bottom w:val="none" w:color="auto" w:sz="0" w:space="0"/>
              </w:pBdr>
              <w:tabs>
                <w:tab w:val="clear" w:pos="4153"/>
                <w:tab w:val="clear" w:pos="8306"/>
              </w:tabs>
              <w:adjustRightInd/>
              <w:spacing w:line="240" w:lineRule="auto"/>
              <w:textAlignment w:val="auto"/>
              <w:rPr>
                <w:rFonts w:hint="eastAsia" w:ascii="宋体" w:hAnsi="宋体" w:eastAsia="宋体" w:cs="宋体"/>
                <w:bCs/>
                <w:color w:val="auto"/>
                <w:kern w:val="2"/>
                <w:highlight w:val="none"/>
              </w:rPr>
            </w:pPr>
            <w:r>
              <w:rPr>
                <w:rFonts w:hint="eastAsia" w:ascii="宋体" w:hAnsi="宋体" w:eastAsia="宋体" w:cs="宋体"/>
                <w:bCs/>
                <w:color w:val="auto"/>
                <w:kern w:val="2"/>
                <w:highlight w:val="none"/>
              </w:rPr>
              <w:t>32</w:t>
            </w:r>
          </w:p>
        </w:tc>
        <w:tc>
          <w:tcPr>
            <w:tcW w:w="1174" w:type="pct"/>
            <w:vAlign w:val="center"/>
          </w:tcPr>
          <w:p w14:paraId="4B642613">
            <w:pPr>
              <w:pStyle w:val="45"/>
              <w:widowControl w:val="0"/>
              <w:spacing w:before="0" w:beforeAutospacing="0" w:after="0" w:afterAutospacing="0" w:line="360" w:lineRule="auto"/>
              <w:jc w:val="both"/>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rPr>
              <w:t>其他内容</w:t>
            </w:r>
          </w:p>
        </w:tc>
        <w:tc>
          <w:tcPr>
            <w:tcW w:w="3244" w:type="pct"/>
            <w:vAlign w:val="center"/>
          </w:tcPr>
          <w:p w14:paraId="5C158ADB">
            <w:pPr>
              <w:pStyle w:val="45"/>
              <w:widowControl w:val="0"/>
              <w:spacing w:before="0" w:beforeAutospacing="0" w:after="0" w:afterAutospacing="0" w:line="360" w:lineRule="auto"/>
              <w:jc w:val="both"/>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rPr>
              <w:t>1.解释权：</w:t>
            </w:r>
          </w:p>
          <w:p w14:paraId="417CD93D">
            <w:pPr>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（1）构成本招标文件的各个组成文件应互为解释，互为说明；</w:t>
            </w:r>
          </w:p>
          <w:p w14:paraId="6DA6BF4A">
            <w:pPr>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（2）同一组成文件中就同一事项的规定或约定不一致的，以编排顺序在后者为准；</w:t>
            </w:r>
          </w:p>
          <w:p w14:paraId="31057AB0">
            <w:pPr>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（3）如有不明确或不一致，构成合同文件组成内容的，以合同文件约定内容为准，且以专用合同条款约定的合同文件优先顺序解释；</w:t>
            </w:r>
          </w:p>
          <w:p w14:paraId="3A406EB4">
            <w:pPr>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（4）除招标文件中有特别规定外，仅适用于招标投标阶段的规定，按招标公告、投标邀请、投标人须知、评标方法和标准、投标文件格式的先后顺序解释；</w:t>
            </w:r>
          </w:p>
          <w:p w14:paraId="54E3D524">
            <w:pPr>
              <w:pStyle w:val="45"/>
              <w:widowControl w:val="0"/>
              <w:spacing w:before="0" w:beforeAutospacing="0" w:after="0" w:afterAutospacing="0" w:line="360" w:lineRule="auto"/>
              <w:jc w:val="both"/>
              <w:rPr>
                <w:rFonts w:hint="eastAsia"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（5）按本款前述规定仍不能形成结论的，由采购人负责解释。</w:t>
            </w:r>
          </w:p>
          <w:p w14:paraId="4374B98B">
            <w:pPr>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2.“政采贷”融资指引：有融资需求的</w:t>
            </w:r>
            <w:r>
              <w:rPr>
                <w:rFonts w:hint="eastAsia" w:ascii="宋体" w:hAnsi="宋体" w:eastAsia="宋体" w:cs="宋体"/>
                <w:color w:val="auto"/>
                <w:sz w:val="24"/>
                <w:szCs w:val="24"/>
                <w:highlight w:val="none"/>
              </w:rPr>
              <w:t>中标人</w:t>
            </w:r>
            <w:r>
              <w:rPr>
                <w:rFonts w:hint="eastAsia" w:ascii="宋体" w:hAnsi="宋体" w:eastAsia="宋体" w:cs="宋体"/>
                <w:bCs/>
                <w:color w:val="auto"/>
                <w:sz w:val="24"/>
                <w:szCs w:val="24"/>
                <w:highlight w:val="none"/>
              </w:rPr>
              <w:t>在取得政府采购中标或成交通知书后，可访问安徽省政府采购网“政采贷”栏目，查看和联系第三方平台或者金融机构，商洽融资事项，确定融资意向。</w:t>
            </w:r>
            <w:r>
              <w:rPr>
                <w:rFonts w:hint="eastAsia" w:ascii="宋体" w:hAnsi="宋体" w:eastAsia="宋体" w:cs="宋体"/>
                <w:color w:val="auto"/>
                <w:sz w:val="24"/>
                <w:szCs w:val="24"/>
                <w:highlight w:val="none"/>
              </w:rPr>
              <w:t>中标人</w:t>
            </w:r>
            <w:r>
              <w:rPr>
                <w:rFonts w:hint="eastAsia" w:ascii="宋体" w:hAnsi="宋体" w:eastAsia="宋体" w:cs="宋体"/>
                <w:bCs/>
                <w:color w:val="auto"/>
                <w:sz w:val="24"/>
                <w:szCs w:val="24"/>
                <w:highlight w:val="none"/>
              </w:rPr>
              <w:t>签署政府采购中标（成交）合同后，登录“徽采云”金融服务模块，选择意向产品进行申请，并填写相关信息，“徽采云”金融服务模块将</w:t>
            </w:r>
            <w:r>
              <w:rPr>
                <w:rFonts w:hint="eastAsia" w:ascii="宋体" w:hAnsi="宋体" w:eastAsia="宋体" w:cs="宋体"/>
                <w:color w:val="auto"/>
                <w:sz w:val="24"/>
                <w:szCs w:val="24"/>
                <w:highlight w:val="none"/>
              </w:rPr>
              <w:t>中标人</w:t>
            </w:r>
            <w:r>
              <w:rPr>
                <w:rFonts w:hint="eastAsia" w:ascii="宋体" w:hAnsi="宋体" w:eastAsia="宋体" w:cs="宋体"/>
                <w:bCs/>
                <w:color w:val="auto"/>
                <w:sz w:val="24"/>
                <w:szCs w:val="24"/>
                <w:highlight w:val="none"/>
              </w:rPr>
              <w:t>融资申请信息推送第三方平台、意向金融机构。</w:t>
            </w:r>
          </w:p>
          <w:p w14:paraId="6FFEDFD0">
            <w:pPr>
              <w:pStyle w:val="45"/>
              <w:widowControl w:val="0"/>
              <w:spacing w:before="0" w:beforeAutospacing="0" w:after="0" w:afterAutospacing="0" w:line="360" w:lineRule="auto"/>
              <w:jc w:val="both"/>
              <w:rPr>
                <w:rFonts w:hint="eastAsia"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3.电子保函指引：中标人可访问安徽省政府采购网“融资/保函”栏目，申请办理电子保函（包括：履约保函、预付款保函）。</w:t>
            </w:r>
          </w:p>
          <w:p w14:paraId="1FDD11FF">
            <w:pPr>
              <w:pStyle w:val="45"/>
              <w:widowControl w:val="0"/>
              <w:spacing w:before="0" w:beforeAutospacing="0" w:after="0" w:afterAutospacing="0" w:line="360" w:lineRule="auto"/>
              <w:jc w:val="both"/>
              <w:rPr>
                <w:rFonts w:hint="eastAsia"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4.部分可提供线下政采贷的金融机构：</w:t>
            </w:r>
          </w:p>
          <w:p w14:paraId="7F08189C">
            <w:pPr>
              <w:pStyle w:val="45"/>
              <w:widowControl w:val="0"/>
              <w:spacing w:before="0" w:beforeAutospacing="0" w:after="0" w:afterAutospacing="0" w:line="360" w:lineRule="auto"/>
              <w:jc w:val="both"/>
              <w:rPr>
                <w:rFonts w:hint="eastAsia"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市本级</w:t>
            </w:r>
          </w:p>
          <w:p w14:paraId="74A5029E">
            <w:pPr>
              <w:pStyle w:val="45"/>
              <w:widowControl w:val="0"/>
              <w:spacing w:before="0" w:beforeAutospacing="0" w:after="0" w:afterAutospacing="0" w:line="360" w:lineRule="auto"/>
              <w:jc w:val="both"/>
              <w:rPr>
                <w:rFonts w:hint="eastAsia"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金融机构名称：兴业银行滁州分行</w:t>
            </w:r>
          </w:p>
          <w:p w14:paraId="7962619A">
            <w:pPr>
              <w:pStyle w:val="45"/>
              <w:widowControl w:val="0"/>
              <w:spacing w:before="0" w:beforeAutospacing="0" w:after="0" w:afterAutospacing="0" w:line="360" w:lineRule="auto"/>
              <w:jc w:val="both"/>
              <w:rPr>
                <w:rFonts w:hint="eastAsia"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安徽省滁州市琅琊区丰乐大道1090号</w:t>
            </w:r>
          </w:p>
          <w:p w14:paraId="4E475B0A">
            <w:pPr>
              <w:pStyle w:val="45"/>
              <w:widowControl w:val="0"/>
              <w:spacing w:before="0" w:beforeAutospacing="0" w:after="0" w:afterAutospacing="0" w:line="360" w:lineRule="auto"/>
              <w:jc w:val="both"/>
              <w:rPr>
                <w:rFonts w:hint="eastAsia"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伏庚：17755080811。</w:t>
            </w:r>
          </w:p>
          <w:p w14:paraId="227C5F7C">
            <w:pPr>
              <w:pStyle w:val="45"/>
              <w:widowControl w:val="0"/>
              <w:spacing w:before="0" w:beforeAutospacing="0" w:after="0" w:afterAutospacing="0" w:line="360" w:lineRule="auto"/>
              <w:jc w:val="both"/>
              <w:rPr>
                <w:rFonts w:hint="eastAsia"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5.特别提示：</w:t>
            </w:r>
          </w:p>
          <w:p w14:paraId="1867CB27">
            <w:pPr>
              <w:pStyle w:val="45"/>
              <w:widowControl w:val="0"/>
              <w:spacing w:before="0" w:beforeAutospacing="0" w:after="0" w:afterAutospacing="0" w:line="360" w:lineRule="auto"/>
              <w:jc w:val="both"/>
              <w:rPr>
                <w:rFonts w:hint="eastAsia"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（1）投标人应填写投标信息并下载招标文件，否则无法上传投标文件。</w:t>
            </w:r>
          </w:p>
          <w:p w14:paraId="60E945FF">
            <w:pPr>
              <w:pStyle w:val="45"/>
              <w:widowControl w:val="0"/>
              <w:spacing w:before="0" w:beforeAutospacing="0" w:after="0" w:afterAutospacing="0" w:line="360" w:lineRule="auto"/>
              <w:jc w:val="both"/>
              <w:rPr>
                <w:rFonts w:hint="eastAsia"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注：投标人如为联合体的，牵头人必须完善投标人信息，并在上传投标文件环节添加联合体投标信息。</w:t>
            </w:r>
          </w:p>
          <w:p w14:paraId="702F35A1">
            <w:pPr>
              <w:pStyle w:val="45"/>
              <w:widowControl w:val="0"/>
              <w:spacing w:before="0" w:beforeAutospacing="0" w:after="0" w:afterAutospacing="0" w:line="360" w:lineRule="auto"/>
              <w:jc w:val="both"/>
              <w:rPr>
                <w:rFonts w:hint="eastAsia"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2）本项目采用电子招标投标，请投标人在滁州市公共资源交易中心网&gt;服务指南&gt;软件下载栏目点击下载投标文件制作工具。投标人需采用最新版投标文件制作工具。软件运行需在国际互联网络通畅状态，投标人需注意更新，以免造成投标文件制作错误，如因此导致评标委员会否决其投标，责任自负。如有技术问题请联系0550-3801701，4009980000。</w:t>
            </w:r>
          </w:p>
          <w:p w14:paraId="5E295434">
            <w:pPr>
              <w:pStyle w:val="45"/>
              <w:widowControl w:val="0"/>
              <w:spacing w:before="0" w:beforeAutospacing="0" w:after="0" w:afterAutospacing="0" w:line="360" w:lineRule="auto"/>
              <w:jc w:val="both"/>
              <w:rPr>
                <w:rFonts w:hint="eastAsia"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（3）如果过程中出现招标文件更改，应以最后发布的招标答疑澄清文件中的模板制作本项目最新投标文件。</w:t>
            </w:r>
          </w:p>
          <w:p w14:paraId="72902C53">
            <w:pPr>
              <w:pStyle w:val="45"/>
              <w:widowControl w:val="0"/>
              <w:spacing w:before="0" w:beforeAutospacing="0" w:after="0" w:afterAutospacing="0" w:line="360" w:lineRule="auto"/>
              <w:jc w:val="both"/>
              <w:rPr>
                <w:rFonts w:hint="eastAsia"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 xml:space="preserve">（4）投标人应当用本单位CA数字证书制作投标文件，制作成功后进行投标文件上传。 </w:t>
            </w:r>
          </w:p>
          <w:p w14:paraId="20015966">
            <w:pPr>
              <w:pStyle w:val="45"/>
              <w:widowControl w:val="0"/>
              <w:spacing w:before="0" w:beforeAutospacing="0" w:after="0" w:afterAutospacing="0" w:line="360" w:lineRule="auto"/>
              <w:jc w:val="both"/>
              <w:rPr>
                <w:rFonts w:hint="eastAsia"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5）投标人须用CA数字证书盖章和加密投标文件，建议使用主锁。（如未办理CA数字证书请及时办理，网上办理和窗口办理均可。查看办理所需资料请登录滁州市公共资源交易中心网&gt;服务指南&gt;办事指南&gt;CA数字证书和电子签章。因未及时办理CA数字证书手续导致无法投标的，责任自负。</w:t>
            </w:r>
          </w:p>
          <w:p w14:paraId="6ECF7199">
            <w:pPr>
              <w:pStyle w:val="45"/>
              <w:widowControl w:val="0"/>
              <w:spacing w:before="0" w:beforeAutospacing="0" w:after="0" w:afterAutospacing="0" w:line="360" w:lineRule="auto"/>
              <w:jc w:val="both"/>
              <w:rPr>
                <w:rFonts w:hint="eastAsia"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（6）请投标人注意加密投标文件CA数字证书的有效期，不在有效期的CA数字证书无法解密投标文件。</w:t>
            </w:r>
          </w:p>
          <w:p w14:paraId="2745E8BA">
            <w:pPr>
              <w:pStyle w:val="45"/>
              <w:widowControl w:val="0"/>
              <w:spacing w:before="0" w:beforeAutospacing="0" w:after="0" w:afterAutospacing="0" w:line="360" w:lineRule="auto"/>
              <w:jc w:val="both"/>
              <w:rPr>
                <w:rFonts w:hint="eastAsia"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（7）投标人投标MAC地址或投标人联系人或联系电话相同的，由评标委员会否决其投标，并报告监管部门作不良行为处理和进一步调查。</w:t>
            </w:r>
          </w:p>
          <w:p w14:paraId="3FFE0202">
            <w:pPr>
              <w:pStyle w:val="45"/>
              <w:widowControl w:val="0"/>
              <w:spacing w:before="0" w:beforeAutospacing="0" w:after="0" w:afterAutospacing="0" w:line="360" w:lineRule="auto"/>
              <w:jc w:val="both"/>
              <w:rPr>
                <w:rFonts w:hint="eastAsia"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（8）投标人单方面出现其他投标人材料的，由评标委员会否决其投标。</w:t>
            </w:r>
          </w:p>
          <w:p w14:paraId="0E9FE9C9">
            <w:pPr>
              <w:pStyle w:val="45"/>
              <w:widowControl w:val="0"/>
              <w:spacing w:before="0" w:beforeAutospacing="0" w:after="0" w:afterAutospacing="0" w:line="360" w:lineRule="auto"/>
              <w:jc w:val="both"/>
              <w:rPr>
                <w:rFonts w:hint="eastAsia"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9）评标时查询投标文件制作机器码、文件创建标识码及造价软件加密锁号。若存在投标文件制作机器码或创建标识码或造价软件加密锁号信息与其他投标人雷同的，由评标委员会否决其投标，依法依规予以处理。</w:t>
            </w:r>
          </w:p>
          <w:p w14:paraId="27D87C71">
            <w:pPr>
              <w:pStyle w:val="45"/>
              <w:widowControl w:val="0"/>
              <w:spacing w:before="0" w:beforeAutospacing="0" w:after="0" w:afterAutospacing="0" w:line="360" w:lineRule="auto"/>
              <w:jc w:val="both"/>
              <w:rPr>
                <w:rFonts w:hint="eastAsia"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10）电子加密投标文件上传到系统后，需要投标企业和招标代理公司到开标截止时间后共同解锁，不存在商务报价等投标信息通过系统泄密的风险；投标截止时间前，已上传的投标文件也可以撤回修改。集中到开标截止时间前上传电子加密投标文件，可能出现由于投标企业制作电子投标文件不熟练、网络拥堵等不可预知的情况而且无法及时解决，丧失投标机会，请各投标企业提前制作、上传电子加密投标文件，否则由于无法及时上传电子加密投标文件而废标或无效投标的情况，责任自负！</w:t>
            </w:r>
          </w:p>
          <w:p w14:paraId="372ACC46">
            <w:pPr>
              <w:pStyle w:val="45"/>
              <w:widowControl w:val="0"/>
              <w:spacing w:before="0" w:beforeAutospacing="0" w:after="0" w:afterAutospacing="0" w:line="360" w:lineRule="auto"/>
              <w:jc w:val="both"/>
              <w:rPr>
                <w:rFonts w:hint="eastAsia"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6.评标过程中的澄清、说明或补正：</w:t>
            </w:r>
          </w:p>
          <w:p w14:paraId="7FEB6F5E">
            <w:pPr>
              <w:pStyle w:val="45"/>
              <w:widowControl w:val="0"/>
              <w:spacing w:before="0" w:beforeAutospacing="0" w:after="0" w:afterAutospacing="0" w:line="360" w:lineRule="auto"/>
              <w:jc w:val="both"/>
              <w:rPr>
                <w:rFonts w:hint="eastAsia"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（1）评标委员会通过网上招投标系统将需要澄清、说明或补正的内容以询标函的形式发送给投标人，投标人应安排专人登录网上招投标系统并保持在线状态，以便及时接收评标委员会可能发出的询标函。</w:t>
            </w:r>
          </w:p>
          <w:p w14:paraId="061C7678">
            <w:pPr>
              <w:pStyle w:val="45"/>
              <w:widowControl w:val="0"/>
              <w:spacing w:before="0" w:beforeAutospacing="0" w:after="0" w:afterAutospacing="0" w:line="360" w:lineRule="auto"/>
              <w:jc w:val="both"/>
              <w:rPr>
                <w:rFonts w:hint="eastAsia"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2）因投标人未登录网上招投标系统导致无法及时接收询标函（远程网上询标）或未在规定时间内按评标委员会要求进行澄清、说明或补正内容的视同投标人放弃澄清、说明或补正内容的权利，评标委员会可按对投标人不利的解释进行判定。</w:t>
            </w:r>
          </w:p>
          <w:p w14:paraId="0CF97CE3">
            <w:pPr>
              <w:pStyle w:val="45"/>
              <w:widowControl w:val="0"/>
              <w:spacing w:before="0" w:beforeAutospacing="0" w:after="0" w:afterAutospacing="0" w:line="360" w:lineRule="auto"/>
              <w:jc w:val="both"/>
              <w:rPr>
                <w:rFonts w:hint="eastAsia"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7.同义词语：</w:t>
            </w:r>
          </w:p>
          <w:p w14:paraId="5A38D925">
            <w:pPr>
              <w:pStyle w:val="45"/>
              <w:widowControl w:val="0"/>
              <w:spacing w:before="0" w:beforeAutospacing="0" w:after="0" w:afterAutospacing="0" w:line="360" w:lineRule="auto"/>
              <w:jc w:val="both"/>
              <w:rPr>
                <w:rFonts w:hint="eastAsia"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招标文件第六章  投标文件格式、附件1“关于联合惩戒失信行为 加强信用查询管理的通知”等章节中 “招标人”、“供应商”，等同于“采购人”、“投标人”。</w:t>
            </w:r>
          </w:p>
          <w:p w14:paraId="51EF419F">
            <w:pPr>
              <w:pStyle w:val="45"/>
              <w:widowControl w:val="0"/>
              <w:spacing w:before="0" w:beforeAutospacing="0" w:after="0" w:afterAutospacing="0" w:line="360" w:lineRule="auto"/>
              <w:jc w:val="both"/>
              <w:rPr>
                <w:rFonts w:hint="eastAsia"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8.落实政府采购支持节能产品、环境标志产品政策。</w:t>
            </w:r>
          </w:p>
          <w:p w14:paraId="62B56127">
            <w:pPr>
              <w:pStyle w:val="45"/>
              <w:widowControl w:val="0"/>
              <w:spacing w:before="0" w:beforeAutospacing="0" w:after="0" w:afterAutospacing="0" w:line="360" w:lineRule="auto"/>
              <w:jc w:val="both"/>
              <w:rPr>
                <w:rFonts w:hint="eastAsia"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9.系统中提供的表格与采购文件中不一致时，以采购文件中提供的表格格式为准。</w:t>
            </w:r>
          </w:p>
        </w:tc>
      </w:tr>
    </w:tbl>
    <w:p w14:paraId="01F052E2">
      <w:pPr>
        <w:spacing w:line="360" w:lineRule="auto"/>
        <w:jc w:val="center"/>
        <w:outlineLvl w:val="1"/>
        <w:rPr>
          <w:rFonts w:hint="eastAsia" w:ascii="宋体" w:hAnsi="宋体" w:eastAsia="宋体" w:cs="宋体"/>
          <w:b/>
          <w:color w:val="auto"/>
          <w:sz w:val="24"/>
          <w:highlight w:val="none"/>
        </w:rPr>
      </w:pPr>
      <w:r>
        <w:rPr>
          <w:rFonts w:hint="eastAsia" w:ascii="宋体" w:hAnsi="宋体" w:eastAsia="宋体" w:cs="宋体"/>
          <w:b/>
          <w:color w:val="auto"/>
          <w:sz w:val="28"/>
          <w:highlight w:val="none"/>
        </w:rPr>
        <w:br w:type="page"/>
      </w:r>
      <w:bookmarkStart w:id="12" w:name="_Toc14880"/>
      <w:bookmarkStart w:id="13" w:name="_Toc24882"/>
      <w:r>
        <w:rPr>
          <w:rFonts w:hint="eastAsia" w:ascii="宋体" w:hAnsi="宋体" w:eastAsia="宋体" w:cs="宋体"/>
          <w:b/>
          <w:color w:val="auto"/>
          <w:sz w:val="24"/>
          <w:szCs w:val="24"/>
          <w:highlight w:val="none"/>
        </w:rPr>
        <w:t>二、投标人须知正文</w:t>
      </w:r>
      <w:bookmarkEnd w:id="12"/>
      <w:bookmarkEnd w:id="13"/>
    </w:p>
    <w:p w14:paraId="7BA84DA3">
      <w:pPr>
        <w:spacing w:line="360" w:lineRule="auto"/>
        <w:ind w:firstLine="437"/>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1.采购人、采购代理机构及投标人</w:t>
      </w:r>
    </w:p>
    <w:p w14:paraId="02B76680">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1.1采购人：是指依法开展政府采购活动的国家机关、事业单位、团体组织。</w:t>
      </w:r>
    </w:p>
    <w:p w14:paraId="50E3DF7E">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1.2采购代理机构：是指集中采购机构或从事采购代理业务的社会中介机构。</w:t>
      </w:r>
    </w:p>
    <w:p w14:paraId="5101B7F2">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1.3政府采购监督管理部门：各级人民政府指定的有关部门依法履行与政府采购活动有关的监督管理职责。</w:t>
      </w:r>
    </w:p>
    <w:p w14:paraId="49FAA138">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1.4投标人：是指向采购人提供货物、工程或者服务的法人、其他组织或者自然人。分支机构不得参加政府采购活动，但银行、保险、石油石化、电力、电信等特殊行业除外。本项目的投标人须满足以下条件：</w:t>
      </w:r>
    </w:p>
    <w:p w14:paraId="2F07C72C">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1.4.1具备《中华人民共和国政府采购法》第二十二条关于供应商条件的规定，遵守本项目采购人本级和上级财政部门政府采购的有关规定。</w:t>
      </w:r>
    </w:p>
    <w:p w14:paraId="5870B70E">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1.4.2以采购代理机构认可的方式获得了本项目的招标文件。</w:t>
      </w:r>
    </w:p>
    <w:p w14:paraId="772B6647">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1.4.3若采购需求中写明允许采购进口产品，投标人应保证所投产品可履行合法报通关手续进入中国关境内。</w:t>
      </w:r>
    </w:p>
    <w:p w14:paraId="56FFBBF6">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若采购需求中未写明允许采购进口产品，如投标人所投产品为进口产品，其投标将被认定为</w:t>
      </w:r>
      <w:r>
        <w:rPr>
          <w:rFonts w:hint="eastAsia" w:ascii="宋体" w:hAnsi="宋体" w:eastAsia="宋体" w:cs="宋体"/>
          <w:b/>
          <w:color w:val="auto"/>
          <w:sz w:val="24"/>
          <w:highlight w:val="none"/>
        </w:rPr>
        <w:t>投标无效</w:t>
      </w:r>
      <w:r>
        <w:rPr>
          <w:rFonts w:hint="eastAsia" w:ascii="宋体" w:hAnsi="宋体" w:eastAsia="宋体" w:cs="宋体"/>
          <w:color w:val="auto"/>
          <w:sz w:val="24"/>
          <w:highlight w:val="none"/>
        </w:rPr>
        <w:t>。</w:t>
      </w:r>
    </w:p>
    <w:p w14:paraId="2BDAA41C">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1.5若招标公告中允许联合体投标，对联合体规定如下：</w:t>
      </w:r>
    </w:p>
    <w:p w14:paraId="7DD6948B">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1.5.1两个以上供应商可以组成一个投标联合体，以一个投标人的身份投标。联合体投标的，招标文件获取手续由联合体中任一成员单位办理均可。</w:t>
      </w:r>
    </w:p>
    <w:p w14:paraId="2C0D988D">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1.5.2联合体各方均应符合《中华人民共和国政府采购法》第二十二条规定的条件。</w:t>
      </w:r>
    </w:p>
    <w:p w14:paraId="20A21D09">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1.5.3采购人根据采购项目对投标人的特殊要求，联合体中至少应当有一方符合相关规定。</w:t>
      </w:r>
    </w:p>
    <w:p w14:paraId="0640A483">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1.5.4联合体各方应签订联合协议，明确约定联合体各方承担的工作和相应的责任，并将联合协议作为投标文件的一部分提交。</w:t>
      </w:r>
    </w:p>
    <w:p w14:paraId="78F3D894">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1.5.5大中型企业、其他自然人、法人或者非法人组织与小型、微型企业组成联合体共同参加投标，联合协议中应写明小型、微型企业的协议合同金额占到联合协议投标总金额的比例。</w:t>
      </w:r>
    </w:p>
    <w:p w14:paraId="3DC89F4D">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1.5.6联合体中有同类资质的供应商按照联合体分工承担相同工作的，应当按照资质等级较低的供应商确定资质等级。</w:t>
      </w:r>
    </w:p>
    <w:p w14:paraId="5494186D">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1.5.7以联合体形式参加政府采购活动的，联合体各方不得再单独参加或者与其他供应商另外组成联合体参加本项目投标，否则相关投标将被认定为</w:t>
      </w:r>
      <w:r>
        <w:rPr>
          <w:rFonts w:hint="eastAsia" w:ascii="宋体" w:hAnsi="宋体" w:eastAsia="宋体" w:cs="宋体"/>
          <w:b/>
          <w:color w:val="auto"/>
          <w:sz w:val="24"/>
          <w:highlight w:val="none"/>
        </w:rPr>
        <w:t>投标无效</w:t>
      </w:r>
      <w:r>
        <w:rPr>
          <w:rFonts w:hint="eastAsia" w:ascii="宋体" w:hAnsi="宋体" w:eastAsia="宋体" w:cs="宋体"/>
          <w:color w:val="auto"/>
          <w:sz w:val="24"/>
          <w:highlight w:val="none"/>
        </w:rPr>
        <w:t>。</w:t>
      </w:r>
    </w:p>
    <w:p w14:paraId="5079E410">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1.5.8对联合体投标的其他资格要求见申请人的资格要求。</w:t>
      </w:r>
    </w:p>
    <w:p w14:paraId="6F2F2B2D">
      <w:pPr>
        <w:spacing w:line="360" w:lineRule="auto"/>
        <w:ind w:firstLine="437"/>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2.资金落实情况</w:t>
      </w:r>
    </w:p>
    <w:p w14:paraId="7F9856BA">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2.1本项目的采购人已获得足以支付本次招标后所签订的合同项下的资金。</w:t>
      </w:r>
    </w:p>
    <w:p w14:paraId="124427AB">
      <w:pPr>
        <w:spacing w:line="360" w:lineRule="auto"/>
        <w:ind w:firstLine="437"/>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3.投标费用</w:t>
      </w:r>
    </w:p>
    <w:p w14:paraId="5BB2759B">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不论投标的结果如何，投标人应承担所有与准备和参加投标有关的费用。</w:t>
      </w:r>
    </w:p>
    <w:p w14:paraId="685694C5">
      <w:pPr>
        <w:spacing w:line="360" w:lineRule="auto"/>
        <w:ind w:firstLine="437"/>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4.适用法律</w:t>
      </w:r>
    </w:p>
    <w:p w14:paraId="5C96451F">
      <w:pPr>
        <w:spacing w:line="360" w:lineRule="auto"/>
        <w:ind w:firstLine="435"/>
        <w:rPr>
          <w:rFonts w:hint="eastAsia" w:ascii="宋体" w:hAnsi="宋体" w:eastAsia="宋体" w:cs="宋体"/>
          <w:b/>
          <w:color w:val="auto"/>
          <w:sz w:val="24"/>
          <w:highlight w:val="none"/>
        </w:rPr>
      </w:pPr>
      <w:r>
        <w:rPr>
          <w:rFonts w:hint="eastAsia" w:ascii="宋体" w:hAnsi="宋体" w:eastAsia="宋体" w:cs="宋体"/>
          <w:color w:val="auto"/>
          <w:sz w:val="24"/>
          <w:highlight w:val="none"/>
        </w:rPr>
        <w:t>本项目采购人、采购代理机构、投标人、评标委员会的相关行为均受《中华人民共和国政府采购法》、《中华人民共和国政府采购法实施条例》及本项目本级和上级财政部门、政府采购监督管理部门的政府采购有关规定的约束，其权利受到上述法律法规的保护。</w:t>
      </w:r>
    </w:p>
    <w:p w14:paraId="0BE6A443">
      <w:pPr>
        <w:spacing w:line="360" w:lineRule="auto"/>
        <w:ind w:firstLine="437"/>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5.招标文件构成</w:t>
      </w:r>
    </w:p>
    <w:p w14:paraId="2A384455">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5.1招标文件包括下列内容：</w:t>
      </w:r>
    </w:p>
    <w:p w14:paraId="4BA227E0">
      <w:pPr>
        <w:spacing w:line="360" w:lineRule="auto"/>
        <w:ind w:firstLine="840" w:firstLineChars="350"/>
        <w:rPr>
          <w:rFonts w:hint="eastAsia" w:ascii="宋体" w:hAnsi="宋体" w:eastAsia="宋体" w:cs="宋体"/>
          <w:color w:val="auto"/>
          <w:sz w:val="24"/>
          <w:highlight w:val="none"/>
        </w:rPr>
      </w:pPr>
      <w:r>
        <w:rPr>
          <w:rFonts w:hint="eastAsia" w:ascii="宋体" w:hAnsi="宋体" w:eastAsia="宋体" w:cs="宋体"/>
          <w:color w:val="auto"/>
          <w:sz w:val="24"/>
          <w:highlight w:val="none"/>
        </w:rPr>
        <w:t>第一章  投标邀请</w:t>
      </w:r>
    </w:p>
    <w:p w14:paraId="26E0A2A7">
      <w:pPr>
        <w:spacing w:line="360" w:lineRule="auto"/>
        <w:ind w:firstLine="840" w:firstLineChars="350"/>
        <w:rPr>
          <w:rFonts w:hint="eastAsia" w:ascii="宋体" w:hAnsi="宋体" w:eastAsia="宋体" w:cs="宋体"/>
          <w:color w:val="auto"/>
          <w:sz w:val="24"/>
          <w:highlight w:val="none"/>
        </w:rPr>
      </w:pPr>
      <w:r>
        <w:rPr>
          <w:rFonts w:hint="eastAsia" w:ascii="宋体" w:hAnsi="宋体" w:eastAsia="宋体" w:cs="宋体"/>
          <w:color w:val="auto"/>
          <w:sz w:val="24"/>
          <w:highlight w:val="none"/>
        </w:rPr>
        <w:t>第二章  投标人须知</w:t>
      </w:r>
    </w:p>
    <w:p w14:paraId="12CCB830">
      <w:pPr>
        <w:spacing w:line="360" w:lineRule="auto"/>
        <w:ind w:firstLine="840" w:firstLineChars="350"/>
        <w:rPr>
          <w:rFonts w:hint="eastAsia" w:ascii="宋体" w:hAnsi="宋体" w:eastAsia="宋体" w:cs="宋体"/>
          <w:color w:val="auto"/>
          <w:sz w:val="24"/>
          <w:highlight w:val="none"/>
        </w:rPr>
      </w:pPr>
      <w:r>
        <w:rPr>
          <w:rFonts w:hint="eastAsia" w:ascii="宋体" w:hAnsi="宋体" w:eastAsia="宋体" w:cs="宋体"/>
          <w:color w:val="auto"/>
          <w:sz w:val="24"/>
          <w:highlight w:val="none"/>
        </w:rPr>
        <w:t>第三章  采购需求</w:t>
      </w:r>
    </w:p>
    <w:p w14:paraId="52C2C2E8">
      <w:pPr>
        <w:spacing w:line="360" w:lineRule="auto"/>
        <w:ind w:firstLine="840" w:firstLineChars="350"/>
        <w:rPr>
          <w:rFonts w:hint="eastAsia" w:ascii="宋体" w:hAnsi="宋体" w:eastAsia="宋体" w:cs="宋体"/>
          <w:color w:val="auto"/>
          <w:sz w:val="24"/>
          <w:highlight w:val="none"/>
        </w:rPr>
      </w:pPr>
      <w:r>
        <w:rPr>
          <w:rFonts w:hint="eastAsia" w:ascii="宋体" w:hAnsi="宋体" w:eastAsia="宋体" w:cs="宋体"/>
          <w:color w:val="auto"/>
          <w:sz w:val="24"/>
          <w:highlight w:val="none"/>
        </w:rPr>
        <w:t>第四章  评标方法和标准</w:t>
      </w:r>
    </w:p>
    <w:p w14:paraId="14BC2456">
      <w:pPr>
        <w:spacing w:line="360" w:lineRule="auto"/>
        <w:ind w:firstLine="840" w:firstLineChars="350"/>
        <w:rPr>
          <w:rFonts w:hint="eastAsia" w:ascii="宋体" w:hAnsi="宋体" w:eastAsia="宋体" w:cs="宋体"/>
          <w:color w:val="auto"/>
          <w:sz w:val="24"/>
          <w:highlight w:val="none"/>
        </w:rPr>
      </w:pPr>
      <w:r>
        <w:rPr>
          <w:rFonts w:hint="eastAsia" w:ascii="宋体" w:hAnsi="宋体" w:eastAsia="宋体" w:cs="宋体"/>
          <w:color w:val="auto"/>
          <w:sz w:val="24"/>
          <w:highlight w:val="none"/>
        </w:rPr>
        <w:t>第五章  政府采购合同</w:t>
      </w:r>
    </w:p>
    <w:p w14:paraId="10CAB9DB">
      <w:pPr>
        <w:spacing w:line="360" w:lineRule="auto"/>
        <w:ind w:firstLine="840" w:firstLineChars="350"/>
        <w:rPr>
          <w:rFonts w:hint="eastAsia" w:ascii="宋体" w:hAnsi="宋体" w:eastAsia="宋体" w:cs="宋体"/>
          <w:color w:val="auto"/>
          <w:sz w:val="24"/>
          <w:highlight w:val="none"/>
        </w:rPr>
      </w:pPr>
      <w:r>
        <w:rPr>
          <w:rFonts w:hint="eastAsia" w:ascii="宋体" w:hAnsi="宋体" w:eastAsia="宋体" w:cs="宋体"/>
          <w:color w:val="auto"/>
          <w:sz w:val="24"/>
          <w:highlight w:val="none"/>
        </w:rPr>
        <w:t>第六章  投标文件格式</w:t>
      </w:r>
    </w:p>
    <w:p w14:paraId="4C48CC64">
      <w:pPr>
        <w:spacing w:line="360" w:lineRule="auto"/>
        <w:ind w:firstLine="840" w:firstLineChars="350"/>
        <w:rPr>
          <w:rFonts w:hint="eastAsia" w:ascii="宋体" w:hAnsi="宋体" w:eastAsia="宋体" w:cs="宋体"/>
          <w:color w:val="auto"/>
          <w:sz w:val="24"/>
          <w:highlight w:val="none"/>
        </w:rPr>
      </w:pPr>
      <w:r>
        <w:rPr>
          <w:rFonts w:hint="eastAsia" w:ascii="宋体" w:hAnsi="宋体" w:eastAsia="宋体" w:cs="宋体"/>
          <w:color w:val="auto"/>
          <w:sz w:val="24"/>
          <w:highlight w:val="none"/>
        </w:rPr>
        <w:t>第七章  政府采购询问函和质疑函范本</w:t>
      </w:r>
    </w:p>
    <w:p w14:paraId="1FD5FD42">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5.2现场考察（标前答疑会）及相关事项见</w:t>
      </w:r>
      <w:r>
        <w:rPr>
          <w:rFonts w:hint="eastAsia" w:ascii="宋体" w:hAnsi="宋体" w:eastAsia="宋体" w:cs="宋体"/>
          <w:color w:val="auto"/>
          <w:sz w:val="24"/>
          <w:highlight w:val="none"/>
          <w:u w:val="single"/>
        </w:rPr>
        <w:t>投标人须知前附表</w:t>
      </w:r>
      <w:r>
        <w:rPr>
          <w:rFonts w:hint="eastAsia" w:ascii="宋体" w:hAnsi="宋体" w:eastAsia="宋体" w:cs="宋体"/>
          <w:color w:val="auto"/>
          <w:sz w:val="24"/>
          <w:highlight w:val="none"/>
        </w:rPr>
        <w:t>。</w:t>
      </w:r>
    </w:p>
    <w:p w14:paraId="6F619A26">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5.3原则上采购人、采购代理机构不要求投标人提供样品。仅凭书面方式不能准确描述采购需求，或者需要对样品进行主观判断以确认是否满足采购需求等特殊情况除外。</w:t>
      </w:r>
    </w:p>
    <w:p w14:paraId="0E63A775">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如需提供样品，对样品相关要求见采购需求，对样品的评审方法及评审标准见招标文件第四章。</w:t>
      </w:r>
    </w:p>
    <w:p w14:paraId="201BEC87">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5.4投标人应认真阅读招标文件所有的事项、格式、条款和技术规范等。</w:t>
      </w:r>
    </w:p>
    <w:p w14:paraId="6A4DB348">
      <w:pPr>
        <w:spacing w:line="360" w:lineRule="auto"/>
        <w:ind w:firstLine="437"/>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6.招标文件的澄清与修改</w:t>
      </w:r>
    </w:p>
    <w:p w14:paraId="41E3D2DB">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6.1投标人如对招标文件内容有疑问，可在</w:t>
      </w:r>
      <w:r>
        <w:rPr>
          <w:rFonts w:hint="eastAsia" w:ascii="宋体" w:hAnsi="宋体" w:eastAsia="宋体" w:cs="宋体"/>
          <w:color w:val="auto"/>
          <w:sz w:val="24"/>
          <w:highlight w:val="none"/>
          <w:u w:val="single"/>
        </w:rPr>
        <w:t>投标人须知前附表</w:t>
      </w:r>
      <w:r>
        <w:rPr>
          <w:rFonts w:hint="eastAsia" w:ascii="宋体" w:hAnsi="宋体" w:eastAsia="宋体" w:cs="宋体"/>
          <w:color w:val="auto"/>
          <w:sz w:val="24"/>
          <w:highlight w:val="none"/>
        </w:rPr>
        <w:t>规定的网上询问截止时间前提交给采购代理机构。</w:t>
      </w:r>
    </w:p>
    <w:p w14:paraId="5C1D0581">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6.2采购人可主动地或在答复投标人提出的询问时对招标文件进行澄清与修改。采购代理机构将在安徽省政府采购网和滁州市公共资源交易中心网以发布更正公告的方式，澄清或修改招标文件，更正公告的内容作为招标文件的组成部分，对投标人起约束作用。投标人应主动上网查询。采购代理机构不承担投标人未及时关注相关信息引发的相关责任。</w:t>
      </w:r>
    </w:p>
    <w:p w14:paraId="60691FEB">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6.3任何人或任何组织向投标人提供的任何书面或口头资料，未经采购代理机构在网上发布或书面通知，均作无效处理，不得作为招标文件的组成部分。采购代理机构对投标人由此而做出的推论、理解和结论概不负责。</w:t>
      </w:r>
    </w:p>
    <w:p w14:paraId="3BFA7674">
      <w:pPr>
        <w:spacing w:line="360" w:lineRule="auto"/>
        <w:ind w:firstLine="435"/>
        <w:rPr>
          <w:rFonts w:hint="eastAsia" w:ascii="宋体" w:hAnsi="宋体" w:eastAsia="宋体" w:cs="宋体"/>
          <w:i/>
          <w:iCs/>
          <w:color w:val="auto"/>
          <w:sz w:val="24"/>
          <w:highlight w:val="none"/>
        </w:rPr>
      </w:pPr>
      <w:r>
        <w:rPr>
          <w:rFonts w:hint="eastAsia" w:ascii="宋体" w:hAnsi="宋体" w:eastAsia="宋体" w:cs="宋体"/>
          <w:color w:val="auto"/>
          <w:sz w:val="24"/>
          <w:highlight w:val="none"/>
        </w:rPr>
        <w:t>6.4对于没有提出疑问又参与了本项目投标的投标人将被视为完全认同本招标文件（含更正公告的内容）</w:t>
      </w:r>
      <w:r>
        <w:rPr>
          <w:rFonts w:hint="eastAsia" w:ascii="宋体" w:hAnsi="宋体" w:eastAsia="宋体" w:cs="宋体"/>
          <w:i/>
          <w:color w:val="auto"/>
          <w:sz w:val="24"/>
          <w:highlight w:val="none"/>
        </w:rPr>
        <w:t>。</w:t>
      </w:r>
    </w:p>
    <w:p w14:paraId="129F1231">
      <w:pPr>
        <w:spacing w:line="360" w:lineRule="auto"/>
        <w:ind w:firstLine="437"/>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7.投标范围及投标文件中标准和计量单位的使用</w:t>
      </w:r>
    </w:p>
    <w:p w14:paraId="7B89914D">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7.1项目有分包的，投标人可对招标文件其中某一个或几个分包进行投标，除非在</w:t>
      </w:r>
      <w:r>
        <w:rPr>
          <w:rFonts w:hint="eastAsia" w:ascii="宋体" w:hAnsi="宋体" w:eastAsia="宋体" w:cs="宋体"/>
          <w:color w:val="auto"/>
          <w:sz w:val="24"/>
          <w:highlight w:val="none"/>
          <w:u w:val="single"/>
        </w:rPr>
        <w:t>投标人须知前附表</w:t>
      </w:r>
      <w:r>
        <w:rPr>
          <w:rFonts w:hint="eastAsia" w:ascii="宋体" w:hAnsi="宋体" w:eastAsia="宋体" w:cs="宋体"/>
          <w:color w:val="auto"/>
          <w:sz w:val="24"/>
          <w:highlight w:val="none"/>
        </w:rPr>
        <w:t>中另有规定。</w:t>
      </w:r>
    </w:p>
    <w:p w14:paraId="67983D51">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7.2投标人应当对所投分包招标文件中“采购需求”所列的所有内容进行投标，如仅响应所投包别中的部分内容，其所投包别的投标将被认定为</w:t>
      </w:r>
      <w:r>
        <w:rPr>
          <w:rFonts w:hint="eastAsia" w:ascii="宋体" w:hAnsi="宋体" w:eastAsia="宋体" w:cs="宋体"/>
          <w:b/>
          <w:color w:val="auto"/>
          <w:sz w:val="24"/>
          <w:highlight w:val="none"/>
        </w:rPr>
        <w:t>投标无效</w:t>
      </w:r>
      <w:r>
        <w:rPr>
          <w:rFonts w:hint="eastAsia" w:ascii="宋体" w:hAnsi="宋体" w:eastAsia="宋体" w:cs="宋体"/>
          <w:color w:val="auto"/>
          <w:sz w:val="24"/>
          <w:highlight w:val="none"/>
        </w:rPr>
        <w:t>。</w:t>
      </w:r>
    </w:p>
    <w:p w14:paraId="5675407D">
      <w:pPr>
        <w:spacing w:line="360" w:lineRule="auto"/>
        <w:ind w:firstLine="435"/>
        <w:rPr>
          <w:rFonts w:hint="eastAsia" w:ascii="宋体" w:hAnsi="宋体" w:eastAsia="宋体" w:cs="宋体"/>
          <w:color w:val="auto"/>
          <w:sz w:val="24"/>
          <w:highlight w:val="none"/>
        </w:rPr>
      </w:pPr>
      <w:bookmarkStart w:id="14" w:name="_Hlk16458980"/>
      <w:r>
        <w:rPr>
          <w:rFonts w:hint="eastAsia" w:ascii="宋体" w:hAnsi="宋体" w:eastAsia="宋体" w:cs="宋体"/>
          <w:color w:val="auto"/>
          <w:sz w:val="24"/>
          <w:highlight w:val="none"/>
        </w:rPr>
        <w:t>7.3无论招标文件中是否要求，投标人所投货物及伴随的服务和工程均应符合国家强制性标准。</w:t>
      </w:r>
    </w:p>
    <w:bookmarkEnd w:id="14"/>
    <w:p w14:paraId="6B37E31C">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7.4投标人与采购代理机构之间与投标有关的所有往来通知、函件和投标文件均用中文表述。投标人随投标文件提供的证明文件和资料可以为其它语言，但必须附中文译文。翻译的中文资料与外文资料出现差异时，以中文为准。</w:t>
      </w:r>
    </w:p>
    <w:p w14:paraId="5A1091FF">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7.5除招标文件中有特殊要求外，投标文件中所使用的计量单位，应采用中华人民共和国法定计量单位。</w:t>
      </w:r>
    </w:p>
    <w:p w14:paraId="48BDC1F9">
      <w:pPr>
        <w:spacing w:line="360" w:lineRule="auto"/>
        <w:ind w:firstLine="437"/>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8.投标文件构成</w:t>
      </w:r>
    </w:p>
    <w:p w14:paraId="32C73B3C">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8.1投标人应完整地按招标文件提供的投标文件格式及要求编写投标文件，具体内容详见本项目投标文件格式的相关内容。</w:t>
      </w:r>
    </w:p>
    <w:p w14:paraId="2038351B">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8.2投标人应提交招标文件要求的证明文件，证明其投标内容符合招标文件规定，该证明文件是投标文件的一部分。证明文件形式可以是文字资料、图纸和数据</w:t>
      </w:r>
      <w:bookmarkStart w:id="15" w:name="_Hlk11703583"/>
      <w:r>
        <w:rPr>
          <w:rFonts w:hint="eastAsia" w:ascii="宋体" w:hAnsi="宋体" w:eastAsia="宋体" w:cs="宋体"/>
          <w:color w:val="auto"/>
          <w:sz w:val="24"/>
          <w:highlight w:val="none"/>
        </w:rPr>
        <w:t>等。</w:t>
      </w:r>
    </w:p>
    <w:bookmarkEnd w:id="15"/>
    <w:p w14:paraId="275A0B27">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8.3为保证公平公正，除非另有规定或说明，投标人对同一项目投标时，不得同时提供备选投标方案。</w:t>
      </w:r>
    </w:p>
    <w:p w14:paraId="446A8F70">
      <w:pPr>
        <w:spacing w:line="360" w:lineRule="auto"/>
        <w:ind w:firstLine="437"/>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9.投标报价</w:t>
      </w:r>
    </w:p>
    <w:p w14:paraId="470DA556">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9.1投标人的报价应当包括满足本次招标全部采购需求。除招标文件另有规定外，所有投标均应以人民币报价。投标人的投标报价应遵守《中华人民共和国价格法》。</w:t>
      </w:r>
    </w:p>
    <w:p w14:paraId="718CB26D">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9.2投标人报价超过招标文件规定的预算金额或者分项、分包最高限价，其投标将被认定为</w:t>
      </w:r>
      <w:r>
        <w:rPr>
          <w:rFonts w:hint="eastAsia" w:ascii="宋体" w:hAnsi="宋体" w:eastAsia="宋体" w:cs="宋体"/>
          <w:b/>
          <w:bCs/>
          <w:color w:val="auto"/>
          <w:sz w:val="24"/>
          <w:highlight w:val="none"/>
        </w:rPr>
        <w:t>投标无效</w:t>
      </w:r>
      <w:r>
        <w:rPr>
          <w:rFonts w:hint="eastAsia" w:ascii="宋体" w:hAnsi="宋体" w:eastAsia="宋体" w:cs="宋体"/>
          <w:color w:val="auto"/>
          <w:sz w:val="24"/>
          <w:highlight w:val="none"/>
        </w:rPr>
        <w:t>。</w:t>
      </w:r>
    </w:p>
    <w:p w14:paraId="3DA5E5CD">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9.3投标报价在合同履行过程中是固定不变的，不得以任何理由予以变更。任何包含价格调整要求的投标，其投标将被认定为</w:t>
      </w:r>
      <w:r>
        <w:rPr>
          <w:rFonts w:hint="eastAsia" w:ascii="宋体" w:hAnsi="宋体" w:eastAsia="宋体" w:cs="宋体"/>
          <w:b/>
          <w:color w:val="auto"/>
          <w:sz w:val="24"/>
          <w:highlight w:val="none"/>
        </w:rPr>
        <w:t>投标无效</w:t>
      </w:r>
      <w:r>
        <w:rPr>
          <w:rFonts w:hint="eastAsia" w:ascii="宋体" w:hAnsi="宋体" w:eastAsia="宋体" w:cs="宋体"/>
          <w:color w:val="auto"/>
          <w:sz w:val="24"/>
          <w:highlight w:val="none"/>
        </w:rPr>
        <w:t>。</w:t>
      </w:r>
    </w:p>
    <w:p w14:paraId="206DBA06">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9.4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其投标将被认定为</w:t>
      </w:r>
      <w:r>
        <w:rPr>
          <w:rFonts w:hint="eastAsia" w:ascii="宋体" w:hAnsi="宋体" w:eastAsia="宋体" w:cs="宋体"/>
          <w:b/>
          <w:color w:val="auto"/>
          <w:sz w:val="24"/>
          <w:highlight w:val="none"/>
        </w:rPr>
        <w:t>投标无效</w:t>
      </w:r>
      <w:r>
        <w:rPr>
          <w:rFonts w:hint="eastAsia" w:ascii="宋体" w:hAnsi="宋体" w:eastAsia="宋体" w:cs="宋体"/>
          <w:color w:val="auto"/>
          <w:sz w:val="24"/>
          <w:highlight w:val="none"/>
        </w:rPr>
        <w:t>。</w:t>
      </w:r>
    </w:p>
    <w:p w14:paraId="2C8635C6">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9.5采购人不接受具有附加条件的报价。</w:t>
      </w:r>
    </w:p>
    <w:p w14:paraId="33C9AC3F">
      <w:pPr>
        <w:spacing w:line="360" w:lineRule="auto"/>
        <w:ind w:firstLine="437"/>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10.投标保证金</w:t>
      </w:r>
    </w:p>
    <w:p w14:paraId="5AE1B305">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10.1本项目不收取投标保证金。</w:t>
      </w:r>
    </w:p>
    <w:p w14:paraId="1F9DA142">
      <w:pPr>
        <w:spacing w:line="360" w:lineRule="auto"/>
        <w:ind w:firstLine="437"/>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11.投标有效期</w:t>
      </w:r>
    </w:p>
    <w:p w14:paraId="7D401DAA">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11.1投标有效期为从投标截止之日算起的日历天数，投标有效期详见</w:t>
      </w:r>
      <w:r>
        <w:rPr>
          <w:rFonts w:hint="eastAsia" w:ascii="宋体" w:hAnsi="宋体" w:eastAsia="宋体" w:cs="宋体"/>
          <w:color w:val="auto"/>
          <w:sz w:val="24"/>
          <w:highlight w:val="none"/>
          <w:u w:val="single"/>
        </w:rPr>
        <w:t>投标人须知前附表</w:t>
      </w:r>
      <w:r>
        <w:rPr>
          <w:rFonts w:hint="eastAsia" w:ascii="宋体" w:hAnsi="宋体" w:eastAsia="宋体" w:cs="宋体"/>
          <w:color w:val="auto"/>
          <w:sz w:val="24"/>
          <w:highlight w:val="none"/>
        </w:rPr>
        <w:t>。</w:t>
      </w:r>
    </w:p>
    <w:p w14:paraId="1FBF07E8">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11.2在投标有效期内，投标人的投标保持有效，投标人不得要求撤销或修改其投标文件。投标有效期不满足要求的投标，其投标将被认定为</w:t>
      </w:r>
      <w:r>
        <w:rPr>
          <w:rFonts w:hint="eastAsia" w:ascii="宋体" w:hAnsi="宋体" w:eastAsia="宋体" w:cs="宋体"/>
          <w:b/>
          <w:color w:val="auto"/>
          <w:sz w:val="24"/>
          <w:highlight w:val="none"/>
        </w:rPr>
        <w:t>投标无效</w:t>
      </w:r>
      <w:r>
        <w:rPr>
          <w:rFonts w:hint="eastAsia" w:ascii="宋体" w:hAnsi="宋体" w:eastAsia="宋体" w:cs="宋体"/>
          <w:color w:val="auto"/>
          <w:sz w:val="24"/>
          <w:highlight w:val="none"/>
        </w:rPr>
        <w:t>。</w:t>
      </w:r>
    </w:p>
    <w:p w14:paraId="7E9F2093">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11.3因特殊原因，采购人或采购代理机构可在原投标有效期截止之前，要求投标人延长投标文件的有效期。接受该要求的投标人将不会被要求和允许修正其投标。投标人也可以拒绝延长投标有效期的要求，且不承担任何责任。上述要求和答复都应以书面形式提交。</w:t>
      </w:r>
    </w:p>
    <w:p w14:paraId="39B1AAAD">
      <w:pPr>
        <w:spacing w:line="360" w:lineRule="auto"/>
        <w:ind w:firstLine="437"/>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12.投标文件的递交、修改与撤回</w:t>
      </w:r>
    </w:p>
    <w:p w14:paraId="6FED91AD">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12.1投标人应当在招标公告规定的投标截止时间前，将加密的投标文件在电子交易系统上传。</w:t>
      </w:r>
    </w:p>
    <w:p w14:paraId="07FA8A18">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12.2投标人应当在投标截止时间前完成投标文件的传输递交（以接收到电子签收凭证为准），并可以补充、修改或者撤回投标文件。投标截止时间前未完成投标文件传输的，视为撤回投标文件。未按规定加密或投标截止时间后送达的投标文件，电子交易系统应当拒收。</w:t>
      </w:r>
    </w:p>
    <w:p w14:paraId="31907218">
      <w:pPr>
        <w:spacing w:line="360" w:lineRule="auto"/>
        <w:ind w:firstLine="437"/>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13.开标</w:t>
      </w:r>
    </w:p>
    <w:p w14:paraId="0D75BF1D">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13.1开标时，</w:t>
      </w:r>
      <w:r>
        <w:rPr>
          <w:rFonts w:hint="eastAsia" w:ascii="宋体" w:hAnsi="宋体" w:eastAsia="宋体" w:cs="宋体"/>
          <w:color w:val="auto"/>
          <w:sz w:val="24"/>
          <w:szCs w:val="24"/>
          <w:highlight w:val="none"/>
        </w:rPr>
        <w:t>各投标人应在</w:t>
      </w:r>
      <w:r>
        <w:rPr>
          <w:rFonts w:hint="eastAsia" w:ascii="宋体" w:hAnsi="宋体" w:eastAsia="宋体" w:cs="宋体"/>
          <w:color w:val="auto"/>
          <w:sz w:val="24"/>
          <w:szCs w:val="24"/>
          <w:highlight w:val="none"/>
          <w:u w:val="single"/>
        </w:rPr>
        <w:t>投标人须知前附表</w:t>
      </w:r>
      <w:r>
        <w:rPr>
          <w:rFonts w:hint="eastAsia" w:ascii="宋体" w:hAnsi="宋体" w:eastAsia="宋体" w:cs="宋体"/>
          <w:color w:val="auto"/>
          <w:sz w:val="24"/>
          <w:szCs w:val="24"/>
          <w:highlight w:val="none"/>
        </w:rPr>
        <w:t>规定的解密时间前</w:t>
      </w:r>
      <w:r>
        <w:rPr>
          <w:rFonts w:hint="eastAsia" w:ascii="宋体" w:hAnsi="宋体" w:eastAsia="宋体" w:cs="宋体"/>
          <w:color w:val="auto"/>
          <w:sz w:val="24"/>
          <w:highlight w:val="none"/>
        </w:rPr>
        <w:t>对</w:t>
      </w:r>
      <w:r>
        <w:rPr>
          <w:rFonts w:hint="eastAsia" w:ascii="宋体" w:hAnsi="宋体" w:eastAsia="宋体" w:cs="宋体"/>
          <w:color w:val="auto"/>
          <w:sz w:val="24"/>
          <w:szCs w:val="24"/>
          <w:highlight w:val="none"/>
        </w:rPr>
        <w:t>其</w:t>
      </w:r>
      <w:r>
        <w:rPr>
          <w:rFonts w:hint="eastAsia" w:ascii="宋体" w:hAnsi="宋体" w:eastAsia="宋体" w:cs="宋体"/>
          <w:color w:val="auto"/>
          <w:sz w:val="24"/>
          <w:highlight w:val="none"/>
        </w:rPr>
        <w:t>投标文件进行解密。</w:t>
      </w:r>
    </w:p>
    <w:p w14:paraId="79317E71">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13.2开标时，采购代理机构将通过网上开标系统公布开标结果，公布内容包括投标人名称、投标价格及招标文件规定的内容。</w:t>
      </w:r>
    </w:p>
    <w:p w14:paraId="7ACCBD1E">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13.3采购人或采购代理机构将对开标过程进行记录，，并存档备查。</w:t>
      </w:r>
    </w:p>
    <w:p w14:paraId="1B8022B5">
      <w:pPr>
        <w:spacing w:line="360" w:lineRule="auto"/>
        <w:ind w:firstLine="435"/>
        <w:rPr>
          <w:rFonts w:hint="eastAsia" w:ascii="宋体" w:hAnsi="宋体" w:eastAsia="宋体" w:cs="宋体"/>
          <w:color w:val="auto"/>
          <w:sz w:val="28"/>
          <w:highlight w:val="none"/>
        </w:rPr>
      </w:pPr>
      <w:r>
        <w:rPr>
          <w:rFonts w:hint="eastAsia" w:ascii="宋体" w:hAnsi="宋体" w:eastAsia="宋体" w:cs="宋体"/>
          <w:color w:val="auto"/>
          <w:sz w:val="24"/>
          <w:highlight w:val="none"/>
        </w:rPr>
        <w:t>13.4投标人代表对开标过程和开标记录有疑义，以及认为采购人、采购代理机构相关工作人员有需要回避的情形的，应当场提出询问或者回避申请。</w:t>
      </w:r>
    </w:p>
    <w:p w14:paraId="1DC04882">
      <w:pPr>
        <w:spacing w:line="360" w:lineRule="auto"/>
        <w:ind w:firstLine="437"/>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14.资格审查及组建评标委员会</w:t>
      </w:r>
    </w:p>
    <w:p w14:paraId="74AA5307">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14.1采购人或采购代理机构依据法律法规和招标文件中规定的内容，对投标人资格进行审查，未通过资格审查的投标人不进入评标。</w:t>
      </w:r>
    </w:p>
    <w:p w14:paraId="45402F66">
      <w:pPr>
        <w:spacing w:line="360" w:lineRule="auto"/>
        <w:ind w:firstLine="435"/>
        <w:rPr>
          <w:rFonts w:hint="eastAsia" w:ascii="宋体" w:hAnsi="宋体" w:eastAsia="宋体" w:cs="宋体"/>
          <w:color w:val="auto"/>
          <w:sz w:val="24"/>
          <w:szCs w:val="24"/>
          <w:highlight w:val="none"/>
        </w:rPr>
      </w:pPr>
      <w:bookmarkStart w:id="16" w:name="_Hlk24663244"/>
      <w:r>
        <w:rPr>
          <w:rFonts w:hint="eastAsia" w:ascii="宋体" w:hAnsi="宋体" w:eastAsia="宋体" w:cs="宋体"/>
          <w:color w:val="auto"/>
          <w:sz w:val="24"/>
          <w:szCs w:val="24"/>
          <w:highlight w:val="none"/>
        </w:rPr>
        <w:t>14.2采购人或采购代理机构将在投标截止时间后至评审结束前通过“信用中国”网站(www.creditchina.gov.cn)、中国政府采购网(www.ccgp.gov.cn)查询相关投标人信用记录，并对投标人信用记录进行甄别，对列入“信用中国”网站(www.creditchina.gov.cn)失信被执行人名单、重大税收违法案件当事人名单、中国政府采购网(www.ccgp.gov.cn)政府采购严重违法失信行为记录名单及其他不符合《中华人民共和国政府采购法》第二十二条规定条件的供应商，其投标将被认定为</w:t>
      </w:r>
      <w:r>
        <w:rPr>
          <w:rFonts w:hint="eastAsia" w:ascii="宋体" w:hAnsi="宋体" w:eastAsia="宋体" w:cs="宋体"/>
          <w:b/>
          <w:color w:val="auto"/>
          <w:sz w:val="24"/>
          <w:szCs w:val="24"/>
          <w:highlight w:val="none"/>
        </w:rPr>
        <w:t>投标无效</w:t>
      </w:r>
      <w:r>
        <w:rPr>
          <w:rFonts w:hint="eastAsia" w:ascii="宋体" w:hAnsi="宋体" w:eastAsia="宋体" w:cs="宋体"/>
          <w:color w:val="auto"/>
          <w:sz w:val="24"/>
          <w:szCs w:val="24"/>
          <w:highlight w:val="none"/>
        </w:rPr>
        <w:t>。</w:t>
      </w:r>
    </w:p>
    <w:p w14:paraId="4A673FA2">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以联合体形式参加投标的，联合体成员存在以上不良信用记录的，联合体投标将被认定为</w:t>
      </w:r>
      <w:r>
        <w:rPr>
          <w:rFonts w:hint="eastAsia" w:ascii="宋体" w:hAnsi="宋体" w:eastAsia="宋体" w:cs="宋体"/>
          <w:b/>
          <w:color w:val="auto"/>
          <w:sz w:val="24"/>
          <w:szCs w:val="24"/>
          <w:highlight w:val="none"/>
        </w:rPr>
        <w:t>投标无效</w:t>
      </w:r>
      <w:r>
        <w:rPr>
          <w:rFonts w:hint="eastAsia" w:ascii="宋体" w:hAnsi="宋体" w:eastAsia="宋体" w:cs="宋体"/>
          <w:color w:val="auto"/>
          <w:sz w:val="24"/>
          <w:szCs w:val="24"/>
          <w:highlight w:val="none"/>
        </w:rPr>
        <w:t>。</w:t>
      </w:r>
    </w:p>
    <w:p w14:paraId="7601130C">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以上信用查询记录，采购人或采购代理机构将下载查询结果页面后与其他采购文件一并保存。投标人不良信用记录以采购人或采购代理机构查询结果为准。在本招标文件规定的查询时间之外，网站信息发生的任何变更均不作为资格审查依据。投标人自行提供的与网站信息不一致的其他证明材料亦不作为资格审查依据。</w:t>
      </w:r>
    </w:p>
    <w:bookmarkEnd w:id="16"/>
    <w:p w14:paraId="2244B477">
      <w:pPr>
        <w:spacing w:line="360" w:lineRule="auto"/>
        <w:ind w:firstLine="435"/>
        <w:rPr>
          <w:rFonts w:hint="eastAsia" w:ascii="宋体" w:hAnsi="宋体" w:eastAsia="宋体" w:cs="宋体"/>
          <w:b/>
          <w:color w:val="auto"/>
          <w:sz w:val="24"/>
          <w:highlight w:val="none"/>
        </w:rPr>
      </w:pPr>
      <w:r>
        <w:rPr>
          <w:rFonts w:hint="eastAsia" w:ascii="宋体" w:hAnsi="宋体" w:eastAsia="宋体" w:cs="宋体"/>
          <w:color w:val="auto"/>
          <w:sz w:val="24"/>
          <w:highlight w:val="none"/>
        </w:rPr>
        <w:t>14.3按照《中华人民共和国政府采购法》、《中华人民共和国政府采购法实施条例》及本项目本级和上级财政部门、政府采购监督管理部门的有关规定依法组建的评标委员会，负责本项目评标工作。</w:t>
      </w:r>
    </w:p>
    <w:p w14:paraId="40CBEB82">
      <w:pPr>
        <w:spacing w:line="360" w:lineRule="auto"/>
        <w:ind w:firstLine="437"/>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15.投标文件符合性审查与澄清</w:t>
      </w:r>
    </w:p>
    <w:p w14:paraId="6A16AF7E">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15.1符合性审查是指依据招标文件的规定，从投标文件的有效性和完整性对招标文件的响应程度进行审查，以确定是否对招标文件的实质性要求做出响应。</w:t>
      </w:r>
    </w:p>
    <w:p w14:paraId="035769BE">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15.2如一个分包内只有一种产品，不同投标人所投产品为同一品牌的，按如下方式处理：</w:t>
      </w:r>
    </w:p>
    <w:p w14:paraId="4B803FE4">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15.2.1如本项目使用最低评标价法，提供相同品牌产品的不同投标人以其中通过资格审查、符合性审查且报价最低的参加评标；报价相同的，由采购人或者采购人委托评标委员会按照招标文件中评标方法和标准规定的方式确定一个参加评标的投标人；未规定的采取随机抽取方式确定，其他投标将被认定为</w:t>
      </w:r>
      <w:r>
        <w:rPr>
          <w:rFonts w:hint="eastAsia" w:ascii="宋体" w:hAnsi="宋体" w:eastAsia="宋体" w:cs="宋体"/>
          <w:b/>
          <w:color w:val="auto"/>
          <w:sz w:val="24"/>
          <w:highlight w:val="none"/>
        </w:rPr>
        <w:t>投标无效</w:t>
      </w:r>
      <w:r>
        <w:rPr>
          <w:rFonts w:hint="eastAsia" w:ascii="宋体" w:hAnsi="宋体" w:eastAsia="宋体" w:cs="宋体"/>
          <w:color w:val="auto"/>
          <w:sz w:val="24"/>
          <w:highlight w:val="none"/>
        </w:rPr>
        <w:t>。</w:t>
      </w:r>
    </w:p>
    <w:p w14:paraId="121FEB91">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15.2.2如本项目使用综合评分法，提供相同品牌产品且通过资格审查、符合性审查的不同投标人，按一家投标人计算，评审后得分最高的同品牌投标人获得中标人推荐资格；评审得分相同的，由采购人或者采购人委托评标委员会按照招标文件中评标方法和标准规定的方式确定一个投标人获得中标人推荐资格；未规定的采取随机抽取方式确定，其他同品牌投标人不作为中标候选人。</w:t>
      </w:r>
    </w:p>
    <w:p w14:paraId="6D9CD611">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15.3如一个分包内包含多种产品的，采购人或采购代理机构将在采购需求中载明核心产品，多家投标人提供的核心产品品牌相同的，按第15.2款规定处理。</w:t>
      </w:r>
    </w:p>
    <w:p w14:paraId="34CD3373">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15.4投标文件的澄清</w:t>
      </w:r>
    </w:p>
    <w:p w14:paraId="3F3BA48F">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15.4.1为有助于投标文件的审查、评价和比较，在评标期间，评标委员会将以书面方式（询标）要求投标人对其投标文件中含义不明确、对同类问题表述不一致或者有明显文字和计算错误的内容，以及评标委员会认为投标人的报价明显低于其他通过符合性审查投标人的报价，有可能影响履约的情况作必要的澄清、说明或补正。投标人的澄清、说明或补正应在评标委员会规定的时间内以书面方式进行，并不得超出投标文件范围或者改变投标文件的实质性内容。</w:t>
      </w:r>
    </w:p>
    <w:p w14:paraId="6E24DD5C">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如有询标，投标人授权代表（或法定代表人）可通过远程登录的方式接受网上询标，也可凭本人有效身份证明参加询标。因投标人授权代表联系不上、没有及时登录系统等情形而无法接受评标委员会询标的，投标人自行承担相关风险。</w:t>
      </w:r>
      <w:r>
        <w:rPr>
          <w:rFonts w:hint="eastAsia" w:ascii="宋体" w:hAnsi="宋体" w:eastAsia="宋体" w:cs="宋体"/>
          <w:b/>
          <w:bCs/>
          <w:color w:val="auto"/>
          <w:sz w:val="24"/>
          <w:highlight w:val="none"/>
        </w:rPr>
        <w:t>本项目采用远程开标，具体操作方法详见服务指南&gt;交易须知&gt;开标大厅远程解密、质疑(异议)及回复以及评标过程中询标流程操作手册。</w:t>
      </w:r>
    </w:p>
    <w:p w14:paraId="174D0357">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15.4.2投标人的澄清、说明或补正将作为投标文件的一部分。</w:t>
      </w:r>
    </w:p>
    <w:p w14:paraId="0085F042">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15.4.3评标委员会对投标人提交的澄清、说明或补正有疑问的，可以要求投标人进一步澄清、说明或补正，直至满足评标委员会的要求。</w:t>
      </w:r>
    </w:p>
    <w:p w14:paraId="2D5ECAAD">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15.5投标文件报价出现前后不一致的，按照下列规定修正：</w:t>
      </w:r>
    </w:p>
    <w:p w14:paraId="28921941">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（1）投标文件中开标一览表内容与投标文件中相应内容不一致的，以开标一览表为准；</w:t>
      </w:r>
    </w:p>
    <w:p w14:paraId="07DF9FC1">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（2）大写金额和小写金额不一致的，以大写金额为准；</w:t>
      </w:r>
    </w:p>
    <w:p w14:paraId="290075BC">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（3）单价金额小数点或者百分比有明显错位的，以开标一览表的总价为准，并修改单价；</w:t>
      </w:r>
    </w:p>
    <w:p w14:paraId="11B17B7D">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（4）总价金额与按单价汇总金额不一致的，以单价金额计算结果为准。</w:t>
      </w:r>
    </w:p>
    <w:p w14:paraId="60DB1F7F">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同时出现两种以上不一致的，按照前款规定的顺序修正。修正后的报价按照第15.4条的规定经投标人确认后产生约束力，无论投标人是接受或是拒绝调整后的价格，都应当由投标人在系统中确认。投标人拒绝对投标文件出现的错漏按上述原则进行修正、澄清、说明，其投标将被认定为</w:t>
      </w:r>
      <w:r>
        <w:rPr>
          <w:rFonts w:hint="eastAsia" w:ascii="宋体" w:hAnsi="宋体" w:eastAsia="宋体" w:cs="宋体"/>
          <w:b/>
          <w:color w:val="auto"/>
          <w:sz w:val="24"/>
          <w:highlight w:val="none"/>
        </w:rPr>
        <w:t>投标无效</w:t>
      </w:r>
      <w:r>
        <w:rPr>
          <w:rFonts w:hint="eastAsia" w:ascii="宋体" w:hAnsi="宋体" w:eastAsia="宋体" w:cs="宋体"/>
          <w:color w:val="auto"/>
          <w:sz w:val="24"/>
          <w:highlight w:val="none"/>
        </w:rPr>
        <w:t>。</w:t>
      </w:r>
    </w:p>
    <w:p w14:paraId="51542C5B">
      <w:pPr>
        <w:spacing w:line="360" w:lineRule="auto"/>
        <w:ind w:firstLine="435"/>
        <w:rPr>
          <w:rFonts w:hint="eastAsia" w:ascii="宋体" w:hAnsi="宋体" w:eastAsia="宋体" w:cs="宋体"/>
          <w:b/>
          <w:color w:val="auto"/>
          <w:sz w:val="24"/>
          <w:highlight w:val="none"/>
        </w:rPr>
      </w:pPr>
      <w:r>
        <w:rPr>
          <w:rFonts w:hint="eastAsia" w:ascii="宋体" w:hAnsi="宋体" w:eastAsia="宋体" w:cs="宋体"/>
          <w:color w:val="auto"/>
          <w:sz w:val="24"/>
          <w:highlight w:val="none"/>
        </w:rPr>
        <w:t>对不同文字文本投标文件的解释发生异议的，以中文文本为准。</w:t>
      </w:r>
    </w:p>
    <w:p w14:paraId="25367FB8">
      <w:pPr>
        <w:spacing w:line="360" w:lineRule="auto"/>
        <w:ind w:firstLine="437"/>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16.投标无效</w:t>
      </w:r>
    </w:p>
    <w:p w14:paraId="36CE7575">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16.1根据本招标文件的规定，评标委员会要审查每份投标文件是否实质上响应了招标文件的要求。投标人不得通过修正或撤销不符合要求的偏离，从而使其投标成为实质上响应的投标。</w:t>
      </w:r>
    </w:p>
    <w:p w14:paraId="297CEB83">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评标委员会决定投标的响应性只根据招标文件要求和投标文件内容。</w:t>
      </w:r>
    </w:p>
    <w:p w14:paraId="3863CA8B">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无论何种原因，即使投标人投标时携带了证书材料的原件，但投标文件中未提供与之内容完全一致的扫描件的，评标委员会视同其未提供。</w:t>
      </w:r>
    </w:p>
    <w:p w14:paraId="675E1B0C">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16.2如发现下列情况之一的，其投标将被认定为</w:t>
      </w:r>
      <w:r>
        <w:rPr>
          <w:rFonts w:hint="eastAsia" w:ascii="宋体" w:hAnsi="宋体" w:eastAsia="宋体" w:cs="宋体"/>
          <w:b/>
          <w:color w:val="auto"/>
          <w:sz w:val="24"/>
          <w:highlight w:val="none"/>
        </w:rPr>
        <w:t>投标无效</w:t>
      </w:r>
      <w:r>
        <w:rPr>
          <w:rFonts w:hint="eastAsia" w:ascii="宋体" w:hAnsi="宋体" w:eastAsia="宋体" w:cs="宋体"/>
          <w:color w:val="auto"/>
          <w:sz w:val="24"/>
          <w:highlight w:val="none"/>
        </w:rPr>
        <w:t>：</w:t>
      </w:r>
    </w:p>
    <w:p w14:paraId="2040926C">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（1）投标文件未按照招标文件规定要求签署、盖章的；</w:t>
      </w:r>
    </w:p>
    <w:p w14:paraId="683E04C3">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（2）不具备招标文件中规定的资格要求的；</w:t>
      </w:r>
    </w:p>
    <w:p w14:paraId="2E498A47">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（3）报价超过招标文件中规定的预算金额或者最高限价的；</w:t>
      </w:r>
    </w:p>
    <w:p w14:paraId="564A8CAD">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（4）投标文件含有采购人不能接受的附加条件的；</w:t>
      </w:r>
    </w:p>
    <w:p w14:paraId="05039C3F">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（5）法律、法规和招标文件规定的其他无效情形。</w:t>
      </w:r>
    </w:p>
    <w:p w14:paraId="768DD6BA">
      <w:pPr>
        <w:spacing w:line="360" w:lineRule="auto"/>
        <w:ind w:firstLine="437"/>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17.比较与评价</w:t>
      </w:r>
    </w:p>
    <w:p w14:paraId="3A73A677">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17.1经符合性审查合格的投标文件，评标委员会将根据招标文件确定的评标方法和标准，对其投标文件作进一步的比较与评价。</w:t>
      </w:r>
    </w:p>
    <w:p w14:paraId="01C5F7AE">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17.2评标严格按照招标文件的要求和条件进行。根据实际情况，在</w:t>
      </w:r>
      <w:r>
        <w:rPr>
          <w:rFonts w:hint="eastAsia" w:ascii="宋体" w:hAnsi="宋体" w:eastAsia="宋体" w:cs="宋体"/>
          <w:color w:val="auto"/>
          <w:sz w:val="24"/>
          <w:highlight w:val="none"/>
          <w:u w:val="single"/>
        </w:rPr>
        <w:t>投标人须知前附表</w:t>
      </w:r>
      <w:r>
        <w:rPr>
          <w:rFonts w:hint="eastAsia" w:ascii="宋体" w:hAnsi="宋体" w:eastAsia="宋体" w:cs="宋体"/>
          <w:color w:val="auto"/>
          <w:sz w:val="24"/>
          <w:highlight w:val="none"/>
        </w:rPr>
        <w:t>中规定采用下列一种评标方法，详细评标方法和标准见招标文件第四章：</w:t>
      </w:r>
    </w:p>
    <w:p w14:paraId="22BB7686">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（1）最低评标价法，是指投标文件满足招标文件全部实质性要求，且投标报价最低的投标人为中标候选人的评标方法。</w:t>
      </w:r>
    </w:p>
    <w:p w14:paraId="0CBEC1E2">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（2）综合评分法，是指投标文件满足招标文件全部实质性要求，且按照评审因素的量化指标评审得分最高的投标人为中标候选人的评标方法。</w:t>
      </w:r>
    </w:p>
    <w:p w14:paraId="0D20C55C">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17.3根据《政府采购促进中小企业发展管理办法》（财库〔2020〕46号）、《三部门联合发布关于促进残疾人就业政府采购政策的通知》（财库〔2017〕141号）和《财政部司法部关于政府采购支持监狱企业发展有关问题的通知》（财库〔2014〕68号）的规定，对满足价格扣除条件且在投标文件中提交了《中小企业声明函》、《残疾人福利性单位声明函》或省级以上监狱管理局、戒毒管理局（含新疆生产建设兵团）出具的属于监狱企业的证明文件的投标人，其投标报价按照</w:t>
      </w:r>
      <w:r>
        <w:rPr>
          <w:rFonts w:hint="eastAsia" w:ascii="宋体" w:hAnsi="宋体" w:eastAsia="宋体" w:cs="宋体"/>
          <w:color w:val="auto"/>
          <w:sz w:val="24"/>
          <w:highlight w:val="none"/>
          <w:u w:val="single"/>
        </w:rPr>
        <w:t>投标人须知前附表</w:t>
      </w:r>
      <w:r>
        <w:rPr>
          <w:rFonts w:hint="eastAsia" w:ascii="宋体" w:hAnsi="宋体" w:eastAsia="宋体" w:cs="宋体"/>
          <w:color w:val="auto"/>
          <w:sz w:val="24"/>
          <w:highlight w:val="none"/>
        </w:rPr>
        <w:t>中规定的标准扣除后的价格参与评审。对于同时属于小微企业、监狱企业或残疾人福利性单位的，不重复进行投标报价扣除。</w:t>
      </w:r>
    </w:p>
    <w:p w14:paraId="3D400E1F">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接受大中型企业与小微企业组成联合体或者允许大中型企业向一家或者多家小微企业分包的，对于联合协议或者分包意向协议约定小微企业的合同份额占到合同总金额30%以上的，可给予联合体或者大中型企业的投标报价按照</w:t>
      </w:r>
      <w:r>
        <w:rPr>
          <w:rFonts w:hint="eastAsia" w:ascii="宋体" w:hAnsi="宋体" w:eastAsia="宋体" w:cs="宋体"/>
          <w:color w:val="auto"/>
          <w:sz w:val="24"/>
          <w:highlight w:val="none"/>
          <w:u w:val="single"/>
        </w:rPr>
        <w:t>投标人须知前附表</w:t>
      </w:r>
      <w:r>
        <w:rPr>
          <w:rFonts w:hint="eastAsia" w:ascii="宋体" w:hAnsi="宋体" w:eastAsia="宋体" w:cs="宋体"/>
          <w:color w:val="auto"/>
          <w:sz w:val="24"/>
          <w:highlight w:val="none"/>
        </w:rPr>
        <w:t>中规定的标准扣除后的价格参与评审。组成联合体或者接受分包的小微企业与联合体内其他企业、分包企业之间存在直接控股、管理关系的，不享受价格扣除优惠政策。</w:t>
      </w:r>
    </w:p>
    <w:p w14:paraId="5D6AA1D6">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以联合体形式参加政府采购活动，联合体各方均为中小企业的，联合体视同中小企业。其中，联合体各方均为小微企业的，联合体视同小微企业。</w:t>
      </w:r>
    </w:p>
    <w:p w14:paraId="5ECF8221">
      <w:pPr>
        <w:spacing w:line="360" w:lineRule="auto"/>
        <w:ind w:firstLine="437"/>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18.废标、重新招标与变更采购方式</w:t>
      </w:r>
    </w:p>
    <w:p w14:paraId="59C021B3">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18.1出现下列情形之一，将导致项目废标：</w:t>
      </w:r>
    </w:p>
    <w:p w14:paraId="3AD9B794">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（1）符合专业条件的供应商或者对招标文件做实质性响应的供应商不足规定数量的；</w:t>
      </w:r>
    </w:p>
    <w:p w14:paraId="4D6483A7">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（2）出现影响采购公正的违法、违规行为的；</w:t>
      </w:r>
    </w:p>
    <w:p w14:paraId="241B842C">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（3）投标人的报价均超过了采购预算，采购人不能支付的；</w:t>
      </w:r>
    </w:p>
    <w:p w14:paraId="4EAA520B">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（4）因重大变故，采购任务取消的。</w:t>
      </w:r>
    </w:p>
    <w:p w14:paraId="771A4377">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18.2公开招标数额标准以上的采购项目，投标截止后投标人不足3家或者通过资格审查或符合性审查的投标人不足3家的，除采购任务取消情形外，按照以下方式处理：</w:t>
      </w:r>
    </w:p>
    <w:p w14:paraId="459B1368">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（1）招标文件存在不合理条款或者招标程序不符合规定的，采购人、采购代理机构改正后依法重新招标；</w:t>
      </w:r>
    </w:p>
    <w:p w14:paraId="69445B43">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（2）招标文件没有不合理条款、招标程序符合规定，需要采用其他采购方式采购的，采购人应当依法报</w:t>
      </w:r>
      <w:r>
        <w:rPr>
          <w:rFonts w:hint="eastAsia" w:ascii="宋体" w:hAnsi="宋体" w:eastAsia="宋体" w:cs="宋体"/>
          <w:color w:val="auto"/>
          <w:sz w:val="24"/>
          <w:szCs w:val="24"/>
          <w:highlight w:val="none"/>
        </w:rPr>
        <w:t>政府采购监督管理部门</w:t>
      </w:r>
      <w:r>
        <w:rPr>
          <w:rFonts w:hint="eastAsia" w:ascii="宋体" w:hAnsi="宋体" w:eastAsia="宋体" w:cs="宋体"/>
          <w:color w:val="auto"/>
          <w:sz w:val="24"/>
          <w:highlight w:val="none"/>
        </w:rPr>
        <w:t>批准。</w:t>
      </w:r>
    </w:p>
    <w:p w14:paraId="7E6E1B69">
      <w:pPr>
        <w:spacing w:line="360" w:lineRule="auto"/>
        <w:ind w:firstLine="437"/>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19.保密要求</w:t>
      </w:r>
    </w:p>
    <w:p w14:paraId="611E97EF">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19.1评标将在严格保密的情况下进行。</w:t>
      </w:r>
    </w:p>
    <w:p w14:paraId="6DB79159">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19.2有关人员应当遵守评标工作纪律，不得泄露评标文件、评标情况和评标中获悉的国家秘密、商业秘密。</w:t>
      </w:r>
    </w:p>
    <w:p w14:paraId="36500841">
      <w:pPr>
        <w:spacing w:line="360" w:lineRule="auto"/>
        <w:ind w:firstLine="437"/>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20.中标候选人的确定原则及标准</w:t>
      </w:r>
    </w:p>
    <w:p w14:paraId="37598872">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20.1评标委员会依据本项目招标文件所约定的评标方法，对实质上响应招标文件的投标人按下列方法进行排序，确定中标候选人：</w:t>
      </w:r>
    </w:p>
    <w:p w14:paraId="00D4474C">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采用最低评标价法的，除了算术修正和落实政府采购政策需进行的价格扣除外，不对投标人的投标价格进行任何调整。评标结果按修正和扣除后的投标报价由低到高顺序排列。修正和扣除后的投标报价出现两家或两家以上相同者，则所投产品为节能产品、环境标志产品、不发达地区或少数民族地区产品者优先；若报价相同且所投产品同为节能产品、环境标志产品、不发达地区或少数民族地区产品的，则采取评标委员会随机抽取的方式确定中标候选顺序。</w:t>
      </w:r>
    </w:p>
    <w:p w14:paraId="6ABFE5D4">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2）采用综合评分法的，评标结果按评审后得分由高到低顺序排列。得分相同的，按投标报价由低到高顺序排列。得分与投标报价均相同的，则所投产品为节能产品、环境标志产品、不发达地区或少数民族地区产品者优先；若得分与投标报价均相同且所投产品同为节能产品、环境标志产品、不发达地区或少数民族地区产品的，则采取评标委员会随机抽取的方式确定中标候选顺序。</w:t>
      </w:r>
    </w:p>
    <w:p w14:paraId="5EE0F133">
      <w:pPr>
        <w:spacing w:line="360" w:lineRule="auto"/>
        <w:ind w:firstLine="437"/>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21.确定中标候选人和中标人</w:t>
      </w:r>
    </w:p>
    <w:p w14:paraId="76920824">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21.1评标委员会将根据评标标准，按</w:t>
      </w:r>
      <w:r>
        <w:rPr>
          <w:rFonts w:hint="eastAsia" w:ascii="宋体" w:hAnsi="宋体" w:eastAsia="宋体" w:cs="宋体"/>
          <w:color w:val="auto"/>
          <w:sz w:val="24"/>
          <w:highlight w:val="none"/>
          <w:u w:val="single"/>
        </w:rPr>
        <w:t>投标人须知前附表</w:t>
      </w:r>
      <w:r>
        <w:rPr>
          <w:rFonts w:hint="eastAsia" w:ascii="宋体" w:hAnsi="宋体" w:eastAsia="宋体" w:cs="宋体"/>
          <w:color w:val="auto"/>
          <w:sz w:val="24"/>
          <w:highlight w:val="none"/>
        </w:rPr>
        <w:t>中规定数量推荐中标候选人。</w:t>
      </w:r>
    </w:p>
    <w:p w14:paraId="5B4F4C61">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21.2按</w:t>
      </w:r>
      <w:r>
        <w:rPr>
          <w:rFonts w:hint="eastAsia" w:ascii="宋体" w:hAnsi="宋体" w:eastAsia="宋体" w:cs="宋体"/>
          <w:color w:val="auto"/>
          <w:sz w:val="24"/>
          <w:highlight w:val="none"/>
          <w:u w:val="single"/>
        </w:rPr>
        <w:t>投标人须知前附表</w:t>
      </w:r>
      <w:r>
        <w:rPr>
          <w:rFonts w:hint="eastAsia" w:ascii="宋体" w:hAnsi="宋体" w:eastAsia="宋体" w:cs="宋体"/>
          <w:color w:val="auto"/>
          <w:sz w:val="24"/>
          <w:highlight w:val="none"/>
        </w:rPr>
        <w:t>中规定，由评标委员会或采购人确定中标人。</w:t>
      </w:r>
    </w:p>
    <w:p w14:paraId="0C321675">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21.3因重大变故采购任务取消时，采购人有权拒绝任何投标人中标，且对受影响的投标人不承担任何责任。</w:t>
      </w:r>
    </w:p>
    <w:p w14:paraId="78944B96">
      <w:pPr>
        <w:spacing w:line="360" w:lineRule="auto"/>
        <w:ind w:firstLine="437"/>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22.编写评标报告</w:t>
      </w:r>
    </w:p>
    <w:p w14:paraId="6C24A576">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评标报告是根据全体评标委员会成员签字的原始评标记录和评标结果编写的报告，评标报告由评标委员会全体成员签字。对评标结论持有异议的评标委员会成员可以书面方式阐述其不同意见和理由。评标委员会成员拒绝在评标报告上签字且不陈述其不同意见和理由的，视为同意评标结论。</w:t>
      </w:r>
    </w:p>
    <w:p w14:paraId="54EC9654">
      <w:pPr>
        <w:spacing w:line="360" w:lineRule="auto"/>
        <w:ind w:firstLine="437"/>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23.中标结果公告</w:t>
      </w:r>
    </w:p>
    <w:p w14:paraId="134FF51A">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23.1除</w:t>
      </w:r>
      <w:r>
        <w:rPr>
          <w:rFonts w:hint="eastAsia" w:ascii="宋体" w:hAnsi="宋体" w:eastAsia="宋体" w:cs="宋体"/>
          <w:color w:val="auto"/>
          <w:sz w:val="24"/>
          <w:highlight w:val="none"/>
          <w:u w:val="single"/>
        </w:rPr>
        <w:t>投标人须知前附表</w:t>
      </w:r>
      <w:r>
        <w:rPr>
          <w:rFonts w:hint="eastAsia" w:ascii="宋体" w:hAnsi="宋体" w:eastAsia="宋体" w:cs="宋体"/>
          <w:color w:val="auto"/>
          <w:sz w:val="24"/>
          <w:highlight w:val="none"/>
        </w:rPr>
        <w:t>规定由评标委员会直接确定中标人外，在评标结束后2个工作日内，采购代理机构将评标报告送采购人。采购人应当自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w:t>
      </w:r>
    </w:p>
    <w:p w14:paraId="7D7A9F16">
      <w:pPr>
        <w:spacing w:line="360" w:lineRule="auto"/>
        <w:ind w:firstLine="435"/>
        <w:rPr>
          <w:rFonts w:hint="eastAsia" w:ascii="宋体" w:hAnsi="宋体" w:eastAsia="宋体" w:cs="宋体"/>
          <w:color w:val="auto"/>
          <w:sz w:val="24"/>
          <w:szCs w:val="18"/>
          <w:highlight w:val="none"/>
        </w:rPr>
      </w:pPr>
      <w:r>
        <w:rPr>
          <w:rFonts w:hint="eastAsia" w:ascii="宋体" w:hAnsi="宋体" w:eastAsia="宋体" w:cs="宋体"/>
          <w:color w:val="auto"/>
          <w:sz w:val="24"/>
          <w:highlight w:val="none"/>
        </w:rPr>
        <w:t>23.2</w:t>
      </w:r>
      <w:r>
        <w:rPr>
          <w:rFonts w:hint="eastAsia" w:ascii="宋体" w:hAnsi="宋体" w:eastAsia="宋体" w:cs="宋体"/>
          <w:color w:val="auto"/>
          <w:sz w:val="24"/>
          <w:szCs w:val="18"/>
          <w:highlight w:val="none"/>
        </w:rPr>
        <w:t>自中标人确定之日起2个工作日内，采购代理机构将在安徽省政府采购网（www.ccgp-anhui.gov.cn）和滁州市公共资源交易中心网上发布中标结果公告。</w:t>
      </w:r>
    </w:p>
    <w:p w14:paraId="64361B7B">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23.3中标结果公告内容应当包括采购人及其委托的采购代理机构的名称、地址、联系方式，项目名称和项目编号，中标人名称、地址和中标金额，主要中标标的的名称、品牌（如有）、规格型号、数量、单价，中标公告期限、评审专家名单以及</w:t>
      </w:r>
      <w:r>
        <w:rPr>
          <w:rFonts w:hint="eastAsia" w:ascii="宋体" w:hAnsi="宋体" w:eastAsia="宋体" w:cs="宋体"/>
          <w:color w:val="auto"/>
          <w:sz w:val="24"/>
          <w:highlight w:val="none"/>
          <w:u w:val="single"/>
        </w:rPr>
        <w:t>投标人须知前附表</w:t>
      </w:r>
      <w:r>
        <w:rPr>
          <w:rFonts w:hint="eastAsia" w:ascii="宋体" w:hAnsi="宋体" w:eastAsia="宋体" w:cs="宋体"/>
          <w:color w:val="auto"/>
          <w:sz w:val="24"/>
          <w:highlight w:val="none"/>
        </w:rPr>
        <w:t>中约定进行公告的内容。中标公告期限为1个工作日。</w:t>
      </w:r>
    </w:p>
    <w:p w14:paraId="0AC92DB4">
      <w:pPr>
        <w:spacing w:line="360" w:lineRule="auto"/>
        <w:ind w:firstLine="437"/>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24.中标通知书</w:t>
      </w:r>
    </w:p>
    <w:p w14:paraId="62EB1B12">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24.1采购代理机构发布中标结果公告</w:t>
      </w:r>
      <w:r>
        <w:rPr>
          <w:rFonts w:hint="eastAsia" w:ascii="宋体" w:hAnsi="宋体" w:eastAsia="宋体" w:cs="宋体"/>
          <w:iCs/>
          <w:color w:val="auto"/>
          <w:sz w:val="24"/>
          <w:highlight w:val="none"/>
        </w:rPr>
        <w:t>的</w:t>
      </w:r>
      <w:r>
        <w:rPr>
          <w:rFonts w:hint="eastAsia" w:ascii="宋体" w:hAnsi="宋体" w:eastAsia="宋体" w:cs="宋体"/>
          <w:color w:val="auto"/>
          <w:sz w:val="24"/>
          <w:highlight w:val="none"/>
        </w:rPr>
        <w:t>同时以</w:t>
      </w:r>
      <w:r>
        <w:rPr>
          <w:rFonts w:hint="eastAsia" w:ascii="宋体" w:hAnsi="宋体" w:eastAsia="宋体" w:cs="宋体"/>
          <w:color w:val="auto"/>
          <w:sz w:val="24"/>
          <w:highlight w:val="none"/>
          <w:u w:val="single"/>
        </w:rPr>
        <w:t>投标人须知前附表</w:t>
      </w:r>
      <w:r>
        <w:rPr>
          <w:rFonts w:hint="eastAsia" w:ascii="宋体" w:hAnsi="宋体" w:eastAsia="宋体" w:cs="宋体"/>
          <w:color w:val="auto"/>
          <w:sz w:val="24"/>
          <w:highlight w:val="none"/>
        </w:rPr>
        <w:t>规定的形式向中标人发出中标通知书。中标通知书须加盖采购人、采购代理机构公章并经公共资源交易中心加盖见证章后，方可发出。</w:t>
      </w:r>
    </w:p>
    <w:p w14:paraId="707A62B8">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24.2中标通知书对采购人和中标人具有同等法律效力。中标通知书发出以后，采购人改变中标结果或者中标人放弃中标，应当承担相应的法律责任。</w:t>
      </w:r>
    </w:p>
    <w:p w14:paraId="222A1D3D">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24.3中标通知书是合同的组成部分。</w:t>
      </w:r>
    </w:p>
    <w:p w14:paraId="44B07252">
      <w:pPr>
        <w:spacing w:line="360" w:lineRule="auto"/>
        <w:ind w:firstLine="437"/>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25.告知招标结果</w:t>
      </w:r>
    </w:p>
    <w:p w14:paraId="401E805E">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25.1在公告中标结果的同时，采购代理机构同时以</w:t>
      </w:r>
      <w:r>
        <w:rPr>
          <w:rFonts w:hint="eastAsia" w:ascii="宋体" w:hAnsi="宋体" w:eastAsia="宋体" w:cs="宋体"/>
          <w:color w:val="auto"/>
          <w:sz w:val="24"/>
          <w:highlight w:val="none"/>
          <w:u w:val="single"/>
        </w:rPr>
        <w:t>投标人须知前附表</w:t>
      </w:r>
      <w:r>
        <w:rPr>
          <w:rFonts w:hint="eastAsia" w:ascii="宋体" w:hAnsi="宋体" w:eastAsia="宋体" w:cs="宋体"/>
          <w:color w:val="auto"/>
          <w:sz w:val="24"/>
          <w:highlight w:val="none"/>
        </w:rPr>
        <w:t>规定的形式告知未通过资格审查的投标人未通过的原因；采用综合评分法评审的，还将告知未中标人本人的评审得分和排序。</w:t>
      </w:r>
    </w:p>
    <w:p w14:paraId="6D2F620C">
      <w:pPr>
        <w:spacing w:line="360" w:lineRule="auto"/>
        <w:ind w:firstLine="437"/>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26.履约保证金</w:t>
      </w:r>
    </w:p>
    <w:p w14:paraId="4DD166A3">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26.1中标人应按照</w:t>
      </w:r>
      <w:r>
        <w:rPr>
          <w:rFonts w:hint="eastAsia" w:ascii="宋体" w:hAnsi="宋体" w:eastAsia="宋体" w:cs="宋体"/>
          <w:color w:val="auto"/>
          <w:sz w:val="24"/>
          <w:highlight w:val="none"/>
          <w:u w:val="single"/>
        </w:rPr>
        <w:t>投标人须知前附表</w:t>
      </w:r>
      <w:r>
        <w:rPr>
          <w:rFonts w:hint="eastAsia" w:ascii="宋体" w:hAnsi="宋体" w:eastAsia="宋体" w:cs="宋体"/>
          <w:color w:val="auto"/>
          <w:sz w:val="24"/>
          <w:highlight w:val="none"/>
        </w:rPr>
        <w:t>规定缴纳履约保证金。</w:t>
      </w:r>
    </w:p>
    <w:p w14:paraId="755B53DA">
      <w:pPr>
        <w:spacing w:line="360" w:lineRule="auto"/>
        <w:ind w:firstLine="435"/>
        <w:rPr>
          <w:rFonts w:hint="eastAsia" w:ascii="宋体" w:hAnsi="宋体" w:eastAsia="宋体" w:cs="宋体"/>
          <w:b/>
          <w:color w:val="auto"/>
          <w:sz w:val="24"/>
          <w:highlight w:val="none"/>
        </w:rPr>
      </w:pPr>
      <w:r>
        <w:rPr>
          <w:rFonts w:hint="eastAsia" w:ascii="宋体" w:hAnsi="宋体" w:eastAsia="宋体" w:cs="宋体"/>
          <w:color w:val="auto"/>
          <w:sz w:val="24"/>
          <w:highlight w:val="none"/>
        </w:rPr>
        <w:t>26.2如果中标人没有按照上述履约保证金的规定执行，将视为放弃中标资格。在此情况下，采购人可确定下一中标候选人为中标人，也可以重新开展采购活动。</w:t>
      </w:r>
    </w:p>
    <w:p w14:paraId="4BACCDD4">
      <w:pPr>
        <w:spacing w:line="360" w:lineRule="auto"/>
        <w:ind w:firstLine="437"/>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27.签订合同</w:t>
      </w:r>
    </w:p>
    <w:p w14:paraId="3F610CC4">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27.1</w:t>
      </w:r>
      <w:r>
        <w:rPr>
          <w:rFonts w:hint="eastAsia" w:ascii="宋体" w:hAnsi="宋体" w:eastAsia="宋体" w:cs="宋体"/>
          <w:color w:val="auto"/>
          <w:sz w:val="24"/>
          <w:szCs w:val="24"/>
          <w:highlight w:val="none"/>
        </w:rPr>
        <w:t>采购人与中标人应当按照</w:t>
      </w:r>
      <w:r>
        <w:rPr>
          <w:rFonts w:hint="eastAsia" w:ascii="宋体" w:hAnsi="宋体" w:eastAsia="宋体" w:cs="宋体"/>
          <w:color w:val="auto"/>
          <w:sz w:val="24"/>
          <w:szCs w:val="24"/>
          <w:highlight w:val="none"/>
          <w:u w:val="single"/>
        </w:rPr>
        <w:t>投标人须知前附表</w:t>
      </w:r>
      <w:r>
        <w:rPr>
          <w:rFonts w:hint="eastAsia" w:ascii="宋体" w:hAnsi="宋体" w:eastAsia="宋体" w:cs="宋体"/>
          <w:color w:val="auto"/>
          <w:sz w:val="24"/>
          <w:szCs w:val="24"/>
          <w:highlight w:val="none"/>
        </w:rPr>
        <w:t>规定的时间内完成政府采购合同签订及合同公告。</w:t>
      </w:r>
    </w:p>
    <w:p w14:paraId="09339160">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27.2招标文件、中标人的投标文件及其澄清文件等，均为签订合同的依据。</w:t>
      </w:r>
    </w:p>
    <w:p w14:paraId="1A5CBF02">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27.3中标人拒绝与采购人签订合同的，采购人可以按照评审报告推荐的中标候选人名单排序，确定下一中标候选人为中标人，也可以重新开展政府采购活动。</w:t>
      </w:r>
    </w:p>
    <w:p w14:paraId="73186CDE">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27.4依据《政府采购促进中小企业发展管理办法》（财库〔2020〕46号）规定享受扶持政策获得政府采购合同的，小微企业不得将合同分包给大中型企业，中型企业不得将合同分包给大型企业。</w:t>
      </w:r>
    </w:p>
    <w:p w14:paraId="0B1562E2">
      <w:pPr>
        <w:spacing w:line="360" w:lineRule="auto"/>
        <w:ind w:firstLine="437"/>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28.代理费用</w:t>
      </w:r>
    </w:p>
    <w:p w14:paraId="4E7F30AC">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28.1本项目代理费用的收取按</w:t>
      </w:r>
      <w:r>
        <w:rPr>
          <w:rFonts w:hint="eastAsia" w:ascii="宋体" w:hAnsi="宋体" w:eastAsia="宋体" w:cs="宋体"/>
          <w:color w:val="auto"/>
          <w:sz w:val="24"/>
          <w:highlight w:val="none"/>
          <w:u w:val="single"/>
        </w:rPr>
        <w:t>投标人须知前附表的</w:t>
      </w:r>
      <w:r>
        <w:rPr>
          <w:rFonts w:hint="eastAsia" w:ascii="宋体" w:hAnsi="宋体" w:eastAsia="宋体" w:cs="宋体"/>
          <w:color w:val="auto"/>
          <w:sz w:val="24"/>
          <w:highlight w:val="none"/>
        </w:rPr>
        <w:t>规定执行。</w:t>
      </w:r>
    </w:p>
    <w:p w14:paraId="007B15A6">
      <w:pPr>
        <w:spacing w:line="360" w:lineRule="auto"/>
        <w:ind w:firstLine="437"/>
        <w:outlineLvl w:val="2"/>
        <w:rPr>
          <w:rFonts w:hint="eastAsia" w:ascii="宋体" w:hAnsi="宋体" w:eastAsia="宋体" w:cs="宋体"/>
          <w:b/>
          <w:color w:val="auto"/>
          <w:sz w:val="24"/>
          <w:highlight w:val="none"/>
        </w:rPr>
      </w:pPr>
      <w:bookmarkStart w:id="17" w:name="_Toc2583661"/>
      <w:bookmarkStart w:id="18" w:name="_Toc518923100"/>
      <w:r>
        <w:rPr>
          <w:rFonts w:hint="eastAsia" w:ascii="宋体" w:hAnsi="宋体" w:eastAsia="宋体" w:cs="宋体"/>
          <w:b/>
          <w:color w:val="auto"/>
          <w:sz w:val="24"/>
          <w:highlight w:val="none"/>
        </w:rPr>
        <w:t>29.廉洁自律规定</w:t>
      </w:r>
      <w:bookmarkEnd w:id="17"/>
      <w:bookmarkEnd w:id="18"/>
    </w:p>
    <w:p w14:paraId="0CFA28A5">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29.1采购代理机构工作人员不得以不正当手段获取政府采购代理业务，不得与采购人、供应商恶意串通。</w:t>
      </w:r>
    </w:p>
    <w:p w14:paraId="73F60347">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29.2采购代理机构工作人员不得接受采购人或者供应商组织的宴请、旅游、娱乐，不得收受礼品、现金、有价证券等，不得向采购人或者供应商报销应当由个人承担的费用。</w:t>
      </w:r>
    </w:p>
    <w:p w14:paraId="3FE8AF1F">
      <w:pPr>
        <w:spacing w:line="360" w:lineRule="auto"/>
        <w:ind w:firstLine="437"/>
        <w:outlineLvl w:val="2"/>
        <w:rPr>
          <w:rFonts w:hint="eastAsia" w:ascii="宋体" w:hAnsi="宋体" w:eastAsia="宋体" w:cs="宋体"/>
          <w:b/>
          <w:color w:val="auto"/>
          <w:sz w:val="24"/>
          <w:highlight w:val="none"/>
        </w:rPr>
      </w:pPr>
      <w:bookmarkStart w:id="19" w:name="_Toc518923101"/>
      <w:bookmarkStart w:id="20" w:name="_Toc2583662"/>
      <w:r>
        <w:rPr>
          <w:rFonts w:hint="eastAsia" w:ascii="宋体" w:hAnsi="宋体" w:eastAsia="宋体" w:cs="宋体"/>
          <w:b/>
          <w:color w:val="auto"/>
          <w:sz w:val="24"/>
          <w:highlight w:val="none"/>
        </w:rPr>
        <w:t>30.人员回避</w:t>
      </w:r>
      <w:bookmarkEnd w:id="19"/>
      <w:bookmarkEnd w:id="20"/>
    </w:p>
    <w:p w14:paraId="5C92FEEB">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投标人认为采购人员及其相关人员有法律法规所列与其他供应商有利害关系的，可以向采购人或采购代理机构书面提出回避申请，并说明理由。</w:t>
      </w:r>
    </w:p>
    <w:p w14:paraId="0E4A623A">
      <w:pPr>
        <w:spacing w:line="360" w:lineRule="auto"/>
        <w:ind w:firstLine="437"/>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31.质疑的提出与接收</w:t>
      </w:r>
    </w:p>
    <w:p w14:paraId="56A71147">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31.1投标人认为招标文件、招标过程和中标结果使自己的权益受到损害的，可以在知道或者应知其权益受到损害之日起七个工作日内，以书面形式向采购人或其委托的采购代理机构提出质疑。</w:t>
      </w:r>
    </w:p>
    <w:p w14:paraId="624EB233">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31.2质疑供应商应按照财政部制定的《政府采购供应商质疑函范本》格式（详见招标文件）和《政府采购质疑和投诉办法》的要求，在法定质疑期内以书面形式提出质疑，超出法定质疑期提交的质疑将被拒绝。针对同一采购程序环节的质疑应一次性提出。</w:t>
      </w:r>
    </w:p>
    <w:p w14:paraId="00172D77">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31.3采购代理机构质疑函接收部门、联系电话和通讯地址，见</w:t>
      </w:r>
      <w:r>
        <w:rPr>
          <w:rFonts w:hint="eastAsia" w:ascii="宋体" w:hAnsi="宋体" w:eastAsia="宋体" w:cs="宋体"/>
          <w:color w:val="auto"/>
          <w:sz w:val="24"/>
          <w:highlight w:val="none"/>
          <w:u w:val="single"/>
        </w:rPr>
        <w:t>投标人须知前附表</w:t>
      </w:r>
      <w:r>
        <w:rPr>
          <w:rFonts w:hint="eastAsia" w:ascii="宋体" w:hAnsi="宋体" w:eastAsia="宋体" w:cs="宋体"/>
          <w:color w:val="auto"/>
          <w:sz w:val="24"/>
          <w:highlight w:val="none"/>
        </w:rPr>
        <w:t>。</w:t>
      </w:r>
    </w:p>
    <w:p w14:paraId="1437E707">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注：上述条款中所要求的书面形式包含通过电子交易系统递交方式。</w:t>
      </w:r>
    </w:p>
    <w:p w14:paraId="3FA6C53F">
      <w:pPr>
        <w:spacing w:line="360" w:lineRule="auto"/>
        <w:ind w:firstLine="437"/>
        <w:outlineLvl w:val="2"/>
        <w:rPr>
          <w:rFonts w:hint="eastAsia" w:ascii="宋体" w:hAnsi="宋体" w:eastAsia="宋体" w:cs="宋体"/>
          <w:b/>
          <w:color w:val="auto"/>
          <w:sz w:val="24"/>
          <w:szCs w:val="24"/>
          <w:highlight w:val="none"/>
        </w:rPr>
      </w:pPr>
      <w:r>
        <w:rPr>
          <w:rFonts w:hint="eastAsia" w:ascii="宋体" w:hAnsi="宋体" w:eastAsia="宋体" w:cs="宋体"/>
          <w:b/>
          <w:color w:val="auto"/>
          <w:sz w:val="24"/>
          <w:highlight w:val="none"/>
        </w:rPr>
        <w:t>32.</w:t>
      </w:r>
      <w:r>
        <w:rPr>
          <w:rFonts w:hint="eastAsia" w:ascii="宋体" w:hAnsi="宋体" w:eastAsia="宋体" w:cs="宋体"/>
          <w:b/>
          <w:color w:val="auto"/>
          <w:sz w:val="24"/>
          <w:szCs w:val="24"/>
          <w:highlight w:val="none"/>
          <w:lang w:bidi="ar"/>
        </w:rPr>
        <w:t>投诉</w:t>
      </w:r>
    </w:p>
    <w:p w14:paraId="7BE9D0E0">
      <w:pPr>
        <w:wordWrap w:val="0"/>
        <w:autoSpaceDE w:val="0"/>
        <w:spacing w:line="360" w:lineRule="auto"/>
        <w:ind w:firstLine="43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32.1质疑投标人对采购人、采购代理机构的答复不满意，或者采购人、采购代理机构未在规定的时间内答复的，可以在答复期满后十五个工作日内按有关规定，以书面形式（http://ggzy.chuzhou.gov.cn/fwzn/011001/011001001/011001001003/20200727/7fb88e17-63dd-4f17-b17c-290526c6eda8.html）向同级政府采购监督管理部门提出投诉或者线上提交投诉材料（http://ggzy.chuzhou.gov.cn/fwzn/011001/011001001/011001001003/20200221/b079d9ca-90f2-4cce-aa7c-94a444e7ac91.html）。</w:t>
      </w:r>
    </w:p>
    <w:p w14:paraId="53FF2AF1">
      <w:pPr>
        <w:wordWrap w:val="0"/>
        <w:autoSpaceDE w:val="0"/>
        <w:spacing w:line="360" w:lineRule="auto"/>
        <w:ind w:firstLine="43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32.2政府采购监督管理部门应当在收到投诉后30个工作日内，对投诉事项作出处理决定，并以书面形式通知投诉人和与投诉事项有关的当事人，并在安徽省政府采购网公告。政府采购监督管理部门处理投诉事项，需要检验、检测、鉴定、专家评审以及需要投诉人补正材料的，所需时间不计算在投诉处理期限内。</w:t>
      </w:r>
    </w:p>
    <w:p w14:paraId="7F1F4C45">
      <w:pPr>
        <w:wordWrap w:val="0"/>
        <w:autoSpaceDE w:val="0"/>
        <w:spacing w:line="360" w:lineRule="auto"/>
        <w:ind w:firstLine="43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32.3政府采购监督管理部门在处理投诉事项期间，可以视具体情况书面通知采购人暂停采购活动，但暂停时间最长不得超过30日。</w:t>
      </w:r>
    </w:p>
    <w:p w14:paraId="6EBDE268">
      <w:pPr>
        <w:spacing w:line="360" w:lineRule="auto"/>
        <w:ind w:firstLine="437"/>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33.需要补充的其他内容</w:t>
      </w:r>
    </w:p>
    <w:p w14:paraId="05A3ACFE">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需要补充的其他内容，见</w:t>
      </w:r>
      <w:r>
        <w:rPr>
          <w:rFonts w:hint="eastAsia" w:ascii="宋体" w:hAnsi="宋体" w:eastAsia="宋体" w:cs="宋体"/>
          <w:color w:val="auto"/>
          <w:sz w:val="24"/>
          <w:highlight w:val="none"/>
          <w:u w:val="single"/>
        </w:rPr>
        <w:t>投标人须知前附表</w:t>
      </w:r>
      <w:r>
        <w:rPr>
          <w:rFonts w:hint="eastAsia" w:ascii="宋体" w:hAnsi="宋体" w:eastAsia="宋体" w:cs="宋体"/>
          <w:color w:val="auto"/>
          <w:sz w:val="24"/>
          <w:highlight w:val="none"/>
        </w:rPr>
        <w:t>。</w:t>
      </w:r>
    </w:p>
    <w:p w14:paraId="73302D77">
      <w:pPr>
        <w:widowControl/>
        <w:jc w:val="left"/>
        <w:rPr>
          <w:rFonts w:hint="eastAsia" w:ascii="宋体" w:hAnsi="宋体" w:eastAsia="宋体" w:cs="宋体"/>
          <w:b/>
          <w:color w:val="auto"/>
          <w:sz w:val="28"/>
          <w:highlight w:val="none"/>
        </w:rPr>
      </w:pPr>
      <w:r>
        <w:rPr>
          <w:rFonts w:hint="eastAsia" w:ascii="宋体" w:hAnsi="宋体" w:eastAsia="宋体" w:cs="宋体"/>
          <w:color w:val="auto"/>
          <w:sz w:val="24"/>
          <w:highlight w:val="none"/>
        </w:rPr>
        <w:br w:type="page"/>
      </w:r>
    </w:p>
    <w:p w14:paraId="1A4D19FB">
      <w:pPr>
        <w:spacing w:line="360" w:lineRule="auto"/>
        <w:jc w:val="center"/>
        <w:outlineLvl w:val="0"/>
        <w:rPr>
          <w:rFonts w:hint="eastAsia" w:ascii="宋体" w:hAnsi="宋体" w:eastAsia="宋体" w:cs="宋体"/>
          <w:b/>
          <w:color w:val="auto"/>
          <w:sz w:val="28"/>
          <w:highlight w:val="none"/>
        </w:rPr>
      </w:pPr>
      <w:bookmarkStart w:id="21" w:name="_Toc12597"/>
      <w:bookmarkStart w:id="22" w:name="_Toc10891"/>
      <w:r>
        <w:rPr>
          <w:rFonts w:hint="eastAsia" w:ascii="宋体" w:hAnsi="宋体" w:eastAsia="宋体" w:cs="宋体"/>
          <w:b/>
          <w:color w:val="auto"/>
          <w:sz w:val="28"/>
          <w:highlight w:val="none"/>
        </w:rPr>
        <w:t>第三章  采购需求</w:t>
      </w:r>
      <w:bookmarkEnd w:id="21"/>
      <w:bookmarkEnd w:id="22"/>
    </w:p>
    <w:p w14:paraId="1AEA6D74">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前注：</w:t>
      </w:r>
    </w:p>
    <w:p w14:paraId="2E75C89E">
      <w:pPr>
        <w:spacing w:line="440" w:lineRule="exact"/>
        <w:ind w:firstLine="435"/>
        <w:rPr>
          <w:rFonts w:hint="eastAsia" w:ascii="宋体" w:hAnsi="宋体" w:eastAsia="宋体" w:cs="宋体"/>
          <w:color w:val="auto"/>
          <w:sz w:val="24"/>
          <w:szCs w:val="24"/>
          <w:highlight w:val="none"/>
        </w:rPr>
      </w:pPr>
      <w:bookmarkStart w:id="23" w:name="_Toc32151"/>
      <w:bookmarkStart w:id="24" w:name="_Toc2554"/>
      <w:r>
        <w:rPr>
          <w:rFonts w:hint="eastAsia" w:ascii="宋体" w:hAnsi="宋体" w:eastAsia="宋体" w:cs="宋体"/>
          <w:color w:val="auto"/>
          <w:sz w:val="24"/>
          <w:szCs w:val="24"/>
          <w:highlight w:val="none"/>
        </w:rPr>
        <w:t>1.本采购需求中提出的服务方案仅为参考，如无明确限制，投标人可以进行优化，提供满足采购人实际需要的更优（或者性能实质上不低于的）服务方案，且此方案须经评标委员会评审认可。</w:t>
      </w:r>
    </w:p>
    <w:p w14:paraId="779E2831">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2.政府采购政策（包括但不限于下列具体政策要求）：</w:t>
      </w:r>
    </w:p>
    <w:p w14:paraId="0978D4FE">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如属于《节能产品政府采购品目清单》中政府强制采购的节能产品，则在投标文件中提供所投产品须具有市场监管总局公布的《参与实施政府采购节能产品认证机构目录》中的认证机构出具的、处于有效期内的节能产品认证证书。</w:t>
      </w:r>
    </w:p>
    <w:p w14:paraId="7B8FCB0B">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如涉及商品包装和快递包装，投标人应当执行《关于印发〈商品包装政府采购需求标准（试行）〉、〈快递包装政府采购需求标准（试行）〉的通知》（财办库〔2020〕123号）、《安徽省财政厅关于贯彻落实政府绿色采购有关政策的通知》（皖财购〔2023〕853号）的要求，提供符合需求标准的绿色包装、绿色运输，同时，采购人将对包装材料和运输环节作为履约验收条款进行验收。</w:t>
      </w:r>
    </w:p>
    <w:p w14:paraId="566D5CBB">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（3）企业划型标准按照《关于印发中小企业划型标准规定的通知》（工信部联企业〔2011〕300号）规定执行。中标候选人享受政策性优惠的，在发布中标结果通知书时将在相关媒体予以公开、公示。</w:t>
      </w:r>
    </w:p>
    <w:p w14:paraId="3C8B55F7">
      <w:pPr>
        <w:spacing w:line="440" w:lineRule="exact"/>
        <w:ind w:firstLine="480" w:firstLineChars="200"/>
        <w:rPr>
          <w:rFonts w:hint="eastAsia" w:ascii="宋体" w:hAnsi="宋体" w:eastAsia="宋体" w:cs="宋体"/>
          <w:bCs/>
          <w:color w:val="auto"/>
          <w:sz w:val="24"/>
          <w:szCs w:val="18"/>
          <w:highlight w:val="none"/>
        </w:rPr>
      </w:pPr>
      <w:r>
        <w:rPr>
          <w:rFonts w:hint="eastAsia" w:ascii="宋体" w:hAnsi="宋体" w:eastAsia="宋体" w:cs="宋体"/>
          <w:color w:val="auto"/>
          <w:sz w:val="24"/>
          <w:szCs w:val="24"/>
          <w:highlight w:val="none"/>
        </w:rPr>
        <w:t>3.如采购人允许采用分包方式履行合同的，应当明确可以分包履行的相关内容。</w:t>
      </w:r>
    </w:p>
    <w:p w14:paraId="486DAB03">
      <w:pPr>
        <w:spacing w:line="360" w:lineRule="auto"/>
        <w:ind w:firstLine="437"/>
        <w:outlineLvl w:val="1"/>
        <w:rPr>
          <w:rFonts w:hint="eastAsia" w:ascii="宋体" w:hAnsi="宋体" w:eastAsia="宋体" w:cs="宋体"/>
          <w:b/>
          <w:color w:val="auto"/>
          <w:sz w:val="24"/>
          <w:szCs w:val="18"/>
          <w:highlight w:val="none"/>
        </w:rPr>
      </w:pPr>
      <w:r>
        <w:rPr>
          <w:rFonts w:hint="eastAsia" w:ascii="宋体" w:hAnsi="宋体" w:eastAsia="宋体" w:cs="宋体"/>
          <w:b/>
          <w:color w:val="auto"/>
          <w:sz w:val="24"/>
          <w:szCs w:val="18"/>
          <w:highlight w:val="none"/>
        </w:rPr>
        <w:t>一、采购需求前附表</w:t>
      </w:r>
      <w:bookmarkEnd w:id="23"/>
      <w:bookmarkEnd w:id="24"/>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6"/>
        <w:gridCol w:w="2032"/>
        <w:gridCol w:w="5484"/>
      </w:tblGrid>
      <w:tr w14:paraId="72DE0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32467A77">
            <w:pPr>
              <w:pStyle w:val="46"/>
              <w:pBdr>
                <w:bottom w:val="none" w:color="auto" w:sz="0" w:space="0"/>
              </w:pBdr>
              <w:tabs>
                <w:tab w:val="clear" w:pos="4153"/>
                <w:tab w:val="clear" w:pos="8306"/>
              </w:tabs>
              <w:adjustRightInd/>
              <w:spacing w:line="240" w:lineRule="auto"/>
              <w:textAlignment w:val="auto"/>
              <w:rPr>
                <w:rFonts w:hint="eastAsia" w:ascii="宋体" w:hAnsi="宋体" w:eastAsia="宋体" w:cs="宋体"/>
                <w:b/>
                <w:color w:val="auto"/>
                <w:kern w:val="2"/>
                <w:highlight w:val="none"/>
              </w:rPr>
            </w:pPr>
            <w:r>
              <w:rPr>
                <w:rFonts w:hint="eastAsia" w:ascii="宋体" w:hAnsi="宋体" w:eastAsia="宋体" w:cs="宋体"/>
                <w:b/>
                <w:color w:val="auto"/>
                <w:kern w:val="2"/>
                <w:highlight w:val="none"/>
              </w:rPr>
              <w:t>序号</w:t>
            </w:r>
          </w:p>
        </w:tc>
        <w:tc>
          <w:tcPr>
            <w:tcW w:w="1192" w:type="pct"/>
            <w:vAlign w:val="center"/>
          </w:tcPr>
          <w:p w14:paraId="54D5020B">
            <w:pPr>
              <w:pStyle w:val="45"/>
              <w:widowControl w:val="0"/>
              <w:spacing w:before="0" w:beforeAutospacing="0" w:after="0" w:afterAutospacing="0" w:line="360" w:lineRule="auto"/>
              <w:rPr>
                <w:rFonts w:hint="eastAsia" w:ascii="宋体" w:hAnsi="宋体" w:eastAsia="宋体" w:cs="宋体"/>
                <w:bCs w:val="0"/>
                <w:color w:val="auto"/>
                <w:sz w:val="24"/>
                <w:highlight w:val="none"/>
              </w:rPr>
            </w:pPr>
            <w:r>
              <w:rPr>
                <w:rFonts w:hint="eastAsia" w:ascii="宋体" w:hAnsi="宋体" w:eastAsia="宋体" w:cs="宋体"/>
                <w:bCs w:val="0"/>
                <w:color w:val="auto"/>
                <w:sz w:val="24"/>
                <w:highlight w:val="none"/>
              </w:rPr>
              <w:t>条款名称</w:t>
            </w:r>
          </w:p>
        </w:tc>
        <w:tc>
          <w:tcPr>
            <w:tcW w:w="3217" w:type="pct"/>
            <w:vAlign w:val="center"/>
          </w:tcPr>
          <w:p w14:paraId="0ABC3F89">
            <w:pPr>
              <w:pStyle w:val="45"/>
              <w:widowControl w:val="0"/>
              <w:spacing w:before="0" w:beforeAutospacing="0" w:after="0" w:afterAutospacing="0" w:line="360" w:lineRule="auto"/>
              <w:rPr>
                <w:rFonts w:hint="eastAsia" w:ascii="宋体" w:hAnsi="宋体" w:eastAsia="宋体" w:cs="宋体"/>
                <w:bCs w:val="0"/>
                <w:color w:val="auto"/>
                <w:sz w:val="24"/>
                <w:highlight w:val="none"/>
              </w:rPr>
            </w:pPr>
            <w:r>
              <w:rPr>
                <w:rFonts w:hint="eastAsia" w:ascii="宋体" w:hAnsi="宋体" w:eastAsia="宋体" w:cs="宋体"/>
                <w:bCs w:val="0"/>
                <w:color w:val="auto"/>
                <w:sz w:val="24"/>
                <w:highlight w:val="none"/>
              </w:rPr>
              <w:t>内容、说明与要求</w:t>
            </w:r>
          </w:p>
        </w:tc>
      </w:tr>
      <w:tr w14:paraId="1A2CE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4BE26396">
            <w:pPr>
              <w:pStyle w:val="46"/>
              <w:pBdr>
                <w:bottom w:val="none" w:color="auto" w:sz="0" w:space="0"/>
              </w:pBdr>
              <w:tabs>
                <w:tab w:val="clear" w:pos="4153"/>
                <w:tab w:val="clear" w:pos="8306"/>
              </w:tabs>
              <w:adjustRightInd/>
              <w:spacing w:line="240" w:lineRule="auto"/>
              <w:textAlignment w:val="auto"/>
              <w:rPr>
                <w:rFonts w:hint="eastAsia" w:ascii="宋体" w:hAnsi="宋体" w:eastAsia="宋体" w:cs="宋体"/>
                <w:bCs/>
                <w:color w:val="auto"/>
                <w:kern w:val="2"/>
                <w:highlight w:val="none"/>
              </w:rPr>
            </w:pPr>
            <w:r>
              <w:rPr>
                <w:rFonts w:hint="eastAsia" w:ascii="宋体" w:hAnsi="宋体" w:eastAsia="宋体" w:cs="宋体"/>
                <w:bCs/>
                <w:color w:val="auto"/>
                <w:kern w:val="2"/>
                <w:highlight w:val="none"/>
              </w:rPr>
              <w:t>1</w:t>
            </w:r>
          </w:p>
        </w:tc>
        <w:tc>
          <w:tcPr>
            <w:tcW w:w="1192" w:type="pct"/>
            <w:vAlign w:val="center"/>
          </w:tcPr>
          <w:p w14:paraId="47135C44">
            <w:pPr>
              <w:pStyle w:val="45"/>
              <w:widowControl w:val="0"/>
              <w:spacing w:before="0" w:beforeAutospacing="0" w:after="0" w:afterAutospacing="0" w:line="360" w:lineRule="auto"/>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rPr>
              <w:t>付款方式</w:t>
            </w:r>
          </w:p>
        </w:tc>
        <w:tc>
          <w:tcPr>
            <w:tcW w:w="3217" w:type="pct"/>
            <w:vAlign w:val="center"/>
          </w:tcPr>
          <w:p w14:paraId="4CC77053">
            <w:pPr>
              <w:pStyle w:val="45"/>
              <w:widowControl w:val="0"/>
              <w:spacing w:before="0" w:beforeAutospacing="0" w:after="0" w:afterAutospacing="0" w:line="360" w:lineRule="auto"/>
              <w:rPr>
                <w:rFonts w:hint="eastAsia" w:ascii="宋体" w:hAnsi="宋体" w:eastAsia="宋体" w:cs="宋体"/>
                <w:b w:val="0"/>
                <w:color w:val="auto"/>
                <w:sz w:val="24"/>
                <w:highlight w:val="none"/>
                <w:u w:val="single"/>
              </w:rPr>
            </w:pPr>
            <w:r>
              <w:rPr>
                <w:rFonts w:hint="eastAsia" w:ascii="宋体" w:hAnsi="宋体" w:eastAsia="宋体" w:cs="宋体"/>
                <w:b w:val="0"/>
                <w:color w:val="auto"/>
                <w:sz w:val="24"/>
                <w:highlight w:val="none"/>
                <w:u w:val="single"/>
              </w:rPr>
              <w:t>合同签订且具备实施条件</w:t>
            </w:r>
            <w:r>
              <w:rPr>
                <w:rFonts w:hint="eastAsia" w:ascii="宋体" w:hAnsi="宋体" w:eastAsia="宋体"/>
                <w:b w:val="0"/>
                <w:color w:val="auto"/>
                <w:sz w:val="24"/>
                <w:highlight w:val="none"/>
                <w:u w:val="single"/>
              </w:rPr>
              <w:t>后，支付合同价的40%预付款（预付款支付前，中标人须提供同等金额的见索即付保函），全部供货安装调试完毕并经验收合格后，一次性支付至实际供货合同总价的100%。</w:t>
            </w:r>
          </w:p>
        </w:tc>
      </w:tr>
      <w:tr w14:paraId="51651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48D5EA16">
            <w:pPr>
              <w:pStyle w:val="46"/>
              <w:pBdr>
                <w:bottom w:val="none" w:color="auto" w:sz="0" w:space="0"/>
              </w:pBdr>
              <w:tabs>
                <w:tab w:val="clear" w:pos="4153"/>
                <w:tab w:val="clear" w:pos="8306"/>
              </w:tabs>
              <w:adjustRightInd/>
              <w:spacing w:line="240" w:lineRule="auto"/>
              <w:textAlignment w:val="auto"/>
              <w:rPr>
                <w:rFonts w:hint="eastAsia" w:ascii="宋体" w:hAnsi="宋体" w:eastAsia="宋体" w:cs="宋体"/>
                <w:bCs/>
                <w:color w:val="auto"/>
                <w:kern w:val="2"/>
                <w:highlight w:val="none"/>
              </w:rPr>
            </w:pPr>
            <w:r>
              <w:rPr>
                <w:rFonts w:hint="eastAsia" w:ascii="宋体" w:hAnsi="宋体" w:eastAsia="宋体" w:cs="宋体"/>
                <w:bCs/>
                <w:color w:val="auto"/>
                <w:kern w:val="2"/>
                <w:highlight w:val="none"/>
              </w:rPr>
              <w:t>2</w:t>
            </w:r>
          </w:p>
        </w:tc>
        <w:tc>
          <w:tcPr>
            <w:tcW w:w="1192" w:type="pct"/>
            <w:vAlign w:val="center"/>
          </w:tcPr>
          <w:p w14:paraId="5182237C">
            <w:pPr>
              <w:pStyle w:val="45"/>
              <w:widowControl w:val="0"/>
              <w:spacing w:before="0" w:beforeAutospacing="0" w:after="0" w:afterAutospacing="0" w:line="360" w:lineRule="auto"/>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rPr>
              <w:t>供货及安装地点</w:t>
            </w:r>
          </w:p>
        </w:tc>
        <w:tc>
          <w:tcPr>
            <w:tcW w:w="3217" w:type="pct"/>
            <w:vAlign w:val="center"/>
          </w:tcPr>
          <w:p w14:paraId="08982F8E">
            <w:pPr>
              <w:pStyle w:val="45"/>
              <w:widowControl w:val="0"/>
              <w:spacing w:before="0" w:beforeAutospacing="0" w:after="0" w:afterAutospacing="0" w:line="360" w:lineRule="auto"/>
              <w:jc w:val="both"/>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u w:val="single"/>
              </w:rPr>
              <w:t>采购人指定地点</w:t>
            </w:r>
          </w:p>
        </w:tc>
      </w:tr>
      <w:tr w14:paraId="6CDB7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2E1B3F00">
            <w:pPr>
              <w:pStyle w:val="46"/>
              <w:pBdr>
                <w:bottom w:val="none" w:color="auto" w:sz="0" w:space="0"/>
              </w:pBdr>
              <w:tabs>
                <w:tab w:val="clear" w:pos="4153"/>
                <w:tab w:val="clear" w:pos="8306"/>
              </w:tabs>
              <w:adjustRightInd/>
              <w:spacing w:line="240" w:lineRule="auto"/>
              <w:textAlignment w:val="auto"/>
              <w:rPr>
                <w:rFonts w:hint="eastAsia" w:ascii="宋体" w:hAnsi="宋体" w:eastAsia="宋体" w:cs="宋体"/>
                <w:bCs/>
                <w:color w:val="auto"/>
                <w:kern w:val="2"/>
                <w:highlight w:val="none"/>
              </w:rPr>
            </w:pPr>
            <w:r>
              <w:rPr>
                <w:rFonts w:hint="eastAsia" w:ascii="宋体" w:hAnsi="宋体" w:eastAsia="宋体" w:cs="宋体"/>
                <w:bCs/>
                <w:color w:val="auto"/>
                <w:kern w:val="2"/>
                <w:highlight w:val="none"/>
              </w:rPr>
              <w:t>3</w:t>
            </w:r>
          </w:p>
        </w:tc>
        <w:tc>
          <w:tcPr>
            <w:tcW w:w="1192" w:type="pct"/>
            <w:vAlign w:val="center"/>
          </w:tcPr>
          <w:p w14:paraId="664CBB30">
            <w:pPr>
              <w:pStyle w:val="45"/>
              <w:widowControl w:val="0"/>
              <w:spacing w:before="0" w:beforeAutospacing="0" w:after="0" w:afterAutospacing="0" w:line="360" w:lineRule="auto"/>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rPr>
              <w:t>供货及安装期限</w:t>
            </w:r>
          </w:p>
        </w:tc>
        <w:tc>
          <w:tcPr>
            <w:tcW w:w="3217" w:type="pct"/>
            <w:vAlign w:val="center"/>
          </w:tcPr>
          <w:p w14:paraId="28B618A0">
            <w:pPr>
              <w:pStyle w:val="45"/>
              <w:widowControl w:val="0"/>
              <w:spacing w:before="0" w:beforeAutospacing="0" w:after="0" w:afterAutospacing="0" w:line="360" w:lineRule="auto"/>
              <w:jc w:val="both"/>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u w:val="single"/>
              </w:rPr>
              <w:t>合同签订后，自接到采购人通知之日起30个日历天内完成全部货物的供货、安装、调试。</w:t>
            </w:r>
          </w:p>
        </w:tc>
      </w:tr>
      <w:tr w14:paraId="3B377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39DAFF57">
            <w:pPr>
              <w:pStyle w:val="46"/>
              <w:pBdr>
                <w:bottom w:val="none" w:color="auto" w:sz="0" w:space="0"/>
              </w:pBdr>
              <w:tabs>
                <w:tab w:val="clear" w:pos="4153"/>
                <w:tab w:val="clear" w:pos="8306"/>
              </w:tabs>
              <w:adjustRightInd/>
              <w:spacing w:line="240" w:lineRule="auto"/>
              <w:textAlignment w:val="auto"/>
              <w:rPr>
                <w:rFonts w:hint="eastAsia" w:ascii="宋体" w:hAnsi="宋体" w:eastAsia="宋体" w:cs="宋体"/>
                <w:bCs/>
                <w:color w:val="auto"/>
                <w:kern w:val="2"/>
                <w:highlight w:val="none"/>
              </w:rPr>
            </w:pPr>
            <w:r>
              <w:rPr>
                <w:rFonts w:hint="eastAsia" w:ascii="宋体" w:hAnsi="宋体" w:eastAsia="宋体" w:cs="宋体"/>
                <w:bCs/>
                <w:color w:val="auto"/>
                <w:kern w:val="2"/>
                <w:highlight w:val="none"/>
              </w:rPr>
              <w:t>4</w:t>
            </w:r>
          </w:p>
        </w:tc>
        <w:tc>
          <w:tcPr>
            <w:tcW w:w="1192" w:type="pct"/>
            <w:vAlign w:val="center"/>
          </w:tcPr>
          <w:p w14:paraId="21827942">
            <w:pPr>
              <w:pStyle w:val="45"/>
              <w:widowControl w:val="0"/>
              <w:spacing w:before="0" w:beforeAutospacing="0" w:after="0" w:afterAutospacing="0" w:line="360" w:lineRule="auto"/>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rPr>
              <w:t>免费质保期</w:t>
            </w:r>
          </w:p>
        </w:tc>
        <w:tc>
          <w:tcPr>
            <w:tcW w:w="3217" w:type="pct"/>
            <w:vAlign w:val="center"/>
          </w:tcPr>
          <w:p w14:paraId="2572ABD9">
            <w:pPr>
              <w:pStyle w:val="45"/>
              <w:widowControl w:val="0"/>
              <w:spacing w:before="0" w:beforeAutospacing="0" w:after="0" w:afterAutospacing="0" w:line="360" w:lineRule="auto"/>
              <w:jc w:val="both"/>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u w:val="single"/>
              </w:rPr>
              <w:t>中标人须提供至少3年（自验收合格之日起）的免费质保服务（具体以投标承诺为准）。</w:t>
            </w:r>
          </w:p>
        </w:tc>
      </w:tr>
    </w:tbl>
    <w:p w14:paraId="5A41C823">
      <w:pPr>
        <w:spacing w:line="360" w:lineRule="auto"/>
        <w:ind w:firstLine="437"/>
        <w:outlineLvl w:val="1"/>
        <w:rPr>
          <w:rFonts w:hint="eastAsia" w:ascii="宋体" w:hAnsi="宋体" w:eastAsia="宋体" w:cs="宋体"/>
          <w:b/>
          <w:bCs/>
          <w:color w:val="auto"/>
          <w:sz w:val="24"/>
          <w:szCs w:val="18"/>
          <w:highlight w:val="none"/>
        </w:rPr>
      </w:pPr>
      <w:bookmarkStart w:id="25" w:name="_Toc7671"/>
      <w:bookmarkStart w:id="26" w:name="_Toc5944"/>
      <w:r>
        <w:rPr>
          <w:rFonts w:hint="eastAsia" w:ascii="宋体" w:hAnsi="宋体" w:eastAsia="宋体" w:cs="宋体"/>
          <w:b/>
          <w:bCs/>
          <w:color w:val="auto"/>
          <w:sz w:val="24"/>
          <w:szCs w:val="18"/>
          <w:highlight w:val="none"/>
        </w:rPr>
        <w:t>二、</w:t>
      </w:r>
      <w:r>
        <w:rPr>
          <w:rFonts w:hint="eastAsia" w:ascii="宋体" w:hAnsi="宋体" w:eastAsia="宋体" w:cs="宋体"/>
          <w:b/>
          <w:color w:val="auto"/>
          <w:sz w:val="24"/>
          <w:szCs w:val="18"/>
          <w:highlight w:val="none"/>
        </w:rPr>
        <w:t>货物</w:t>
      </w:r>
      <w:r>
        <w:rPr>
          <w:rFonts w:hint="eastAsia" w:ascii="宋体" w:hAnsi="宋体" w:eastAsia="宋体" w:cs="宋体"/>
          <w:b/>
          <w:bCs/>
          <w:color w:val="auto"/>
          <w:sz w:val="24"/>
          <w:szCs w:val="18"/>
          <w:highlight w:val="none"/>
        </w:rPr>
        <w:t>需求</w:t>
      </w:r>
      <w:bookmarkEnd w:id="25"/>
      <w:bookmarkEnd w:id="26"/>
    </w:p>
    <w:tbl>
      <w:tblPr>
        <w:tblStyle w:val="27"/>
        <w:tblW w:w="55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3"/>
        <w:gridCol w:w="1199"/>
        <w:gridCol w:w="3640"/>
        <w:gridCol w:w="954"/>
        <w:gridCol w:w="917"/>
        <w:gridCol w:w="1221"/>
        <w:gridCol w:w="831"/>
      </w:tblGrid>
      <w:tr w14:paraId="0E6CF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tcBorders>
              <w:top w:val="single" w:color="auto" w:sz="4" w:space="0"/>
              <w:left w:val="single" w:color="auto" w:sz="4" w:space="0"/>
              <w:bottom w:val="single" w:color="auto" w:sz="4" w:space="0"/>
              <w:right w:val="single" w:color="auto" w:sz="4" w:space="0"/>
            </w:tcBorders>
            <w:vAlign w:val="center"/>
          </w:tcPr>
          <w:p w14:paraId="28A7DED4">
            <w:pPr>
              <w:spacing w:line="360" w:lineRule="auto"/>
              <w:jc w:val="center"/>
              <w:rPr>
                <w:rFonts w:hint="eastAsia" w:ascii="宋体" w:hAnsi="宋体" w:eastAsia="宋体" w:cs="宋体"/>
                <w:b/>
                <w:bCs/>
                <w:color w:val="auto"/>
                <w:sz w:val="24"/>
                <w:szCs w:val="24"/>
                <w:highlight w:val="none"/>
              </w:rPr>
            </w:pPr>
            <w:bookmarkStart w:id="27" w:name="_Toc7421"/>
            <w:bookmarkStart w:id="28" w:name="_Toc4843"/>
            <w:r>
              <w:rPr>
                <w:rFonts w:hint="eastAsia" w:ascii="宋体" w:hAnsi="宋体" w:eastAsia="宋体" w:cs="宋体"/>
                <w:b/>
                <w:bCs/>
                <w:color w:val="auto"/>
                <w:sz w:val="24"/>
                <w:szCs w:val="24"/>
                <w:highlight w:val="none"/>
                <w:lang w:bidi="ar"/>
              </w:rPr>
              <w:t>序号</w:t>
            </w:r>
          </w:p>
        </w:tc>
        <w:tc>
          <w:tcPr>
            <w:tcW w:w="638" w:type="pct"/>
            <w:tcBorders>
              <w:top w:val="single" w:color="auto" w:sz="4" w:space="0"/>
              <w:left w:val="single" w:color="auto" w:sz="4" w:space="0"/>
              <w:bottom w:val="single" w:color="auto" w:sz="4" w:space="0"/>
              <w:right w:val="single" w:color="auto" w:sz="4" w:space="0"/>
            </w:tcBorders>
            <w:vAlign w:val="center"/>
          </w:tcPr>
          <w:p w14:paraId="4B1C2503">
            <w:pPr>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货物名称</w:t>
            </w:r>
          </w:p>
        </w:tc>
        <w:tc>
          <w:tcPr>
            <w:tcW w:w="1937" w:type="pct"/>
            <w:tcBorders>
              <w:top w:val="single" w:color="auto" w:sz="4" w:space="0"/>
              <w:left w:val="single" w:color="auto" w:sz="4" w:space="0"/>
              <w:bottom w:val="single" w:color="auto" w:sz="4" w:space="0"/>
              <w:right w:val="single" w:color="auto" w:sz="4" w:space="0"/>
            </w:tcBorders>
            <w:vAlign w:val="center"/>
          </w:tcPr>
          <w:p w14:paraId="11C4AE32">
            <w:pPr>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技术参数及要求</w:t>
            </w:r>
          </w:p>
        </w:tc>
        <w:tc>
          <w:tcPr>
            <w:tcW w:w="507" w:type="pct"/>
            <w:tcBorders>
              <w:top w:val="single" w:color="auto" w:sz="4" w:space="0"/>
              <w:left w:val="single" w:color="auto" w:sz="4" w:space="0"/>
              <w:bottom w:val="single" w:color="auto" w:sz="4" w:space="0"/>
              <w:right w:val="single" w:color="auto" w:sz="4" w:space="0"/>
            </w:tcBorders>
            <w:vAlign w:val="center"/>
          </w:tcPr>
          <w:p w14:paraId="415B804B">
            <w:pPr>
              <w:spacing w:line="360" w:lineRule="auto"/>
              <w:jc w:val="center"/>
              <w:rPr>
                <w:rFonts w:hint="eastAsia" w:ascii="宋体" w:hAnsi="宋体" w:eastAsia="宋体" w:cs="宋体"/>
                <w:b/>
                <w:bCs/>
                <w:color w:val="auto"/>
                <w:sz w:val="24"/>
                <w:szCs w:val="24"/>
                <w:highlight w:val="none"/>
                <w:lang w:bidi="ar"/>
              </w:rPr>
            </w:pPr>
            <w:r>
              <w:rPr>
                <w:rFonts w:hint="eastAsia" w:ascii="宋体" w:hAnsi="宋体" w:eastAsia="宋体" w:cs="宋体"/>
                <w:b/>
                <w:bCs/>
                <w:color w:val="auto"/>
                <w:sz w:val="24"/>
                <w:szCs w:val="24"/>
                <w:highlight w:val="none"/>
                <w:lang w:bidi="ar"/>
              </w:rPr>
              <w:t>数量</w:t>
            </w:r>
          </w:p>
          <w:p w14:paraId="6E5585B3">
            <w:pPr>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（单位）</w:t>
            </w:r>
          </w:p>
        </w:tc>
        <w:tc>
          <w:tcPr>
            <w:tcW w:w="488" w:type="pct"/>
            <w:tcBorders>
              <w:top w:val="single" w:color="auto" w:sz="4" w:space="0"/>
              <w:left w:val="single" w:color="auto" w:sz="4" w:space="0"/>
              <w:bottom w:val="single" w:color="auto" w:sz="4" w:space="0"/>
              <w:right w:val="single" w:color="auto" w:sz="4" w:space="0"/>
            </w:tcBorders>
            <w:vAlign w:val="center"/>
          </w:tcPr>
          <w:p w14:paraId="61F716AA">
            <w:pPr>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所属</w:t>
            </w:r>
          </w:p>
          <w:p w14:paraId="5F2D74A9">
            <w:pPr>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行业</w:t>
            </w:r>
          </w:p>
        </w:tc>
        <w:tc>
          <w:tcPr>
            <w:tcW w:w="649" w:type="pct"/>
            <w:tcBorders>
              <w:top w:val="single" w:color="auto" w:sz="4" w:space="0"/>
              <w:left w:val="single" w:color="auto" w:sz="4" w:space="0"/>
              <w:bottom w:val="single" w:color="auto" w:sz="4" w:space="0"/>
              <w:right w:val="single" w:color="auto" w:sz="4" w:space="0"/>
            </w:tcBorders>
            <w:vAlign w:val="center"/>
          </w:tcPr>
          <w:p w14:paraId="6DE16FBA">
            <w:pPr>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是否为核心产品</w:t>
            </w:r>
          </w:p>
        </w:tc>
        <w:tc>
          <w:tcPr>
            <w:tcW w:w="442" w:type="pct"/>
            <w:tcBorders>
              <w:top w:val="single" w:color="auto" w:sz="4" w:space="0"/>
              <w:left w:val="single" w:color="auto" w:sz="4" w:space="0"/>
              <w:bottom w:val="single" w:color="auto" w:sz="4" w:space="0"/>
              <w:right w:val="single" w:color="auto" w:sz="4" w:space="0"/>
            </w:tcBorders>
            <w:vAlign w:val="center"/>
          </w:tcPr>
          <w:p w14:paraId="7C8827D4">
            <w:pPr>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单价最高限价</w:t>
            </w:r>
          </w:p>
        </w:tc>
      </w:tr>
      <w:tr w14:paraId="699DE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36" w:type="pct"/>
            <w:tcBorders>
              <w:top w:val="single" w:color="auto" w:sz="4" w:space="0"/>
              <w:left w:val="single" w:color="auto" w:sz="4" w:space="0"/>
              <w:bottom w:val="single" w:color="auto" w:sz="4" w:space="0"/>
              <w:right w:val="single" w:color="auto" w:sz="4" w:space="0"/>
            </w:tcBorders>
            <w:vAlign w:val="center"/>
          </w:tcPr>
          <w:p w14:paraId="05D5143F">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rPr>
              <w:t>1</w:t>
            </w:r>
          </w:p>
        </w:tc>
        <w:tc>
          <w:tcPr>
            <w:tcW w:w="638" w:type="pct"/>
            <w:tcBorders>
              <w:top w:val="single" w:color="auto" w:sz="4" w:space="0"/>
              <w:left w:val="single" w:color="auto" w:sz="4" w:space="0"/>
              <w:bottom w:val="single" w:color="auto" w:sz="4" w:space="0"/>
              <w:right w:val="single" w:color="auto" w:sz="4" w:space="0"/>
            </w:tcBorders>
            <w:vAlign w:val="center"/>
          </w:tcPr>
          <w:p w14:paraId="5A7675A0">
            <w:pPr>
              <w:widowControl/>
              <w:jc w:val="center"/>
              <w:textAlignment w:val="center"/>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lang w:bidi="ar"/>
              </w:rPr>
              <w:t>办公桌1</w:t>
            </w:r>
          </w:p>
        </w:tc>
        <w:tc>
          <w:tcPr>
            <w:tcW w:w="1937" w:type="pct"/>
            <w:tcBorders>
              <w:top w:val="single" w:color="auto" w:sz="4" w:space="0"/>
              <w:left w:val="single" w:color="auto" w:sz="4" w:space="0"/>
              <w:bottom w:val="single" w:color="auto" w:sz="4" w:space="0"/>
              <w:right w:val="single" w:color="auto" w:sz="4" w:space="0"/>
            </w:tcBorders>
            <w:vAlign w:val="center"/>
          </w:tcPr>
          <w:p w14:paraId="0D8B5292">
            <w:pPr>
              <w:widowControl/>
              <w:wordWrap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1.规格：主桌：1600*800*760mm；附柜：1200*400*650mm；小柜：450*400*650mm；</w:t>
            </w:r>
          </w:p>
          <w:p w14:paraId="34EB5D8B">
            <w:pPr>
              <w:widowControl/>
              <w:wordWrap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2.基材：实木多层板；</w:t>
            </w:r>
          </w:p>
          <w:p w14:paraId="4470614E">
            <w:pPr>
              <w:widowControl/>
              <w:wordWrap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3.胡桃木皮贴面，厚度≥0.8mm，无贯通裂缝、虫蛀、腐朽材。</w:t>
            </w:r>
          </w:p>
          <w:p w14:paraId="2651D5F0">
            <w:pPr>
              <w:widowControl/>
              <w:wordWrap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4.五金配件：采用不锈钢缓冲门铰；抽屉使用三节式钢珠滑轨。</w:t>
            </w:r>
          </w:p>
        </w:tc>
        <w:tc>
          <w:tcPr>
            <w:tcW w:w="507" w:type="pct"/>
            <w:tcBorders>
              <w:top w:val="single" w:color="auto" w:sz="4" w:space="0"/>
              <w:left w:val="single" w:color="auto" w:sz="4" w:space="0"/>
              <w:bottom w:val="single" w:color="auto" w:sz="4" w:space="0"/>
              <w:right w:val="single" w:color="auto" w:sz="4" w:space="0"/>
            </w:tcBorders>
            <w:vAlign w:val="center"/>
          </w:tcPr>
          <w:p w14:paraId="2C89218B">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lang w:bidi="ar"/>
              </w:rPr>
              <w:t>30张</w:t>
            </w:r>
          </w:p>
        </w:tc>
        <w:tc>
          <w:tcPr>
            <w:tcW w:w="488" w:type="pct"/>
            <w:tcBorders>
              <w:top w:val="single" w:color="auto" w:sz="4" w:space="0"/>
              <w:left w:val="single" w:color="auto" w:sz="4" w:space="0"/>
              <w:bottom w:val="single" w:color="auto" w:sz="4" w:space="0"/>
              <w:right w:val="single" w:color="auto" w:sz="4" w:space="0"/>
            </w:tcBorders>
            <w:vAlign w:val="center"/>
          </w:tcPr>
          <w:p w14:paraId="23D8A4AB">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工业</w:t>
            </w:r>
          </w:p>
        </w:tc>
        <w:tc>
          <w:tcPr>
            <w:tcW w:w="649" w:type="pct"/>
            <w:tcBorders>
              <w:top w:val="single" w:color="auto" w:sz="4" w:space="0"/>
              <w:left w:val="single" w:color="auto" w:sz="4" w:space="0"/>
              <w:bottom w:val="single" w:color="auto" w:sz="4" w:space="0"/>
              <w:right w:val="single" w:color="auto" w:sz="4" w:space="0"/>
            </w:tcBorders>
            <w:vAlign w:val="center"/>
          </w:tcPr>
          <w:p w14:paraId="4931FF6C">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否</w:t>
            </w:r>
          </w:p>
        </w:tc>
        <w:tc>
          <w:tcPr>
            <w:tcW w:w="442" w:type="pct"/>
            <w:tcBorders>
              <w:top w:val="single" w:color="auto" w:sz="4" w:space="0"/>
              <w:left w:val="single" w:color="auto" w:sz="4" w:space="0"/>
              <w:bottom w:val="single" w:color="auto" w:sz="4" w:space="0"/>
              <w:right w:val="single" w:color="auto" w:sz="4" w:space="0"/>
            </w:tcBorders>
            <w:vAlign w:val="center"/>
          </w:tcPr>
          <w:p w14:paraId="1E20C121">
            <w:pPr>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1100元/张</w:t>
            </w:r>
          </w:p>
        </w:tc>
      </w:tr>
      <w:tr w14:paraId="2444D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tcBorders>
              <w:top w:val="single" w:color="auto" w:sz="4" w:space="0"/>
              <w:left w:val="single" w:color="auto" w:sz="4" w:space="0"/>
              <w:bottom w:val="single" w:color="auto" w:sz="4" w:space="0"/>
              <w:right w:val="single" w:color="auto" w:sz="4" w:space="0"/>
            </w:tcBorders>
            <w:vAlign w:val="center"/>
          </w:tcPr>
          <w:p w14:paraId="68FCEA1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638" w:type="pct"/>
            <w:tcBorders>
              <w:top w:val="single" w:color="auto" w:sz="4" w:space="0"/>
              <w:left w:val="single" w:color="auto" w:sz="4" w:space="0"/>
              <w:bottom w:val="single" w:color="auto" w:sz="4" w:space="0"/>
              <w:right w:val="single" w:color="auto" w:sz="4" w:space="0"/>
            </w:tcBorders>
            <w:vAlign w:val="center"/>
          </w:tcPr>
          <w:p w14:paraId="49AC78F3">
            <w:pPr>
              <w:widowControl/>
              <w:jc w:val="center"/>
              <w:textAlignment w:val="center"/>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lang w:bidi="ar"/>
              </w:rPr>
              <w:t>办公椅1</w:t>
            </w:r>
          </w:p>
        </w:tc>
        <w:tc>
          <w:tcPr>
            <w:tcW w:w="1937" w:type="pct"/>
            <w:tcBorders>
              <w:top w:val="single" w:color="auto" w:sz="4" w:space="0"/>
              <w:left w:val="single" w:color="auto" w:sz="4" w:space="0"/>
              <w:bottom w:val="single" w:color="auto" w:sz="4" w:space="0"/>
              <w:right w:val="single" w:color="auto" w:sz="4" w:space="0"/>
            </w:tcBorders>
            <w:vAlign w:val="center"/>
          </w:tcPr>
          <w:p w14:paraId="78A8D5E5">
            <w:pPr>
              <w:widowControl/>
              <w:wordWrap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1.办公椅座垫海绵：阻燃定型海绵；坐垫、椅背接触面头层牛皮；</w:t>
            </w:r>
          </w:p>
          <w:p w14:paraId="0022A74F">
            <w:pPr>
              <w:widowControl/>
              <w:wordWrap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2.办公椅外框架：采用硬质实木；胡桃木皮贴面，厚度≥0.8mm，无贯通裂缝、虫蛀、腐朽材；     </w:t>
            </w:r>
          </w:p>
          <w:p w14:paraId="4C793194">
            <w:pPr>
              <w:widowControl/>
              <w:wordWrap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3.办公椅规格：宽630*深680*高880mm。</w:t>
            </w:r>
          </w:p>
        </w:tc>
        <w:tc>
          <w:tcPr>
            <w:tcW w:w="507" w:type="pct"/>
            <w:tcBorders>
              <w:top w:val="single" w:color="auto" w:sz="4" w:space="0"/>
              <w:left w:val="single" w:color="auto" w:sz="4" w:space="0"/>
              <w:bottom w:val="single" w:color="auto" w:sz="4" w:space="0"/>
              <w:right w:val="single" w:color="auto" w:sz="4" w:space="0"/>
            </w:tcBorders>
            <w:vAlign w:val="center"/>
          </w:tcPr>
          <w:p w14:paraId="606FD73A">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lang w:bidi="ar"/>
              </w:rPr>
              <w:t>30把</w:t>
            </w:r>
          </w:p>
        </w:tc>
        <w:tc>
          <w:tcPr>
            <w:tcW w:w="488" w:type="pct"/>
            <w:tcBorders>
              <w:top w:val="single" w:color="auto" w:sz="4" w:space="0"/>
              <w:left w:val="single" w:color="auto" w:sz="4" w:space="0"/>
              <w:bottom w:val="single" w:color="auto" w:sz="4" w:space="0"/>
              <w:right w:val="single" w:color="auto" w:sz="4" w:space="0"/>
            </w:tcBorders>
            <w:vAlign w:val="center"/>
          </w:tcPr>
          <w:p w14:paraId="3DA0B9D7">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工业</w:t>
            </w:r>
          </w:p>
        </w:tc>
        <w:tc>
          <w:tcPr>
            <w:tcW w:w="649" w:type="pct"/>
            <w:tcBorders>
              <w:top w:val="single" w:color="auto" w:sz="4" w:space="0"/>
              <w:left w:val="single" w:color="auto" w:sz="4" w:space="0"/>
              <w:bottom w:val="single" w:color="auto" w:sz="4" w:space="0"/>
              <w:right w:val="single" w:color="auto" w:sz="4" w:space="0"/>
            </w:tcBorders>
            <w:vAlign w:val="center"/>
          </w:tcPr>
          <w:p w14:paraId="5A064AEA">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否</w:t>
            </w:r>
          </w:p>
        </w:tc>
        <w:tc>
          <w:tcPr>
            <w:tcW w:w="442" w:type="pct"/>
            <w:tcBorders>
              <w:top w:val="single" w:color="auto" w:sz="4" w:space="0"/>
              <w:left w:val="single" w:color="auto" w:sz="4" w:space="0"/>
              <w:bottom w:val="single" w:color="auto" w:sz="4" w:space="0"/>
              <w:right w:val="single" w:color="auto" w:sz="4" w:space="0"/>
            </w:tcBorders>
            <w:vAlign w:val="center"/>
          </w:tcPr>
          <w:p w14:paraId="3E74DCBB">
            <w:pPr>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400元/把</w:t>
            </w:r>
          </w:p>
        </w:tc>
      </w:tr>
      <w:tr w14:paraId="48867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336" w:type="pct"/>
            <w:tcBorders>
              <w:top w:val="single" w:color="auto" w:sz="4" w:space="0"/>
              <w:left w:val="single" w:color="auto" w:sz="4" w:space="0"/>
              <w:bottom w:val="single" w:color="auto" w:sz="4" w:space="0"/>
              <w:right w:val="single" w:color="auto" w:sz="4" w:space="0"/>
            </w:tcBorders>
            <w:vAlign w:val="center"/>
          </w:tcPr>
          <w:p w14:paraId="7FFC491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638" w:type="pct"/>
            <w:tcBorders>
              <w:top w:val="single" w:color="auto" w:sz="4" w:space="0"/>
              <w:left w:val="single" w:color="auto" w:sz="4" w:space="0"/>
              <w:bottom w:val="single" w:color="auto" w:sz="4" w:space="0"/>
              <w:right w:val="single" w:color="auto" w:sz="4" w:space="0"/>
            </w:tcBorders>
            <w:vAlign w:val="center"/>
          </w:tcPr>
          <w:p w14:paraId="0C8C2ED4">
            <w:pPr>
              <w:widowControl/>
              <w:jc w:val="center"/>
              <w:textAlignment w:val="center"/>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lang w:bidi="ar"/>
              </w:rPr>
              <w:t>会议桌</w:t>
            </w:r>
          </w:p>
        </w:tc>
        <w:tc>
          <w:tcPr>
            <w:tcW w:w="1937" w:type="pct"/>
            <w:tcBorders>
              <w:top w:val="single" w:color="auto" w:sz="4" w:space="0"/>
              <w:left w:val="single" w:color="auto" w:sz="4" w:space="0"/>
              <w:bottom w:val="single" w:color="auto" w:sz="4" w:space="0"/>
              <w:right w:val="single" w:color="auto" w:sz="4" w:space="0"/>
            </w:tcBorders>
            <w:vAlign w:val="center"/>
          </w:tcPr>
          <w:p w14:paraId="78ED3515">
            <w:pPr>
              <w:widowControl/>
              <w:wordWrap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1.规格：10000*2000*780mm；</w:t>
            </w:r>
          </w:p>
          <w:p w14:paraId="3F1A5E11">
            <w:pPr>
              <w:widowControl/>
              <w:wordWrap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2.基材：实木多层板，</w:t>
            </w:r>
          </w:p>
          <w:p w14:paraId="71977A54">
            <w:pPr>
              <w:widowControl/>
              <w:wordWrap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3.胡桃木皮贴面，厚度≥0.8mm，无贯通裂缝、虫蛀、腐朽材。</w:t>
            </w:r>
          </w:p>
        </w:tc>
        <w:tc>
          <w:tcPr>
            <w:tcW w:w="507" w:type="pct"/>
            <w:tcBorders>
              <w:top w:val="single" w:color="auto" w:sz="4" w:space="0"/>
              <w:left w:val="single" w:color="auto" w:sz="4" w:space="0"/>
              <w:bottom w:val="single" w:color="auto" w:sz="4" w:space="0"/>
              <w:right w:val="single" w:color="auto" w:sz="4" w:space="0"/>
            </w:tcBorders>
            <w:vAlign w:val="center"/>
          </w:tcPr>
          <w:p w14:paraId="5B3CE5A5">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2张</w:t>
            </w:r>
          </w:p>
        </w:tc>
        <w:tc>
          <w:tcPr>
            <w:tcW w:w="488" w:type="pct"/>
            <w:tcBorders>
              <w:top w:val="single" w:color="auto" w:sz="4" w:space="0"/>
              <w:left w:val="single" w:color="auto" w:sz="4" w:space="0"/>
              <w:bottom w:val="single" w:color="auto" w:sz="4" w:space="0"/>
              <w:right w:val="single" w:color="auto" w:sz="4" w:space="0"/>
            </w:tcBorders>
            <w:vAlign w:val="center"/>
          </w:tcPr>
          <w:p w14:paraId="4A42D1F8">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工业</w:t>
            </w:r>
          </w:p>
        </w:tc>
        <w:tc>
          <w:tcPr>
            <w:tcW w:w="649" w:type="pct"/>
            <w:tcBorders>
              <w:top w:val="single" w:color="auto" w:sz="4" w:space="0"/>
              <w:left w:val="single" w:color="auto" w:sz="4" w:space="0"/>
              <w:bottom w:val="single" w:color="auto" w:sz="4" w:space="0"/>
              <w:right w:val="single" w:color="auto" w:sz="4" w:space="0"/>
            </w:tcBorders>
            <w:vAlign w:val="center"/>
          </w:tcPr>
          <w:p w14:paraId="007DE792">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否</w:t>
            </w:r>
          </w:p>
        </w:tc>
        <w:tc>
          <w:tcPr>
            <w:tcW w:w="442" w:type="pct"/>
            <w:tcBorders>
              <w:top w:val="single" w:color="auto" w:sz="4" w:space="0"/>
              <w:left w:val="single" w:color="auto" w:sz="4" w:space="0"/>
              <w:bottom w:val="single" w:color="auto" w:sz="4" w:space="0"/>
              <w:right w:val="single" w:color="auto" w:sz="4" w:space="0"/>
            </w:tcBorders>
            <w:vAlign w:val="center"/>
          </w:tcPr>
          <w:p w14:paraId="792982A9">
            <w:pPr>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28000元/张</w:t>
            </w:r>
          </w:p>
        </w:tc>
      </w:tr>
      <w:tr w14:paraId="0A687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6" w:type="pct"/>
            <w:tcBorders>
              <w:top w:val="single" w:color="auto" w:sz="4" w:space="0"/>
              <w:left w:val="single" w:color="auto" w:sz="4" w:space="0"/>
              <w:bottom w:val="single" w:color="auto" w:sz="4" w:space="0"/>
              <w:right w:val="single" w:color="auto" w:sz="4" w:space="0"/>
            </w:tcBorders>
            <w:vAlign w:val="center"/>
          </w:tcPr>
          <w:p w14:paraId="69978A7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638" w:type="pct"/>
            <w:tcBorders>
              <w:top w:val="single" w:color="auto" w:sz="4" w:space="0"/>
              <w:left w:val="single" w:color="auto" w:sz="4" w:space="0"/>
              <w:bottom w:val="single" w:color="auto" w:sz="4" w:space="0"/>
              <w:right w:val="single" w:color="auto" w:sz="4" w:space="0"/>
            </w:tcBorders>
            <w:vAlign w:val="center"/>
          </w:tcPr>
          <w:p w14:paraId="75A7ADC6">
            <w:pPr>
              <w:widowControl/>
              <w:jc w:val="center"/>
              <w:textAlignment w:val="center"/>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lang w:bidi="ar"/>
              </w:rPr>
              <w:t>茶水柜</w:t>
            </w:r>
          </w:p>
        </w:tc>
        <w:tc>
          <w:tcPr>
            <w:tcW w:w="1937" w:type="pct"/>
            <w:tcBorders>
              <w:top w:val="single" w:color="auto" w:sz="4" w:space="0"/>
              <w:left w:val="single" w:color="auto" w:sz="4" w:space="0"/>
              <w:bottom w:val="single" w:color="auto" w:sz="4" w:space="0"/>
              <w:right w:val="single" w:color="auto" w:sz="4" w:space="0"/>
            </w:tcBorders>
            <w:vAlign w:val="center"/>
          </w:tcPr>
          <w:p w14:paraId="3CC28E20">
            <w:pPr>
              <w:widowControl/>
              <w:wordWrap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1.规格：800*400*850mm（（站板、层板、底板厚度18mm、背板厚度9mm，门板厚度22mm)；</w:t>
            </w:r>
          </w:p>
          <w:p w14:paraId="0ED32B95">
            <w:pPr>
              <w:widowControl/>
              <w:wordWrap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2.基材：实木多层板；</w:t>
            </w:r>
          </w:p>
          <w:p w14:paraId="563BB152">
            <w:pPr>
              <w:widowControl/>
              <w:wordWrap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3.台面：采用复合亚克力石英石制作，厚度≥1.2cm。</w:t>
            </w:r>
          </w:p>
        </w:tc>
        <w:tc>
          <w:tcPr>
            <w:tcW w:w="507" w:type="pct"/>
            <w:tcBorders>
              <w:top w:val="single" w:color="auto" w:sz="4" w:space="0"/>
              <w:left w:val="single" w:color="auto" w:sz="4" w:space="0"/>
              <w:bottom w:val="single" w:color="auto" w:sz="4" w:space="0"/>
              <w:right w:val="single" w:color="auto" w:sz="4" w:space="0"/>
            </w:tcBorders>
            <w:vAlign w:val="center"/>
          </w:tcPr>
          <w:p w14:paraId="4B0E677D">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lang w:bidi="ar"/>
              </w:rPr>
              <w:t>4组</w:t>
            </w:r>
          </w:p>
        </w:tc>
        <w:tc>
          <w:tcPr>
            <w:tcW w:w="488" w:type="pct"/>
            <w:tcBorders>
              <w:top w:val="single" w:color="auto" w:sz="4" w:space="0"/>
              <w:left w:val="single" w:color="auto" w:sz="4" w:space="0"/>
              <w:bottom w:val="single" w:color="auto" w:sz="4" w:space="0"/>
              <w:right w:val="single" w:color="auto" w:sz="4" w:space="0"/>
            </w:tcBorders>
            <w:vAlign w:val="center"/>
          </w:tcPr>
          <w:p w14:paraId="02A4F1F1">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工业</w:t>
            </w:r>
          </w:p>
        </w:tc>
        <w:tc>
          <w:tcPr>
            <w:tcW w:w="649" w:type="pct"/>
            <w:tcBorders>
              <w:top w:val="single" w:color="auto" w:sz="4" w:space="0"/>
              <w:left w:val="single" w:color="auto" w:sz="4" w:space="0"/>
              <w:bottom w:val="single" w:color="auto" w:sz="4" w:space="0"/>
              <w:right w:val="single" w:color="auto" w:sz="4" w:space="0"/>
            </w:tcBorders>
            <w:vAlign w:val="center"/>
          </w:tcPr>
          <w:p w14:paraId="0CE261A0">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否</w:t>
            </w:r>
          </w:p>
        </w:tc>
        <w:tc>
          <w:tcPr>
            <w:tcW w:w="442" w:type="pct"/>
            <w:tcBorders>
              <w:top w:val="single" w:color="auto" w:sz="4" w:space="0"/>
              <w:left w:val="single" w:color="auto" w:sz="4" w:space="0"/>
              <w:bottom w:val="single" w:color="auto" w:sz="4" w:space="0"/>
              <w:right w:val="single" w:color="auto" w:sz="4" w:space="0"/>
            </w:tcBorders>
            <w:vAlign w:val="center"/>
          </w:tcPr>
          <w:p w14:paraId="63C7FE02">
            <w:pPr>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800元/组</w:t>
            </w:r>
          </w:p>
        </w:tc>
      </w:tr>
      <w:tr w14:paraId="5A525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tcBorders>
              <w:top w:val="single" w:color="auto" w:sz="4" w:space="0"/>
              <w:left w:val="single" w:color="auto" w:sz="4" w:space="0"/>
              <w:bottom w:val="single" w:color="auto" w:sz="4" w:space="0"/>
              <w:right w:val="single" w:color="auto" w:sz="4" w:space="0"/>
            </w:tcBorders>
            <w:vAlign w:val="center"/>
          </w:tcPr>
          <w:p w14:paraId="44E19F19">
            <w:pPr>
              <w:jc w:val="center"/>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lang w:val="en-US" w:eastAsia="zh-CN"/>
              </w:rPr>
              <w:t>5</w:t>
            </w:r>
          </w:p>
        </w:tc>
        <w:tc>
          <w:tcPr>
            <w:tcW w:w="638" w:type="pct"/>
            <w:tcBorders>
              <w:top w:val="single" w:color="auto" w:sz="4" w:space="0"/>
              <w:left w:val="single" w:color="auto" w:sz="4" w:space="0"/>
              <w:bottom w:val="single" w:color="auto" w:sz="4" w:space="0"/>
              <w:right w:val="single" w:color="auto" w:sz="4" w:space="0"/>
            </w:tcBorders>
            <w:vAlign w:val="center"/>
          </w:tcPr>
          <w:p w14:paraId="1EA15AB9">
            <w:pPr>
              <w:widowControl/>
              <w:jc w:val="center"/>
              <w:textAlignment w:val="center"/>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lang w:bidi="ar"/>
              </w:rPr>
              <w:t>条桌</w:t>
            </w:r>
          </w:p>
        </w:tc>
        <w:tc>
          <w:tcPr>
            <w:tcW w:w="1937" w:type="pct"/>
            <w:tcBorders>
              <w:top w:val="single" w:color="auto" w:sz="4" w:space="0"/>
              <w:left w:val="single" w:color="auto" w:sz="4" w:space="0"/>
              <w:bottom w:val="single" w:color="auto" w:sz="4" w:space="0"/>
              <w:right w:val="single" w:color="auto" w:sz="4" w:space="0"/>
            </w:tcBorders>
            <w:vAlign w:val="center"/>
          </w:tcPr>
          <w:p w14:paraId="2F22407A">
            <w:pPr>
              <w:widowControl/>
              <w:wordWrap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1.规格：600*500*760mm（根据现场尺寸进行定制）；</w:t>
            </w:r>
          </w:p>
          <w:p w14:paraId="501056EB">
            <w:pPr>
              <w:widowControl/>
              <w:wordWrap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2.基材：EO级实木多层板基材；</w:t>
            </w:r>
          </w:p>
          <w:p w14:paraId="1DE363F8">
            <w:pPr>
              <w:widowControl/>
              <w:wordWrap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3.胡桃木皮贴面，厚度≥0.8mm，无贯通裂缝、虫蛀、腐朽材。</w:t>
            </w:r>
          </w:p>
        </w:tc>
        <w:tc>
          <w:tcPr>
            <w:tcW w:w="507" w:type="pct"/>
            <w:tcBorders>
              <w:top w:val="single" w:color="auto" w:sz="4" w:space="0"/>
              <w:left w:val="single" w:color="auto" w:sz="4" w:space="0"/>
              <w:bottom w:val="single" w:color="auto" w:sz="4" w:space="0"/>
              <w:right w:val="single" w:color="auto" w:sz="4" w:space="0"/>
            </w:tcBorders>
            <w:vAlign w:val="center"/>
          </w:tcPr>
          <w:p w14:paraId="377ED877">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lang w:bidi="ar"/>
              </w:rPr>
              <w:t>13位</w:t>
            </w:r>
          </w:p>
        </w:tc>
        <w:tc>
          <w:tcPr>
            <w:tcW w:w="488" w:type="pct"/>
            <w:tcBorders>
              <w:top w:val="single" w:color="auto" w:sz="4" w:space="0"/>
              <w:left w:val="single" w:color="auto" w:sz="4" w:space="0"/>
              <w:bottom w:val="single" w:color="auto" w:sz="4" w:space="0"/>
              <w:right w:val="single" w:color="auto" w:sz="4" w:space="0"/>
            </w:tcBorders>
            <w:vAlign w:val="center"/>
          </w:tcPr>
          <w:p w14:paraId="18432FFD">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工业</w:t>
            </w:r>
          </w:p>
        </w:tc>
        <w:tc>
          <w:tcPr>
            <w:tcW w:w="649" w:type="pct"/>
            <w:tcBorders>
              <w:top w:val="single" w:color="auto" w:sz="4" w:space="0"/>
              <w:left w:val="single" w:color="auto" w:sz="4" w:space="0"/>
              <w:bottom w:val="single" w:color="auto" w:sz="4" w:space="0"/>
              <w:right w:val="single" w:color="auto" w:sz="4" w:space="0"/>
            </w:tcBorders>
            <w:vAlign w:val="center"/>
          </w:tcPr>
          <w:p w14:paraId="6494BFD2">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否</w:t>
            </w:r>
          </w:p>
        </w:tc>
        <w:tc>
          <w:tcPr>
            <w:tcW w:w="442" w:type="pct"/>
            <w:tcBorders>
              <w:top w:val="single" w:color="auto" w:sz="4" w:space="0"/>
              <w:left w:val="single" w:color="auto" w:sz="4" w:space="0"/>
              <w:bottom w:val="single" w:color="auto" w:sz="4" w:space="0"/>
              <w:right w:val="single" w:color="auto" w:sz="4" w:space="0"/>
            </w:tcBorders>
            <w:vAlign w:val="center"/>
          </w:tcPr>
          <w:p w14:paraId="398FBCFF">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550元/位</w:t>
            </w:r>
          </w:p>
        </w:tc>
      </w:tr>
      <w:tr w14:paraId="7D30E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tcBorders>
              <w:top w:val="single" w:color="auto" w:sz="4" w:space="0"/>
              <w:left w:val="single" w:color="auto" w:sz="4" w:space="0"/>
              <w:bottom w:val="single" w:color="auto" w:sz="4" w:space="0"/>
              <w:right w:val="single" w:color="auto" w:sz="4" w:space="0"/>
            </w:tcBorders>
            <w:vAlign w:val="center"/>
          </w:tcPr>
          <w:p w14:paraId="23E38F4E">
            <w:pPr>
              <w:jc w:val="center"/>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lang w:val="en-US" w:eastAsia="zh-CN"/>
              </w:rPr>
              <w:t>6</w:t>
            </w:r>
          </w:p>
        </w:tc>
        <w:tc>
          <w:tcPr>
            <w:tcW w:w="638" w:type="pct"/>
            <w:tcBorders>
              <w:top w:val="single" w:color="auto" w:sz="4" w:space="0"/>
              <w:left w:val="single" w:color="auto" w:sz="4" w:space="0"/>
              <w:bottom w:val="single" w:color="auto" w:sz="4" w:space="0"/>
              <w:right w:val="single" w:color="auto" w:sz="4" w:space="0"/>
            </w:tcBorders>
            <w:vAlign w:val="center"/>
          </w:tcPr>
          <w:p w14:paraId="6BFD7288">
            <w:pPr>
              <w:widowControl/>
              <w:wordWrap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演讲台</w:t>
            </w:r>
          </w:p>
        </w:tc>
        <w:tc>
          <w:tcPr>
            <w:tcW w:w="1937" w:type="pct"/>
            <w:tcBorders>
              <w:top w:val="single" w:color="auto" w:sz="4" w:space="0"/>
              <w:left w:val="single" w:color="auto" w:sz="4" w:space="0"/>
              <w:bottom w:val="single" w:color="auto" w:sz="4" w:space="0"/>
              <w:right w:val="single" w:color="auto" w:sz="4" w:space="0"/>
            </w:tcBorders>
            <w:vAlign w:val="center"/>
          </w:tcPr>
          <w:p w14:paraId="751FCB61">
            <w:pPr>
              <w:widowControl/>
              <w:wordWrap w:val="0"/>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1.规格：730*580*1160mm；</w:t>
            </w:r>
          </w:p>
          <w:p w14:paraId="5FCA51BB">
            <w:pPr>
              <w:widowControl/>
              <w:wordWrap w:val="0"/>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2.基材：实木多层板基材；</w:t>
            </w:r>
          </w:p>
          <w:p w14:paraId="6FAE58C2">
            <w:pPr>
              <w:widowControl/>
              <w:wordWrap w:val="0"/>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3.胡桃木皮贴面，厚度≥0.8mm，无贯通裂缝、虫蛀、腐朽材。</w:t>
            </w:r>
          </w:p>
        </w:tc>
        <w:tc>
          <w:tcPr>
            <w:tcW w:w="507" w:type="pct"/>
            <w:tcBorders>
              <w:top w:val="single" w:color="auto" w:sz="4" w:space="0"/>
              <w:left w:val="single" w:color="auto" w:sz="4" w:space="0"/>
              <w:bottom w:val="single" w:color="auto" w:sz="4" w:space="0"/>
              <w:right w:val="single" w:color="auto" w:sz="4" w:space="0"/>
            </w:tcBorders>
            <w:vAlign w:val="center"/>
          </w:tcPr>
          <w:p w14:paraId="0E9004EA">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1张</w:t>
            </w:r>
          </w:p>
        </w:tc>
        <w:tc>
          <w:tcPr>
            <w:tcW w:w="488" w:type="pct"/>
            <w:tcBorders>
              <w:top w:val="single" w:color="auto" w:sz="4" w:space="0"/>
              <w:left w:val="single" w:color="auto" w:sz="4" w:space="0"/>
              <w:bottom w:val="single" w:color="auto" w:sz="4" w:space="0"/>
              <w:right w:val="single" w:color="auto" w:sz="4" w:space="0"/>
            </w:tcBorders>
            <w:vAlign w:val="center"/>
          </w:tcPr>
          <w:p w14:paraId="461930FE">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工业</w:t>
            </w:r>
          </w:p>
        </w:tc>
        <w:tc>
          <w:tcPr>
            <w:tcW w:w="649" w:type="pct"/>
            <w:tcBorders>
              <w:top w:val="single" w:color="auto" w:sz="4" w:space="0"/>
              <w:left w:val="single" w:color="auto" w:sz="4" w:space="0"/>
              <w:bottom w:val="single" w:color="auto" w:sz="4" w:space="0"/>
              <w:right w:val="single" w:color="auto" w:sz="4" w:space="0"/>
            </w:tcBorders>
            <w:vAlign w:val="center"/>
          </w:tcPr>
          <w:p w14:paraId="4F794BA7">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否</w:t>
            </w:r>
          </w:p>
        </w:tc>
        <w:tc>
          <w:tcPr>
            <w:tcW w:w="442" w:type="pct"/>
            <w:tcBorders>
              <w:top w:val="single" w:color="auto" w:sz="4" w:space="0"/>
              <w:left w:val="single" w:color="auto" w:sz="4" w:space="0"/>
              <w:bottom w:val="single" w:color="auto" w:sz="4" w:space="0"/>
              <w:right w:val="single" w:color="auto" w:sz="4" w:space="0"/>
            </w:tcBorders>
            <w:vAlign w:val="center"/>
          </w:tcPr>
          <w:p w14:paraId="7B58152A">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1500元/张</w:t>
            </w:r>
          </w:p>
        </w:tc>
      </w:tr>
      <w:tr w14:paraId="1C32C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tcBorders>
              <w:top w:val="single" w:color="auto" w:sz="4" w:space="0"/>
              <w:left w:val="single" w:color="auto" w:sz="4" w:space="0"/>
              <w:bottom w:val="single" w:color="auto" w:sz="4" w:space="0"/>
              <w:right w:val="single" w:color="auto" w:sz="4" w:space="0"/>
            </w:tcBorders>
            <w:vAlign w:val="center"/>
          </w:tcPr>
          <w:p w14:paraId="57512F08">
            <w:pPr>
              <w:jc w:val="center"/>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lang w:val="en-US" w:eastAsia="zh-CN"/>
              </w:rPr>
              <w:t>7</w:t>
            </w:r>
          </w:p>
        </w:tc>
        <w:tc>
          <w:tcPr>
            <w:tcW w:w="638" w:type="pct"/>
            <w:tcBorders>
              <w:top w:val="single" w:color="auto" w:sz="4" w:space="0"/>
              <w:left w:val="single" w:color="auto" w:sz="4" w:space="0"/>
              <w:bottom w:val="single" w:color="auto" w:sz="4" w:space="0"/>
              <w:right w:val="single" w:color="auto" w:sz="4" w:space="0"/>
            </w:tcBorders>
            <w:vAlign w:val="center"/>
          </w:tcPr>
          <w:p w14:paraId="60862D3B">
            <w:pPr>
              <w:widowControl/>
              <w:jc w:val="center"/>
              <w:textAlignment w:val="center"/>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lang w:bidi="ar"/>
              </w:rPr>
              <w:t>主席椅</w:t>
            </w:r>
          </w:p>
        </w:tc>
        <w:tc>
          <w:tcPr>
            <w:tcW w:w="1937" w:type="pct"/>
            <w:tcBorders>
              <w:top w:val="single" w:color="auto" w:sz="4" w:space="0"/>
              <w:left w:val="single" w:color="auto" w:sz="4" w:space="0"/>
              <w:bottom w:val="single" w:color="auto" w:sz="4" w:space="0"/>
              <w:right w:val="single" w:color="auto" w:sz="4" w:space="0"/>
            </w:tcBorders>
            <w:vAlign w:val="center"/>
          </w:tcPr>
          <w:p w14:paraId="16821CC8">
            <w:pPr>
              <w:widowControl/>
              <w:wordWrap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1.规格：710*700*1090mm；</w:t>
            </w:r>
          </w:p>
          <w:p w14:paraId="1896F129">
            <w:pPr>
              <w:widowControl/>
              <w:wordWrap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2.办公椅座垫海绵：阻燃定型海绵；坐垫、椅背接触面头层牛皮；</w:t>
            </w:r>
          </w:p>
          <w:p w14:paraId="71AE76D3">
            <w:pPr>
              <w:widowControl/>
              <w:wordWrap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3.办公椅外框架：采用硬质实木；胡桃木皮贴面，厚度≥0.8mm，无贯通裂缝、虫蛀、腐朽材。</w:t>
            </w:r>
          </w:p>
        </w:tc>
        <w:tc>
          <w:tcPr>
            <w:tcW w:w="507" w:type="pct"/>
            <w:tcBorders>
              <w:top w:val="single" w:color="auto" w:sz="4" w:space="0"/>
              <w:left w:val="single" w:color="auto" w:sz="4" w:space="0"/>
              <w:bottom w:val="single" w:color="auto" w:sz="4" w:space="0"/>
              <w:right w:val="single" w:color="auto" w:sz="4" w:space="0"/>
            </w:tcBorders>
            <w:vAlign w:val="center"/>
          </w:tcPr>
          <w:p w14:paraId="4D11810D">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9把</w:t>
            </w:r>
          </w:p>
        </w:tc>
        <w:tc>
          <w:tcPr>
            <w:tcW w:w="488" w:type="pct"/>
            <w:tcBorders>
              <w:top w:val="single" w:color="auto" w:sz="4" w:space="0"/>
              <w:left w:val="single" w:color="auto" w:sz="4" w:space="0"/>
              <w:bottom w:val="single" w:color="auto" w:sz="4" w:space="0"/>
              <w:right w:val="single" w:color="auto" w:sz="4" w:space="0"/>
            </w:tcBorders>
            <w:vAlign w:val="center"/>
          </w:tcPr>
          <w:p w14:paraId="3390A810">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工业</w:t>
            </w:r>
          </w:p>
        </w:tc>
        <w:tc>
          <w:tcPr>
            <w:tcW w:w="649" w:type="pct"/>
            <w:tcBorders>
              <w:top w:val="single" w:color="auto" w:sz="4" w:space="0"/>
              <w:left w:val="single" w:color="auto" w:sz="4" w:space="0"/>
              <w:bottom w:val="single" w:color="auto" w:sz="4" w:space="0"/>
              <w:right w:val="single" w:color="auto" w:sz="4" w:space="0"/>
            </w:tcBorders>
            <w:vAlign w:val="center"/>
          </w:tcPr>
          <w:p w14:paraId="4F8C4D92">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否</w:t>
            </w:r>
          </w:p>
        </w:tc>
        <w:tc>
          <w:tcPr>
            <w:tcW w:w="442" w:type="pct"/>
            <w:tcBorders>
              <w:top w:val="single" w:color="auto" w:sz="4" w:space="0"/>
              <w:left w:val="single" w:color="auto" w:sz="4" w:space="0"/>
              <w:bottom w:val="single" w:color="auto" w:sz="4" w:space="0"/>
              <w:right w:val="single" w:color="auto" w:sz="4" w:space="0"/>
            </w:tcBorders>
            <w:vAlign w:val="center"/>
          </w:tcPr>
          <w:p w14:paraId="5488B91F">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680元/把</w:t>
            </w:r>
          </w:p>
        </w:tc>
      </w:tr>
      <w:tr w14:paraId="2738C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tcBorders>
              <w:top w:val="single" w:color="auto" w:sz="4" w:space="0"/>
              <w:left w:val="single" w:color="auto" w:sz="4" w:space="0"/>
              <w:bottom w:val="single" w:color="auto" w:sz="4" w:space="0"/>
              <w:right w:val="single" w:color="auto" w:sz="4" w:space="0"/>
            </w:tcBorders>
            <w:vAlign w:val="center"/>
          </w:tcPr>
          <w:p w14:paraId="6316D9E1">
            <w:pPr>
              <w:jc w:val="center"/>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lang w:val="en-US" w:eastAsia="zh-CN"/>
              </w:rPr>
              <w:t>8</w:t>
            </w:r>
          </w:p>
        </w:tc>
        <w:tc>
          <w:tcPr>
            <w:tcW w:w="638" w:type="pct"/>
            <w:tcBorders>
              <w:top w:val="single" w:color="auto" w:sz="4" w:space="0"/>
              <w:left w:val="single" w:color="auto" w:sz="4" w:space="0"/>
              <w:bottom w:val="single" w:color="auto" w:sz="4" w:space="0"/>
              <w:right w:val="single" w:color="auto" w:sz="4" w:space="0"/>
            </w:tcBorders>
            <w:vAlign w:val="center"/>
          </w:tcPr>
          <w:p w14:paraId="7EB1752F">
            <w:pPr>
              <w:widowControl/>
              <w:jc w:val="center"/>
              <w:textAlignment w:val="center"/>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lang w:bidi="ar"/>
              </w:rPr>
              <w:t>礼堂椅</w:t>
            </w:r>
          </w:p>
        </w:tc>
        <w:tc>
          <w:tcPr>
            <w:tcW w:w="1937" w:type="pct"/>
            <w:tcBorders>
              <w:top w:val="single" w:color="auto" w:sz="4" w:space="0"/>
              <w:left w:val="single" w:color="auto" w:sz="4" w:space="0"/>
              <w:bottom w:val="single" w:color="auto" w:sz="4" w:space="0"/>
              <w:right w:val="single" w:color="auto" w:sz="4" w:space="0"/>
            </w:tcBorders>
            <w:vAlign w:val="center"/>
          </w:tcPr>
          <w:p w14:paraId="78E99437">
            <w:pPr>
              <w:widowControl/>
              <w:wordWrap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1.规格：高1040mm*深650mm*宽780mm。</w:t>
            </w:r>
          </w:p>
          <w:p w14:paraId="33E803D5">
            <w:pPr>
              <w:widowControl/>
              <w:wordWrap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2.第一排为独立座椅，中间间隔可以过人，其余为联排座椅；</w:t>
            </w:r>
          </w:p>
          <w:p w14:paraId="66E7D3F9">
            <w:pPr>
              <w:widowControl/>
              <w:wordWrap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 坐垫使用阻燃定型海绵坐垫和靠背表面采用麻绒布布料；</w:t>
            </w:r>
          </w:p>
          <w:p w14:paraId="66BBF03D">
            <w:pPr>
              <w:widowControl/>
              <w:wordWrap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4.扶手面：扶手面选用榉木或橡木；写字板收纳于扶手内；</w:t>
            </w:r>
          </w:p>
          <w:p w14:paraId="08FC5A7D">
            <w:pPr>
              <w:widowControl/>
              <w:wordWrap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5.座包内框采用钢架结构，座框采用至少五根弹簧钢制成的蛇形弹簧；</w:t>
            </w:r>
          </w:p>
          <w:p w14:paraId="341DD264">
            <w:pPr>
              <w:widowControl/>
              <w:wordWrap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6.本项需提供礼堂椅、铝合金下站脚实物图片前视、后视、左视、右视和45度角五个角度的清晰彩色实物照片，能够清晰看清内部材料及结构尺寸图片，按照房间实际尺寸设计摆放图、效果图、排位图等，图片不少于5张需多个角度。</w:t>
            </w:r>
          </w:p>
        </w:tc>
        <w:tc>
          <w:tcPr>
            <w:tcW w:w="507" w:type="pct"/>
            <w:tcBorders>
              <w:top w:val="single" w:color="auto" w:sz="4" w:space="0"/>
              <w:left w:val="single" w:color="auto" w:sz="4" w:space="0"/>
              <w:bottom w:val="single" w:color="auto" w:sz="4" w:space="0"/>
              <w:right w:val="single" w:color="auto" w:sz="4" w:space="0"/>
            </w:tcBorders>
            <w:vAlign w:val="center"/>
          </w:tcPr>
          <w:p w14:paraId="771D15D3">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221把</w:t>
            </w:r>
          </w:p>
        </w:tc>
        <w:tc>
          <w:tcPr>
            <w:tcW w:w="488" w:type="pct"/>
            <w:tcBorders>
              <w:top w:val="single" w:color="auto" w:sz="4" w:space="0"/>
              <w:left w:val="single" w:color="auto" w:sz="4" w:space="0"/>
              <w:bottom w:val="single" w:color="auto" w:sz="4" w:space="0"/>
              <w:right w:val="single" w:color="auto" w:sz="4" w:space="0"/>
            </w:tcBorders>
            <w:vAlign w:val="center"/>
          </w:tcPr>
          <w:p w14:paraId="31DB3524">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工业</w:t>
            </w:r>
          </w:p>
        </w:tc>
        <w:tc>
          <w:tcPr>
            <w:tcW w:w="649" w:type="pct"/>
            <w:tcBorders>
              <w:top w:val="single" w:color="auto" w:sz="4" w:space="0"/>
              <w:left w:val="single" w:color="auto" w:sz="4" w:space="0"/>
              <w:bottom w:val="single" w:color="auto" w:sz="4" w:space="0"/>
              <w:right w:val="single" w:color="auto" w:sz="4" w:space="0"/>
            </w:tcBorders>
            <w:vAlign w:val="center"/>
          </w:tcPr>
          <w:p w14:paraId="419278B9">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否</w:t>
            </w:r>
          </w:p>
        </w:tc>
        <w:tc>
          <w:tcPr>
            <w:tcW w:w="442" w:type="pct"/>
            <w:tcBorders>
              <w:top w:val="single" w:color="auto" w:sz="4" w:space="0"/>
              <w:left w:val="single" w:color="auto" w:sz="4" w:space="0"/>
              <w:bottom w:val="single" w:color="auto" w:sz="4" w:space="0"/>
              <w:right w:val="single" w:color="auto" w:sz="4" w:space="0"/>
            </w:tcBorders>
            <w:vAlign w:val="center"/>
          </w:tcPr>
          <w:p w14:paraId="2B2E3876">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680元/把</w:t>
            </w:r>
          </w:p>
        </w:tc>
      </w:tr>
      <w:tr w14:paraId="6CEFA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tcBorders>
              <w:top w:val="single" w:color="auto" w:sz="4" w:space="0"/>
              <w:left w:val="single" w:color="auto" w:sz="4" w:space="0"/>
              <w:bottom w:val="single" w:color="auto" w:sz="4" w:space="0"/>
              <w:right w:val="single" w:color="auto" w:sz="4" w:space="0"/>
            </w:tcBorders>
            <w:vAlign w:val="center"/>
          </w:tcPr>
          <w:p w14:paraId="480C3FB9">
            <w:pPr>
              <w:jc w:val="center"/>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lang w:val="en-US" w:eastAsia="zh-CN"/>
              </w:rPr>
              <w:t>9</w:t>
            </w:r>
          </w:p>
        </w:tc>
        <w:tc>
          <w:tcPr>
            <w:tcW w:w="638" w:type="pct"/>
            <w:tcBorders>
              <w:top w:val="single" w:color="auto" w:sz="4" w:space="0"/>
              <w:left w:val="single" w:color="auto" w:sz="4" w:space="0"/>
              <w:bottom w:val="single" w:color="auto" w:sz="4" w:space="0"/>
              <w:right w:val="single" w:color="auto" w:sz="4" w:space="0"/>
            </w:tcBorders>
            <w:vAlign w:val="center"/>
          </w:tcPr>
          <w:p w14:paraId="18F58722">
            <w:pPr>
              <w:widowControl/>
              <w:jc w:val="center"/>
              <w:textAlignment w:val="center"/>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lang w:bidi="ar"/>
              </w:rPr>
              <w:t>讲台桌</w:t>
            </w:r>
          </w:p>
        </w:tc>
        <w:tc>
          <w:tcPr>
            <w:tcW w:w="1937" w:type="pct"/>
            <w:tcBorders>
              <w:top w:val="single" w:color="auto" w:sz="4" w:space="0"/>
              <w:left w:val="single" w:color="auto" w:sz="4" w:space="0"/>
              <w:bottom w:val="single" w:color="auto" w:sz="4" w:space="0"/>
              <w:right w:val="single" w:color="auto" w:sz="4" w:space="0"/>
            </w:tcBorders>
            <w:vAlign w:val="center"/>
          </w:tcPr>
          <w:p w14:paraId="1E4DDE8C">
            <w:pPr>
              <w:widowControl/>
              <w:wordWrap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1.规格：1000*500*850mm；</w:t>
            </w:r>
          </w:p>
          <w:p w14:paraId="2C5F675E">
            <w:pPr>
              <w:widowControl/>
              <w:wordWrap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2.采用厚度大于等于1.2mm冷轧钢板；</w:t>
            </w:r>
          </w:p>
          <w:p w14:paraId="630D5810">
            <w:pPr>
              <w:widowControl/>
              <w:wordWrap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3.桌面可放置22寸液晶显示器、键盘、鼠标。</w:t>
            </w:r>
          </w:p>
        </w:tc>
        <w:tc>
          <w:tcPr>
            <w:tcW w:w="507" w:type="pct"/>
            <w:tcBorders>
              <w:top w:val="single" w:color="auto" w:sz="4" w:space="0"/>
              <w:left w:val="single" w:color="auto" w:sz="4" w:space="0"/>
              <w:bottom w:val="single" w:color="auto" w:sz="4" w:space="0"/>
              <w:right w:val="single" w:color="auto" w:sz="4" w:space="0"/>
            </w:tcBorders>
            <w:vAlign w:val="center"/>
          </w:tcPr>
          <w:p w14:paraId="11F852A1">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2张</w:t>
            </w:r>
          </w:p>
        </w:tc>
        <w:tc>
          <w:tcPr>
            <w:tcW w:w="488" w:type="pct"/>
            <w:tcBorders>
              <w:top w:val="single" w:color="auto" w:sz="4" w:space="0"/>
              <w:left w:val="single" w:color="auto" w:sz="4" w:space="0"/>
              <w:bottom w:val="single" w:color="auto" w:sz="4" w:space="0"/>
              <w:right w:val="single" w:color="auto" w:sz="4" w:space="0"/>
            </w:tcBorders>
            <w:vAlign w:val="center"/>
          </w:tcPr>
          <w:p w14:paraId="7E86A4C7">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工业</w:t>
            </w:r>
          </w:p>
        </w:tc>
        <w:tc>
          <w:tcPr>
            <w:tcW w:w="649" w:type="pct"/>
            <w:tcBorders>
              <w:top w:val="single" w:color="auto" w:sz="4" w:space="0"/>
              <w:left w:val="single" w:color="auto" w:sz="4" w:space="0"/>
              <w:bottom w:val="single" w:color="auto" w:sz="4" w:space="0"/>
              <w:right w:val="single" w:color="auto" w:sz="4" w:space="0"/>
            </w:tcBorders>
            <w:vAlign w:val="center"/>
          </w:tcPr>
          <w:p w14:paraId="0E6C72A3">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否</w:t>
            </w:r>
          </w:p>
        </w:tc>
        <w:tc>
          <w:tcPr>
            <w:tcW w:w="442" w:type="pct"/>
            <w:tcBorders>
              <w:top w:val="single" w:color="auto" w:sz="4" w:space="0"/>
              <w:left w:val="single" w:color="auto" w:sz="4" w:space="0"/>
              <w:bottom w:val="single" w:color="auto" w:sz="4" w:space="0"/>
              <w:right w:val="single" w:color="auto" w:sz="4" w:space="0"/>
            </w:tcBorders>
            <w:vAlign w:val="center"/>
          </w:tcPr>
          <w:p w14:paraId="717692EE">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1550元/张</w:t>
            </w:r>
          </w:p>
        </w:tc>
      </w:tr>
      <w:tr w14:paraId="604F2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tcBorders>
              <w:top w:val="single" w:color="auto" w:sz="4" w:space="0"/>
              <w:left w:val="single" w:color="auto" w:sz="4" w:space="0"/>
              <w:bottom w:val="single" w:color="auto" w:sz="4" w:space="0"/>
              <w:right w:val="single" w:color="auto" w:sz="4" w:space="0"/>
            </w:tcBorders>
            <w:vAlign w:val="center"/>
          </w:tcPr>
          <w:p w14:paraId="419C9ED2">
            <w:pPr>
              <w:jc w:val="center"/>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0</w:t>
            </w:r>
          </w:p>
        </w:tc>
        <w:tc>
          <w:tcPr>
            <w:tcW w:w="638" w:type="pct"/>
            <w:tcBorders>
              <w:top w:val="single" w:color="auto" w:sz="4" w:space="0"/>
              <w:left w:val="single" w:color="auto" w:sz="4" w:space="0"/>
              <w:bottom w:val="single" w:color="auto" w:sz="4" w:space="0"/>
              <w:right w:val="single" w:color="auto" w:sz="4" w:space="0"/>
            </w:tcBorders>
            <w:vAlign w:val="center"/>
          </w:tcPr>
          <w:p w14:paraId="3085AF70">
            <w:pPr>
              <w:widowControl/>
              <w:jc w:val="center"/>
              <w:textAlignment w:val="center"/>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lang w:bidi="ar"/>
              </w:rPr>
              <w:t>电脑桌</w:t>
            </w:r>
          </w:p>
        </w:tc>
        <w:tc>
          <w:tcPr>
            <w:tcW w:w="1937" w:type="pct"/>
            <w:tcBorders>
              <w:top w:val="single" w:color="auto" w:sz="4" w:space="0"/>
              <w:left w:val="single" w:color="auto" w:sz="4" w:space="0"/>
              <w:bottom w:val="single" w:color="auto" w:sz="4" w:space="0"/>
              <w:right w:val="single" w:color="auto" w:sz="4" w:space="0"/>
            </w:tcBorders>
            <w:vAlign w:val="center"/>
          </w:tcPr>
          <w:p w14:paraId="13A82AAA">
            <w:pPr>
              <w:widowControl/>
              <w:wordWrap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1.规格：800mm*600mm*780mm；面板站板选用25mm（放置22寸电脑显示屏）；</w:t>
            </w:r>
          </w:p>
          <w:p w14:paraId="35798078">
            <w:pPr>
              <w:widowControl/>
              <w:wordWrap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2.基材：实木多层板基材；</w:t>
            </w:r>
          </w:p>
          <w:p w14:paraId="114244BA">
            <w:pPr>
              <w:widowControl/>
              <w:wordWrap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3.成品应满足整体隐藏布线；</w:t>
            </w:r>
          </w:p>
          <w:p w14:paraId="365351D6">
            <w:pPr>
              <w:widowControl/>
              <w:wordWrap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▲4.提供产品的设计图、效果图、产品结构图并标注尺寸。</w:t>
            </w:r>
          </w:p>
        </w:tc>
        <w:tc>
          <w:tcPr>
            <w:tcW w:w="507" w:type="pct"/>
            <w:tcBorders>
              <w:top w:val="single" w:color="auto" w:sz="4" w:space="0"/>
              <w:left w:val="single" w:color="auto" w:sz="4" w:space="0"/>
              <w:bottom w:val="single" w:color="auto" w:sz="4" w:space="0"/>
              <w:right w:val="single" w:color="auto" w:sz="4" w:space="0"/>
            </w:tcBorders>
            <w:vAlign w:val="center"/>
          </w:tcPr>
          <w:p w14:paraId="35775669">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90张</w:t>
            </w:r>
          </w:p>
        </w:tc>
        <w:tc>
          <w:tcPr>
            <w:tcW w:w="488" w:type="pct"/>
            <w:tcBorders>
              <w:top w:val="single" w:color="auto" w:sz="4" w:space="0"/>
              <w:left w:val="single" w:color="auto" w:sz="4" w:space="0"/>
              <w:bottom w:val="single" w:color="auto" w:sz="4" w:space="0"/>
              <w:right w:val="single" w:color="auto" w:sz="4" w:space="0"/>
            </w:tcBorders>
            <w:vAlign w:val="center"/>
          </w:tcPr>
          <w:p w14:paraId="3E3AC18D">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工业</w:t>
            </w:r>
          </w:p>
        </w:tc>
        <w:tc>
          <w:tcPr>
            <w:tcW w:w="649" w:type="pct"/>
            <w:tcBorders>
              <w:top w:val="single" w:color="auto" w:sz="4" w:space="0"/>
              <w:left w:val="single" w:color="auto" w:sz="4" w:space="0"/>
              <w:bottom w:val="single" w:color="auto" w:sz="4" w:space="0"/>
              <w:right w:val="single" w:color="auto" w:sz="4" w:space="0"/>
            </w:tcBorders>
            <w:vAlign w:val="center"/>
          </w:tcPr>
          <w:p w14:paraId="6F201C08">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是</w:t>
            </w:r>
          </w:p>
        </w:tc>
        <w:tc>
          <w:tcPr>
            <w:tcW w:w="442" w:type="pct"/>
            <w:tcBorders>
              <w:top w:val="single" w:color="auto" w:sz="4" w:space="0"/>
              <w:left w:val="single" w:color="auto" w:sz="4" w:space="0"/>
              <w:bottom w:val="single" w:color="auto" w:sz="4" w:space="0"/>
              <w:right w:val="single" w:color="auto" w:sz="4" w:space="0"/>
            </w:tcBorders>
            <w:vAlign w:val="center"/>
          </w:tcPr>
          <w:p w14:paraId="3DE048A1">
            <w:pPr>
              <w:spacing w:line="360" w:lineRule="auto"/>
              <w:jc w:val="center"/>
              <w:rPr>
                <w:rFonts w:hint="eastAsia"/>
                <w:color w:val="auto"/>
                <w:highlight w:val="none"/>
              </w:rPr>
            </w:pPr>
            <w:r>
              <w:rPr>
                <w:rFonts w:hint="eastAsia" w:ascii="宋体" w:hAnsi="宋体" w:eastAsia="宋体" w:cs="宋体"/>
                <w:color w:val="auto"/>
                <w:sz w:val="24"/>
                <w:szCs w:val="24"/>
                <w:highlight w:val="none"/>
                <w:lang w:bidi="ar"/>
              </w:rPr>
              <w:t>890元/张</w:t>
            </w:r>
          </w:p>
        </w:tc>
      </w:tr>
      <w:tr w14:paraId="52480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tcBorders>
              <w:top w:val="single" w:color="auto" w:sz="4" w:space="0"/>
              <w:left w:val="single" w:color="auto" w:sz="4" w:space="0"/>
              <w:bottom w:val="single" w:color="auto" w:sz="4" w:space="0"/>
              <w:right w:val="single" w:color="auto" w:sz="4" w:space="0"/>
            </w:tcBorders>
            <w:vAlign w:val="center"/>
          </w:tcPr>
          <w:p w14:paraId="5899AE87">
            <w:pPr>
              <w:jc w:val="center"/>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p>
        </w:tc>
        <w:tc>
          <w:tcPr>
            <w:tcW w:w="638" w:type="pct"/>
            <w:tcBorders>
              <w:top w:val="single" w:color="auto" w:sz="4" w:space="0"/>
              <w:left w:val="single" w:color="auto" w:sz="4" w:space="0"/>
              <w:bottom w:val="single" w:color="auto" w:sz="4" w:space="0"/>
              <w:right w:val="single" w:color="auto" w:sz="4" w:space="0"/>
            </w:tcBorders>
            <w:vAlign w:val="center"/>
          </w:tcPr>
          <w:p w14:paraId="1AC96436">
            <w:pPr>
              <w:widowControl/>
              <w:jc w:val="center"/>
              <w:textAlignment w:val="center"/>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lang w:bidi="ar"/>
              </w:rPr>
              <w:t>电脑椅</w:t>
            </w:r>
          </w:p>
        </w:tc>
        <w:tc>
          <w:tcPr>
            <w:tcW w:w="1937" w:type="pct"/>
            <w:tcBorders>
              <w:top w:val="single" w:color="auto" w:sz="4" w:space="0"/>
              <w:left w:val="single" w:color="auto" w:sz="4" w:space="0"/>
              <w:bottom w:val="single" w:color="auto" w:sz="4" w:space="0"/>
              <w:right w:val="single" w:color="auto" w:sz="4" w:space="0"/>
            </w:tcBorders>
            <w:vAlign w:val="center"/>
          </w:tcPr>
          <w:p w14:paraId="3B162610">
            <w:pPr>
              <w:widowControl/>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1.规格：510mm*630mm*890mm；</w:t>
            </w:r>
          </w:p>
          <w:p w14:paraId="5BBF015D">
            <w:pPr>
              <w:widowControl/>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2.面料：采用麻绒布，布料抗污、抗菌防霉、耐磨，防褪色，长时间使用无皱褶，无断裂、不起球、不褪色；颜色可选；</w:t>
            </w:r>
          </w:p>
          <w:p w14:paraId="49A4268D">
            <w:pPr>
              <w:widowControl/>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3.海棉：阻燃定型海绵，反复坐压不变形、高密度、高回弹、高效阻燃，抗变形、抗引燃性； </w:t>
            </w:r>
          </w:p>
          <w:p w14:paraId="3967B9ED">
            <w:pPr>
              <w:widowControl/>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4.主要受力构件应使用厚度不低于2.0mm的钢材。</w:t>
            </w:r>
          </w:p>
        </w:tc>
        <w:tc>
          <w:tcPr>
            <w:tcW w:w="507" w:type="pct"/>
            <w:tcBorders>
              <w:top w:val="single" w:color="auto" w:sz="4" w:space="0"/>
              <w:left w:val="single" w:color="auto" w:sz="4" w:space="0"/>
              <w:bottom w:val="single" w:color="auto" w:sz="4" w:space="0"/>
              <w:right w:val="single" w:color="auto" w:sz="4" w:space="0"/>
            </w:tcBorders>
            <w:vAlign w:val="center"/>
          </w:tcPr>
          <w:p w14:paraId="5B54969B">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90把</w:t>
            </w:r>
          </w:p>
        </w:tc>
        <w:tc>
          <w:tcPr>
            <w:tcW w:w="488" w:type="pct"/>
            <w:tcBorders>
              <w:top w:val="single" w:color="auto" w:sz="4" w:space="0"/>
              <w:left w:val="single" w:color="auto" w:sz="4" w:space="0"/>
              <w:bottom w:val="single" w:color="auto" w:sz="4" w:space="0"/>
              <w:right w:val="single" w:color="auto" w:sz="4" w:space="0"/>
            </w:tcBorders>
            <w:vAlign w:val="center"/>
          </w:tcPr>
          <w:p w14:paraId="5722AC85">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工业</w:t>
            </w:r>
          </w:p>
        </w:tc>
        <w:tc>
          <w:tcPr>
            <w:tcW w:w="649" w:type="pct"/>
            <w:tcBorders>
              <w:top w:val="single" w:color="auto" w:sz="4" w:space="0"/>
              <w:left w:val="single" w:color="auto" w:sz="4" w:space="0"/>
              <w:bottom w:val="single" w:color="auto" w:sz="4" w:space="0"/>
              <w:right w:val="single" w:color="auto" w:sz="4" w:space="0"/>
            </w:tcBorders>
            <w:vAlign w:val="center"/>
          </w:tcPr>
          <w:p w14:paraId="68415FF4">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否</w:t>
            </w:r>
          </w:p>
        </w:tc>
        <w:tc>
          <w:tcPr>
            <w:tcW w:w="442" w:type="pct"/>
            <w:tcBorders>
              <w:top w:val="single" w:color="auto" w:sz="4" w:space="0"/>
              <w:left w:val="single" w:color="auto" w:sz="4" w:space="0"/>
              <w:bottom w:val="single" w:color="auto" w:sz="4" w:space="0"/>
              <w:right w:val="single" w:color="auto" w:sz="4" w:space="0"/>
            </w:tcBorders>
            <w:vAlign w:val="center"/>
          </w:tcPr>
          <w:p w14:paraId="2F0AF439">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220元/把</w:t>
            </w:r>
          </w:p>
        </w:tc>
      </w:tr>
      <w:tr w14:paraId="2F576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tcBorders>
              <w:top w:val="single" w:color="auto" w:sz="4" w:space="0"/>
              <w:left w:val="single" w:color="auto" w:sz="4" w:space="0"/>
              <w:bottom w:val="single" w:color="auto" w:sz="4" w:space="0"/>
              <w:right w:val="single" w:color="auto" w:sz="4" w:space="0"/>
            </w:tcBorders>
            <w:vAlign w:val="center"/>
          </w:tcPr>
          <w:p w14:paraId="31430B9C">
            <w:pPr>
              <w:jc w:val="center"/>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p>
        </w:tc>
        <w:tc>
          <w:tcPr>
            <w:tcW w:w="638" w:type="pct"/>
            <w:tcBorders>
              <w:top w:val="single" w:color="auto" w:sz="4" w:space="0"/>
              <w:left w:val="single" w:color="auto" w:sz="4" w:space="0"/>
              <w:bottom w:val="single" w:color="auto" w:sz="4" w:space="0"/>
              <w:right w:val="single" w:color="auto" w:sz="4" w:space="0"/>
            </w:tcBorders>
            <w:vAlign w:val="center"/>
          </w:tcPr>
          <w:p w14:paraId="74212940">
            <w:pPr>
              <w:widowControl/>
              <w:jc w:val="center"/>
              <w:textAlignment w:val="center"/>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lang w:bidi="ar"/>
              </w:rPr>
              <w:t>休闲桌1</w:t>
            </w:r>
          </w:p>
        </w:tc>
        <w:tc>
          <w:tcPr>
            <w:tcW w:w="1937" w:type="pct"/>
            <w:tcBorders>
              <w:top w:val="single" w:color="auto" w:sz="4" w:space="0"/>
              <w:left w:val="single" w:color="auto" w:sz="4" w:space="0"/>
              <w:bottom w:val="single" w:color="auto" w:sz="4" w:space="0"/>
              <w:right w:val="single" w:color="auto" w:sz="4" w:space="0"/>
            </w:tcBorders>
            <w:vAlign w:val="center"/>
          </w:tcPr>
          <w:p w14:paraId="37386454">
            <w:pPr>
              <w:widowControl/>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1.规格：φ800*750mm；颜色可选；</w:t>
            </w:r>
          </w:p>
          <w:p w14:paraId="096DA989">
            <w:pPr>
              <w:widowControl/>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2.材料：桌架、桌脚采用一体压铸工艺、表面喷漆；桌面采用厚度不低于15mm大理石，斜口磨边工艺；                                                                 </w:t>
            </w:r>
          </w:p>
          <w:p w14:paraId="4F0D9707">
            <w:pPr>
              <w:widowControl/>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3.表面处理：高温烤漆。</w:t>
            </w:r>
          </w:p>
        </w:tc>
        <w:tc>
          <w:tcPr>
            <w:tcW w:w="507" w:type="pct"/>
            <w:tcBorders>
              <w:top w:val="single" w:color="auto" w:sz="4" w:space="0"/>
              <w:left w:val="single" w:color="auto" w:sz="4" w:space="0"/>
              <w:bottom w:val="single" w:color="auto" w:sz="4" w:space="0"/>
              <w:right w:val="single" w:color="auto" w:sz="4" w:space="0"/>
            </w:tcBorders>
            <w:vAlign w:val="center"/>
          </w:tcPr>
          <w:p w14:paraId="5767D277">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8张</w:t>
            </w:r>
          </w:p>
        </w:tc>
        <w:tc>
          <w:tcPr>
            <w:tcW w:w="488" w:type="pct"/>
            <w:tcBorders>
              <w:top w:val="single" w:color="auto" w:sz="4" w:space="0"/>
              <w:left w:val="single" w:color="auto" w:sz="4" w:space="0"/>
              <w:bottom w:val="single" w:color="auto" w:sz="4" w:space="0"/>
              <w:right w:val="single" w:color="auto" w:sz="4" w:space="0"/>
            </w:tcBorders>
            <w:vAlign w:val="center"/>
          </w:tcPr>
          <w:p w14:paraId="450200CA">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工业</w:t>
            </w:r>
          </w:p>
        </w:tc>
        <w:tc>
          <w:tcPr>
            <w:tcW w:w="649" w:type="pct"/>
            <w:tcBorders>
              <w:top w:val="single" w:color="auto" w:sz="4" w:space="0"/>
              <w:left w:val="single" w:color="auto" w:sz="4" w:space="0"/>
              <w:bottom w:val="single" w:color="auto" w:sz="4" w:space="0"/>
              <w:right w:val="single" w:color="auto" w:sz="4" w:space="0"/>
            </w:tcBorders>
            <w:vAlign w:val="center"/>
          </w:tcPr>
          <w:p w14:paraId="78E50BE3">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否</w:t>
            </w:r>
          </w:p>
        </w:tc>
        <w:tc>
          <w:tcPr>
            <w:tcW w:w="442" w:type="pct"/>
            <w:tcBorders>
              <w:top w:val="single" w:color="auto" w:sz="4" w:space="0"/>
              <w:left w:val="single" w:color="auto" w:sz="4" w:space="0"/>
              <w:bottom w:val="single" w:color="auto" w:sz="4" w:space="0"/>
              <w:right w:val="single" w:color="auto" w:sz="4" w:space="0"/>
            </w:tcBorders>
            <w:vAlign w:val="center"/>
          </w:tcPr>
          <w:p w14:paraId="060600C0">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850元/张</w:t>
            </w:r>
          </w:p>
        </w:tc>
      </w:tr>
      <w:tr w14:paraId="79893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tcBorders>
              <w:top w:val="single" w:color="auto" w:sz="4" w:space="0"/>
              <w:left w:val="single" w:color="auto" w:sz="4" w:space="0"/>
              <w:bottom w:val="single" w:color="auto" w:sz="4" w:space="0"/>
              <w:right w:val="single" w:color="auto" w:sz="4" w:space="0"/>
            </w:tcBorders>
            <w:vAlign w:val="center"/>
          </w:tcPr>
          <w:p w14:paraId="481D8B66">
            <w:pPr>
              <w:jc w:val="center"/>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3</w:t>
            </w:r>
          </w:p>
        </w:tc>
        <w:tc>
          <w:tcPr>
            <w:tcW w:w="638" w:type="pct"/>
            <w:tcBorders>
              <w:top w:val="single" w:color="auto" w:sz="4" w:space="0"/>
              <w:left w:val="single" w:color="auto" w:sz="4" w:space="0"/>
              <w:bottom w:val="single" w:color="auto" w:sz="4" w:space="0"/>
              <w:right w:val="single" w:color="auto" w:sz="4" w:space="0"/>
            </w:tcBorders>
            <w:vAlign w:val="center"/>
          </w:tcPr>
          <w:p w14:paraId="3079AE0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休闲椅1</w:t>
            </w:r>
          </w:p>
        </w:tc>
        <w:tc>
          <w:tcPr>
            <w:tcW w:w="1937" w:type="pct"/>
            <w:tcBorders>
              <w:top w:val="single" w:color="auto" w:sz="4" w:space="0"/>
              <w:left w:val="single" w:color="auto" w:sz="4" w:space="0"/>
              <w:bottom w:val="single" w:color="auto" w:sz="4" w:space="0"/>
              <w:right w:val="single" w:color="auto" w:sz="4" w:space="0"/>
            </w:tcBorders>
            <w:vAlign w:val="center"/>
          </w:tcPr>
          <w:p w14:paraId="47164AEA">
            <w:pPr>
              <w:widowControl/>
              <w:wordWrap w:val="0"/>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1.材质：支撑腿采用厚度不低于2.5mm铝合金，座板椅背PP一体注塑成型；</w:t>
            </w:r>
          </w:p>
          <w:p w14:paraId="3D44BCF6">
            <w:pPr>
              <w:widowControl/>
              <w:wordWrap w:val="0"/>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2、颜色可选；</w:t>
            </w:r>
          </w:p>
          <w:p w14:paraId="11120DED">
            <w:pPr>
              <w:widowControl/>
              <w:wordWrap w:val="0"/>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3、尺寸参考图片。</w:t>
            </w:r>
          </w:p>
        </w:tc>
        <w:tc>
          <w:tcPr>
            <w:tcW w:w="507" w:type="pct"/>
            <w:tcBorders>
              <w:top w:val="single" w:color="auto" w:sz="4" w:space="0"/>
              <w:left w:val="single" w:color="auto" w:sz="4" w:space="0"/>
              <w:bottom w:val="single" w:color="auto" w:sz="4" w:space="0"/>
              <w:right w:val="single" w:color="auto" w:sz="4" w:space="0"/>
            </w:tcBorders>
            <w:vAlign w:val="center"/>
          </w:tcPr>
          <w:p w14:paraId="7CACE76E">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32把</w:t>
            </w:r>
          </w:p>
        </w:tc>
        <w:tc>
          <w:tcPr>
            <w:tcW w:w="488" w:type="pct"/>
            <w:tcBorders>
              <w:top w:val="single" w:color="auto" w:sz="4" w:space="0"/>
              <w:left w:val="single" w:color="auto" w:sz="4" w:space="0"/>
              <w:bottom w:val="single" w:color="auto" w:sz="4" w:space="0"/>
              <w:right w:val="single" w:color="auto" w:sz="4" w:space="0"/>
            </w:tcBorders>
            <w:vAlign w:val="center"/>
          </w:tcPr>
          <w:p w14:paraId="103758DB">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工业</w:t>
            </w:r>
          </w:p>
        </w:tc>
        <w:tc>
          <w:tcPr>
            <w:tcW w:w="649" w:type="pct"/>
            <w:tcBorders>
              <w:top w:val="single" w:color="auto" w:sz="4" w:space="0"/>
              <w:left w:val="single" w:color="auto" w:sz="4" w:space="0"/>
              <w:bottom w:val="single" w:color="auto" w:sz="4" w:space="0"/>
              <w:right w:val="single" w:color="auto" w:sz="4" w:space="0"/>
            </w:tcBorders>
            <w:vAlign w:val="center"/>
          </w:tcPr>
          <w:p w14:paraId="365880A2">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否</w:t>
            </w:r>
          </w:p>
        </w:tc>
        <w:tc>
          <w:tcPr>
            <w:tcW w:w="442" w:type="pct"/>
            <w:tcBorders>
              <w:top w:val="single" w:color="auto" w:sz="4" w:space="0"/>
              <w:left w:val="single" w:color="auto" w:sz="4" w:space="0"/>
              <w:bottom w:val="single" w:color="auto" w:sz="4" w:space="0"/>
              <w:right w:val="single" w:color="auto" w:sz="4" w:space="0"/>
            </w:tcBorders>
            <w:vAlign w:val="center"/>
          </w:tcPr>
          <w:p w14:paraId="7C4B8DBB">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380元/把</w:t>
            </w:r>
          </w:p>
        </w:tc>
      </w:tr>
      <w:tr w14:paraId="58037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tcBorders>
              <w:top w:val="single" w:color="auto" w:sz="4" w:space="0"/>
              <w:left w:val="single" w:color="auto" w:sz="4" w:space="0"/>
              <w:bottom w:val="single" w:color="auto" w:sz="4" w:space="0"/>
              <w:right w:val="single" w:color="auto" w:sz="4" w:space="0"/>
            </w:tcBorders>
            <w:vAlign w:val="center"/>
          </w:tcPr>
          <w:p w14:paraId="2050BE96">
            <w:pPr>
              <w:jc w:val="center"/>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4</w:t>
            </w:r>
          </w:p>
        </w:tc>
        <w:tc>
          <w:tcPr>
            <w:tcW w:w="638" w:type="pct"/>
            <w:tcBorders>
              <w:top w:val="single" w:color="auto" w:sz="4" w:space="0"/>
              <w:left w:val="single" w:color="auto" w:sz="4" w:space="0"/>
              <w:bottom w:val="single" w:color="auto" w:sz="4" w:space="0"/>
              <w:right w:val="single" w:color="auto" w:sz="4" w:space="0"/>
            </w:tcBorders>
            <w:vAlign w:val="center"/>
          </w:tcPr>
          <w:p w14:paraId="54AC43B4">
            <w:pPr>
              <w:widowControl/>
              <w:jc w:val="center"/>
              <w:textAlignment w:val="center"/>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lang w:bidi="ar"/>
              </w:rPr>
              <w:t>排椅</w:t>
            </w:r>
          </w:p>
        </w:tc>
        <w:tc>
          <w:tcPr>
            <w:tcW w:w="1937" w:type="pct"/>
            <w:tcBorders>
              <w:top w:val="single" w:color="auto" w:sz="4" w:space="0"/>
              <w:left w:val="single" w:color="auto" w:sz="4" w:space="0"/>
              <w:bottom w:val="single" w:color="auto" w:sz="4" w:space="0"/>
              <w:right w:val="single" w:color="auto" w:sz="4" w:space="0"/>
            </w:tcBorders>
            <w:vAlign w:val="center"/>
          </w:tcPr>
          <w:p w14:paraId="6FAE279B">
            <w:pPr>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1.规格：三人位；                                                                                                                                        </w:t>
            </w:r>
          </w:p>
          <w:p w14:paraId="07324FA3">
            <w:pPr>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2.材质：主要受力构件为钢制，座板、椅背表面PU发泡成型；</w:t>
            </w:r>
          </w:p>
          <w:p w14:paraId="3025CA1A">
            <w:pPr>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3.承重600公斤以上。</w:t>
            </w:r>
          </w:p>
        </w:tc>
        <w:tc>
          <w:tcPr>
            <w:tcW w:w="507" w:type="pct"/>
            <w:tcBorders>
              <w:top w:val="single" w:color="auto" w:sz="4" w:space="0"/>
              <w:left w:val="single" w:color="auto" w:sz="4" w:space="0"/>
              <w:bottom w:val="single" w:color="auto" w:sz="4" w:space="0"/>
              <w:right w:val="single" w:color="auto" w:sz="4" w:space="0"/>
            </w:tcBorders>
            <w:vAlign w:val="center"/>
          </w:tcPr>
          <w:p w14:paraId="34C70F87">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24组</w:t>
            </w:r>
          </w:p>
        </w:tc>
        <w:tc>
          <w:tcPr>
            <w:tcW w:w="488" w:type="pct"/>
            <w:tcBorders>
              <w:top w:val="single" w:color="auto" w:sz="4" w:space="0"/>
              <w:left w:val="single" w:color="auto" w:sz="4" w:space="0"/>
              <w:bottom w:val="single" w:color="auto" w:sz="4" w:space="0"/>
              <w:right w:val="single" w:color="auto" w:sz="4" w:space="0"/>
            </w:tcBorders>
            <w:vAlign w:val="center"/>
          </w:tcPr>
          <w:p w14:paraId="53AB7DD7">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工业</w:t>
            </w:r>
          </w:p>
        </w:tc>
        <w:tc>
          <w:tcPr>
            <w:tcW w:w="649" w:type="pct"/>
            <w:tcBorders>
              <w:top w:val="single" w:color="auto" w:sz="4" w:space="0"/>
              <w:left w:val="single" w:color="auto" w:sz="4" w:space="0"/>
              <w:bottom w:val="single" w:color="auto" w:sz="4" w:space="0"/>
              <w:right w:val="single" w:color="auto" w:sz="4" w:space="0"/>
            </w:tcBorders>
            <w:vAlign w:val="center"/>
          </w:tcPr>
          <w:p w14:paraId="75078C1A">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否</w:t>
            </w:r>
          </w:p>
        </w:tc>
        <w:tc>
          <w:tcPr>
            <w:tcW w:w="442" w:type="pct"/>
            <w:tcBorders>
              <w:top w:val="single" w:color="auto" w:sz="4" w:space="0"/>
              <w:left w:val="single" w:color="auto" w:sz="4" w:space="0"/>
              <w:bottom w:val="single" w:color="auto" w:sz="4" w:space="0"/>
              <w:right w:val="single" w:color="auto" w:sz="4" w:space="0"/>
            </w:tcBorders>
            <w:vAlign w:val="center"/>
          </w:tcPr>
          <w:p w14:paraId="3D96A9F9">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1800元/组</w:t>
            </w:r>
          </w:p>
        </w:tc>
      </w:tr>
      <w:tr w14:paraId="645E9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336" w:type="pct"/>
            <w:tcBorders>
              <w:top w:val="single" w:color="auto" w:sz="4" w:space="0"/>
              <w:left w:val="single" w:color="auto" w:sz="4" w:space="0"/>
              <w:bottom w:val="single" w:color="auto" w:sz="4" w:space="0"/>
              <w:right w:val="single" w:color="auto" w:sz="4" w:space="0"/>
            </w:tcBorders>
            <w:vAlign w:val="center"/>
          </w:tcPr>
          <w:p w14:paraId="181C50A2">
            <w:pPr>
              <w:jc w:val="center"/>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p>
        </w:tc>
        <w:tc>
          <w:tcPr>
            <w:tcW w:w="638" w:type="pct"/>
            <w:tcBorders>
              <w:top w:val="single" w:color="auto" w:sz="4" w:space="0"/>
              <w:left w:val="single" w:color="auto" w:sz="4" w:space="0"/>
              <w:bottom w:val="single" w:color="auto" w:sz="4" w:space="0"/>
              <w:right w:val="single" w:color="auto" w:sz="4" w:space="0"/>
            </w:tcBorders>
            <w:vAlign w:val="center"/>
          </w:tcPr>
          <w:p w14:paraId="114E1DA9">
            <w:pPr>
              <w:widowControl/>
              <w:jc w:val="center"/>
              <w:textAlignment w:val="center"/>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lang w:bidi="ar"/>
              </w:rPr>
              <w:t>台前椅</w:t>
            </w:r>
          </w:p>
        </w:tc>
        <w:tc>
          <w:tcPr>
            <w:tcW w:w="1937" w:type="pct"/>
            <w:tcBorders>
              <w:top w:val="single" w:color="auto" w:sz="4" w:space="0"/>
              <w:left w:val="single" w:color="auto" w:sz="4" w:space="0"/>
              <w:bottom w:val="single" w:color="auto" w:sz="4" w:space="0"/>
              <w:right w:val="single" w:color="auto" w:sz="4" w:space="0"/>
            </w:tcBorders>
            <w:vAlign w:val="center"/>
          </w:tcPr>
          <w:p w14:paraId="7CD4A8D1">
            <w:pPr>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1.规格：510mm*630mm*1020mm</w:t>
            </w:r>
          </w:p>
          <w:p w14:paraId="055D649F">
            <w:pPr>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2.面料：环保皮，厚度1.2mm；</w:t>
            </w:r>
          </w:p>
          <w:p w14:paraId="6AE9E3A1">
            <w:pPr>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3.泡棉：选用高弹性聚胺脂定型海棉；</w:t>
            </w:r>
          </w:p>
          <w:p w14:paraId="29CE7659">
            <w:pPr>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4.电镀金属脚架。</w:t>
            </w:r>
          </w:p>
        </w:tc>
        <w:tc>
          <w:tcPr>
            <w:tcW w:w="507" w:type="pct"/>
            <w:tcBorders>
              <w:top w:val="single" w:color="auto" w:sz="4" w:space="0"/>
              <w:left w:val="single" w:color="auto" w:sz="4" w:space="0"/>
              <w:bottom w:val="single" w:color="auto" w:sz="4" w:space="0"/>
              <w:right w:val="single" w:color="auto" w:sz="4" w:space="0"/>
            </w:tcBorders>
            <w:vAlign w:val="center"/>
          </w:tcPr>
          <w:p w14:paraId="709F0CAB">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8把</w:t>
            </w:r>
          </w:p>
        </w:tc>
        <w:tc>
          <w:tcPr>
            <w:tcW w:w="488" w:type="pct"/>
            <w:tcBorders>
              <w:top w:val="single" w:color="auto" w:sz="4" w:space="0"/>
              <w:left w:val="single" w:color="auto" w:sz="4" w:space="0"/>
              <w:bottom w:val="single" w:color="auto" w:sz="4" w:space="0"/>
              <w:right w:val="single" w:color="auto" w:sz="4" w:space="0"/>
            </w:tcBorders>
            <w:vAlign w:val="center"/>
          </w:tcPr>
          <w:p w14:paraId="20B6023F">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工业</w:t>
            </w:r>
          </w:p>
        </w:tc>
        <w:tc>
          <w:tcPr>
            <w:tcW w:w="649" w:type="pct"/>
            <w:tcBorders>
              <w:top w:val="single" w:color="auto" w:sz="4" w:space="0"/>
              <w:left w:val="single" w:color="auto" w:sz="4" w:space="0"/>
              <w:bottom w:val="single" w:color="auto" w:sz="4" w:space="0"/>
              <w:right w:val="single" w:color="auto" w:sz="4" w:space="0"/>
            </w:tcBorders>
            <w:vAlign w:val="center"/>
          </w:tcPr>
          <w:p w14:paraId="0180E3C3">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否</w:t>
            </w:r>
          </w:p>
        </w:tc>
        <w:tc>
          <w:tcPr>
            <w:tcW w:w="442" w:type="pct"/>
            <w:tcBorders>
              <w:top w:val="single" w:color="auto" w:sz="4" w:space="0"/>
              <w:left w:val="single" w:color="auto" w:sz="4" w:space="0"/>
              <w:bottom w:val="single" w:color="auto" w:sz="4" w:space="0"/>
              <w:right w:val="single" w:color="auto" w:sz="4" w:space="0"/>
            </w:tcBorders>
            <w:vAlign w:val="center"/>
          </w:tcPr>
          <w:p w14:paraId="48AE5E25">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350元/把</w:t>
            </w:r>
          </w:p>
        </w:tc>
      </w:tr>
      <w:tr w14:paraId="098BF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tcBorders>
              <w:top w:val="single" w:color="auto" w:sz="4" w:space="0"/>
              <w:left w:val="single" w:color="auto" w:sz="4" w:space="0"/>
              <w:bottom w:val="single" w:color="auto" w:sz="4" w:space="0"/>
              <w:right w:val="single" w:color="auto" w:sz="4" w:space="0"/>
            </w:tcBorders>
            <w:vAlign w:val="center"/>
          </w:tcPr>
          <w:p w14:paraId="1B87D57B">
            <w:pPr>
              <w:jc w:val="center"/>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p>
        </w:tc>
        <w:tc>
          <w:tcPr>
            <w:tcW w:w="638" w:type="pct"/>
            <w:tcBorders>
              <w:top w:val="single" w:color="auto" w:sz="4" w:space="0"/>
              <w:left w:val="single" w:color="auto" w:sz="4" w:space="0"/>
              <w:bottom w:val="single" w:color="auto" w:sz="4" w:space="0"/>
              <w:right w:val="single" w:color="auto" w:sz="4" w:space="0"/>
            </w:tcBorders>
            <w:vAlign w:val="center"/>
          </w:tcPr>
          <w:p w14:paraId="4515A268">
            <w:pPr>
              <w:widowControl/>
              <w:jc w:val="center"/>
              <w:textAlignment w:val="center"/>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lang w:bidi="ar"/>
              </w:rPr>
              <w:t>单人沙发1</w:t>
            </w:r>
          </w:p>
        </w:tc>
        <w:tc>
          <w:tcPr>
            <w:tcW w:w="1937" w:type="pct"/>
            <w:tcBorders>
              <w:top w:val="single" w:color="auto" w:sz="4" w:space="0"/>
              <w:left w:val="single" w:color="auto" w:sz="4" w:space="0"/>
              <w:bottom w:val="single" w:color="auto" w:sz="4" w:space="0"/>
              <w:right w:val="single" w:color="auto" w:sz="4" w:space="0"/>
            </w:tcBorders>
            <w:vAlign w:val="center"/>
          </w:tcPr>
          <w:p w14:paraId="6A0437A3">
            <w:pPr>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1.规格：860mm*940mm*1010mm；</w:t>
            </w:r>
          </w:p>
          <w:p w14:paraId="3ED74979">
            <w:pPr>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2.皮革：头层牛皮，厚度≥1.5mm；</w:t>
            </w:r>
          </w:p>
          <w:p w14:paraId="642A77F4">
            <w:pPr>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3.定型海绵：阻燃定型海绵；</w:t>
            </w:r>
          </w:p>
          <w:p w14:paraId="4C48B30B">
            <w:pPr>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4.框架：采用原木实木；</w:t>
            </w:r>
          </w:p>
          <w:p w14:paraId="1C0979F3">
            <w:pPr>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5.弹簧：耐腐蚀高回弹蛇形弹簧； </w:t>
            </w:r>
          </w:p>
          <w:p w14:paraId="329827A9">
            <w:pPr>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6.底脚架:采用冷轧钢,经冲压成型后表面静电粉末喷涂。</w:t>
            </w:r>
          </w:p>
        </w:tc>
        <w:tc>
          <w:tcPr>
            <w:tcW w:w="507" w:type="pct"/>
            <w:tcBorders>
              <w:top w:val="single" w:color="auto" w:sz="4" w:space="0"/>
              <w:left w:val="single" w:color="auto" w:sz="4" w:space="0"/>
              <w:bottom w:val="single" w:color="auto" w:sz="4" w:space="0"/>
              <w:right w:val="single" w:color="auto" w:sz="4" w:space="0"/>
            </w:tcBorders>
            <w:vAlign w:val="center"/>
          </w:tcPr>
          <w:p w14:paraId="123643B5">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8组</w:t>
            </w:r>
          </w:p>
        </w:tc>
        <w:tc>
          <w:tcPr>
            <w:tcW w:w="488" w:type="pct"/>
            <w:tcBorders>
              <w:top w:val="single" w:color="auto" w:sz="4" w:space="0"/>
              <w:left w:val="single" w:color="auto" w:sz="4" w:space="0"/>
              <w:bottom w:val="single" w:color="auto" w:sz="4" w:space="0"/>
              <w:right w:val="single" w:color="auto" w:sz="4" w:space="0"/>
            </w:tcBorders>
            <w:vAlign w:val="center"/>
          </w:tcPr>
          <w:p w14:paraId="46D02AE7">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工业</w:t>
            </w:r>
          </w:p>
        </w:tc>
        <w:tc>
          <w:tcPr>
            <w:tcW w:w="649" w:type="pct"/>
            <w:tcBorders>
              <w:top w:val="single" w:color="auto" w:sz="4" w:space="0"/>
              <w:left w:val="single" w:color="auto" w:sz="4" w:space="0"/>
              <w:bottom w:val="single" w:color="auto" w:sz="4" w:space="0"/>
              <w:right w:val="single" w:color="auto" w:sz="4" w:space="0"/>
            </w:tcBorders>
            <w:vAlign w:val="center"/>
          </w:tcPr>
          <w:p w14:paraId="3B0AC9F1">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否</w:t>
            </w:r>
          </w:p>
        </w:tc>
        <w:tc>
          <w:tcPr>
            <w:tcW w:w="442" w:type="pct"/>
            <w:tcBorders>
              <w:top w:val="single" w:color="auto" w:sz="4" w:space="0"/>
              <w:left w:val="single" w:color="auto" w:sz="4" w:space="0"/>
              <w:bottom w:val="single" w:color="auto" w:sz="4" w:space="0"/>
              <w:right w:val="single" w:color="auto" w:sz="4" w:space="0"/>
            </w:tcBorders>
            <w:vAlign w:val="center"/>
          </w:tcPr>
          <w:p w14:paraId="27F1FD37">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1200元/组</w:t>
            </w:r>
          </w:p>
        </w:tc>
      </w:tr>
      <w:tr w14:paraId="7A0AA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tcBorders>
              <w:top w:val="single" w:color="auto" w:sz="4" w:space="0"/>
              <w:left w:val="single" w:color="auto" w:sz="4" w:space="0"/>
              <w:bottom w:val="single" w:color="auto" w:sz="4" w:space="0"/>
              <w:right w:val="single" w:color="auto" w:sz="4" w:space="0"/>
            </w:tcBorders>
            <w:vAlign w:val="center"/>
          </w:tcPr>
          <w:p w14:paraId="59CC182F">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7</w:t>
            </w:r>
          </w:p>
        </w:tc>
        <w:tc>
          <w:tcPr>
            <w:tcW w:w="638" w:type="pct"/>
            <w:tcBorders>
              <w:top w:val="single" w:color="auto" w:sz="4" w:space="0"/>
              <w:left w:val="single" w:color="auto" w:sz="4" w:space="0"/>
              <w:bottom w:val="single" w:color="auto" w:sz="4" w:space="0"/>
              <w:right w:val="single" w:color="auto" w:sz="4" w:space="0"/>
            </w:tcBorders>
            <w:vAlign w:val="center"/>
          </w:tcPr>
          <w:p w14:paraId="05C8BBCA">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双人沙发1</w:t>
            </w:r>
          </w:p>
        </w:tc>
        <w:tc>
          <w:tcPr>
            <w:tcW w:w="1937" w:type="pct"/>
            <w:tcBorders>
              <w:top w:val="single" w:color="auto" w:sz="4" w:space="0"/>
              <w:left w:val="single" w:color="auto" w:sz="4" w:space="0"/>
              <w:bottom w:val="single" w:color="auto" w:sz="4" w:space="0"/>
              <w:right w:val="single" w:color="auto" w:sz="4" w:space="0"/>
            </w:tcBorders>
            <w:vAlign w:val="center"/>
          </w:tcPr>
          <w:p w14:paraId="00D8D967">
            <w:pPr>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1.规格：860mm*940mm*2200mm；</w:t>
            </w:r>
          </w:p>
          <w:p w14:paraId="1A18ED8E">
            <w:pPr>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2.皮革：头层牛皮，厚度≥1.5mm；</w:t>
            </w:r>
          </w:p>
          <w:p w14:paraId="495E2FB6">
            <w:pPr>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3.定型海绵：阻燃定型海绵；</w:t>
            </w:r>
          </w:p>
          <w:p w14:paraId="3D593744">
            <w:pPr>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4.框架：采用原木实木；                                                                                                                 </w:t>
            </w:r>
          </w:p>
          <w:p w14:paraId="22A9FB47">
            <w:pPr>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5.弹簧：耐腐蚀高回弹蛇形弹簧； </w:t>
            </w:r>
          </w:p>
          <w:p w14:paraId="6E19A8E2">
            <w:pPr>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6.底脚架:采用冷轧钢,经冲压成型后表面静电粉末喷涂。 </w:t>
            </w:r>
          </w:p>
        </w:tc>
        <w:tc>
          <w:tcPr>
            <w:tcW w:w="507" w:type="pct"/>
            <w:tcBorders>
              <w:top w:val="single" w:color="auto" w:sz="4" w:space="0"/>
              <w:left w:val="single" w:color="auto" w:sz="4" w:space="0"/>
              <w:bottom w:val="single" w:color="auto" w:sz="4" w:space="0"/>
              <w:right w:val="single" w:color="auto" w:sz="4" w:space="0"/>
            </w:tcBorders>
            <w:vAlign w:val="center"/>
          </w:tcPr>
          <w:p w14:paraId="6970DAFD">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2组</w:t>
            </w:r>
          </w:p>
        </w:tc>
        <w:tc>
          <w:tcPr>
            <w:tcW w:w="488" w:type="pct"/>
            <w:tcBorders>
              <w:top w:val="single" w:color="auto" w:sz="4" w:space="0"/>
              <w:left w:val="single" w:color="auto" w:sz="4" w:space="0"/>
              <w:bottom w:val="single" w:color="auto" w:sz="4" w:space="0"/>
              <w:right w:val="single" w:color="auto" w:sz="4" w:space="0"/>
            </w:tcBorders>
            <w:vAlign w:val="center"/>
          </w:tcPr>
          <w:p w14:paraId="298E038A">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工业</w:t>
            </w:r>
          </w:p>
        </w:tc>
        <w:tc>
          <w:tcPr>
            <w:tcW w:w="649" w:type="pct"/>
            <w:tcBorders>
              <w:top w:val="single" w:color="auto" w:sz="4" w:space="0"/>
              <w:left w:val="single" w:color="auto" w:sz="4" w:space="0"/>
              <w:bottom w:val="single" w:color="auto" w:sz="4" w:space="0"/>
              <w:right w:val="single" w:color="auto" w:sz="4" w:space="0"/>
            </w:tcBorders>
            <w:vAlign w:val="center"/>
          </w:tcPr>
          <w:p w14:paraId="482A80A0">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否</w:t>
            </w:r>
          </w:p>
        </w:tc>
        <w:tc>
          <w:tcPr>
            <w:tcW w:w="442" w:type="pct"/>
            <w:tcBorders>
              <w:top w:val="single" w:color="auto" w:sz="4" w:space="0"/>
              <w:left w:val="single" w:color="auto" w:sz="4" w:space="0"/>
              <w:bottom w:val="single" w:color="auto" w:sz="4" w:space="0"/>
              <w:right w:val="single" w:color="auto" w:sz="4" w:space="0"/>
            </w:tcBorders>
            <w:vAlign w:val="center"/>
          </w:tcPr>
          <w:p w14:paraId="21955C82">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1200元/组</w:t>
            </w:r>
          </w:p>
        </w:tc>
      </w:tr>
      <w:tr w14:paraId="76CFB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tcBorders>
              <w:top w:val="single" w:color="auto" w:sz="4" w:space="0"/>
              <w:left w:val="single" w:color="auto" w:sz="4" w:space="0"/>
              <w:bottom w:val="single" w:color="auto" w:sz="4" w:space="0"/>
              <w:right w:val="single" w:color="auto" w:sz="4" w:space="0"/>
            </w:tcBorders>
            <w:vAlign w:val="center"/>
          </w:tcPr>
          <w:p w14:paraId="06B4FC59">
            <w:pPr>
              <w:jc w:val="center"/>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8</w:t>
            </w:r>
          </w:p>
        </w:tc>
        <w:tc>
          <w:tcPr>
            <w:tcW w:w="638" w:type="pct"/>
            <w:tcBorders>
              <w:top w:val="single" w:color="auto" w:sz="4" w:space="0"/>
              <w:left w:val="single" w:color="auto" w:sz="4" w:space="0"/>
              <w:bottom w:val="single" w:color="auto" w:sz="4" w:space="0"/>
              <w:right w:val="single" w:color="auto" w:sz="4" w:space="0"/>
            </w:tcBorders>
            <w:vAlign w:val="center"/>
          </w:tcPr>
          <w:p w14:paraId="68418E9D">
            <w:pPr>
              <w:widowControl/>
              <w:jc w:val="center"/>
              <w:textAlignment w:val="center"/>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lang w:bidi="ar"/>
              </w:rPr>
              <w:t>茶几1</w:t>
            </w:r>
          </w:p>
        </w:tc>
        <w:tc>
          <w:tcPr>
            <w:tcW w:w="1937" w:type="pct"/>
            <w:tcBorders>
              <w:top w:val="single" w:color="auto" w:sz="4" w:space="0"/>
              <w:left w:val="single" w:color="auto" w:sz="4" w:space="0"/>
              <w:bottom w:val="single" w:color="auto" w:sz="4" w:space="0"/>
              <w:right w:val="single" w:color="auto" w:sz="4" w:space="0"/>
            </w:tcBorders>
            <w:vAlign w:val="center"/>
          </w:tcPr>
          <w:p w14:paraId="3609044A">
            <w:pPr>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1.规格：1400mm*700mm*450mm；</w:t>
            </w:r>
          </w:p>
          <w:p w14:paraId="12F649E7">
            <w:pPr>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2.框架:方形亮光钢管焊接而成。</w:t>
            </w:r>
          </w:p>
          <w:p w14:paraId="0D7DCD2E">
            <w:pPr>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3.涂装：高温粉体烤漆；</w:t>
            </w:r>
          </w:p>
          <w:p w14:paraId="2E352246">
            <w:pPr>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4.台面：选用大理石台面；斜口磨边工艺。</w:t>
            </w:r>
          </w:p>
        </w:tc>
        <w:tc>
          <w:tcPr>
            <w:tcW w:w="507" w:type="pct"/>
            <w:tcBorders>
              <w:top w:val="single" w:color="auto" w:sz="4" w:space="0"/>
              <w:left w:val="single" w:color="auto" w:sz="4" w:space="0"/>
              <w:bottom w:val="single" w:color="auto" w:sz="4" w:space="0"/>
              <w:right w:val="single" w:color="auto" w:sz="4" w:space="0"/>
            </w:tcBorders>
            <w:vAlign w:val="center"/>
          </w:tcPr>
          <w:p w14:paraId="4770929F">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2组</w:t>
            </w:r>
          </w:p>
        </w:tc>
        <w:tc>
          <w:tcPr>
            <w:tcW w:w="488" w:type="pct"/>
            <w:tcBorders>
              <w:top w:val="single" w:color="auto" w:sz="4" w:space="0"/>
              <w:left w:val="single" w:color="auto" w:sz="4" w:space="0"/>
              <w:bottom w:val="single" w:color="auto" w:sz="4" w:space="0"/>
              <w:right w:val="single" w:color="auto" w:sz="4" w:space="0"/>
            </w:tcBorders>
            <w:vAlign w:val="center"/>
          </w:tcPr>
          <w:p w14:paraId="44B5CAA2">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工业</w:t>
            </w:r>
          </w:p>
        </w:tc>
        <w:tc>
          <w:tcPr>
            <w:tcW w:w="649" w:type="pct"/>
            <w:tcBorders>
              <w:top w:val="single" w:color="auto" w:sz="4" w:space="0"/>
              <w:left w:val="single" w:color="auto" w:sz="4" w:space="0"/>
              <w:bottom w:val="single" w:color="auto" w:sz="4" w:space="0"/>
              <w:right w:val="single" w:color="auto" w:sz="4" w:space="0"/>
            </w:tcBorders>
            <w:vAlign w:val="center"/>
          </w:tcPr>
          <w:p w14:paraId="0D2B7FC6">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否</w:t>
            </w:r>
          </w:p>
        </w:tc>
        <w:tc>
          <w:tcPr>
            <w:tcW w:w="442" w:type="pct"/>
            <w:tcBorders>
              <w:top w:val="single" w:color="auto" w:sz="4" w:space="0"/>
              <w:left w:val="single" w:color="auto" w:sz="4" w:space="0"/>
              <w:bottom w:val="single" w:color="auto" w:sz="4" w:space="0"/>
              <w:right w:val="single" w:color="auto" w:sz="4" w:space="0"/>
            </w:tcBorders>
            <w:vAlign w:val="center"/>
          </w:tcPr>
          <w:p w14:paraId="58D17704">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300元/组</w:t>
            </w:r>
          </w:p>
        </w:tc>
      </w:tr>
      <w:tr w14:paraId="641AD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tcBorders>
              <w:top w:val="single" w:color="auto" w:sz="4" w:space="0"/>
              <w:left w:val="single" w:color="auto" w:sz="4" w:space="0"/>
              <w:bottom w:val="single" w:color="auto" w:sz="4" w:space="0"/>
              <w:right w:val="single" w:color="auto" w:sz="4" w:space="0"/>
            </w:tcBorders>
            <w:vAlign w:val="center"/>
          </w:tcPr>
          <w:p w14:paraId="1963D927">
            <w:pPr>
              <w:jc w:val="center"/>
              <w:rPr>
                <w:rFonts w:hint="default"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rPr>
              <w:t>19</w:t>
            </w:r>
          </w:p>
        </w:tc>
        <w:tc>
          <w:tcPr>
            <w:tcW w:w="638" w:type="pct"/>
            <w:tcBorders>
              <w:top w:val="single" w:color="auto" w:sz="4" w:space="0"/>
              <w:left w:val="single" w:color="auto" w:sz="4" w:space="0"/>
              <w:bottom w:val="single" w:color="auto" w:sz="4" w:space="0"/>
              <w:right w:val="single" w:color="auto" w:sz="4" w:space="0"/>
            </w:tcBorders>
            <w:vAlign w:val="center"/>
          </w:tcPr>
          <w:p w14:paraId="268E68E3">
            <w:pPr>
              <w:widowControl/>
              <w:jc w:val="center"/>
              <w:textAlignment w:val="center"/>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lang w:bidi="ar"/>
              </w:rPr>
              <w:t>茶几3</w:t>
            </w:r>
          </w:p>
        </w:tc>
        <w:tc>
          <w:tcPr>
            <w:tcW w:w="1937" w:type="pct"/>
            <w:tcBorders>
              <w:top w:val="single" w:color="auto" w:sz="4" w:space="0"/>
              <w:left w:val="single" w:color="auto" w:sz="4" w:space="0"/>
              <w:bottom w:val="single" w:color="auto" w:sz="4" w:space="0"/>
              <w:right w:val="single" w:color="auto" w:sz="4" w:space="0"/>
            </w:tcBorders>
            <w:vAlign w:val="center"/>
          </w:tcPr>
          <w:p w14:paraId="405A9D63">
            <w:pPr>
              <w:wordWrap w:val="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1.规格：600mm*600mm*450mm；</w:t>
            </w:r>
          </w:p>
          <w:p w14:paraId="6F54BF65">
            <w:pPr>
              <w:wordWrap w:val="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2.框架:方形亮光钢管焊接而成。</w:t>
            </w:r>
          </w:p>
          <w:p w14:paraId="213F7D21">
            <w:pPr>
              <w:wordWrap w:val="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3.涂装：高温粉体烤漆；</w:t>
            </w:r>
          </w:p>
          <w:p w14:paraId="1BB02326">
            <w:pPr>
              <w:wordWrap w:val="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4.台面：选用大理石台面；斜口磨边工艺。</w:t>
            </w:r>
          </w:p>
        </w:tc>
        <w:tc>
          <w:tcPr>
            <w:tcW w:w="507" w:type="pct"/>
            <w:tcBorders>
              <w:top w:val="single" w:color="auto" w:sz="4" w:space="0"/>
              <w:left w:val="single" w:color="auto" w:sz="4" w:space="0"/>
              <w:bottom w:val="single" w:color="auto" w:sz="4" w:space="0"/>
              <w:right w:val="single" w:color="auto" w:sz="4" w:space="0"/>
            </w:tcBorders>
            <w:vAlign w:val="center"/>
          </w:tcPr>
          <w:p w14:paraId="4F411935">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4组</w:t>
            </w:r>
          </w:p>
        </w:tc>
        <w:tc>
          <w:tcPr>
            <w:tcW w:w="488" w:type="pct"/>
            <w:tcBorders>
              <w:top w:val="single" w:color="auto" w:sz="4" w:space="0"/>
              <w:left w:val="single" w:color="auto" w:sz="4" w:space="0"/>
              <w:bottom w:val="single" w:color="auto" w:sz="4" w:space="0"/>
              <w:right w:val="single" w:color="auto" w:sz="4" w:space="0"/>
            </w:tcBorders>
            <w:vAlign w:val="center"/>
          </w:tcPr>
          <w:p w14:paraId="0F70ED22">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工业</w:t>
            </w:r>
          </w:p>
        </w:tc>
        <w:tc>
          <w:tcPr>
            <w:tcW w:w="649" w:type="pct"/>
            <w:tcBorders>
              <w:top w:val="single" w:color="auto" w:sz="4" w:space="0"/>
              <w:left w:val="single" w:color="auto" w:sz="4" w:space="0"/>
              <w:bottom w:val="single" w:color="auto" w:sz="4" w:space="0"/>
              <w:right w:val="single" w:color="auto" w:sz="4" w:space="0"/>
            </w:tcBorders>
            <w:vAlign w:val="center"/>
          </w:tcPr>
          <w:p w14:paraId="7A45F3E2">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否</w:t>
            </w:r>
          </w:p>
        </w:tc>
        <w:tc>
          <w:tcPr>
            <w:tcW w:w="442" w:type="pct"/>
            <w:tcBorders>
              <w:top w:val="single" w:color="auto" w:sz="4" w:space="0"/>
              <w:left w:val="single" w:color="auto" w:sz="4" w:space="0"/>
              <w:bottom w:val="single" w:color="auto" w:sz="4" w:space="0"/>
              <w:right w:val="single" w:color="auto" w:sz="4" w:space="0"/>
            </w:tcBorders>
            <w:vAlign w:val="center"/>
          </w:tcPr>
          <w:p w14:paraId="68AA30B1">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300元/组</w:t>
            </w:r>
          </w:p>
        </w:tc>
      </w:tr>
      <w:tr w14:paraId="761FD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tcBorders>
              <w:top w:val="single" w:color="auto" w:sz="4" w:space="0"/>
              <w:left w:val="single" w:color="auto" w:sz="4" w:space="0"/>
              <w:bottom w:val="single" w:color="auto" w:sz="4" w:space="0"/>
              <w:right w:val="single" w:color="auto" w:sz="4" w:space="0"/>
            </w:tcBorders>
            <w:vAlign w:val="center"/>
          </w:tcPr>
          <w:p w14:paraId="75FA2C5D">
            <w:pPr>
              <w:jc w:val="center"/>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0</w:t>
            </w:r>
          </w:p>
        </w:tc>
        <w:tc>
          <w:tcPr>
            <w:tcW w:w="638" w:type="pct"/>
            <w:tcBorders>
              <w:top w:val="single" w:color="auto" w:sz="4" w:space="0"/>
              <w:left w:val="single" w:color="auto" w:sz="4" w:space="0"/>
              <w:bottom w:val="single" w:color="auto" w:sz="4" w:space="0"/>
              <w:right w:val="single" w:color="auto" w:sz="4" w:space="0"/>
            </w:tcBorders>
            <w:vAlign w:val="center"/>
          </w:tcPr>
          <w:p w14:paraId="1984EED6">
            <w:pPr>
              <w:widowControl/>
              <w:jc w:val="center"/>
              <w:textAlignment w:val="center"/>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lang w:bidi="ar"/>
              </w:rPr>
              <w:t>更衣柜</w:t>
            </w:r>
          </w:p>
        </w:tc>
        <w:tc>
          <w:tcPr>
            <w:tcW w:w="1937" w:type="pct"/>
            <w:tcBorders>
              <w:top w:val="single" w:color="auto" w:sz="4" w:space="0"/>
              <w:left w:val="single" w:color="auto" w:sz="4" w:space="0"/>
              <w:bottom w:val="single" w:color="auto" w:sz="4" w:space="0"/>
              <w:right w:val="single" w:color="auto" w:sz="4" w:space="0"/>
            </w:tcBorders>
            <w:vAlign w:val="center"/>
          </w:tcPr>
          <w:p w14:paraId="1BCB55BF">
            <w:pPr>
              <w:wordWrap w:val="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1.规格：3800mm*500mm*2200mm/2000mm*500mm*2200mm(按现场尺寸定制)；           </w:t>
            </w:r>
          </w:p>
          <w:p w14:paraId="62A5373C">
            <w:pPr>
              <w:wordWrap w:val="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▲2.根据房间实际尺寸进行设计提供产品的设计图、效果图、产品结构图并标注尺寸。</w:t>
            </w:r>
          </w:p>
        </w:tc>
        <w:tc>
          <w:tcPr>
            <w:tcW w:w="507" w:type="pct"/>
            <w:tcBorders>
              <w:top w:val="single" w:color="auto" w:sz="4" w:space="0"/>
              <w:left w:val="single" w:color="auto" w:sz="4" w:space="0"/>
              <w:bottom w:val="single" w:color="auto" w:sz="4" w:space="0"/>
              <w:right w:val="single" w:color="auto" w:sz="4" w:space="0"/>
            </w:tcBorders>
            <w:vAlign w:val="center"/>
          </w:tcPr>
          <w:p w14:paraId="7744D122">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4组</w:t>
            </w:r>
          </w:p>
        </w:tc>
        <w:tc>
          <w:tcPr>
            <w:tcW w:w="488" w:type="pct"/>
            <w:tcBorders>
              <w:top w:val="single" w:color="auto" w:sz="4" w:space="0"/>
              <w:left w:val="single" w:color="auto" w:sz="4" w:space="0"/>
              <w:bottom w:val="single" w:color="auto" w:sz="4" w:space="0"/>
              <w:right w:val="single" w:color="auto" w:sz="4" w:space="0"/>
            </w:tcBorders>
            <w:vAlign w:val="center"/>
          </w:tcPr>
          <w:p w14:paraId="26180B7A">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工业</w:t>
            </w:r>
          </w:p>
        </w:tc>
        <w:tc>
          <w:tcPr>
            <w:tcW w:w="649" w:type="pct"/>
            <w:tcBorders>
              <w:top w:val="single" w:color="auto" w:sz="4" w:space="0"/>
              <w:left w:val="single" w:color="auto" w:sz="4" w:space="0"/>
              <w:bottom w:val="single" w:color="auto" w:sz="4" w:space="0"/>
              <w:right w:val="single" w:color="auto" w:sz="4" w:space="0"/>
            </w:tcBorders>
            <w:vAlign w:val="center"/>
          </w:tcPr>
          <w:p w14:paraId="037D0032">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否</w:t>
            </w:r>
          </w:p>
        </w:tc>
        <w:tc>
          <w:tcPr>
            <w:tcW w:w="442" w:type="pct"/>
            <w:tcBorders>
              <w:top w:val="single" w:color="auto" w:sz="4" w:space="0"/>
              <w:left w:val="single" w:color="auto" w:sz="4" w:space="0"/>
              <w:bottom w:val="single" w:color="auto" w:sz="4" w:space="0"/>
              <w:right w:val="single" w:color="auto" w:sz="4" w:space="0"/>
            </w:tcBorders>
            <w:vAlign w:val="center"/>
          </w:tcPr>
          <w:p w14:paraId="6D7D2C78">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7800元/组</w:t>
            </w:r>
          </w:p>
        </w:tc>
      </w:tr>
      <w:tr w14:paraId="2D046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tcBorders>
              <w:top w:val="single" w:color="auto" w:sz="4" w:space="0"/>
              <w:left w:val="single" w:color="auto" w:sz="4" w:space="0"/>
              <w:bottom w:val="single" w:color="auto" w:sz="4" w:space="0"/>
              <w:right w:val="single" w:color="auto" w:sz="4" w:space="0"/>
            </w:tcBorders>
            <w:vAlign w:val="center"/>
          </w:tcPr>
          <w:p w14:paraId="3F281042">
            <w:pPr>
              <w:jc w:val="center"/>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w:t>
            </w:r>
          </w:p>
        </w:tc>
        <w:tc>
          <w:tcPr>
            <w:tcW w:w="638" w:type="pct"/>
            <w:tcBorders>
              <w:top w:val="single" w:color="auto" w:sz="4" w:space="0"/>
              <w:left w:val="single" w:color="auto" w:sz="4" w:space="0"/>
              <w:bottom w:val="single" w:color="auto" w:sz="4" w:space="0"/>
              <w:right w:val="single" w:color="auto" w:sz="4" w:space="0"/>
            </w:tcBorders>
            <w:vAlign w:val="center"/>
          </w:tcPr>
          <w:p w14:paraId="7F0495C1">
            <w:pPr>
              <w:widowControl/>
              <w:jc w:val="center"/>
              <w:textAlignment w:val="center"/>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lang w:bidi="ar"/>
              </w:rPr>
              <w:t>更衣凳</w:t>
            </w:r>
          </w:p>
        </w:tc>
        <w:tc>
          <w:tcPr>
            <w:tcW w:w="1937" w:type="pct"/>
            <w:tcBorders>
              <w:top w:val="single" w:color="auto" w:sz="4" w:space="0"/>
              <w:left w:val="single" w:color="auto" w:sz="4" w:space="0"/>
              <w:bottom w:val="single" w:color="auto" w:sz="4" w:space="0"/>
              <w:right w:val="single" w:color="auto" w:sz="4" w:space="0"/>
            </w:tcBorders>
            <w:vAlign w:val="center"/>
          </w:tcPr>
          <w:p w14:paraId="6DF20EE3">
            <w:pPr>
              <w:wordWrap w:val="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1.规格：1600mm*400mm*450mm；</w:t>
            </w:r>
          </w:p>
          <w:p w14:paraId="7A320B61">
            <w:pPr>
              <w:wordWrap w:val="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2.凳架:方形亮光钢管焊接而成；</w:t>
            </w:r>
          </w:p>
          <w:p w14:paraId="6CEB7E3F">
            <w:pPr>
              <w:wordWrap w:val="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3.涂装：外表高温粉体烤漆；</w:t>
            </w:r>
          </w:p>
          <w:p w14:paraId="21573A63">
            <w:pPr>
              <w:wordWrap w:val="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4.座面靠背面料：皮革厚度≥1.2mm； </w:t>
            </w:r>
          </w:p>
          <w:p w14:paraId="2A67B96A">
            <w:pPr>
              <w:wordWrap w:val="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5.海绵：定型海绵。</w:t>
            </w:r>
          </w:p>
        </w:tc>
        <w:tc>
          <w:tcPr>
            <w:tcW w:w="507" w:type="pct"/>
            <w:tcBorders>
              <w:top w:val="single" w:color="auto" w:sz="4" w:space="0"/>
              <w:left w:val="single" w:color="auto" w:sz="4" w:space="0"/>
              <w:bottom w:val="single" w:color="auto" w:sz="4" w:space="0"/>
              <w:right w:val="single" w:color="auto" w:sz="4" w:space="0"/>
            </w:tcBorders>
            <w:vAlign w:val="center"/>
          </w:tcPr>
          <w:p w14:paraId="6840DBFD">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4把</w:t>
            </w:r>
          </w:p>
        </w:tc>
        <w:tc>
          <w:tcPr>
            <w:tcW w:w="488" w:type="pct"/>
            <w:tcBorders>
              <w:top w:val="single" w:color="auto" w:sz="4" w:space="0"/>
              <w:left w:val="single" w:color="auto" w:sz="4" w:space="0"/>
              <w:bottom w:val="single" w:color="auto" w:sz="4" w:space="0"/>
              <w:right w:val="single" w:color="auto" w:sz="4" w:space="0"/>
            </w:tcBorders>
            <w:vAlign w:val="center"/>
          </w:tcPr>
          <w:p w14:paraId="1B4479DD">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工业</w:t>
            </w:r>
          </w:p>
        </w:tc>
        <w:tc>
          <w:tcPr>
            <w:tcW w:w="649" w:type="pct"/>
            <w:tcBorders>
              <w:top w:val="single" w:color="auto" w:sz="4" w:space="0"/>
              <w:left w:val="single" w:color="auto" w:sz="4" w:space="0"/>
              <w:bottom w:val="single" w:color="auto" w:sz="4" w:space="0"/>
              <w:right w:val="single" w:color="auto" w:sz="4" w:space="0"/>
            </w:tcBorders>
            <w:vAlign w:val="center"/>
          </w:tcPr>
          <w:p w14:paraId="2D03DDEA">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否</w:t>
            </w:r>
          </w:p>
        </w:tc>
        <w:tc>
          <w:tcPr>
            <w:tcW w:w="442" w:type="pct"/>
            <w:tcBorders>
              <w:top w:val="single" w:color="auto" w:sz="4" w:space="0"/>
              <w:left w:val="single" w:color="auto" w:sz="4" w:space="0"/>
              <w:bottom w:val="single" w:color="auto" w:sz="4" w:space="0"/>
              <w:right w:val="single" w:color="auto" w:sz="4" w:space="0"/>
            </w:tcBorders>
            <w:vAlign w:val="center"/>
          </w:tcPr>
          <w:p w14:paraId="0865308E">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680元/把</w:t>
            </w:r>
          </w:p>
        </w:tc>
      </w:tr>
      <w:tr w14:paraId="489EE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tcBorders>
              <w:top w:val="single" w:color="auto" w:sz="4" w:space="0"/>
              <w:left w:val="single" w:color="auto" w:sz="4" w:space="0"/>
              <w:bottom w:val="single" w:color="auto" w:sz="4" w:space="0"/>
              <w:right w:val="single" w:color="auto" w:sz="4" w:space="0"/>
            </w:tcBorders>
            <w:vAlign w:val="center"/>
          </w:tcPr>
          <w:p w14:paraId="1C5E4411">
            <w:pPr>
              <w:jc w:val="center"/>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p>
        </w:tc>
        <w:tc>
          <w:tcPr>
            <w:tcW w:w="638" w:type="pct"/>
            <w:tcBorders>
              <w:top w:val="single" w:color="auto" w:sz="4" w:space="0"/>
              <w:left w:val="single" w:color="auto" w:sz="4" w:space="0"/>
              <w:bottom w:val="single" w:color="auto" w:sz="4" w:space="0"/>
              <w:right w:val="single" w:color="auto" w:sz="4" w:space="0"/>
            </w:tcBorders>
            <w:vAlign w:val="center"/>
          </w:tcPr>
          <w:p w14:paraId="6765FDEA">
            <w:pPr>
              <w:widowControl/>
              <w:jc w:val="center"/>
              <w:textAlignment w:val="center"/>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lang w:bidi="ar"/>
              </w:rPr>
              <w:t>值班床</w:t>
            </w:r>
          </w:p>
        </w:tc>
        <w:tc>
          <w:tcPr>
            <w:tcW w:w="1937" w:type="pct"/>
            <w:tcBorders>
              <w:top w:val="single" w:color="auto" w:sz="4" w:space="0"/>
              <w:left w:val="single" w:color="auto" w:sz="4" w:space="0"/>
              <w:bottom w:val="single" w:color="auto" w:sz="4" w:space="0"/>
              <w:right w:val="single" w:color="auto" w:sz="4" w:space="0"/>
            </w:tcBorders>
            <w:vAlign w:val="center"/>
          </w:tcPr>
          <w:p w14:paraId="4ECAED9F">
            <w:pPr>
              <w:wordWrap w:val="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1.规格：1500mm*2000mm*1100mm；</w:t>
            </w:r>
          </w:p>
          <w:p w14:paraId="5A0AD104">
            <w:pPr>
              <w:wordWrap w:val="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结构：每组床含床屏、床箱、2个床头柜。全部采用白蜡木自然料配合白蜡木直拼板，床屏厚度不小于80mm，床箱长度不小于2100mm，床屏两侧和上主柱尺寸不小于100*80mm；床板条每根宽度不小于60mm，厚度不小于18mm,床板撑不少于5根（尺寸不小于30*40mm）；每组床箱带1个储物抽屉，抽屉尺寸不小于600*500*250mm(三节导轨),床支架方料不小于100×80mm，衬板不小于40*30mm，侧面床板厚度不小于15mm，床箱离地高度30mm。</w:t>
            </w:r>
          </w:p>
          <w:p w14:paraId="6C0161A3">
            <w:pPr>
              <w:wordWrap w:val="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3.材质：床板采用松木实木自然料，双面刨光，厚度≥18mm，床板撑采用硬木实木。</w:t>
            </w:r>
          </w:p>
          <w:p w14:paraId="0C0BAC98">
            <w:pPr>
              <w:wordWrap w:val="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4.工艺： 采用传统卯榫结构和现代加工工艺相结合；颜色可选。</w:t>
            </w:r>
          </w:p>
        </w:tc>
        <w:tc>
          <w:tcPr>
            <w:tcW w:w="507" w:type="pct"/>
            <w:tcBorders>
              <w:top w:val="single" w:color="auto" w:sz="4" w:space="0"/>
              <w:left w:val="single" w:color="auto" w:sz="4" w:space="0"/>
              <w:bottom w:val="single" w:color="auto" w:sz="4" w:space="0"/>
              <w:right w:val="single" w:color="auto" w:sz="4" w:space="0"/>
            </w:tcBorders>
            <w:vAlign w:val="center"/>
          </w:tcPr>
          <w:p w14:paraId="36E8F8CB">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1张</w:t>
            </w:r>
          </w:p>
        </w:tc>
        <w:tc>
          <w:tcPr>
            <w:tcW w:w="488" w:type="pct"/>
            <w:tcBorders>
              <w:top w:val="single" w:color="auto" w:sz="4" w:space="0"/>
              <w:left w:val="single" w:color="auto" w:sz="4" w:space="0"/>
              <w:bottom w:val="single" w:color="auto" w:sz="4" w:space="0"/>
              <w:right w:val="single" w:color="auto" w:sz="4" w:space="0"/>
            </w:tcBorders>
            <w:vAlign w:val="center"/>
          </w:tcPr>
          <w:p w14:paraId="229D58B8">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工业</w:t>
            </w:r>
          </w:p>
        </w:tc>
        <w:tc>
          <w:tcPr>
            <w:tcW w:w="649" w:type="pct"/>
            <w:tcBorders>
              <w:top w:val="single" w:color="auto" w:sz="4" w:space="0"/>
              <w:left w:val="single" w:color="auto" w:sz="4" w:space="0"/>
              <w:bottom w:val="single" w:color="auto" w:sz="4" w:space="0"/>
              <w:right w:val="single" w:color="auto" w:sz="4" w:space="0"/>
            </w:tcBorders>
            <w:vAlign w:val="center"/>
          </w:tcPr>
          <w:p w14:paraId="09613D93">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否</w:t>
            </w:r>
          </w:p>
        </w:tc>
        <w:tc>
          <w:tcPr>
            <w:tcW w:w="442" w:type="pct"/>
            <w:tcBorders>
              <w:top w:val="single" w:color="auto" w:sz="4" w:space="0"/>
              <w:left w:val="single" w:color="auto" w:sz="4" w:space="0"/>
              <w:bottom w:val="single" w:color="auto" w:sz="4" w:space="0"/>
              <w:right w:val="single" w:color="auto" w:sz="4" w:space="0"/>
            </w:tcBorders>
            <w:vAlign w:val="center"/>
          </w:tcPr>
          <w:p w14:paraId="7283E2C0">
            <w:pPr>
              <w:spacing w:line="360" w:lineRule="auto"/>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2200元/张</w:t>
            </w:r>
          </w:p>
        </w:tc>
      </w:tr>
      <w:tr w14:paraId="6388A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tcBorders>
              <w:top w:val="single" w:color="auto" w:sz="4" w:space="0"/>
              <w:left w:val="single" w:color="auto" w:sz="4" w:space="0"/>
              <w:bottom w:val="single" w:color="auto" w:sz="4" w:space="0"/>
              <w:right w:val="single" w:color="auto" w:sz="4" w:space="0"/>
            </w:tcBorders>
            <w:vAlign w:val="center"/>
          </w:tcPr>
          <w:p w14:paraId="125E6141">
            <w:pPr>
              <w:jc w:val="center"/>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3</w:t>
            </w:r>
          </w:p>
        </w:tc>
        <w:tc>
          <w:tcPr>
            <w:tcW w:w="638" w:type="pct"/>
            <w:tcBorders>
              <w:top w:val="single" w:color="auto" w:sz="4" w:space="0"/>
              <w:left w:val="single" w:color="auto" w:sz="4" w:space="0"/>
              <w:bottom w:val="single" w:color="auto" w:sz="4" w:space="0"/>
              <w:right w:val="single" w:color="auto" w:sz="4" w:space="0"/>
            </w:tcBorders>
            <w:vAlign w:val="center"/>
          </w:tcPr>
          <w:p w14:paraId="49C5A3D3">
            <w:pPr>
              <w:widowControl/>
              <w:jc w:val="center"/>
              <w:textAlignment w:val="center"/>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lang w:bidi="ar"/>
              </w:rPr>
              <w:t>床垫1</w:t>
            </w:r>
          </w:p>
        </w:tc>
        <w:tc>
          <w:tcPr>
            <w:tcW w:w="1937" w:type="pct"/>
            <w:tcBorders>
              <w:top w:val="single" w:color="auto" w:sz="4" w:space="0"/>
              <w:left w:val="single" w:color="auto" w:sz="4" w:space="0"/>
              <w:bottom w:val="single" w:color="auto" w:sz="4" w:space="0"/>
              <w:right w:val="single" w:color="auto" w:sz="4" w:space="0"/>
            </w:tcBorders>
            <w:vAlign w:val="center"/>
          </w:tcPr>
          <w:p w14:paraId="3E2AABBF">
            <w:pPr>
              <w:wordWrap w:val="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1.规格：1500mm*2000mm*200mm；</w:t>
            </w:r>
          </w:p>
          <w:p w14:paraId="060B8CEA">
            <w:pPr>
              <w:wordWrap w:val="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2.3D无胶天然椰棕、三维中空聚酯纤维均匀铺网；高锰碳素钢、无框无套全独立弹簧；</w:t>
            </w:r>
          </w:p>
          <w:p w14:paraId="0429AE46">
            <w:pPr>
              <w:wordWrap w:val="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3.床垫整体厚度不小于220mm，海绵厚度不小于25mm，椰棕厚度不小于14mm。</w:t>
            </w:r>
          </w:p>
        </w:tc>
        <w:tc>
          <w:tcPr>
            <w:tcW w:w="507" w:type="pct"/>
            <w:tcBorders>
              <w:top w:val="single" w:color="auto" w:sz="4" w:space="0"/>
              <w:left w:val="single" w:color="auto" w:sz="4" w:space="0"/>
              <w:bottom w:val="single" w:color="auto" w:sz="4" w:space="0"/>
              <w:right w:val="single" w:color="auto" w:sz="4" w:space="0"/>
            </w:tcBorders>
            <w:vAlign w:val="center"/>
          </w:tcPr>
          <w:p w14:paraId="4E0F6EEC">
            <w:pPr>
              <w:wordWrap w:val="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1张</w:t>
            </w:r>
          </w:p>
        </w:tc>
        <w:tc>
          <w:tcPr>
            <w:tcW w:w="488" w:type="pct"/>
            <w:tcBorders>
              <w:top w:val="single" w:color="auto" w:sz="4" w:space="0"/>
              <w:left w:val="single" w:color="auto" w:sz="4" w:space="0"/>
              <w:bottom w:val="single" w:color="auto" w:sz="4" w:space="0"/>
              <w:right w:val="single" w:color="auto" w:sz="4" w:space="0"/>
            </w:tcBorders>
            <w:vAlign w:val="center"/>
          </w:tcPr>
          <w:p w14:paraId="411F361E">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工业</w:t>
            </w:r>
          </w:p>
        </w:tc>
        <w:tc>
          <w:tcPr>
            <w:tcW w:w="649" w:type="pct"/>
            <w:tcBorders>
              <w:top w:val="single" w:color="auto" w:sz="4" w:space="0"/>
              <w:left w:val="single" w:color="auto" w:sz="4" w:space="0"/>
              <w:bottom w:val="single" w:color="auto" w:sz="4" w:space="0"/>
              <w:right w:val="single" w:color="auto" w:sz="4" w:space="0"/>
            </w:tcBorders>
            <w:vAlign w:val="center"/>
          </w:tcPr>
          <w:p w14:paraId="656BE354">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否</w:t>
            </w:r>
          </w:p>
        </w:tc>
        <w:tc>
          <w:tcPr>
            <w:tcW w:w="442" w:type="pct"/>
            <w:tcBorders>
              <w:top w:val="single" w:color="auto" w:sz="4" w:space="0"/>
              <w:left w:val="single" w:color="auto" w:sz="4" w:space="0"/>
              <w:bottom w:val="single" w:color="auto" w:sz="4" w:space="0"/>
              <w:right w:val="single" w:color="auto" w:sz="4" w:space="0"/>
            </w:tcBorders>
            <w:vAlign w:val="center"/>
          </w:tcPr>
          <w:p w14:paraId="76FD03D3">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850元/张</w:t>
            </w:r>
          </w:p>
        </w:tc>
      </w:tr>
      <w:tr w14:paraId="79853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tcBorders>
              <w:top w:val="single" w:color="auto" w:sz="4" w:space="0"/>
              <w:left w:val="single" w:color="auto" w:sz="4" w:space="0"/>
              <w:bottom w:val="single" w:color="auto" w:sz="4" w:space="0"/>
              <w:right w:val="single" w:color="auto" w:sz="4" w:space="0"/>
            </w:tcBorders>
            <w:vAlign w:val="center"/>
          </w:tcPr>
          <w:p w14:paraId="0D9E90EE">
            <w:pPr>
              <w:jc w:val="center"/>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4</w:t>
            </w:r>
          </w:p>
        </w:tc>
        <w:tc>
          <w:tcPr>
            <w:tcW w:w="638" w:type="pct"/>
            <w:tcBorders>
              <w:top w:val="single" w:color="auto" w:sz="4" w:space="0"/>
              <w:left w:val="single" w:color="auto" w:sz="4" w:space="0"/>
              <w:bottom w:val="single" w:color="auto" w:sz="4" w:space="0"/>
              <w:right w:val="single" w:color="auto" w:sz="4" w:space="0"/>
            </w:tcBorders>
            <w:vAlign w:val="center"/>
          </w:tcPr>
          <w:p w14:paraId="172AA52C">
            <w:pPr>
              <w:widowControl/>
              <w:jc w:val="center"/>
              <w:textAlignment w:val="center"/>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lang w:bidi="ar"/>
              </w:rPr>
              <w:t>造型墙柜</w:t>
            </w:r>
          </w:p>
        </w:tc>
        <w:tc>
          <w:tcPr>
            <w:tcW w:w="1937" w:type="pct"/>
            <w:tcBorders>
              <w:top w:val="single" w:color="auto" w:sz="4" w:space="0"/>
              <w:left w:val="single" w:color="auto" w:sz="4" w:space="0"/>
              <w:bottom w:val="single" w:color="auto" w:sz="4" w:space="0"/>
              <w:right w:val="single" w:color="auto" w:sz="4" w:space="0"/>
            </w:tcBorders>
            <w:vAlign w:val="center"/>
          </w:tcPr>
          <w:p w14:paraId="5A0F50FD">
            <w:pPr>
              <w:wordWrap w:val="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▲1.规格：6970mm*2800mm*450mm（定制）；根据房间实际尺寸进行设计提供产品的设计图、效果图、产品结构图并标注尺寸。</w:t>
            </w:r>
          </w:p>
        </w:tc>
        <w:tc>
          <w:tcPr>
            <w:tcW w:w="507" w:type="pct"/>
            <w:tcBorders>
              <w:top w:val="single" w:color="auto" w:sz="4" w:space="0"/>
              <w:left w:val="single" w:color="auto" w:sz="4" w:space="0"/>
              <w:bottom w:val="single" w:color="auto" w:sz="4" w:space="0"/>
              <w:right w:val="single" w:color="auto" w:sz="4" w:space="0"/>
            </w:tcBorders>
            <w:vAlign w:val="center"/>
          </w:tcPr>
          <w:p w14:paraId="18A2E91B">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1组</w:t>
            </w:r>
          </w:p>
        </w:tc>
        <w:tc>
          <w:tcPr>
            <w:tcW w:w="488" w:type="pct"/>
            <w:tcBorders>
              <w:top w:val="single" w:color="auto" w:sz="4" w:space="0"/>
              <w:left w:val="single" w:color="auto" w:sz="4" w:space="0"/>
              <w:bottom w:val="single" w:color="auto" w:sz="4" w:space="0"/>
              <w:right w:val="single" w:color="auto" w:sz="4" w:space="0"/>
            </w:tcBorders>
            <w:vAlign w:val="center"/>
          </w:tcPr>
          <w:p w14:paraId="3CD57991">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工业</w:t>
            </w:r>
          </w:p>
        </w:tc>
        <w:tc>
          <w:tcPr>
            <w:tcW w:w="649" w:type="pct"/>
            <w:tcBorders>
              <w:top w:val="single" w:color="auto" w:sz="4" w:space="0"/>
              <w:left w:val="single" w:color="auto" w:sz="4" w:space="0"/>
              <w:bottom w:val="single" w:color="auto" w:sz="4" w:space="0"/>
              <w:right w:val="single" w:color="auto" w:sz="4" w:space="0"/>
            </w:tcBorders>
            <w:vAlign w:val="center"/>
          </w:tcPr>
          <w:p w14:paraId="64A57176">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否</w:t>
            </w:r>
          </w:p>
        </w:tc>
        <w:tc>
          <w:tcPr>
            <w:tcW w:w="442" w:type="pct"/>
            <w:tcBorders>
              <w:top w:val="single" w:color="auto" w:sz="4" w:space="0"/>
              <w:left w:val="single" w:color="auto" w:sz="4" w:space="0"/>
              <w:bottom w:val="single" w:color="auto" w:sz="4" w:space="0"/>
              <w:right w:val="single" w:color="auto" w:sz="4" w:space="0"/>
            </w:tcBorders>
            <w:vAlign w:val="center"/>
          </w:tcPr>
          <w:p w14:paraId="39FEA824">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18000元/组</w:t>
            </w:r>
          </w:p>
        </w:tc>
      </w:tr>
      <w:tr w14:paraId="1C260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tcBorders>
              <w:top w:val="single" w:color="auto" w:sz="4" w:space="0"/>
              <w:left w:val="single" w:color="auto" w:sz="4" w:space="0"/>
              <w:bottom w:val="single" w:color="auto" w:sz="4" w:space="0"/>
              <w:right w:val="single" w:color="auto" w:sz="4" w:space="0"/>
            </w:tcBorders>
            <w:vAlign w:val="center"/>
          </w:tcPr>
          <w:p w14:paraId="05F37A18">
            <w:pPr>
              <w:jc w:val="center"/>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p>
        </w:tc>
        <w:tc>
          <w:tcPr>
            <w:tcW w:w="638" w:type="pct"/>
            <w:tcBorders>
              <w:top w:val="single" w:color="auto" w:sz="4" w:space="0"/>
              <w:left w:val="single" w:color="auto" w:sz="4" w:space="0"/>
              <w:bottom w:val="single" w:color="auto" w:sz="4" w:space="0"/>
              <w:right w:val="single" w:color="auto" w:sz="4" w:space="0"/>
            </w:tcBorders>
            <w:vAlign w:val="center"/>
          </w:tcPr>
          <w:p w14:paraId="689FA217">
            <w:pPr>
              <w:widowControl/>
              <w:jc w:val="center"/>
              <w:textAlignment w:val="center"/>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lang w:bidi="ar"/>
              </w:rPr>
              <w:t>读书墙柜</w:t>
            </w:r>
          </w:p>
        </w:tc>
        <w:tc>
          <w:tcPr>
            <w:tcW w:w="1937" w:type="pct"/>
            <w:tcBorders>
              <w:top w:val="single" w:color="auto" w:sz="4" w:space="0"/>
              <w:left w:val="single" w:color="auto" w:sz="4" w:space="0"/>
              <w:bottom w:val="single" w:color="auto" w:sz="4" w:space="0"/>
              <w:right w:val="single" w:color="auto" w:sz="4" w:space="0"/>
            </w:tcBorders>
            <w:vAlign w:val="center"/>
          </w:tcPr>
          <w:p w14:paraId="4F1A2F1C">
            <w:pPr>
              <w:wordWrap w:val="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▲1.规格：6970mm*2800mm*450mm（定制）；根据房间实际尺寸进行设计提供产品的设计图、效果图、产品结构图并标注尺寸。</w:t>
            </w:r>
          </w:p>
        </w:tc>
        <w:tc>
          <w:tcPr>
            <w:tcW w:w="507" w:type="pct"/>
            <w:tcBorders>
              <w:top w:val="single" w:color="auto" w:sz="4" w:space="0"/>
              <w:left w:val="single" w:color="auto" w:sz="4" w:space="0"/>
              <w:bottom w:val="single" w:color="auto" w:sz="4" w:space="0"/>
              <w:right w:val="single" w:color="auto" w:sz="4" w:space="0"/>
            </w:tcBorders>
            <w:vAlign w:val="center"/>
          </w:tcPr>
          <w:p w14:paraId="3A8E2E72">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1组</w:t>
            </w:r>
          </w:p>
        </w:tc>
        <w:tc>
          <w:tcPr>
            <w:tcW w:w="488" w:type="pct"/>
            <w:tcBorders>
              <w:top w:val="single" w:color="auto" w:sz="4" w:space="0"/>
              <w:left w:val="single" w:color="auto" w:sz="4" w:space="0"/>
              <w:bottom w:val="single" w:color="auto" w:sz="4" w:space="0"/>
              <w:right w:val="single" w:color="auto" w:sz="4" w:space="0"/>
            </w:tcBorders>
            <w:vAlign w:val="center"/>
          </w:tcPr>
          <w:p w14:paraId="7B98AD1E">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工业</w:t>
            </w:r>
          </w:p>
        </w:tc>
        <w:tc>
          <w:tcPr>
            <w:tcW w:w="649" w:type="pct"/>
            <w:tcBorders>
              <w:top w:val="single" w:color="auto" w:sz="4" w:space="0"/>
              <w:left w:val="single" w:color="auto" w:sz="4" w:space="0"/>
              <w:bottom w:val="single" w:color="auto" w:sz="4" w:space="0"/>
              <w:right w:val="single" w:color="auto" w:sz="4" w:space="0"/>
            </w:tcBorders>
            <w:vAlign w:val="center"/>
          </w:tcPr>
          <w:p w14:paraId="2B3652B5">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否</w:t>
            </w:r>
          </w:p>
        </w:tc>
        <w:tc>
          <w:tcPr>
            <w:tcW w:w="442" w:type="pct"/>
            <w:tcBorders>
              <w:top w:val="single" w:color="auto" w:sz="4" w:space="0"/>
              <w:left w:val="single" w:color="auto" w:sz="4" w:space="0"/>
              <w:bottom w:val="single" w:color="auto" w:sz="4" w:space="0"/>
              <w:right w:val="single" w:color="auto" w:sz="4" w:space="0"/>
            </w:tcBorders>
            <w:vAlign w:val="center"/>
          </w:tcPr>
          <w:p w14:paraId="5E0FB881">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15000元/组</w:t>
            </w:r>
          </w:p>
        </w:tc>
      </w:tr>
      <w:tr w14:paraId="575B7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tcBorders>
              <w:top w:val="single" w:color="auto" w:sz="4" w:space="0"/>
              <w:left w:val="single" w:color="auto" w:sz="4" w:space="0"/>
              <w:bottom w:val="single" w:color="auto" w:sz="4" w:space="0"/>
              <w:right w:val="single" w:color="auto" w:sz="4" w:space="0"/>
            </w:tcBorders>
            <w:vAlign w:val="center"/>
          </w:tcPr>
          <w:p w14:paraId="794F1F65">
            <w:pPr>
              <w:jc w:val="center"/>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6</w:t>
            </w:r>
          </w:p>
        </w:tc>
        <w:tc>
          <w:tcPr>
            <w:tcW w:w="638" w:type="pct"/>
            <w:tcBorders>
              <w:top w:val="single" w:color="auto" w:sz="4" w:space="0"/>
              <w:left w:val="single" w:color="auto" w:sz="4" w:space="0"/>
              <w:bottom w:val="single" w:color="auto" w:sz="4" w:space="0"/>
              <w:right w:val="single" w:color="auto" w:sz="4" w:space="0"/>
            </w:tcBorders>
            <w:vAlign w:val="center"/>
          </w:tcPr>
          <w:p w14:paraId="6B746F8F">
            <w:pPr>
              <w:widowControl/>
              <w:jc w:val="center"/>
              <w:textAlignment w:val="center"/>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lang w:bidi="ar"/>
              </w:rPr>
              <w:t>隔断门扇</w:t>
            </w:r>
          </w:p>
        </w:tc>
        <w:tc>
          <w:tcPr>
            <w:tcW w:w="1937" w:type="pct"/>
            <w:tcBorders>
              <w:top w:val="single" w:color="auto" w:sz="4" w:space="0"/>
              <w:left w:val="single" w:color="auto" w:sz="4" w:space="0"/>
              <w:bottom w:val="single" w:color="auto" w:sz="4" w:space="0"/>
              <w:right w:val="single" w:color="auto" w:sz="4" w:space="0"/>
            </w:tcBorders>
            <w:vAlign w:val="center"/>
          </w:tcPr>
          <w:p w14:paraId="6CE8A32E">
            <w:pPr>
              <w:widowControl/>
              <w:wordWrap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1.全部采用白蜡木自然料配合白蜡木直拼板；      </w:t>
            </w:r>
          </w:p>
          <w:p w14:paraId="33C8FAA5">
            <w:pPr>
              <w:widowControl/>
              <w:wordWrap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▲2.规格：6970mm*450mm*2800mm（定制）；根据房间实际尺寸进行设计提供产品的设计图、效果图、产品结构图并标注尺寸。</w:t>
            </w:r>
          </w:p>
        </w:tc>
        <w:tc>
          <w:tcPr>
            <w:tcW w:w="507" w:type="pct"/>
            <w:tcBorders>
              <w:top w:val="single" w:color="auto" w:sz="4" w:space="0"/>
              <w:left w:val="single" w:color="auto" w:sz="4" w:space="0"/>
              <w:bottom w:val="single" w:color="auto" w:sz="4" w:space="0"/>
              <w:right w:val="single" w:color="auto" w:sz="4" w:space="0"/>
            </w:tcBorders>
            <w:vAlign w:val="center"/>
          </w:tcPr>
          <w:p w14:paraId="40446B2D">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1组</w:t>
            </w:r>
          </w:p>
        </w:tc>
        <w:tc>
          <w:tcPr>
            <w:tcW w:w="488" w:type="pct"/>
            <w:tcBorders>
              <w:top w:val="single" w:color="auto" w:sz="4" w:space="0"/>
              <w:left w:val="single" w:color="auto" w:sz="4" w:space="0"/>
              <w:bottom w:val="single" w:color="auto" w:sz="4" w:space="0"/>
              <w:right w:val="single" w:color="auto" w:sz="4" w:space="0"/>
            </w:tcBorders>
            <w:vAlign w:val="center"/>
          </w:tcPr>
          <w:p w14:paraId="1BD07205">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工业</w:t>
            </w:r>
          </w:p>
        </w:tc>
        <w:tc>
          <w:tcPr>
            <w:tcW w:w="649" w:type="pct"/>
            <w:tcBorders>
              <w:top w:val="single" w:color="auto" w:sz="4" w:space="0"/>
              <w:left w:val="single" w:color="auto" w:sz="4" w:space="0"/>
              <w:bottom w:val="single" w:color="auto" w:sz="4" w:space="0"/>
              <w:right w:val="single" w:color="auto" w:sz="4" w:space="0"/>
            </w:tcBorders>
            <w:vAlign w:val="center"/>
          </w:tcPr>
          <w:p w14:paraId="26B2E709">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否</w:t>
            </w:r>
          </w:p>
        </w:tc>
        <w:tc>
          <w:tcPr>
            <w:tcW w:w="442" w:type="pct"/>
            <w:tcBorders>
              <w:top w:val="single" w:color="auto" w:sz="4" w:space="0"/>
              <w:left w:val="single" w:color="auto" w:sz="4" w:space="0"/>
              <w:bottom w:val="single" w:color="auto" w:sz="4" w:space="0"/>
              <w:right w:val="single" w:color="auto" w:sz="4" w:space="0"/>
            </w:tcBorders>
            <w:vAlign w:val="center"/>
          </w:tcPr>
          <w:p w14:paraId="3856071B">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8500元/组</w:t>
            </w:r>
          </w:p>
        </w:tc>
      </w:tr>
      <w:tr w14:paraId="63568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tcBorders>
              <w:top w:val="single" w:color="auto" w:sz="4" w:space="0"/>
              <w:left w:val="single" w:color="auto" w:sz="4" w:space="0"/>
              <w:bottom w:val="single" w:color="auto" w:sz="4" w:space="0"/>
              <w:right w:val="single" w:color="auto" w:sz="4" w:space="0"/>
            </w:tcBorders>
            <w:vAlign w:val="center"/>
          </w:tcPr>
          <w:p w14:paraId="6A1FE06C">
            <w:pPr>
              <w:jc w:val="center"/>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7</w:t>
            </w:r>
          </w:p>
        </w:tc>
        <w:tc>
          <w:tcPr>
            <w:tcW w:w="638" w:type="pct"/>
            <w:tcBorders>
              <w:top w:val="single" w:color="auto" w:sz="4" w:space="0"/>
              <w:left w:val="single" w:color="auto" w:sz="4" w:space="0"/>
              <w:bottom w:val="single" w:color="auto" w:sz="4" w:space="0"/>
              <w:right w:val="single" w:color="auto" w:sz="4" w:space="0"/>
            </w:tcBorders>
            <w:vAlign w:val="center"/>
          </w:tcPr>
          <w:p w14:paraId="63F183E5">
            <w:pPr>
              <w:widowControl/>
              <w:jc w:val="center"/>
              <w:textAlignment w:val="center"/>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lang w:bidi="ar"/>
              </w:rPr>
              <w:t>隔墙玻璃屏风</w:t>
            </w:r>
          </w:p>
        </w:tc>
        <w:tc>
          <w:tcPr>
            <w:tcW w:w="1937" w:type="pct"/>
            <w:tcBorders>
              <w:top w:val="single" w:color="auto" w:sz="4" w:space="0"/>
              <w:left w:val="single" w:color="auto" w:sz="4" w:space="0"/>
              <w:bottom w:val="single" w:color="auto" w:sz="4" w:space="0"/>
              <w:right w:val="single" w:color="auto" w:sz="4" w:space="0"/>
            </w:tcBorders>
            <w:vAlign w:val="center"/>
          </w:tcPr>
          <w:p w14:paraId="435DE147">
            <w:pPr>
              <w:widowControl/>
              <w:wordWrap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1.框架：厚度不低于55mm屏风，厚度不低于1.5mm氧化铝，；</w:t>
            </w:r>
          </w:p>
          <w:p w14:paraId="039828A7">
            <w:pPr>
              <w:widowControl/>
              <w:wordWrap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2.玻璃：5mm高光高透钢化玻璃。       </w:t>
            </w:r>
          </w:p>
          <w:p w14:paraId="7F5C498F">
            <w:pPr>
              <w:widowControl/>
              <w:wordWrap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▲3.规格：6970mm*100mm*2800mm（定制）；根据房间实际尺寸进行设计提供产品的设计图、效果图、产品结构图并标注尺寸。</w:t>
            </w:r>
          </w:p>
        </w:tc>
        <w:tc>
          <w:tcPr>
            <w:tcW w:w="507" w:type="pct"/>
            <w:tcBorders>
              <w:top w:val="single" w:color="auto" w:sz="4" w:space="0"/>
              <w:left w:val="single" w:color="auto" w:sz="4" w:space="0"/>
              <w:bottom w:val="single" w:color="auto" w:sz="4" w:space="0"/>
              <w:right w:val="single" w:color="auto" w:sz="4" w:space="0"/>
            </w:tcBorders>
            <w:vAlign w:val="center"/>
          </w:tcPr>
          <w:p w14:paraId="127EEA50">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1组</w:t>
            </w:r>
          </w:p>
        </w:tc>
        <w:tc>
          <w:tcPr>
            <w:tcW w:w="488" w:type="pct"/>
            <w:tcBorders>
              <w:top w:val="single" w:color="auto" w:sz="4" w:space="0"/>
              <w:left w:val="single" w:color="auto" w:sz="4" w:space="0"/>
              <w:bottom w:val="single" w:color="auto" w:sz="4" w:space="0"/>
              <w:right w:val="single" w:color="auto" w:sz="4" w:space="0"/>
            </w:tcBorders>
            <w:vAlign w:val="center"/>
          </w:tcPr>
          <w:p w14:paraId="29EFC02D">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工业</w:t>
            </w:r>
          </w:p>
        </w:tc>
        <w:tc>
          <w:tcPr>
            <w:tcW w:w="649" w:type="pct"/>
            <w:tcBorders>
              <w:top w:val="single" w:color="auto" w:sz="4" w:space="0"/>
              <w:left w:val="single" w:color="auto" w:sz="4" w:space="0"/>
              <w:bottom w:val="single" w:color="auto" w:sz="4" w:space="0"/>
              <w:right w:val="single" w:color="auto" w:sz="4" w:space="0"/>
            </w:tcBorders>
            <w:vAlign w:val="center"/>
          </w:tcPr>
          <w:p w14:paraId="6DAC5244">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否</w:t>
            </w:r>
          </w:p>
        </w:tc>
        <w:tc>
          <w:tcPr>
            <w:tcW w:w="442" w:type="pct"/>
            <w:tcBorders>
              <w:top w:val="single" w:color="auto" w:sz="4" w:space="0"/>
              <w:left w:val="single" w:color="auto" w:sz="4" w:space="0"/>
              <w:bottom w:val="single" w:color="auto" w:sz="4" w:space="0"/>
              <w:right w:val="single" w:color="auto" w:sz="4" w:space="0"/>
            </w:tcBorders>
            <w:vAlign w:val="center"/>
          </w:tcPr>
          <w:p w14:paraId="06DCE554">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9800元/组</w:t>
            </w:r>
          </w:p>
        </w:tc>
      </w:tr>
      <w:tr w14:paraId="2BAF1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tcBorders>
              <w:top w:val="single" w:color="auto" w:sz="4" w:space="0"/>
              <w:left w:val="single" w:color="auto" w:sz="4" w:space="0"/>
              <w:bottom w:val="single" w:color="auto" w:sz="4" w:space="0"/>
              <w:right w:val="single" w:color="auto" w:sz="4" w:space="0"/>
            </w:tcBorders>
            <w:vAlign w:val="center"/>
          </w:tcPr>
          <w:p w14:paraId="0A769465">
            <w:pPr>
              <w:jc w:val="center"/>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8</w:t>
            </w:r>
          </w:p>
        </w:tc>
        <w:tc>
          <w:tcPr>
            <w:tcW w:w="638" w:type="pct"/>
            <w:tcBorders>
              <w:top w:val="single" w:color="auto" w:sz="4" w:space="0"/>
              <w:left w:val="single" w:color="auto" w:sz="4" w:space="0"/>
              <w:bottom w:val="single" w:color="auto" w:sz="4" w:space="0"/>
              <w:right w:val="single" w:color="auto" w:sz="4" w:space="0"/>
            </w:tcBorders>
            <w:vAlign w:val="center"/>
          </w:tcPr>
          <w:p w14:paraId="022791A1">
            <w:pPr>
              <w:widowControl/>
              <w:jc w:val="center"/>
              <w:textAlignment w:val="center"/>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lang w:bidi="ar"/>
              </w:rPr>
              <w:t>休闲桌2</w:t>
            </w:r>
          </w:p>
        </w:tc>
        <w:tc>
          <w:tcPr>
            <w:tcW w:w="1937" w:type="pct"/>
            <w:tcBorders>
              <w:top w:val="single" w:color="auto" w:sz="4" w:space="0"/>
              <w:left w:val="single" w:color="auto" w:sz="4" w:space="0"/>
              <w:bottom w:val="single" w:color="auto" w:sz="4" w:space="0"/>
              <w:right w:val="single" w:color="auto" w:sz="4" w:space="0"/>
            </w:tcBorders>
            <w:vAlign w:val="center"/>
          </w:tcPr>
          <w:p w14:paraId="430A8409">
            <w:pPr>
              <w:widowControl/>
              <w:wordWrap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1.规格：800mm*600mm*750mm；</w:t>
            </w:r>
          </w:p>
          <w:p w14:paraId="0578301B">
            <w:pPr>
              <w:widowControl/>
              <w:wordWrap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2.桌面面板材：E0级实木多层板； </w:t>
            </w:r>
          </w:p>
          <w:p w14:paraId="6EDA3653">
            <w:pPr>
              <w:widowControl/>
              <w:wordWrap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3.台架桌腿:厚度1.5mm以上冷轧钢管，桌腿采用不低于2.0mm厚钢板，高温静电喷涂；</w:t>
            </w:r>
          </w:p>
          <w:p w14:paraId="44630909">
            <w:pPr>
              <w:widowControl/>
              <w:wordWrap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4.托板:采用厚度不低于1.2mm冷轧钢板，高温静电喷涂；</w:t>
            </w:r>
          </w:p>
          <w:p w14:paraId="265E73EA">
            <w:pPr>
              <w:widowControl/>
              <w:wordWrap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5.脚轮:采用静音尼龙脚轮，带锁定功能。</w:t>
            </w:r>
          </w:p>
        </w:tc>
        <w:tc>
          <w:tcPr>
            <w:tcW w:w="507" w:type="pct"/>
            <w:tcBorders>
              <w:top w:val="single" w:color="auto" w:sz="4" w:space="0"/>
              <w:left w:val="single" w:color="auto" w:sz="4" w:space="0"/>
              <w:bottom w:val="single" w:color="auto" w:sz="4" w:space="0"/>
              <w:right w:val="single" w:color="auto" w:sz="4" w:space="0"/>
            </w:tcBorders>
            <w:vAlign w:val="center"/>
          </w:tcPr>
          <w:p w14:paraId="1091A317">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12张</w:t>
            </w:r>
          </w:p>
        </w:tc>
        <w:tc>
          <w:tcPr>
            <w:tcW w:w="488" w:type="pct"/>
            <w:tcBorders>
              <w:top w:val="single" w:color="auto" w:sz="4" w:space="0"/>
              <w:left w:val="single" w:color="auto" w:sz="4" w:space="0"/>
              <w:bottom w:val="single" w:color="auto" w:sz="4" w:space="0"/>
              <w:right w:val="single" w:color="auto" w:sz="4" w:space="0"/>
            </w:tcBorders>
            <w:vAlign w:val="center"/>
          </w:tcPr>
          <w:p w14:paraId="3E2A5CFB">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工业</w:t>
            </w:r>
          </w:p>
        </w:tc>
        <w:tc>
          <w:tcPr>
            <w:tcW w:w="649" w:type="pct"/>
            <w:tcBorders>
              <w:top w:val="single" w:color="auto" w:sz="4" w:space="0"/>
              <w:left w:val="single" w:color="auto" w:sz="4" w:space="0"/>
              <w:bottom w:val="single" w:color="auto" w:sz="4" w:space="0"/>
              <w:right w:val="single" w:color="auto" w:sz="4" w:space="0"/>
            </w:tcBorders>
            <w:vAlign w:val="center"/>
          </w:tcPr>
          <w:p w14:paraId="7A3DE8CA">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否</w:t>
            </w:r>
          </w:p>
        </w:tc>
        <w:tc>
          <w:tcPr>
            <w:tcW w:w="442" w:type="pct"/>
            <w:tcBorders>
              <w:top w:val="single" w:color="auto" w:sz="4" w:space="0"/>
              <w:left w:val="single" w:color="auto" w:sz="4" w:space="0"/>
              <w:bottom w:val="single" w:color="auto" w:sz="4" w:space="0"/>
              <w:right w:val="single" w:color="auto" w:sz="4" w:space="0"/>
            </w:tcBorders>
            <w:vAlign w:val="center"/>
          </w:tcPr>
          <w:p w14:paraId="341884E5">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600元/张</w:t>
            </w:r>
          </w:p>
        </w:tc>
      </w:tr>
      <w:tr w14:paraId="7FBED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tcBorders>
              <w:top w:val="single" w:color="auto" w:sz="4" w:space="0"/>
              <w:left w:val="single" w:color="auto" w:sz="4" w:space="0"/>
              <w:bottom w:val="single" w:color="auto" w:sz="4" w:space="0"/>
              <w:right w:val="single" w:color="auto" w:sz="4" w:space="0"/>
            </w:tcBorders>
            <w:vAlign w:val="center"/>
          </w:tcPr>
          <w:p w14:paraId="76A85A33">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w:t>
            </w:r>
          </w:p>
        </w:tc>
        <w:tc>
          <w:tcPr>
            <w:tcW w:w="638" w:type="pct"/>
            <w:tcBorders>
              <w:top w:val="single" w:color="auto" w:sz="4" w:space="0"/>
              <w:left w:val="single" w:color="auto" w:sz="4" w:space="0"/>
              <w:bottom w:val="single" w:color="auto" w:sz="4" w:space="0"/>
              <w:right w:val="single" w:color="auto" w:sz="4" w:space="0"/>
            </w:tcBorders>
            <w:vAlign w:val="center"/>
          </w:tcPr>
          <w:p w14:paraId="339941E7">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休闲椅2</w:t>
            </w:r>
          </w:p>
        </w:tc>
        <w:tc>
          <w:tcPr>
            <w:tcW w:w="1937" w:type="pct"/>
            <w:tcBorders>
              <w:top w:val="single" w:color="auto" w:sz="4" w:space="0"/>
              <w:left w:val="single" w:color="auto" w:sz="4" w:space="0"/>
              <w:bottom w:val="single" w:color="auto" w:sz="4" w:space="0"/>
              <w:right w:val="single" w:color="auto" w:sz="4" w:space="0"/>
            </w:tcBorders>
            <w:vAlign w:val="center"/>
          </w:tcPr>
          <w:p w14:paraId="1981F9A3">
            <w:pPr>
              <w:widowControl/>
              <w:wordWrap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1.站管：不低于2.5mm铝合金管冷拉成型。</w:t>
            </w:r>
          </w:p>
          <w:p w14:paraId="2A5296F7">
            <w:pPr>
              <w:widowControl/>
              <w:wordWrap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2.支撑组件：采用不低于5mm厚钢板及不低于8mm厚钢板和Φ25mm横管焊接成形,表面静电粉末喷涂。</w:t>
            </w:r>
          </w:p>
          <w:p w14:paraId="3D7656C6">
            <w:pPr>
              <w:widowControl/>
              <w:wordWrap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3.连体椅面：采用高强度改性pp塑料经模具一体成型；</w:t>
            </w:r>
          </w:p>
          <w:p w14:paraId="7FEBC9FC">
            <w:pPr>
              <w:widowControl/>
              <w:wordWrap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4.颜色可选。</w:t>
            </w:r>
          </w:p>
        </w:tc>
        <w:tc>
          <w:tcPr>
            <w:tcW w:w="507" w:type="pct"/>
            <w:tcBorders>
              <w:top w:val="single" w:color="auto" w:sz="4" w:space="0"/>
              <w:left w:val="single" w:color="auto" w:sz="4" w:space="0"/>
              <w:bottom w:val="single" w:color="auto" w:sz="4" w:space="0"/>
              <w:right w:val="single" w:color="auto" w:sz="4" w:space="0"/>
            </w:tcBorders>
            <w:vAlign w:val="center"/>
          </w:tcPr>
          <w:p w14:paraId="13B0C382">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12把</w:t>
            </w:r>
          </w:p>
        </w:tc>
        <w:tc>
          <w:tcPr>
            <w:tcW w:w="488" w:type="pct"/>
            <w:tcBorders>
              <w:top w:val="single" w:color="auto" w:sz="4" w:space="0"/>
              <w:left w:val="single" w:color="auto" w:sz="4" w:space="0"/>
              <w:bottom w:val="single" w:color="auto" w:sz="4" w:space="0"/>
              <w:right w:val="single" w:color="auto" w:sz="4" w:space="0"/>
            </w:tcBorders>
            <w:vAlign w:val="center"/>
          </w:tcPr>
          <w:p w14:paraId="7F49088C">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工业</w:t>
            </w:r>
          </w:p>
        </w:tc>
        <w:tc>
          <w:tcPr>
            <w:tcW w:w="649" w:type="pct"/>
            <w:tcBorders>
              <w:top w:val="single" w:color="auto" w:sz="4" w:space="0"/>
              <w:left w:val="single" w:color="auto" w:sz="4" w:space="0"/>
              <w:bottom w:val="single" w:color="auto" w:sz="4" w:space="0"/>
              <w:right w:val="single" w:color="auto" w:sz="4" w:space="0"/>
            </w:tcBorders>
            <w:vAlign w:val="center"/>
          </w:tcPr>
          <w:p w14:paraId="2FD9D726">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否</w:t>
            </w:r>
          </w:p>
        </w:tc>
        <w:tc>
          <w:tcPr>
            <w:tcW w:w="442" w:type="pct"/>
            <w:tcBorders>
              <w:top w:val="single" w:color="auto" w:sz="4" w:space="0"/>
              <w:left w:val="single" w:color="auto" w:sz="4" w:space="0"/>
              <w:bottom w:val="single" w:color="auto" w:sz="4" w:space="0"/>
              <w:right w:val="single" w:color="auto" w:sz="4" w:space="0"/>
            </w:tcBorders>
            <w:vAlign w:val="center"/>
          </w:tcPr>
          <w:p w14:paraId="531FA30C">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200元/把</w:t>
            </w:r>
          </w:p>
        </w:tc>
      </w:tr>
      <w:tr w14:paraId="4CC5F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tcBorders>
              <w:top w:val="single" w:color="auto" w:sz="4" w:space="0"/>
              <w:left w:val="single" w:color="auto" w:sz="4" w:space="0"/>
              <w:bottom w:val="single" w:color="auto" w:sz="4" w:space="0"/>
              <w:right w:val="single" w:color="auto" w:sz="4" w:space="0"/>
            </w:tcBorders>
            <w:vAlign w:val="center"/>
          </w:tcPr>
          <w:p w14:paraId="589D5AAC">
            <w:pPr>
              <w:jc w:val="center"/>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0</w:t>
            </w:r>
          </w:p>
        </w:tc>
        <w:tc>
          <w:tcPr>
            <w:tcW w:w="638" w:type="pct"/>
            <w:tcBorders>
              <w:top w:val="single" w:color="auto" w:sz="4" w:space="0"/>
              <w:left w:val="single" w:color="auto" w:sz="4" w:space="0"/>
              <w:bottom w:val="single" w:color="auto" w:sz="4" w:space="0"/>
              <w:right w:val="single" w:color="auto" w:sz="4" w:space="0"/>
            </w:tcBorders>
            <w:vAlign w:val="center"/>
          </w:tcPr>
          <w:p w14:paraId="27AC5B2B">
            <w:pPr>
              <w:widowControl/>
              <w:jc w:val="center"/>
              <w:textAlignment w:val="center"/>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lang w:bidi="ar"/>
              </w:rPr>
              <w:t>树型书架</w:t>
            </w:r>
          </w:p>
        </w:tc>
        <w:tc>
          <w:tcPr>
            <w:tcW w:w="1937" w:type="pct"/>
            <w:tcBorders>
              <w:top w:val="single" w:color="auto" w:sz="4" w:space="0"/>
              <w:left w:val="single" w:color="auto" w:sz="4" w:space="0"/>
              <w:bottom w:val="single" w:color="auto" w:sz="4" w:space="0"/>
              <w:right w:val="single" w:color="auto" w:sz="4" w:space="0"/>
            </w:tcBorders>
            <w:vAlign w:val="center"/>
          </w:tcPr>
          <w:p w14:paraId="1A323C91">
            <w:pPr>
              <w:widowControl/>
              <w:wordWrap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1.规格：5200mm*5200mm*2760mm；树径1800mm，高2760mm，树冠5200mm，分多层不规律排列；</w:t>
            </w:r>
          </w:p>
          <w:p w14:paraId="144A4625">
            <w:pPr>
              <w:widowControl/>
              <w:wordWrap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2.读书休闲沙发高450mm周长5650mm，上覆软包垫；</w:t>
            </w:r>
          </w:p>
          <w:p w14:paraId="0071A727">
            <w:pPr>
              <w:widowControl/>
              <w:wordWrap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▲3.根据房间实际尺寸进行设计提供产品的设计图、效果图、产品结构图并标注尺寸。</w:t>
            </w:r>
          </w:p>
        </w:tc>
        <w:tc>
          <w:tcPr>
            <w:tcW w:w="507" w:type="pct"/>
            <w:tcBorders>
              <w:top w:val="single" w:color="auto" w:sz="4" w:space="0"/>
              <w:left w:val="single" w:color="auto" w:sz="4" w:space="0"/>
              <w:bottom w:val="single" w:color="auto" w:sz="4" w:space="0"/>
              <w:right w:val="single" w:color="auto" w:sz="4" w:space="0"/>
            </w:tcBorders>
            <w:vAlign w:val="center"/>
          </w:tcPr>
          <w:p w14:paraId="23262F01">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1组</w:t>
            </w:r>
          </w:p>
        </w:tc>
        <w:tc>
          <w:tcPr>
            <w:tcW w:w="488" w:type="pct"/>
            <w:tcBorders>
              <w:top w:val="single" w:color="auto" w:sz="4" w:space="0"/>
              <w:left w:val="single" w:color="auto" w:sz="4" w:space="0"/>
              <w:bottom w:val="single" w:color="auto" w:sz="4" w:space="0"/>
              <w:right w:val="single" w:color="auto" w:sz="4" w:space="0"/>
            </w:tcBorders>
            <w:vAlign w:val="center"/>
          </w:tcPr>
          <w:p w14:paraId="0AE5F6CF">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工业</w:t>
            </w:r>
          </w:p>
        </w:tc>
        <w:tc>
          <w:tcPr>
            <w:tcW w:w="649" w:type="pct"/>
            <w:tcBorders>
              <w:top w:val="single" w:color="auto" w:sz="4" w:space="0"/>
              <w:left w:val="single" w:color="auto" w:sz="4" w:space="0"/>
              <w:bottom w:val="single" w:color="auto" w:sz="4" w:space="0"/>
              <w:right w:val="single" w:color="auto" w:sz="4" w:space="0"/>
            </w:tcBorders>
            <w:vAlign w:val="center"/>
          </w:tcPr>
          <w:p w14:paraId="333A2014">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否</w:t>
            </w:r>
          </w:p>
        </w:tc>
        <w:tc>
          <w:tcPr>
            <w:tcW w:w="442" w:type="pct"/>
            <w:tcBorders>
              <w:top w:val="single" w:color="auto" w:sz="4" w:space="0"/>
              <w:left w:val="single" w:color="auto" w:sz="4" w:space="0"/>
              <w:bottom w:val="single" w:color="auto" w:sz="4" w:space="0"/>
              <w:right w:val="single" w:color="auto" w:sz="4" w:space="0"/>
            </w:tcBorders>
            <w:vAlign w:val="center"/>
          </w:tcPr>
          <w:p w14:paraId="57ED7C4A">
            <w:pPr>
              <w:spacing w:line="360" w:lineRule="auto"/>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18500元/组</w:t>
            </w:r>
          </w:p>
        </w:tc>
      </w:tr>
      <w:tr w14:paraId="05D21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tcBorders>
              <w:top w:val="single" w:color="auto" w:sz="4" w:space="0"/>
              <w:left w:val="single" w:color="auto" w:sz="4" w:space="0"/>
              <w:bottom w:val="single" w:color="auto" w:sz="4" w:space="0"/>
              <w:right w:val="single" w:color="auto" w:sz="4" w:space="0"/>
            </w:tcBorders>
            <w:vAlign w:val="center"/>
          </w:tcPr>
          <w:p w14:paraId="62872676">
            <w:pPr>
              <w:jc w:val="center"/>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1</w:t>
            </w:r>
          </w:p>
        </w:tc>
        <w:tc>
          <w:tcPr>
            <w:tcW w:w="638" w:type="pct"/>
            <w:tcBorders>
              <w:top w:val="single" w:color="auto" w:sz="4" w:space="0"/>
              <w:left w:val="single" w:color="auto" w:sz="4" w:space="0"/>
              <w:bottom w:val="single" w:color="auto" w:sz="4" w:space="0"/>
              <w:right w:val="single" w:color="auto" w:sz="4" w:space="0"/>
            </w:tcBorders>
            <w:vAlign w:val="center"/>
          </w:tcPr>
          <w:p w14:paraId="75DB71AD">
            <w:pPr>
              <w:widowControl/>
              <w:jc w:val="center"/>
              <w:textAlignment w:val="center"/>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lang w:bidi="ar"/>
              </w:rPr>
              <w:t>书架</w:t>
            </w:r>
          </w:p>
        </w:tc>
        <w:tc>
          <w:tcPr>
            <w:tcW w:w="1937" w:type="pct"/>
            <w:tcBorders>
              <w:top w:val="single" w:color="auto" w:sz="4" w:space="0"/>
              <w:left w:val="single" w:color="auto" w:sz="4" w:space="0"/>
              <w:bottom w:val="single" w:color="auto" w:sz="4" w:space="0"/>
              <w:right w:val="single" w:color="auto" w:sz="4" w:space="0"/>
            </w:tcBorders>
            <w:vAlign w:val="center"/>
          </w:tcPr>
          <w:p w14:paraId="7EA500DD">
            <w:pPr>
              <w:wordWrap w:val="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1.规格：2600mm*2200mm*800mm/1400mm*1400mm*450mm；</w:t>
            </w:r>
          </w:p>
          <w:p w14:paraId="1B1F2AC7">
            <w:pPr>
              <w:wordWrap w:val="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2.面料：采用麻绒；</w:t>
            </w:r>
          </w:p>
          <w:p w14:paraId="15B8DDF3">
            <w:pPr>
              <w:wordWrap w:val="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3.海棉：阻燃定型海绵；</w:t>
            </w:r>
          </w:p>
          <w:p w14:paraId="70277BF5">
            <w:pPr>
              <w:wordWrap w:val="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4.颜色可选择。</w:t>
            </w:r>
          </w:p>
        </w:tc>
        <w:tc>
          <w:tcPr>
            <w:tcW w:w="507" w:type="pct"/>
            <w:tcBorders>
              <w:top w:val="single" w:color="auto" w:sz="4" w:space="0"/>
              <w:left w:val="single" w:color="auto" w:sz="4" w:space="0"/>
              <w:bottom w:val="single" w:color="auto" w:sz="4" w:space="0"/>
              <w:right w:val="single" w:color="auto" w:sz="4" w:space="0"/>
            </w:tcBorders>
            <w:vAlign w:val="center"/>
          </w:tcPr>
          <w:p w14:paraId="35CB4730">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2组</w:t>
            </w:r>
          </w:p>
        </w:tc>
        <w:tc>
          <w:tcPr>
            <w:tcW w:w="488" w:type="pct"/>
            <w:tcBorders>
              <w:top w:val="single" w:color="auto" w:sz="4" w:space="0"/>
              <w:left w:val="single" w:color="auto" w:sz="4" w:space="0"/>
              <w:bottom w:val="single" w:color="auto" w:sz="4" w:space="0"/>
              <w:right w:val="single" w:color="auto" w:sz="4" w:space="0"/>
            </w:tcBorders>
            <w:vAlign w:val="center"/>
          </w:tcPr>
          <w:p w14:paraId="5276C68A">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工业</w:t>
            </w:r>
          </w:p>
        </w:tc>
        <w:tc>
          <w:tcPr>
            <w:tcW w:w="649" w:type="pct"/>
            <w:tcBorders>
              <w:top w:val="single" w:color="auto" w:sz="4" w:space="0"/>
              <w:left w:val="single" w:color="auto" w:sz="4" w:space="0"/>
              <w:bottom w:val="single" w:color="auto" w:sz="4" w:space="0"/>
              <w:right w:val="single" w:color="auto" w:sz="4" w:space="0"/>
            </w:tcBorders>
            <w:vAlign w:val="center"/>
          </w:tcPr>
          <w:p w14:paraId="31AB8EA0">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否</w:t>
            </w:r>
          </w:p>
        </w:tc>
        <w:tc>
          <w:tcPr>
            <w:tcW w:w="442" w:type="pct"/>
            <w:tcBorders>
              <w:top w:val="single" w:color="auto" w:sz="4" w:space="0"/>
              <w:left w:val="single" w:color="auto" w:sz="4" w:space="0"/>
              <w:bottom w:val="single" w:color="auto" w:sz="4" w:space="0"/>
              <w:right w:val="single" w:color="auto" w:sz="4" w:space="0"/>
            </w:tcBorders>
            <w:vAlign w:val="center"/>
          </w:tcPr>
          <w:p w14:paraId="1D8B5895">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7000元/组</w:t>
            </w:r>
          </w:p>
        </w:tc>
      </w:tr>
      <w:tr w14:paraId="45868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tcBorders>
              <w:top w:val="single" w:color="auto" w:sz="4" w:space="0"/>
              <w:left w:val="single" w:color="auto" w:sz="4" w:space="0"/>
              <w:bottom w:val="single" w:color="auto" w:sz="4" w:space="0"/>
              <w:right w:val="single" w:color="auto" w:sz="4" w:space="0"/>
            </w:tcBorders>
            <w:vAlign w:val="center"/>
          </w:tcPr>
          <w:p w14:paraId="67FF242C">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2</w:t>
            </w:r>
          </w:p>
        </w:tc>
        <w:tc>
          <w:tcPr>
            <w:tcW w:w="638" w:type="pct"/>
            <w:tcBorders>
              <w:top w:val="single" w:color="auto" w:sz="4" w:space="0"/>
              <w:left w:val="single" w:color="auto" w:sz="4" w:space="0"/>
              <w:bottom w:val="single" w:color="auto" w:sz="4" w:space="0"/>
              <w:right w:val="single" w:color="auto" w:sz="4" w:space="0"/>
            </w:tcBorders>
            <w:vAlign w:val="center"/>
          </w:tcPr>
          <w:p w14:paraId="421B9662">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茶几2</w:t>
            </w:r>
          </w:p>
        </w:tc>
        <w:tc>
          <w:tcPr>
            <w:tcW w:w="1937" w:type="pct"/>
            <w:tcBorders>
              <w:top w:val="single" w:color="auto" w:sz="4" w:space="0"/>
              <w:left w:val="single" w:color="auto" w:sz="4" w:space="0"/>
              <w:bottom w:val="single" w:color="auto" w:sz="4" w:space="0"/>
              <w:right w:val="single" w:color="auto" w:sz="4" w:space="0"/>
            </w:tcBorders>
            <w:vAlign w:val="center"/>
          </w:tcPr>
          <w:p w14:paraId="376504BE">
            <w:pPr>
              <w:wordWrap w:val="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1.与书架配套，尺寸1100*1100*450mm；</w:t>
            </w:r>
          </w:p>
          <w:p w14:paraId="3973D061">
            <w:pPr>
              <w:wordWrap w:val="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2.EO级实木多层板基材。</w:t>
            </w:r>
          </w:p>
        </w:tc>
        <w:tc>
          <w:tcPr>
            <w:tcW w:w="507" w:type="pct"/>
            <w:tcBorders>
              <w:top w:val="single" w:color="auto" w:sz="4" w:space="0"/>
              <w:left w:val="single" w:color="auto" w:sz="4" w:space="0"/>
              <w:bottom w:val="single" w:color="auto" w:sz="4" w:space="0"/>
              <w:right w:val="single" w:color="auto" w:sz="4" w:space="0"/>
            </w:tcBorders>
            <w:vAlign w:val="center"/>
          </w:tcPr>
          <w:p w14:paraId="2B0DED89">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2组</w:t>
            </w:r>
          </w:p>
        </w:tc>
        <w:tc>
          <w:tcPr>
            <w:tcW w:w="488" w:type="pct"/>
            <w:tcBorders>
              <w:top w:val="single" w:color="auto" w:sz="4" w:space="0"/>
              <w:left w:val="single" w:color="auto" w:sz="4" w:space="0"/>
              <w:bottom w:val="single" w:color="auto" w:sz="4" w:space="0"/>
              <w:right w:val="single" w:color="auto" w:sz="4" w:space="0"/>
            </w:tcBorders>
            <w:vAlign w:val="center"/>
          </w:tcPr>
          <w:p w14:paraId="505E6182">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工业</w:t>
            </w:r>
          </w:p>
        </w:tc>
        <w:tc>
          <w:tcPr>
            <w:tcW w:w="649" w:type="pct"/>
            <w:tcBorders>
              <w:top w:val="single" w:color="auto" w:sz="4" w:space="0"/>
              <w:left w:val="single" w:color="auto" w:sz="4" w:space="0"/>
              <w:bottom w:val="single" w:color="auto" w:sz="4" w:space="0"/>
              <w:right w:val="single" w:color="auto" w:sz="4" w:space="0"/>
            </w:tcBorders>
            <w:vAlign w:val="center"/>
          </w:tcPr>
          <w:p w14:paraId="4FCF8FAB">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否</w:t>
            </w:r>
          </w:p>
        </w:tc>
        <w:tc>
          <w:tcPr>
            <w:tcW w:w="442" w:type="pct"/>
            <w:tcBorders>
              <w:top w:val="single" w:color="auto" w:sz="4" w:space="0"/>
              <w:left w:val="single" w:color="auto" w:sz="4" w:space="0"/>
              <w:bottom w:val="single" w:color="auto" w:sz="4" w:space="0"/>
              <w:right w:val="single" w:color="auto" w:sz="4" w:space="0"/>
            </w:tcBorders>
            <w:vAlign w:val="center"/>
          </w:tcPr>
          <w:p w14:paraId="68C76BFC">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900元/组</w:t>
            </w:r>
          </w:p>
        </w:tc>
      </w:tr>
      <w:tr w14:paraId="14C33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tcBorders>
              <w:top w:val="single" w:color="auto" w:sz="4" w:space="0"/>
              <w:left w:val="single" w:color="auto" w:sz="4" w:space="0"/>
              <w:bottom w:val="single" w:color="auto" w:sz="4" w:space="0"/>
              <w:right w:val="single" w:color="auto" w:sz="4" w:space="0"/>
            </w:tcBorders>
            <w:vAlign w:val="center"/>
          </w:tcPr>
          <w:p w14:paraId="55D15771">
            <w:pPr>
              <w:jc w:val="center"/>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3</w:t>
            </w:r>
          </w:p>
        </w:tc>
        <w:tc>
          <w:tcPr>
            <w:tcW w:w="638" w:type="pct"/>
            <w:tcBorders>
              <w:top w:val="single" w:color="auto" w:sz="4" w:space="0"/>
              <w:left w:val="single" w:color="auto" w:sz="4" w:space="0"/>
              <w:bottom w:val="single" w:color="auto" w:sz="4" w:space="0"/>
              <w:right w:val="single" w:color="auto" w:sz="4" w:space="0"/>
            </w:tcBorders>
            <w:vAlign w:val="center"/>
          </w:tcPr>
          <w:p w14:paraId="5B1479C4">
            <w:pPr>
              <w:widowControl/>
              <w:jc w:val="center"/>
              <w:textAlignment w:val="center"/>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lang w:bidi="ar"/>
              </w:rPr>
              <w:t>单人沙发2</w:t>
            </w:r>
          </w:p>
        </w:tc>
        <w:tc>
          <w:tcPr>
            <w:tcW w:w="1937" w:type="pct"/>
            <w:tcBorders>
              <w:top w:val="single" w:color="auto" w:sz="4" w:space="0"/>
              <w:left w:val="single" w:color="auto" w:sz="4" w:space="0"/>
              <w:bottom w:val="single" w:color="auto" w:sz="4" w:space="0"/>
              <w:right w:val="single" w:color="auto" w:sz="4" w:space="0"/>
            </w:tcBorders>
            <w:vAlign w:val="center"/>
          </w:tcPr>
          <w:p w14:paraId="3B904DBD">
            <w:pPr>
              <w:wordWrap w:val="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1.规格：φ800*750mm</w:t>
            </w:r>
          </w:p>
          <w:p w14:paraId="2A0316F7">
            <w:pPr>
              <w:wordWrap w:val="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2.麻绒：采用麻绒布；</w:t>
            </w:r>
          </w:p>
          <w:p w14:paraId="5394CA43">
            <w:pPr>
              <w:wordWrap w:val="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3.海绵：阻燃定型海绵。</w:t>
            </w:r>
          </w:p>
          <w:p w14:paraId="0E203F97">
            <w:pPr>
              <w:wordWrap w:val="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4.框架：实木方；</w:t>
            </w:r>
          </w:p>
          <w:p w14:paraId="06342FC4">
            <w:pPr>
              <w:wordWrap w:val="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5.弹簧：高回弹蛇形弹簧。</w:t>
            </w:r>
          </w:p>
        </w:tc>
        <w:tc>
          <w:tcPr>
            <w:tcW w:w="507" w:type="pct"/>
            <w:tcBorders>
              <w:top w:val="single" w:color="auto" w:sz="4" w:space="0"/>
              <w:left w:val="single" w:color="auto" w:sz="4" w:space="0"/>
              <w:bottom w:val="single" w:color="auto" w:sz="4" w:space="0"/>
              <w:right w:val="single" w:color="auto" w:sz="4" w:space="0"/>
            </w:tcBorders>
            <w:vAlign w:val="center"/>
          </w:tcPr>
          <w:p w14:paraId="1B19369E">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8组</w:t>
            </w:r>
          </w:p>
        </w:tc>
        <w:tc>
          <w:tcPr>
            <w:tcW w:w="488" w:type="pct"/>
            <w:tcBorders>
              <w:top w:val="single" w:color="auto" w:sz="4" w:space="0"/>
              <w:left w:val="single" w:color="auto" w:sz="4" w:space="0"/>
              <w:bottom w:val="single" w:color="auto" w:sz="4" w:space="0"/>
              <w:right w:val="single" w:color="auto" w:sz="4" w:space="0"/>
            </w:tcBorders>
            <w:vAlign w:val="center"/>
          </w:tcPr>
          <w:p w14:paraId="3150F8A8">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工业</w:t>
            </w:r>
          </w:p>
        </w:tc>
        <w:tc>
          <w:tcPr>
            <w:tcW w:w="649" w:type="pct"/>
            <w:tcBorders>
              <w:top w:val="single" w:color="auto" w:sz="4" w:space="0"/>
              <w:left w:val="single" w:color="auto" w:sz="4" w:space="0"/>
              <w:bottom w:val="single" w:color="auto" w:sz="4" w:space="0"/>
              <w:right w:val="single" w:color="auto" w:sz="4" w:space="0"/>
            </w:tcBorders>
            <w:vAlign w:val="center"/>
          </w:tcPr>
          <w:p w14:paraId="0A6013C9">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否</w:t>
            </w:r>
          </w:p>
        </w:tc>
        <w:tc>
          <w:tcPr>
            <w:tcW w:w="442" w:type="pct"/>
            <w:tcBorders>
              <w:top w:val="single" w:color="auto" w:sz="4" w:space="0"/>
              <w:left w:val="single" w:color="auto" w:sz="4" w:space="0"/>
              <w:bottom w:val="single" w:color="auto" w:sz="4" w:space="0"/>
              <w:right w:val="single" w:color="auto" w:sz="4" w:space="0"/>
            </w:tcBorders>
            <w:vAlign w:val="center"/>
          </w:tcPr>
          <w:p w14:paraId="22E3B5D3">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800元/组</w:t>
            </w:r>
          </w:p>
        </w:tc>
      </w:tr>
      <w:tr w14:paraId="40B1E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tcBorders>
              <w:top w:val="single" w:color="auto" w:sz="4" w:space="0"/>
              <w:left w:val="single" w:color="auto" w:sz="4" w:space="0"/>
              <w:bottom w:val="single" w:color="auto" w:sz="4" w:space="0"/>
              <w:right w:val="single" w:color="auto" w:sz="4" w:space="0"/>
            </w:tcBorders>
            <w:vAlign w:val="center"/>
          </w:tcPr>
          <w:p w14:paraId="1FDAAFF3">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4</w:t>
            </w:r>
          </w:p>
        </w:tc>
        <w:tc>
          <w:tcPr>
            <w:tcW w:w="638" w:type="pct"/>
            <w:tcBorders>
              <w:top w:val="single" w:color="auto" w:sz="4" w:space="0"/>
              <w:left w:val="single" w:color="auto" w:sz="4" w:space="0"/>
              <w:bottom w:val="single" w:color="auto" w:sz="4" w:space="0"/>
              <w:right w:val="single" w:color="auto" w:sz="4" w:space="0"/>
            </w:tcBorders>
            <w:vAlign w:val="center"/>
          </w:tcPr>
          <w:p w14:paraId="239CB926">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休闲桌3</w:t>
            </w:r>
          </w:p>
        </w:tc>
        <w:tc>
          <w:tcPr>
            <w:tcW w:w="1937" w:type="pct"/>
            <w:tcBorders>
              <w:top w:val="single" w:color="auto" w:sz="4" w:space="0"/>
              <w:left w:val="single" w:color="auto" w:sz="4" w:space="0"/>
              <w:bottom w:val="single" w:color="auto" w:sz="4" w:space="0"/>
              <w:right w:val="single" w:color="auto" w:sz="4" w:space="0"/>
            </w:tcBorders>
            <w:vAlign w:val="center"/>
          </w:tcPr>
          <w:p w14:paraId="4E779F4D">
            <w:pPr>
              <w:wordWrap w:val="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1.白蜡木硬木实木桌，榫卯工艺；</w:t>
            </w:r>
          </w:p>
          <w:p w14:paraId="5E272529">
            <w:pPr>
              <w:wordWrap w:val="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2.与单人沙发2配套。</w:t>
            </w:r>
          </w:p>
        </w:tc>
        <w:tc>
          <w:tcPr>
            <w:tcW w:w="507" w:type="pct"/>
            <w:tcBorders>
              <w:top w:val="single" w:color="auto" w:sz="4" w:space="0"/>
              <w:left w:val="single" w:color="auto" w:sz="4" w:space="0"/>
              <w:bottom w:val="single" w:color="auto" w:sz="4" w:space="0"/>
              <w:right w:val="single" w:color="auto" w:sz="4" w:space="0"/>
            </w:tcBorders>
            <w:vAlign w:val="center"/>
          </w:tcPr>
          <w:p w14:paraId="1EC98E15">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2张</w:t>
            </w:r>
          </w:p>
        </w:tc>
        <w:tc>
          <w:tcPr>
            <w:tcW w:w="488" w:type="pct"/>
            <w:tcBorders>
              <w:top w:val="single" w:color="auto" w:sz="4" w:space="0"/>
              <w:left w:val="single" w:color="auto" w:sz="4" w:space="0"/>
              <w:bottom w:val="single" w:color="auto" w:sz="4" w:space="0"/>
              <w:right w:val="single" w:color="auto" w:sz="4" w:space="0"/>
            </w:tcBorders>
            <w:vAlign w:val="center"/>
          </w:tcPr>
          <w:p w14:paraId="355C7C98">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工业</w:t>
            </w:r>
          </w:p>
        </w:tc>
        <w:tc>
          <w:tcPr>
            <w:tcW w:w="649" w:type="pct"/>
            <w:tcBorders>
              <w:top w:val="single" w:color="auto" w:sz="4" w:space="0"/>
              <w:left w:val="single" w:color="auto" w:sz="4" w:space="0"/>
              <w:bottom w:val="single" w:color="auto" w:sz="4" w:space="0"/>
              <w:right w:val="single" w:color="auto" w:sz="4" w:space="0"/>
            </w:tcBorders>
            <w:vAlign w:val="center"/>
          </w:tcPr>
          <w:p w14:paraId="38249934">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否</w:t>
            </w:r>
          </w:p>
        </w:tc>
        <w:tc>
          <w:tcPr>
            <w:tcW w:w="442" w:type="pct"/>
            <w:tcBorders>
              <w:top w:val="single" w:color="auto" w:sz="4" w:space="0"/>
              <w:left w:val="single" w:color="auto" w:sz="4" w:space="0"/>
              <w:bottom w:val="single" w:color="auto" w:sz="4" w:space="0"/>
              <w:right w:val="single" w:color="auto" w:sz="4" w:space="0"/>
            </w:tcBorders>
            <w:vAlign w:val="center"/>
          </w:tcPr>
          <w:p w14:paraId="6F162C64">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600元/组</w:t>
            </w:r>
          </w:p>
        </w:tc>
      </w:tr>
      <w:tr w14:paraId="477F5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tcBorders>
              <w:top w:val="single" w:color="auto" w:sz="4" w:space="0"/>
              <w:left w:val="single" w:color="auto" w:sz="4" w:space="0"/>
              <w:bottom w:val="single" w:color="auto" w:sz="4" w:space="0"/>
              <w:right w:val="single" w:color="auto" w:sz="4" w:space="0"/>
            </w:tcBorders>
            <w:vAlign w:val="center"/>
          </w:tcPr>
          <w:p w14:paraId="03764F2A">
            <w:pPr>
              <w:jc w:val="center"/>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5</w:t>
            </w:r>
          </w:p>
        </w:tc>
        <w:tc>
          <w:tcPr>
            <w:tcW w:w="638" w:type="pct"/>
            <w:tcBorders>
              <w:top w:val="single" w:color="auto" w:sz="4" w:space="0"/>
              <w:left w:val="single" w:color="auto" w:sz="4" w:space="0"/>
              <w:bottom w:val="single" w:color="auto" w:sz="4" w:space="0"/>
              <w:right w:val="single" w:color="auto" w:sz="4" w:space="0"/>
            </w:tcBorders>
            <w:vAlign w:val="center"/>
          </w:tcPr>
          <w:p w14:paraId="6CC7B028">
            <w:pPr>
              <w:wordWrap w:val="0"/>
              <w:spacing w:line="44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四人阅读桌</w:t>
            </w:r>
          </w:p>
        </w:tc>
        <w:tc>
          <w:tcPr>
            <w:tcW w:w="1937" w:type="pct"/>
            <w:tcBorders>
              <w:top w:val="single" w:color="auto" w:sz="4" w:space="0"/>
              <w:left w:val="single" w:color="auto" w:sz="4" w:space="0"/>
              <w:bottom w:val="single" w:color="auto" w:sz="4" w:space="0"/>
              <w:right w:val="single" w:color="auto" w:sz="4" w:space="0"/>
            </w:tcBorders>
            <w:vAlign w:val="center"/>
          </w:tcPr>
          <w:p w14:paraId="43BDEDAF">
            <w:pPr>
              <w:wordWrap w:val="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1.规格：1600mm*1000mm*760mm；</w:t>
            </w:r>
          </w:p>
          <w:p w14:paraId="685435DA">
            <w:pPr>
              <w:wordWrap w:val="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2.桌面：采用白蜡木直拼板，厚度不低于40mm，四边圆角防撞设计，台面加装亚克力档板</w:t>
            </w:r>
          </w:p>
          <w:p w14:paraId="01A2DFE4">
            <w:pPr>
              <w:wordWrap w:val="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3.桌架：厚度大于1.5mm冷轧钢管桌架。</w:t>
            </w:r>
          </w:p>
        </w:tc>
        <w:tc>
          <w:tcPr>
            <w:tcW w:w="507" w:type="pct"/>
            <w:tcBorders>
              <w:top w:val="single" w:color="auto" w:sz="4" w:space="0"/>
              <w:left w:val="single" w:color="auto" w:sz="4" w:space="0"/>
              <w:bottom w:val="single" w:color="auto" w:sz="4" w:space="0"/>
              <w:right w:val="single" w:color="auto" w:sz="4" w:space="0"/>
            </w:tcBorders>
            <w:vAlign w:val="center"/>
          </w:tcPr>
          <w:p w14:paraId="6073CC53">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4组</w:t>
            </w:r>
          </w:p>
        </w:tc>
        <w:tc>
          <w:tcPr>
            <w:tcW w:w="488" w:type="pct"/>
            <w:tcBorders>
              <w:top w:val="single" w:color="auto" w:sz="4" w:space="0"/>
              <w:left w:val="single" w:color="auto" w:sz="4" w:space="0"/>
              <w:bottom w:val="single" w:color="auto" w:sz="4" w:space="0"/>
              <w:right w:val="single" w:color="auto" w:sz="4" w:space="0"/>
            </w:tcBorders>
            <w:vAlign w:val="center"/>
          </w:tcPr>
          <w:p w14:paraId="55726338">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工业</w:t>
            </w:r>
          </w:p>
        </w:tc>
        <w:tc>
          <w:tcPr>
            <w:tcW w:w="649" w:type="pct"/>
            <w:tcBorders>
              <w:top w:val="single" w:color="auto" w:sz="4" w:space="0"/>
              <w:left w:val="single" w:color="auto" w:sz="4" w:space="0"/>
              <w:bottom w:val="single" w:color="auto" w:sz="4" w:space="0"/>
              <w:right w:val="single" w:color="auto" w:sz="4" w:space="0"/>
            </w:tcBorders>
            <w:vAlign w:val="center"/>
          </w:tcPr>
          <w:p w14:paraId="20554332">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否</w:t>
            </w:r>
          </w:p>
        </w:tc>
        <w:tc>
          <w:tcPr>
            <w:tcW w:w="442" w:type="pct"/>
            <w:tcBorders>
              <w:top w:val="single" w:color="auto" w:sz="4" w:space="0"/>
              <w:left w:val="single" w:color="auto" w:sz="4" w:space="0"/>
              <w:bottom w:val="single" w:color="auto" w:sz="4" w:space="0"/>
              <w:right w:val="single" w:color="auto" w:sz="4" w:space="0"/>
            </w:tcBorders>
            <w:vAlign w:val="center"/>
          </w:tcPr>
          <w:p w14:paraId="01FFA591">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2200元/组</w:t>
            </w:r>
          </w:p>
        </w:tc>
      </w:tr>
      <w:tr w14:paraId="2A97D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tcBorders>
              <w:top w:val="single" w:color="auto" w:sz="4" w:space="0"/>
              <w:left w:val="single" w:color="auto" w:sz="4" w:space="0"/>
              <w:bottom w:val="single" w:color="auto" w:sz="4" w:space="0"/>
              <w:right w:val="single" w:color="auto" w:sz="4" w:space="0"/>
            </w:tcBorders>
            <w:vAlign w:val="center"/>
          </w:tcPr>
          <w:p w14:paraId="7BDF936F">
            <w:pPr>
              <w:jc w:val="center"/>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6</w:t>
            </w:r>
          </w:p>
        </w:tc>
        <w:tc>
          <w:tcPr>
            <w:tcW w:w="638" w:type="pct"/>
            <w:tcBorders>
              <w:top w:val="single" w:color="auto" w:sz="4" w:space="0"/>
              <w:left w:val="single" w:color="auto" w:sz="4" w:space="0"/>
              <w:bottom w:val="single" w:color="auto" w:sz="4" w:space="0"/>
              <w:right w:val="single" w:color="auto" w:sz="4" w:space="0"/>
            </w:tcBorders>
            <w:vAlign w:val="center"/>
          </w:tcPr>
          <w:p w14:paraId="4B280C13">
            <w:pPr>
              <w:widowControl/>
              <w:jc w:val="center"/>
              <w:textAlignment w:val="center"/>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lang w:bidi="ar"/>
              </w:rPr>
              <w:t>阅读椅</w:t>
            </w:r>
          </w:p>
        </w:tc>
        <w:tc>
          <w:tcPr>
            <w:tcW w:w="1937" w:type="pct"/>
            <w:tcBorders>
              <w:top w:val="single" w:color="auto" w:sz="4" w:space="0"/>
              <w:left w:val="single" w:color="auto" w:sz="4" w:space="0"/>
              <w:bottom w:val="single" w:color="auto" w:sz="4" w:space="0"/>
              <w:right w:val="single" w:color="auto" w:sz="4" w:space="0"/>
            </w:tcBorders>
            <w:vAlign w:val="center"/>
          </w:tcPr>
          <w:p w14:paraId="5A640D6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1.人造皮革，厚度≥1.2mm。                                                                                                                           </w:t>
            </w:r>
          </w:p>
          <w:p w14:paraId="4B62A30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2.座面海绵：阻燃定型海绵，</w:t>
            </w:r>
          </w:p>
          <w:p w14:paraId="2214F40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3.外框架：采用白蜡木原木实木。4、与四人阅读桌配套。</w:t>
            </w:r>
          </w:p>
        </w:tc>
        <w:tc>
          <w:tcPr>
            <w:tcW w:w="507" w:type="pct"/>
            <w:tcBorders>
              <w:top w:val="single" w:color="auto" w:sz="4" w:space="0"/>
              <w:left w:val="single" w:color="auto" w:sz="4" w:space="0"/>
              <w:bottom w:val="single" w:color="auto" w:sz="4" w:space="0"/>
              <w:right w:val="single" w:color="auto" w:sz="4" w:space="0"/>
            </w:tcBorders>
            <w:vAlign w:val="center"/>
          </w:tcPr>
          <w:p w14:paraId="18E251AA">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16把</w:t>
            </w:r>
          </w:p>
        </w:tc>
        <w:tc>
          <w:tcPr>
            <w:tcW w:w="488" w:type="pct"/>
            <w:tcBorders>
              <w:top w:val="single" w:color="auto" w:sz="4" w:space="0"/>
              <w:left w:val="single" w:color="auto" w:sz="4" w:space="0"/>
              <w:bottom w:val="single" w:color="auto" w:sz="4" w:space="0"/>
              <w:right w:val="single" w:color="auto" w:sz="4" w:space="0"/>
            </w:tcBorders>
            <w:vAlign w:val="center"/>
          </w:tcPr>
          <w:p w14:paraId="3D63A52C">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工业</w:t>
            </w:r>
          </w:p>
        </w:tc>
        <w:tc>
          <w:tcPr>
            <w:tcW w:w="649" w:type="pct"/>
            <w:tcBorders>
              <w:top w:val="single" w:color="auto" w:sz="4" w:space="0"/>
              <w:left w:val="single" w:color="auto" w:sz="4" w:space="0"/>
              <w:bottom w:val="single" w:color="auto" w:sz="4" w:space="0"/>
              <w:right w:val="single" w:color="auto" w:sz="4" w:space="0"/>
            </w:tcBorders>
            <w:vAlign w:val="center"/>
          </w:tcPr>
          <w:p w14:paraId="32C46E97">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否</w:t>
            </w:r>
          </w:p>
        </w:tc>
        <w:tc>
          <w:tcPr>
            <w:tcW w:w="442" w:type="pct"/>
            <w:tcBorders>
              <w:top w:val="single" w:color="auto" w:sz="4" w:space="0"/>
              <w:left w:val="single" w:color="auto" w:sz="4" w:space="0"/>
              <w:bottom w:val="single" w:color="auto" w:sz="4" w:space="0"/>
              <w:right w:val="single" w:color="auto" w:sz="4" w:space="0"/>
            </w:tcBorders>
            <w:vAlign w:val="center"/>
          </w:tcPr>
          <w:p w14:paraId="34D35605">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380元/把</w:t>
            </w:r>
          </w:p>
        </w:tc>
      </w:tr>
      <w:tr w14:paraId="5F9DB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tcBorders>
              <w:top w:val="single" w:color="auto" w:sz="4" w:space="0"/>
              <w:left w:val="single" w:color="auto" w:sz="4" w:space="0"/>
              <w:bottom w:val="single" w:color="auto" w:sz="4" w:space="0"/>
              <w:right w:val="single" w:color="auto" w:sz="4" w:space="0"/>
            </w:tcBorders>
            <w:vAlign w:val="center"/>
          </w:tcPr>
          <w:p w14:paraId="1EEE318F">
            <w:pPr>
              <w:jc w:val="center"/>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7</w:t>
            </w:r>
          </w:p>
        </w:tc>
        <w:tc>
          <w:tcPr>
            <w:tcW w:w="638" w:type="pct"/>
            <w:tcBorders>
              <w:top w:val="single" w:color="auto" w:sz="4" w:space="0"/>
              <w:left w:val="single" w:color="auto" w:sz="4" w:space="0"/>
              <w:bottom w:val="single" w:color="auto" w:sz="4" w:space="0"/>
              <w:right w:val="single" w:color="auto" w:sz="4" w:space="0"/>
            </w:tcBorders>
            <w:vAlign w:val="center"/>
          </w:tcPr>
          <w:p w14:paraId="32EFF6E5">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休闲桌4</w:t>
            </w:r>
          </w:p>
        </w:tc>
        <w:tc>
          <w:tcPr>
            <w:tcW w:w="1937" w:type="pct"/>
            <w:tcBorders>
              <w:top w:val="single" w:color="auto" w:sz="4" w:space="0"/>
              <w:left w:val="single" w:color="auto" w:sz="4" w:space="0"/>
              <w:bottom w:val="single" w:color="auto" w:sz="4" w:space="0"/>
              <w:right w:val="single" w:color="auto" w:sz="4" w:space="0"/>
            </w:tcBorders>
            <w:vAlign w:val="center"/>
          </w:tcPr>
          <w:p w14:paraId="3ADF6EA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1.规格：1800mm*900mm*760mm；</w:t>
            </w:r>
          </w:p>
          <w:p w14:paraId="28A4F71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2.全部采用白蜡木。</w:t>
            </w:r>
          </w:p>
        </w:tc>
        <w:tc>
          <w:tcPr>
            <w:tcW w:w="507" w:type="pct"/>
            <w:tcBorders>
              <w:top w:val="single" w:color="auto" w:sz="4" w:space="0"/>
              <w:left w:val="single" w:color="auto" w:sz="4" w:space="0"/>
              <w:bottom w:val="single" w:color="auto" w:sz="4" w:space="0"/>
              <w:right w:val="single" w:color="auto" w:sz="4" w:space="0"/>
            </w:tcBorders>
            <w:vAlign w:val="center"/>
          </w:tcPr>
          <w:p w14:paraId="5BA872A4">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2张</w:t>
            </w:r>
          </w:p>
        </w:tc>
        <w:tc>
          <w:tcPr>
            <w:tcW w:w="488" w:type="pct"/>
            <w:tcBorders>
              <w:top w:val="single" w:color="auto" w:sz="4" w:space="0"/>
              <w:left w:val="single" w:color="auto" w:sz="4" w:space="0"/>
              <w:bottom w:val="single" w:color="auto" w:sz="4" w:space="0"/>
              <w:right w:val="single" w:color="auto" w:sz="4" w:space="0"/>
            </w:tcBorders>
            <w:vAlign w:val="center"/>
          </w:tcPr>
          <w:p w14:paraId="6842E161">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工业</w:t>
            </w:r>
          </w:p>
        </w:tc>
        <w:tc>
          <w:tcPr>
            <w:tcW w:w="649" w:type="pct"/>
            <w:tcBorders>
              <w:top w:val="single" w:color="auto" w:sz="4" w:space="0"/>
              <w:left w:val="single" w:color="auto" w:sz="4" w:space="0"/>
              <w:bottom w:val="single" w:color="auto" w:sz="4" w:space="0"/>
              <w:right w:val="single" w:color="auto" w:sz="4" w:space="0"/>
            </w:tcBorders>
            <w:vAlign w:val="center"/>
          </w:tcPr>
          <w:p w14:paraId="68CD4457">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否</w:t>
            </w:r>
          </w:p>
        </w:tc>
        <w:tc>
          <w:tcPr>
            <w:tcW w:w="442" w:type="pct"/>
            <w:tcBorders>
              <w:top w:val="single" w:color="auto" w:sz="4" w:space="0"/>
              <w:left w:val="single" w:color="auto" w:sz="4" w:space="0"/>
              <w:bottom w:val="single" w:color="auto" w:sz="4" w:space="0"/>
              <w:right w:val="single" w:color="auto" w:sz="4" w:space="0"/>
            </w:tcBorders>
            <w:vAlign w:val="center"/>
          </w:tcPr>
          <w:p w14:paraId="25C3B258">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3480元/张</w:t>
            </w:r>
          </w:p>
        </w:tc>
      </w:tr>
      <w:tr w14:paraId="654F6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tcBorders>
              <w:top w:val="single" w:color="auto" w:sz="4" w:space="0"/>
              <w:left w:val="single" w:color="auto" w:sz="4" w:space="0"/>
              <w:bottom w:val="single" w:color="auto" w:sz="4" w:space="0"/>
              <w:right w:val="single" w:color="auto" w:sz="4" w:space="0"/>
            </w:tcBorders>
            <w:vAlign w:val="center"/>
          </w:tcPr>
          <w:p w14:paraId="40021E21">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8</w:t>
            </w:r>
          </w:p>
        </w:tc>
        <w:tc>
          <w:tcPr>
            <w:tcW w:w="638" w:type="pct"/>
            <w:tcBorders>
              <w:top w:val="single" w:color="auto" w:sz="4" w:space="0"/>
              <w:left w:val="single" w:color="auto" w:sz="4" w:space="0"/>
              <w:bottom w:val="single" w:color="auto" w:sz="4" w:space="0"/>
              <w:right w:val="single" w:color="auto" w:sz="4" w:space="0"/>
            </w:tcBorders>
            <w:vAlign w:val="center"/>
          </w:tcPr>
          <w:p w14:paraId="2C4AB99F">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休闲椅3</w:t>
            </w:r>
          </w:p>
        </w:tc>
        <w:tc>
          <w:tcPr>
            <w:tcW w:w="1937" w:type="pct"/>
            <w:tcBorders>
              <w:top w:val="single" w:color="auto" w:sz="4" w:space="0"/>
              <w:left w:val="single" w:color="auto" w:sz="4" w:space="0"/>
              <w:bottom w:val="single" w:color="auto" w:sz="4" w:space="0"/>
              <w:right w:val="single" w:color="auto" w:sz="4" w:space="0"/>
            </w:tcBorders>
            <w:vAlign w:val="center"/>
          </w:tcPr>
          <w:p w14:paraId="49BFD63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1.采用白蜡木原木实木，木质细腻,木制件外观无贯通裂缝，外表无腐朽材,采用全实木榫结构工艺。 </w:t>
            </w:r>
          </w:p>
          <w:p w14:paraId="5F8AB4F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2.与休闲桌4配套。</w:t>
            </w:r>
          </w:p>
        </w:tc>
        <w:tc>
          <w:tcPr>
            <w:tcW w:w="507" w:type="pct"/>
            <w:tcBorders>
              <w:top w:val="single" w:color="auto" w:sz="4" w:space="0"/>
              <w:left w:val="single" w:color="auto" w:sz="4" w:space="0"/>
              <w:bottom w:val="single" w:color="auto" w:sz="4" w:space="0"/>
              <w:right w:val="single" w:color="auto" w:sz="4" w:space="0"/>
            </w:tcBorders>
            <w:vAlign w:val="center"/>
          </w:tcPr>
          <w:p w14:paraId="674CE9D4">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12把</w:t>
            </w:r>
          </w:p>
        </w:tc>
        <w:tc>
          <w:tcPr>
            <w:tcW w:w="488" w:type="pct"/>
            <w:tcBorders>
              <w:top w:val="single" w:color="auto" w:sz="4" w:space="0"/>
              <w:left w:val="single" w:color="auto" w:sz="4" w:space="0"/>
              <w:bottom w:val="single" w:color="auto" w:sz="4" w:space="0"/>
              <w:right w:val="single" w:color="auto" w:sz="4" w:space="0"/>
            </w:tcBorders>
            <w:vAlign w:val="center"/>
          </w:tcPr>
          <w:p w14:paraId="0CB34728">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工业</w:t>
            </w:r>
          </w:p>
        </w:tc>
        <w:tc>
          <w:tcPr>
            <w:tcW w:w="649" w:type="pct"/>
            <w:tcBorders>
              <w:top w:val="single" w:color="auto" w:sz="4" w:space="0"/>
              <w:left w:val="single" w:color="auto" w:sz="4" w:space="0"/>
              <w:bottom w:val="single" w:color="auto" w:sz="4" w:space="0"/>
              <w:right w:val="single" w:color="auto" w:sz="4" w:space="0"/>
            </w:tcBorders>
            <w:vAlign w:val="center"/>
          </w:tcPr>
          <w:p w14:paraId="54BD748A">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否</w:t>
            </w:r>
          </w:p>
        </w:tc>
        <w:tc>
          <w:tcPr>
            <w:tcW w:w="442" w:type="pct"/>
            <w:tcBorders>
              <w:top w:val="single" w:color="auto" w:sz="4" w:space="0"/>
              <w:left w:val="single" w:color="auto" w:sz="4" w:space="0"/>
              <w:bottom w:val="single" w:color="auto" w:sz="4" w:space="0"/>
              <w:right w:val="single" w:color="auto" w:sz="4" w:space="0"/>
            </w:tcBorders>
            <w:vAlign w:val="center"/>
          </w:tcPr>
          <w:p w14:paraId="032CB604">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350元/把</w:t>
            </w:r>
          </w:p>
        </w:tc>
      </w:tr>
      <w:tr w14:paraId="1C3AC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tcBorders>
              <w:top w:val="single" w:color="auto" w:sz="4" w:space="0"/>
              <w:left w:val="single" w:color="auto" w:sz="4" w:space="0"/>
              <w:bottom w:val="single" w:color="auto" w:sz="4" w:space="0"/>
              <w:right w:val="single" w:color="auto" w:sz="4" w:space="0"/>
            </w:tcBorders>
            <w:vAlign w:val="center"/>
          </w:tcPr>
          <w:p w14:paraId="3380D5BB">
            <w:pPr>
              <w:jc w:val="center"/>
              <w:rPr>
                <w:rFonts w:hint="default"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rPr>
              <w:t>39</w:t>
            </w:r>
          </w:p>
        </w:tc>
        <w:tc>
          <w:tcPr>
            <w:tcW w:w="638" w:type="pct"/>
            <w:tcBorders>
              <w:top w:val="single" w:color="auto" w:sz="4" w:space="0"/>
              <w:left w:val="single" w:color="auto" w:sz="4" w:space="0"/>
              <w:bottom w:val="single" w:color="auto" w:sz="4" w:space="0"/>
              <w:right w:val="single" w:color="auto" w:sz="4" w:space="0"/>
            </w:tcBorders>
            <w:vAlign w:val="center"/>
          </w:tcPr>
          <w:p w14:paraId="709431A2">
            <w:pPr>
              <w:widowControl/>
              <w:jc w:val="center"/>
              <w:textAlignment w:val="center"/>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lang w:bidi="ar"/>
              </w:rPr>
              <w:t>边柜</w:t>
            </w:r>
          </w:p>
        </w:tc>
        <w:tc>
          <w:tcPr>
            <w:tcW w:w="1937" w:type="pct"/>
            <w:tcBorders>
              <w:top w:val="single" w:color="auto" w:sz="4" w:space="0"/>
              <w:left w:val="single" w:color="auto" w:sz="4" w:space="0"/>
              <w:bottom w:val="single" w:color="auto" w:sz="4" w:space="0"/>
              <w:right w:val="single" w:color="auto" w:sz="4" w:space="0"/>
            </w:tcBorders>
            <w:vAlign w:val="center"/>
          </w:tcPr>
          <w:p w14:paraId="004117BB">
            <w:pPr>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1.规格：1200mm*400mm*2000mm；</w:t>
            </w:r>
          </w:p>
          <w:p w14:paraId="5C38086B">
            <w:pPr>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2.颜色可选。</w:t>
            </w:r>
          </w:p>
        </w:tc>
        <w:tc>
          <w:tcPr>
            <w:tcW w:w="507" w:type="pct"/>
            <w:tcBorders>
              <w:top w:val="single" w:color="auto" w:sz="4" w:space="0"/>
              <w:left w:val="single" w:color="auto" w:sz="4" w:space="0"/>
              <w:bottom w:val="single" w:color="auto" w:sz="4" w:space="0"/>
              <w:right w:val="single" w:color="auto" w:sz="4" w:space="0"/>
            </w:tcBorders>
            <w:vAlign w:val="center"/>
          </w:tcPr>
          <w:p w14:paraId="6CA7E682">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3组</w:t>
            </w:r>
          </w:p>
        </w:tc>
        <w:tc>
          <w:tcPr>
            <w:tcW w:w="488" w:type="pct"/>
            <w:tcBorders>
              <w:top w:val="single" w:color="auto" w:sz="4" w:space="0"/>
              <w:left w:val="single" w:color="auto" w:sz="4" w:space="0"/>
              <w:bottom w:val="single" w:color="auto" w:sz="4" w:space="0"/>
              <w:right w:val="single" w:color="auto" w:sz="4" w:space="0"/>
            </w:tcBorders>
            <w:vAlign w:val="center"/>
          </w:tcPr>
          <w:p w14:paraId="0042F833">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工业</w:t>
            </w:r>
          </w:p>
        </w:tc>
        <w:tc>
          <w:tcPr>
            <w:tcW w:w="649" w:type="pct"/>
            <w:tcBorders>
              <w:top w:val="single" w:color="auto" w:sz="4" w:space="0"/>
              <w:left w:val="single" w:color="auto" w:sz="4" w:space="0"/>
              <w:bottom w:val="single" w:color="auto" w:sz="4" w:space="0"/>
              <w:right w:val="single" w:color="auto" w:sz="4" w:space="0"/>
            </w:tcBorders>
            <w:vAlign w:val="center"/>
          </w:tcPr>
          <w:p w14:paraId="24387074">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否</w:t>
            </w:r>
          </w:p>
        </w:tc>
        <w:tc>
          <w:tcPr>
            <w:tcW w:w="442" w:type="pct"/>
            <w:tcBorders>
              <w:top w:val="single" w:color="auto" w:sz="4" w:space="0"/>
              <w:left w:val="single" w:color="auto" w:sz="4" w:space="0"/>
              <w:bottom w:val="single" w:color="auto" w:sz="4" w:space="0"/>
              <w:right w:val="single" w:color="auto" w:sz="4" w:space="0"/>
            </w:tcBorders>
            <w:vAlign w:val="center"/>
          </w:tcPr>
          <w:p w14:paraId="243EE743">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1720元/组</w:t>
            </w:r>
          </w:p>
        </w:tc>
      </w:tr>
      <w:tr w14:paraId="32957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tcBorders>
              <w:top w:val="single" w:color="auto" w:sz="4" w:space="0"/>
              <w:left w:val="single" w:color="auto" w:sz="4" w:space="0"/>
              <w:bottom w:val="single" w:color="auto" w:sz="4" w:space="0"/>
              <w:right w:val="single" w:color="auto" w:sz="4" w:space="0"/>
            </w:tcBorders>
            <w:vAlign w:val="center"/>
          </w:tcPr>
          <w:p w14:paraId="158CFC02">
            <w:pPr>
              <w:jc w:val="center"/>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0</w:t>
            </w:r>
          </w:p>
        </w:tc>
        <w:tc>
          <w:tcPr>
            <w:tcW w:w="638" w:type="pct"/>
            <w:tcBorders>
              <w:top w:val="single" w:color="auto" w:sz="4" w:space="0"/>
              <w:left w:val="single" w:color="auto" w:sz="4" w:space="0"/>
              <w:bottom w:val="single" w:color="auto" w:sz="4" w:space="0"/>
              <w:right w:val="single" w:color="auto" w:sz="4" w:space="0"/>
            </w:tcBorders>
            <w:vAlign w:val="center"/>
          </w:tcPr>
          <w:p w14:paraId="5CAC9DBC">
            <w:pPr>
              <w:widowControl/>
              <w:jc w:val="center"/>
              <w:textAlignment w:val="center"/>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lang w:bidi="ar"/>
              </w:rPr>
              <w:t>书柜</w:t>
            </w:r>
          </w:p>
        </w:tc>
        <w:tc>
          <w:tcPr>
            <w:tcW w:w="1937" w:type="pct"/>
            <w:tcBorders>
              <w:top w:val="single" w:color="auto" w:sz="4" w:space="0"/>
              <w:left w:val="single" w:color="auto" w:sz="4" w:space="0"/>
              <w:bottom w:val="single" w:color="auto" w:sz="4" w:space="0"/>
              <w:right w:val="single" w:color="auto" w:sz="4" w:space="0"/>
            </w:tcBorders>
            <w:vAlign w:val="center"/>
          </w:tcPr>
          <w:p w14:paraId="652C1A4C">
            <w:pPr>
              <w:widowControl/>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1.尺寸1.3m*0.4m*2m。</w:t>
            </w:r>
          </w:p>
        </w:tc>
        <w:tc>
          <w:tcPr>
            <w:tcW w:w="507" w:type="pct"/>
            <w:tcBorders>
              <w:top w:val="single" w:color="auto" w:sz="4" w:space="0"/>
              <w:left w:val="single" w:color="auto" w:sz="4" w:space="0"/>
              <w:bottom w:val="single" w:color="auto" w:sz="4" w:space="0"/>
              <w:right w:val="single" w:color="auto" w:sz="4" w:space="0"/>
            </w:tcBorders>
            <w:vAlign w:val="center"/>
          </w:tcPr>
          <w:p w14:paraId="67F9D01D">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17组</w:t>
            </w:r>
          </w:p>
        </w:tc>
        <w:tc>
          <w:tcPr>
            <w:tcW w:w="488" w:type="pct"/>
            <w:tcBorders>
              <w:top w:val="single" w:color="auto" w:sz="4" w:space="0"/>
              <w:left w:val="single" w:color="auto" w:sz="4" w:space="0"/>
              <w:bottom w:val="single" w:color="auto" w:sz="4" w:space="0"/>
              <w:right w:val="single" w:color="auto" w:sz="4" w:space="0"/>
            </w:tcBorders>
            <w:vAlign w:val="center"/>
          </w:tcPr>
          <w:p w14:paraId="75B1E80F">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工业</w:t>
            </w:r>
          </w:p>
        </w:tc>
        <w:tc>
          <w:tcPr>
            <w:tcW w:w="649" w:type="pct"/>
            <w:tcBorders>
              <w:top w:val="single" w:color="auto" w:sz="4" w:space="0"/>
              <w:left w:val="single" w:color="auto" w:sz="4" w:space="0"/>
              <w:bottom w:val="single" w:color="auto" w:sz="4" w:space="0"/>
              <w:right w:val="single" w:color="auto" w:sz="4" w:space="0"/>
            </w:tcBorders>
            <w:vAlign w:val="center"/>
          </w:tcPr>
          <w:p w14:paraId="45208D7F">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否</w:t>
            </w:r>
          </w:p>
        </w:tc>
        <w:tc>
          <w:tcPr>
            <w:tcW w:w="442" w:type="pct"/>
            <w:tcBorders>
              <w:top w:val="single" w:color="auto" w:sz="4" w:space="0"/>
              <w:left w:val="single" w:color="auto" w:sz="4" w:space="0"/>
              <w:bottom w:val="single" w:color="auto" w:sz="4" w:space="0"/>
              <w:right w:val="single" w:color="auto" w:sz="4" w:space="0"/>
            </w:tcBorders>
            <w:vAlign w:val="center"/>
          </w:tcPr>
          <w:p w14:paraId="0CE11955">
            <w:pPr>
              <w:spacing w:line="360" w:lineRule="auto"/>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1200元/组</w:t>
            </w:r>
          </w:p>
        </w:tc>
      </w:tr>
      <w:tr w14:paraId="196D1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tcBorders>
              <w:top w:val="single" w:color="auto" w:sz="4" w:space="0"/>
              <w:left w:val="single" w:color="auto" w:sz="4" w:space="0"/>
              <w:bottom w:val="single" w:color="auto" w:sz="4" w:space="0"/>
              <w:right w:val="single" w:color="auto" w:sz="4" w:space="0"/>
            </w:tcBorders>
            <w:vAlign w:val="center"/>
          </w:tcPr>
          <w:p w14:paraId="2BF63392">
            <w:pPr>
              <w:jc w:val="center"/>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1</w:t>
            </w:r>
          </w:p>
        </w:tc>
        <w:tc>
          <w:tcPr>
            <w:tcW w:w="638" w:type="pct"/>
            <w:tcBorders>
              <w:top w:val="single" w:color="auto" w:sz="4" w:space="0"/>
              <w:left w:val="single" w:color="auto" w:sz="4" w:space="0"/>
              <w:bottom w:val="single" w:color="auto" w:sz="4" w:space="0"/>
              <w:right w:val="single" w:color="auto" w:sz="4" w:space="0"/>
            </w:tcBorders>
            <w:vAlign w:val="center"/>
          </w:tcPr>
          <w:p w14:paraId="1F252E06">
            <w:pPr>
              <w:widowControl/>
              <w:jc w:val="center"/>
              <w:textAlignment w:val="center"/>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lang w:bidi="ar"/>
              </w:rPr>
              <w:t>文件柜</w:t>
            </w:r>
          </w:p>
        </w:tc>
        <w:tc>
          <w:tcPr>
            <w:tcW w:w="1937" w:type="pct"/>
            <w:tcBorders>
              <w:top w:val="single" w:color="auto" w:sz="4" w:space="0"/>
              <w:left w:val="single" w:color="auto" w:sz="4" w:space="0"/>
              <w:bottom w:val="single" w:color="auto" w:sz="4" w:space="0"/>
              <w:right w:val="single" w:color="auto" w:sz="4" w:space="0"/>
            </w:tcBorders>
            <w:vAlign w:val="center"/>
          </w:tcPr>
          <w:p w14:paraId="706368AE">
            <w:pPr>
              <w:widowControl/>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1.尺寸0.88*0.4*2m。</w:t>
            </w:r>
          </w:p>
        </w:tc>
        <w:tc>
          <w:tcPr>
            <w:tcW w:w="507" w:type="pct"/>
            <w:tcBorders>
              <w:top w:val="single" w:color="auto" w:sz="4" w:space="0"/>
              <w:left w:val="single" w:color="auto" w:sz="4" w:space="0"/>
              <w:bottom w:val="single" w:color="auto" w:sz="4" w:space="0"/>
              <w:right w:val="single" w:color="auto" w:sz="4" w:space="0"/>
            </w:tcBorders>
            <w:vAlign w:val="center"/>
          </w:tcPr>
          <w:p w14:paraId="30B3C682">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49组</w:t>
            </w:r>
          </w:p>
        </w:tc>
        <w:tc>
          <w:tcPr>
            <w:tcW w:w="488" w:type="pct"/>
            <w:tcBorders>
              <w:top w:val="single" w:color="auto" w:sz="4" w:space="0"/>
              <w:left w:val="single" w:color="auto" w:sz="4" w:space="0"/>
              <w:bottom w:val="single" w:color="auto" w:sz="4" w:space="0"/>
              <w:right w:val="single" w:color="auto" w:sz="4" w:space="0"/>
            </w:tcBorders>
            <w:vAlign w:val="center"/>
          </w:tcPr>
          <w:p w14:paraId="7BD34742">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工业</w:t>
            </w:r>
          </w:p>
        </w:tc>
        <w:tc>
          <w:tcPr>
            <w:tcW w:w="649" w:type="pct"/>
            <w:tcBorders>
              <w:top w:val="single" w:color="auto" w:sz="4" w:space="0"/>
              <w:left w:val="single" w:color="auto" w:sz="4" w:space="0"/>
              <w:bottom w:val="single" w:color="auto" w:sz="4" w:space="0"/>
              <w:right w:val="single" w:color="auto" w:sz="4" w:space="0"/>
            </w:tcBorders>
            <w:vAlign w:val="center"/>
          </w:tcPr>
          <w:p w14:paraId="7361AD9A">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否</w:t>
            </w:r>
          </w:p>
        </w:tc>
        <w:tc>
          <w:tcPr>
            <w:tcW w:w="442" w:type="pct"/>
            <w:tcBorders>
              <w:top w:val="single" w:color="auto" w:sz="4" w:space="0"/>
              <w:left w:val="single" w:color="auto" w:sz="4" w:space="0"/>
              <w:bottom w:val="single" w:color="auto" w:sz="4" w:space="0"/>
              <w:right w:val="single" w:color="auto" w:sz="4" w:space="0"/>
            </w:tcBorders>
            <w:vAlign w:val="center"/>
          </w:tcPr>
          <w:p w14:paraId="054DEC41">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1000元/组</w:t>
            </w:r>
          </w:p>
        </w:tc>
      </w:tr>
      <w:tr w14:paraId="3A3B5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tcBorders>
              <w:top w:val="single" w:color="auto" w:sz="4" w:space="0"/>
              <w:left w:val="single" w:color="auto" w:sz="4" w:space="0"/>
              <w:bottom w:val="single" w:color="auto" w:sz="4" w:space="0"/>
              <w:right w:val="single" w:color="auto" w:sz="4" w:space="0"/>
            </w:tcBorders>
            <w:vAlign w:val="center"/>
          </w:tcPr>
          <w:p w14:paraId="3246B585">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2</w:t>
            </w:r>
          </w:p>
        </w:tc>
        <w:tc>
          <w:tcPr>
            <w:tcW w:w="638" w:type="pct"/>
            <w:tcBorders>
              <w:top w:val="single" w:color="auto" w:sz="4" w:space="0"/>
              <w:left w:val="single" w:color="auto" w:sz="4" w:space="0"/>
              <w:bottom w:val="single" w:color="auto" w:sz="4" w:space="0"/>
              <w:right w:val="single" w:color="auto" w:sz="4" w:space="0"/>
            </w:tcBorders>
            <w:vAlign w:val="center"/>
          </w:tcPr>
          <w:p w14:paraId="5DAE717A">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四人快餐桌</w:t>
            </w:r>
          </w:p>
        </w:tc>
        <w:tc>
          <w:tcPr>
            <w:tcW w:w="1937" w:type="pct"/>
            <w:tcBorders>
              <w:top w:val="single" w:color="auto" w:sz="4" w:space="0"/>
              <w:left w:val="single" w:color="auto" w:sz="4" w:space="0"/>
              <w:bottom w:val="single" w:color="auto" w:sz="4" w:space="0"/>
              <w:right w:val="single" w:color="auto" w:sz="4" w:space="0"/>
            </w:tcBorders>
            <w:vAlign w:val="center"/>
          </w:tcPr>
          <w:p w14:paraId="08443E13">
            <w:pPr>
              <w:widowControl/>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1、桌面大于2.3cm厚人造板基材，桌架38圆管，管壁1.2厚；</w:t>
            </w:r>
          </w:p>
          <w:p w14:paraId="3D0E0FD5">
            <w:pPr>
              <w:widowControl/>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2、尺寸：1400*700*760mm。</w:t>
            </w:r>
          </w:p>
        </w:tc>
        <w:tc>
          <w:tcPr>
            <w:tcW w:w="507" w:type="pct"/>
            <w:tcBorders>
              <w:top w:val="single" w:color="auto" w:sz="4" w:space="0"/>
              <w:left w:val="single" w:color="auto" w:sz="4" w:space="0"/>
              <w:bottom w:val="single" w:color="auto" w:sz="4" w:space="0"/>
              <w:right w:val="single" w:color="auto" w:sz="4" w:space="0"/>
            </w:tcBorders>
            <w:vAlign w:val="center"/>
          </w:tcPr>
          <w:p w14:paraId="5F82294E">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35张</w:t>
            </w:r>
          </w:p>
        </w:tc>
        <w:tc>
          <w:tcPr>
            <w:tcW w:w="488" w:type="pct"/>
            <w:tcBorders>
              <w:top w:val="single" w:color="auto" w:sz="4" w:space="0"/>
              <w:left w:val="single" w:color="auto" w:sz="4" w:space="0"/>
              <w:bottom w:val="single" w:color="auto" w:sz="4" w:space="0"/>
              <w:right w:val="single" w:color="auto" w:sz="4" w:space="0"/>
            </w:tcBorders>
            <w:vAlign w:val="center"/>
          </w:tcPr>
          <w:p w14:paraId="1F7787C1">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工业</w:t>
            </w:r>
          </w:p>
        </w:tc>
        <w:tc>
          <w:tcPr>
            <w:tcW w:w="649" w:type="pct"/>
            <w:tcBorders>
              <w:top w:val="single" w:color="auto" w:sz="4" w:space="0"/>
              <w:left w:val="single" w:color="auto" w:sz="4" w:space="0"/>
              <w:bottom w:val="single" w:color="auto" w:sz="4" w:space="0"/>
              <w:right w:val="single" w:color="auto" w:sz="4" w:space="0"/>
            </w:tcBorders>
            <w:vAlign w:val="center"/>
          </w:tcPr>
          <w:p w14:paraId="479FB89A">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否</w:t>
            </w:r>
          </w:p>
        </w:tc>
        <w:tc>
          <w:tcPr>
            <w:tcW w:w="442" w:type="pct"/>
            <w:tcBorders>
              <w:top w:val="single" w:color="auto" w:sz="4" w:space="0"/>
              <w:left w:val="single" w:color="auto" w:sz="4" w:space="0"/>
              <w:bottom w:val="single" w:color="auto" w:sz="4" w:space="0"/>
              <w:right w:val="single" w:color="auto" w:sz="4" w:space="0"/>
            </w:tcBorders>
            <w:vAlign w:val="center"/>
          </w:tcPr>
          <w:p w14:paraId="5579BC58">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400元/张</w:t>
            </w:r>
          </w:p>
        </w:tc>
      </w:tr>
      <w:tr w14:paraId="1DCBC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tcBorders>
              <w:top w:val="single" w:color="auto" w:sz="4" w:space="0"/>
              <w:left w:val="single" w:color="auto" w:sz="4" w:space="0"/>
              <w:bottom w:val="single" w:color="auto" w:sz="4" w:space="0"/>
              <w:right w:val="single" w:color="auto" w:sz="4" w:space="0"/>
            </w:tcBorders>
            <w:vAlign w:val="center"/>
          </w:tcPr>
          <w:p w14:paraId="10C51E78">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3</w:t>
            </w:r>
          </w:p>
        </w:tc>
        <w:tc>
          <w:tcPr>
            <w:tcW w:w="638" w:type="pct"/>
            <w:tcBorders>
              <w:top w:val="single" w:color="auto" w:sz="4" w:space="0"/>
              <w:left w:val="single" w:color="auto" w:sz="4" w:space="0"/>
              <w:bottom w:val="single" w:color="auto" w:sz="4" w:space="0"/>
              <w:right w:val="single" w:color="auto" w:sz="4" w:space="0"/>
            </w:tcBorders>
            <w:vAlign w:val="center"/>
          </w:tcPr>
          <w:p w14:paraId="752EA6F9">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椅子</w:t>
            </w:r>
          </w:p>
        </w:tc>
        <w:tc>
          <w:tcPr>
            <w:tcW w:w="1937" w:type="pct"/>
            <w:tcBorders>
              <w:top w:val="single" w:color="auto" w:sz="4" w:space="0"/>
              <w:left w:val="single" w:color="auto" w:sz="4" w:space="0"/>
              <w:bottom w:val="single" w:color="auto" w:sz="4" w:space="0"/>
              <w:right w:val="single" w:color="auto" w:sz="4" w:space="0"/>
            </w:tcBorders>
            <w:vAlign w:val="center"/>
          </w:tcPr>
          <w:p w14:paraId="19C8A64E">
            <w:pPr>
              <w:widowControl/>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1.腿壁厚1.2，电镀，椅背为聚氨脂；</w:t>
            </w:r>
          </w:p>
          <w:p w14:paraId="41A0BDF3">
            <w:pPr>
              <w:widowControl/>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2.与四人快餐桌配套。</w:t>
            </w:r>
          </w:p>
        </w:tc>
        <w:tc>
          <w:tcPr>
            <w:tcW w:w="507" w:type="pct"/>
            <w:tcBorders>
              <w:top w:val="single" w:color="auto" w:sz="4" w:space="0"/>
              <w:left w:val="single" w:color="auto" w:sz="4" w:space="0"/>
              <w:bottom w:val="single" w:color="auto" w:sz="4" w:space="0"/>
              <w:right w:val="single" w:color="auto" w:sz="4" w:space="0"/>
            </w:tcBorders>
            <w:vAlign w:val="center"/>
          </w:tcPr>
          <w:p w14:paraId="4EA3F548">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140把</w:t>
            </w:r>
          </w:p>
        </w:tc>
        <w:tc>
          <w:tcPr>
            <w:tcW w:w="488" w:type="pct"/>
            <w:tcBorders>
              <w:top w:val="single" w:color="auto" w:sz="4" w:space="0"/>
              <w:left w:val="single" w:color="auto" w:sz="4" w:space="0"/>
              <w:bottom w:val="single" w:color="auto" w:sz="4" w:space="0"/>
              <w:right w:val="single" w:color="auto" w:sz="4" w:space="0"/>
            </w:tcBorders>
            <w:vAlign w:val="center"/>
          </w:tcPr>
          <w:p w14:paraId="0305BB7A">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工业</w:t>
            </w:r>
          </w:p>
        </w:tc>
        <w:tc>
          <w:tcPr>
            <w:tcW w:w="649" w:type="pct"/>
            <w:tcBorders>
              <w:top w:val="single" w:color="auto" w:sz="4" w:space="0"/>
              <w:left w:val="single" w:color="auto" w:sz="4" w:space="0"/>
              <w:bottom w:val="single" w:color="auto" w:sz="4" w:space="0"/>
              <w:right w:val="single" w:color="auto" w:sz="4" w:space="0"/>
            </w:tcBorders>
            <w:vAlign w:val="center"/>
          </w:tcPr>
          <w:p w14:paraId="0DF5F584">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否</w:t>
            </w:r>
          </w:p>
        </w:tc>
        <w:tc>
          <w:tcPr>
            <w:tcW w:w="442" w:type="pct"/>
            <w:tcBorders>
              <w:top w:val="single" w:color="auto" w:sz="4" w:space="0"/>
              <w:left w:val="single" w:color="auto" w:sz="4" w:space="0"/>
              <w:bottom w:val="single" w:color="auto" w:sz="4" w:space="0"/>
              <w:right w:val="single" w:color="auto" w:sz="4" w:space="0"/>
            </w:tcBorders>
            <w:vAlign w:val="center"/>
          </w:tcPr>
          <w:p w14:paraId="2FD8734B">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180元/张</w:t>
            </w:r>
          </w:p>
        </w:tc>
      </w:tr>
      <w:tr w14:paraId="4FF88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tcBorders>
              <w:top w:val="single" w:color="auto" w:sz="4" w:space="0"/>
              <w:left w:val="single" w:color="auto" w:sz="4" w:space="0"/>
              <w:bottom w:val="single" w:color="auto" w:sz="4" w:space="0"/>
              <w:right w:val="single" w:color="auto" w:sz="4" w:space="0"/>
            </w:tcBorders>
            <w:vAlign w:val="center"/>
          </w:tcPr>
          <w:p w14:paraId="2CA176E1">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4</w:t>
            </w:r>
          </w:p>
        </w:tc>
        <w:tc>
          <w:tcPr>
            <w:tcW w:w="638" w:type="pct"/>
            <w:tcBorders>
              <w:top w:val="single" w:color="auto" w:sz="4" w:space="0"/>
              <w:left w:val="single" w:color="auto" w:sz="4" w:space="0"/>
              <w:bottom w:val="single" w:color="auto" w:sz="4" w:space="0"/>
              <w:right w:val="single" w:color="auto" w:sz="4" w:space="0"/>
            </w:tcBorders>
            <w:vAlign w:val="center"/>
          </w:tcPr>
          <w:p w14:paraId="495A5D72">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休闲桌6</w:t>
            </w:r>
          </w:p>
        </w:tc>
        <w:tc>
          <w:tcPr>
            <w:tcW w:w="1937" w:type="pct"/>
            <w:tcBorders>
              <w:top w:val="single" w:color="auto" w:sz="4" w:space="0"/>
              <w:left w:val="single" w:color="auto" w:sz="4" w:space="0"/>
              <w:bottom w:val="single" w:color="auto" w:sz="4" w:space="0"/>
              <w:right w:val="single" w:color="auto" w:sz="4" w:space="0"/>
            </w:tcBorders>
            <w:vAlign w:val="center"/>
          </w:tcPr>
          <w:p w14:paraId="2ABFB1BC">
            <w:pPr>
              <w:widowControl/>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1.根据实际需求定制</w:t>
            </w:r>
          </w:p>
          <w:p w14:paraId="1712528A">
            <w:pPr>
              <w:widowControl/>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2.颜色可选</w:t>
            </w:r>
          </w:p>
        </w:tc>
        <w:tc>
          <w:tcPr>
            <w:tcW w:w="507" w:type="pct"/>
            <w:tcBorders>
              <w:top w:val="single" w:color="auto" w:sz="4" w:space="0"/>
              <w:left w:val="single" w:color="auto" w:sz="4" w:space="0"/>
              <w:bottom w:val="single" w:color="auto" w:sz="4" w:space="0"/>
              <w:right w:val="single" w:color="auto" w:sz="4" w:space="0"/>
            </w:tcBorders>
            <w:vAlign w:val="center"/>
          </w:tcPr>
          <w:p w14:paraId="34F5386C">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2张</w:t>
            </w:r>
          </w:p>
        </w:tc>
        <w:tc>
          <w:tcPr>
            <w:tcW w:w="488" w:type="pct"/>
            <w:tcBorders>
              <w:top w:val="single" w:color="auto" w:sz="4" w:space="0"/>
              <w:left w:val="single" w:color="auto" w:sz="4" w:space="0"/>
              <w:bottom w:val="single" w:color="auto" w:sz="4" w:space="0"/>
              <w:right w:val="single" w:color="auto" w:sz="4" w:space="0"/>
            </w:tcBorders>
            <w:vAlign w:val="center"/>
          </w:tcPr>
          <w:p w14:paraId="3E825B3B">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工业</w:t>
            </w:r>
          </w:p>
        </w:tc>
        <w:tc>
          <w:tcPr>
            <w:tcW w:w="649" w:type="pct"/>
            <w:tcBorders>
              <w:top w:val="single" w:color="auto" w:sz="4" w:space="0"/>
              <w:left w:val="single" w:color="auto" w:sz="4" w:space="0"/>
              <w:bottom w:val="single" w:color="auto" w:sz="4" w:space="0"/>
              <w:right w:val="single" w:color="auto" w:sz="4" w:space="0"/>
            </w:tcBorders>
            <w:vAlign w:val="center"/>
          </w:tcPr>
          <w:p w14:paraId="29F2B1AA">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否</w:t>
            </w:r>
          </w:p>
        </w:tc>
        <w:tc>
          <w:tcPr>
            <w:tcW w:w="442" w:type="pct"/>
            <w:tcBorders>
              <w:top w:val="single" w:color="auto" w:sz="4" w:space="0"/>
              <w:left w:val="single" w:color="auto" w:sz="4" w:space="0"/>
              <w:bottom w:val="single" w:color="auto" w:sz="4" w:space="0"/>
              <w:right w:val="single" w:color="auto" w:sz="4" w:space="0"/>
            </w:tcBorders>
            <w:vAlign w:val="center"/>
          </w:tcPr>
          <w:p w14:paraId="5E968852">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1000元/张</w:t>
            </w:r>
          </w:p>
        </w:tc>
      </w:tr>
      <w:tr w14:paraId="43040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tcBorders>
              <w:top w:val="single" w:color="auto" w:sz="4" w:space="0"/>
              <w:left w:val="single" w:color="auto" w:sz="4" w:space="0"/>
              <w:bottom w:val="single" w:color="auto" w:sz="4" w:space="0"/>
              <w:right w:val="single" w:color="auto" w:sz="4" w:space="0"/>
            </w:tcBorders>
            <w:vAlign w:val="center"/>
          </w:tcPr>
          <w:p w14:paraId="0CB2956E">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5</w:t>
            </w:r>
          </w:p>
        </w:tc>
        <w:tc>
          <w:tcPr>
            <w:tcW w:w="638" w:type="pct"/>
            <w:tcBorders>
              <w:top w:val="single" w:color="auto" w:sz="4" w:space="0"/>
              <w:left w:val="single" w:color="auto" w:sz="4" w:space="0"/>
              <w:bottom w:val="single" w:color="auto" w:sz="4" w:space="0"/>
              <w:right w:val="single" w:color="auto" w:sz="4" w:space="0"/>
            </w:tcBorders>
            <w:vAlign w:val="center"/>
          </w:tcPr>
          <w:p w14:paraId="3A1B64E5">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休闲椅5</w:t>
            </w:r>
          </w:p>
        </w:tc>
        <w:tc>
          <w:tcPr>
            <w:tcW w:w="1937" w:type="pct"/>
            <w:tcBorders>
              <w:top w:val="single" w:color="auto" w:sz="4" w:space="0"/>
              <w:left w:val="single" w:color="auto" w:sz="4" w:space="0"/>
              <w:bottom w:val="single" w:color="auto" w:sz="4" w:space="0"/>
              <w:right w:val="single" w:color="auto" w:sz="4" w:space="0"/>
            </w:tcBorders>
            <w:vAlign w:val="center"/>
          </w:tcPr>
          <w:p w14:paraId="47FA670E">
            <w:pPr>
              <w:widowControl/>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1.根据实际需求定制</w:t>
            </w:r>
          </w:p>
          <w:p w14:paraId="6C5050F6">
            <w:pPr>
              <w:widowControl/>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2、颜色可选，与休闲桌6配套</w:t>
            </w:r>
          </w:p>
        </w:tc>
        <w:tc>
          <w:tcPr>
            <w:tcW w:w="507" w:type="pct"/>
            <w:tcBorders>
              <w:top w:val="single" w:color="auto" w:sz="4" w:space="0"/>
              <w:left w:val="single" w:color="auto" w:sz="4" w:space="0"/>
              <w:bottom w:val="single" w:color="auto" w:sz="4" w:space="0"/>
              <w:right w:val="single" w:color="auto" w:sz="4" w:space="0"/>
            </w:tcBorders>
            <w:vAlign w:val="center"/>
          </w:tcPr>
          <w:p w14:paraId="603ED524">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8把</w:t>
            </w:r>
          </w:p>
        </w:tc>
        <w:tc>
          <w:tcPr>
            <w:tcW w:w="488" w:type="pct"/>
            <w:tcBorders>
              <w:top w:val="single" w:color="auto" w:sz="4" w:space="0"/>
              <w:left w:val="single" w:color="auto" w:sz="4" w:space="0"/>
              <w:bottom w:val="single" w:color="auto" w:sz="4" w:space="0"/>
              <w:right w:val="single" w:color="auto" w:sz="4" w:space="0"/>
            </w:tcBorders>
            <w:vAlign w:val="center"/>
          </w:tcPr>
          <w:p w14:paraId="6583B5F2">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工业</w:t>
            </w:r>
          </w:p>
        </w:tc>
        <w:tc>
          <w:tcPr>
            <w:tcW w:w="649" w:type="pct"/>
            <w:tcBorders>
              <w:top w:val="single" w:color="auto" w:sz="4" w:space="0"/>
              <w:left w:val="single" w:color="auto" w:sz="4" w:space="0"/>
              <w:bottom w:val="single" w:color="auto" w:sz="4" w:space="0"/>
              <w:right w:val="single" w:color="auto" w:sz="4" w:space="0"/>
            </w:tcBorders>
            <w:vAlign w:val="center"/>
          </w:tcPr>
          <w:p w14:paraId="08E7E606">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否</w:t>
            </w:r>
          </w:p>
        </w:tc>
        <w:tc>
          <w:tcPr>
            <w:tcW w:w="442" w:type="pct"/>
            <w:tcBorders>
              <w:top w:val="single" w:color="auto" w:sz="4" w:space="0"/>
              <w:left w:val="single" w:color="auto" w:sz="4" w:space="0"/>
              <w:bottom w:val="single" w:color="auto" w:sz="4" w:space="0"/>
              <w:right w:val="single" w:color="auto" w:sz="4" w:space="0"/>
            </w:tcBorders>
            <w:vAlign w:val="center"/>
          </w:tcPr>
          <w:p w14:paraId="4370373E">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300元/把</w:t>
            </w:r>
          </w:p>
        </w:tc>
      </w:tr>
      <w:tr w14:paraId="2E1D7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tcBorders>
              <w:top w:val="single" w:color="auto" w:sz="4" w:space="0"/>
              <w:left w:val="single" w:color="auto" w:sz="4" w:space="0"/>
              <w:bottom w:val="single" w:color="auto" w:sz="4" w:space="0"/>
              <w:right w:val="single" w:color="auto" w:sz="4" w:space="0"/>
            </w:tcBorders>
            <w:vAlign w:val="center"/>
          </w:tcPr>
          <w:p w14:paraId="0DB8C10B">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6</w:t>
            </w:r>
          </w:p>
        </w:tc>
        <w:tc>
          <w:tcPr>
            <w:tcW w:w="638" w:type="pct"/>
            <w:tcBorders>
              <w:top w:val="single" w:color="auto" w:sz="4" w:space="0"/>
              <w:left w:val="single" w:color="auto" w:sz="4" w:space="0"/>
              <w:bottom w:val="single" w:color="auto" w:sz="4" w:space="0"/>
              <w:right w:val="single" w:color="auto" w:sz="4" w:space="0"/>
            </w:tcBorders>
            <w:vAlign w:val="center"/>
          </w:tcPr>
          <w:p w14:paraId="03D26C10">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双人沙发2</w:t>
            </w:r>
          </w:p>
        </w:tc>
        <w:tc>
          <w:tcPr>
            <w:tcW w:w="1937" w:type="pct"/>
            <w:tcBorders>
              <w:top w:val="single" w:color="auto" w:sz="4" w:space="0"/>
              <w:left w:val="single" w:color="auto" w:sz="4" w:space="0"/>
              <w:bottom w:val="single" w:color="auto" w:sz="4" w:space="0"/>
              <w:right w:val="single" w:color="auto" w:sz="4" w:space="0"/>
            </w:tcBorders>
            <w:vAlign w:val="center"/>
          </w:tcPr>
          <w:p w14:paraId="3A88439B">
            <w:pPr>
              <w:widowControl/>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1.规格：860mm*940mm*2200mm；</w:t>
            </w:r>
          </w:p>
          <w:p w14:paraId="18966814">
            <w:pPr>
              <w:widowControl/>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2.皮革：头层牛皮，厚度≥1.5mm；</w:t>
            </w:r>
          </w:p>
          <w:p w14:paraId="5D2387C7">
            <w:pPr>
              <w:widowControl/>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3.定型海绵：阻燃定型海绵</w:t>
            </w:r>
          </w:p>
          <w:p w14:paraId="371CC632">
            <w:pPr>
              <w:widowControl/>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4.框架：采用原木实木                                                                                              </w:t>
            </w:r>
          </w:p>
          <w:p w14:paraId="65EC2B07">
            <w:pPr>
              <w:widowControl/>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5.弹簧：耐腐蚀高回弹蛇形弹簧； </w:t>
            </w:r>
          </w:p>
          <w:p w14:paraId="303B9498">
            <w:pPr>
              <w:widowControl/>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6.底脚架:采用冷轧钢,经冲压成型后表面静电粉末喷涂。</w:t>
            </w:r>
          </w:p>
        </w:tc>
        <w:tc>
          <w:tcPr>
            <w:tcW w:w="507" w:type="pct"/>
            <w:tcBorders>
              <w:top w:val="single" w:color="auto" w:sz="4" w:space="0"/>
              <w:left w:val="single" w:color="auto" w:sz="4" w:space="0"/>
              <w:bottom w:val="single" w:color="auto" w:sz="4" w:space="0"/>
              <w:right w:val="single" w:color="auto" w:sz="4" w:space="0"/>
            </w:tcBorders>
            <w:vAlign w:val="center"/>
          </w:tcPr>
          <w:p w14:paraId="78C05804">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1组</w:t>
            </w:r>
          </w:p>
        </w:tc>
        <w:tc>
          <w:tcPr>
            <w:tcW w:w="488" w:type="pct"/>
            <w:tcBorders>
              <w:top w:val="single" w:color="auto" w:sz="4" w:space="0"/>
              <w:left w:val="single" w:color="auto" w:sz="4" w:space="0"/>
              <w:bottom w:val="single" w:color="auto" w:sz="4" w:space="0"/>
              <w:right w:val="single" w:color="auto" w:sz="4" w:space="0"/>
            </w:tcBorders>
            <w:vAlign w:val="center"/>
          </w:tcPr>
          <w:p w14:paraId="05FD98A1">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工业</w:t>
            </w:r>
          </w:p>
        </w:tc>
        <w:tc>
          <w:tcPr>
            <w:tcW w:w="649" w:type="pct"/>
            <w:tcBorders>
              <w:top w:val="single" w:color="auto" w:sz="4" w:space="0"/>
              <w:left w:val="single" w:color="auto" w:sz="4" w:space="0"/>
              <w:bottom w:val="single" w:color="auto" w:sz="4" w:space="0"/>
              <w:right w:val="single" w:color="auto" w:sz="4" w:space="0"/>
            </w:tcBorders>
            <w:vAlign w:val="center"/>
          </w:tcPr>
          <w:p w14:paraId="6CD4FFAC">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否</w:t>
            </w:r>
          </w:p>
        </w:tc>
        <w:tc>
          <w:tcPr>
            <w:tcW w:w="442" w:type="pct"/>
            <w:tcBorders>
              <w:top w:val="single" w:color="auto" w:sz="4" w:space="0"/>
              <w:left w:val="single" w:color="auto" w:sz="4" w:space="0"/>
              <w:bottom w:val="single" w:color="auto" w:sz="4" w:space="0"/>
              <w:right w:val="single" w:color="auto" w:sz="4" w:space="0"/>
            </w:tcBorders>
            <w:vAlign w:val="center"/>
          </w:tcPr>
          <w:p w14:paraId="4261699D">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1200元/组</w:t>
            </w:r>
          </w:p>
        </w:tc>
      </w:tr>
      <w:tr w14:paraId="61594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tcBorders>
              <w:top w:val="single" w:color="auto" w:sz="4" w:space="0"/>
              <w:left w:val="single" w:color="auto" w:sz="4" w:space="0"/>
              <w:bottom w:val="single" w:color="auto" w:sz="4" w:space="0"/>
              <w:right w:val="single" w:color="auto" w:sz="4" w:space="0"/>
            </w:tcBorders>
            <w:vAlign w:val="center"/>
          </w:tcPr>
          <w:p w14:paraId="3B66CDEA">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47</w:t>
            </w:r>
          </w:p>
        </w:tc>
        <w:tc>
          <w:tcPr>
            <w:tcW w:w="638" w:type="pct"/>
            <w:tcBorders>
              <w:top w:val="single" w:color="auto" w:sz="4" w:space="0"/>
              <w:left w:val="single" w:color="auto" w:sz="4" w:space="0"/>
              <w:bottom w:val="single" w:color="auto" w:sz="4" w:space="0"/>
              <w:right w:val="single" w:color="auto" w:sz="4" w:space="0"/>
            </w:tcBorders>
            <w:vAlign w:val="center"/>
          </w:tcPr>
          <w:p w14:paraId="71F64F9D">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单人沙发3</w:t>
            </w:r>
          </w:p>
        </w:tc>
        <w:tc>
          <w:tcPr>
            <w:tcW w:w="1937" w:type="pct"/>
            <w:tcBorders>
              <w:top w:val="single" w:color="auto" w:sz="4" w:space="0"/>
              <w:left w:val="single" w:color="auto" w:sz="4" w:space="0"/>
              <w:bottom w:val="single" w:color="auto" w:sz="4" w:space="0"/>
              <w:right w:val="single" w:color="auto" w:sz="4" w:space="0"/>
            </w:tcBorders>
            <w:vAlign w:val="center"/>
          </w:tcPr>
          <w:p w14:paraId="6F3242F5">
            <w:pPr>
              <w:widowControl/>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1.规格：860mm*940mm*1010mm；</w:t>
            </w:r>
          </w:p>
          <w:p w14:paraId="763F9135">
            <w:pPr>
              <w:widowControl/>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2.皮革：头层牛皮，厚度≥1.5mm；</w:t>
            </w:r>
          </w:p>
          <w:p w14:paraId="7FB2A725">
            <w:pPr>
              <w:widowControl/>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3.定型海绵：阻燃定型海绵</w:t>
            </w:r>
          </w:p>
          <w:p w14:paraId="03C33141">
            <w:pPr>
              <w:widowControl/>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4.框架：采用原木实木                                                                                              </w:t>
            </w:r>
          </w:p>
          <w:p w14:paraId="724532FF">
            <w:pPr>
              <w:widowControl/>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5.弹簧：耐腐蚀高回弹蛇形弹簧； </w:t>
            </w:r>
          </w:p>
          <w:p w14:paraId="3EEDF3F8">
            <w:pPr>
              <w:widowControl/>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6.底脚架:采用冷轧钢,经冲压成型后表面静电粉末喷涂。</w:t>
            </w:r>
          </w:p>
        </w:tc>
        <w:tc>
          <w:tcPr>
            <w:tcW w:w="507" w:type="pct"/>
            <w:tcBorders>
              <w:top w:val="single" w:color="auto" w:sz="4" w:space="0"/>
              <w:left w:val="single" w:color="auto" w:sz="4" w:space="0"/>
              <w:bottom w:val="single" w:color="auto" w:sz="4" w:space="0"/>
              <w:right w:val="single" w:color="auto" w:sz="4" w:space="0"/>
            </w:tcBorders>
            <w:vAlign w:val="center"/>
          </w:tcPr>
          <w:p w14:paraId="49B54AA2">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2组</w:t>
            </w:r>
          </w:p>
        </w:tc>
        <w:tc>
          <w:tcPr>
            <w:tcW w:w="488" w:type="pct"/>
            <w:tcBorders>
              <w:top w:val="single" w:color="auto" w:sz="4" w:space="0"/>
              <w:left w:val="single" w:color="auto" w:sz="4" w:space="0"/>
              <w:bottom w:val="single" w:color="auto" w:sz="4" w:space="0"/>
              <w:right w:val="single" w:color="auto" w:sz="4" w:space="0"/>
            </w:tcBorders>
            <w:vAlign w:val="center"/>
          </w:tcPr>
          <w:p w14:paraId="4AFD0503">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工业</w:t>
            </w:r>
          </w:p>
        </w:tc>
        <w:tc>
          <w:tcPr>
            <w:tcW w:w="649" w:type="pct"/>
            <w:tcBorders>
              <w:top w:val="single" w:color="auto" w:sz="4" w:space="0"/>
              <w:left w:val="single" w:color="auto" w:sz="4" w:space="0"/>
              <w:bottom w:val="single" w:color="auto" w:sz="4" w:space="0"/>
              <w:right w:val="single" w:color="auto" w:sz="4" w:space="0"/>
            </w:tcBorders>
            <w:vAlign w:val="center"/>
          </w:tcPr>
          <w:p w14:paraId="67B62DF6">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否</w:t>
            </w:r>
          </w:p>
        </w:tc>
        <w:tc>
          <w:tcPr>
            <w:tcW w:w="442" w:type="pct"/>
            <w:tcBorders>
              <w:top w:val="single" w:color="auto" w:sz="4" w:space="0"/>
              <w:left w:val="single" w:color="auto" w:sz="4" w:space="0"/>
              <w:bottom w:val="single" w:color="auto" w:sz="4" w:space="0"/>
              <w:right w:val="single" w:color="auto" w:sz="4" w:space="0"/>
            </w:tcBorders>
            <w:vAlign w:val="center"/>
          </w:tcPr>
          <w:p w14:paraId="530E2975">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1200元/组</w:t>
            </w:r>
          </w:p>
        </w:tc>
      </w:tr>
      <w:tr w14:paraId="4D3A1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tcBorders>
              <w:top w:val="single" w:color="auto" w:sz="4" w:space="0"/>
              <w:left w:val="single" w:color="auto" w:sz="4" w:space="0"/>
              <w:bottom w:val="single" w:color="auto" w:sz="4" w:space="0"/>
              <w:right w:val="single" w:color="auto" w:sz="4" w:space="0"/>
            </w:tcBorders>
            <w:vAlign w:val="center"/>
          </w:tcPr>
          <w:p w14:paraId="3912CCA4">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48</w:t>
            </w:r>
          </w:p>
        </w:tc>
        <w:tc>
          <w:tcPr>
            <w:tcW w:w="638" w:type="pct"/>
            <w:tcBorders>
              <w:top w:val="single" w:color="auto" w:sz="4" w:space="0"/>
              <w:left w:val="single" w:color="auto" w:sz="4" w:space="0"/>
              <w:bottom w:val="single" w:color="auto" w:sz="4" w:space="0"/>
              <w:right w:val="single" w:color="auto" w:sz="4" w:space="0"/>
            </w:tcBorders>
            <w:vAlign w:val="center"/>
          </w:tcPr>
          <w:p w14:paraId="214188F8">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茶几4</w:t>
            </w:r>
          </w:p>
        </w:tc>
        <w:tc>
          <w:tcPr>
            <w:tcW w:w="1937" w:type="pct"/>
            <w:tcBorders>
              <w:top w:val="single" w:color="auto" w:sz="4" w:space="0"/>
              <w:left w:val="single" w:color="auto" w:sz="4" w:space="0"/>
              <w:bottom w:val="single" w:color="auto" w:sz="4" w:space="0"/>
              <w:right w:val="single" w:color="auto" w:sz="4" w:space="0"/>
            </w:tcBorders>
            <w:vAlign w:val="center"/>
          </w:tcPr>
          <w:p w14:paraId="6A306051">
            <w:pPr>
              <w:widowControl/>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1.合金架；</w:t>
            </w:r>
          </w:p>
          <w:p w14:paraId="5CEBF58A">
            <w:pPr>
              <w:widowControl/>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2.茶玻面；</w:t>
            </w:r>
          </w:p>
          <w:p w14:paraId="6337A179">
            <w:pPr>
              <w:widowControl/>
              <w:jc w:val="left"/>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3.尺寸与双人沙发2、单人沙发3配套；</w:t>
            </w:r>
          </w:p>
        </w:tc>
        <w:tc>
          <w:tcPr>
            <w:tcW w:w="507" w:type="pct"/>
            <w:tcBorders>
              <w:top w:val="single" w:color="auto" w:sz="4" w:space="0"/>
              <w:left w:val="single" w:color="auto" w:sz="4" w:space="0"/>
              <w:bottom w:val="single" w:color="auto" w:sz="4" w:space="0"/>
              <w:right w:val="single" w:color="auto" w:sz="4" w:space="0"/>
            </w:tcBorders>
            <w:vAlign w:val="center"/>
          </w:tcPr>
          <w:p w14:paraId="683A7FD6">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1组</w:t>
            </w:r>
          </w:p>
        </w:tc>
        <w:tc>
          <w:tcPr>
            <w:tcW w:w="488" w:type="pct"/>
            <w:tcBorders>
              <w:top w:val="single" w:color="auto" w:sz="4" w:space="0"/>
              <w:left w:val="single" w:color="auto" w:sz="4" w:space="0"/>
              <w:bottom w:val="single" w:color="auto" w:sz="4" w:space="0"/>
              <w:right w:val="single" w:color="auto" w:sz="4" w:space="0"/>
            </w:tcBorders>
            <w:vAlign w:val="center"/>
          </w:tcPr>
          <w:p w14:paraId="27472FA0">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工业</w:t>
            </w:r>
          </w:p>
        </w:tc>
        <w:tc>
          <w:tcPr>
            <w:tcW w:w="649" w:type="pct"/>
            <w:tcBorders>
              <w:top w:val="single" w:color="auto" w:sz="4" w:space="0"/>
              <w:left w:val="single" w:color="auto" w:sz="4" w:space="0"/>
              <w:bottom w:val="single" w:color="auto" w:sz="4" w:space="0"/>
              <w:right w:val="single" w:color="auto" w:sz="4" w:space="0"/>
            </w:tcBorders>
            <w:vAlign w:val="center"/>
          </w:tcPr>
          <w:p w14:paraId="70FAE2C4">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否</w:t>
            </w:r>
          </w:p>
        </w:tc>
        <w:tc>
          <w:tcPr>
            <w:tcW w:w="442" w:type="pct"/>
            <w:tcBorders>
              <w:top w:val="single" w:color="auto" w:sz="4" w:space="0"/>
              <w:left w:val="single" w:color="auto" w:sz="4" w:space="0"/>
              <w:bottom w:val="single" w:color="auto" w:sz="4" w:space="0"/>
              <w:right w:val="single" w:color="auto" w:sz="4" w:space="0"/>
            </w:tcBorders>
            <w:vAlign w:val="center"/>
          </w:tcPr>
          <w:p w14:paraId="63DA6AA5">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850元/组</w:t>
            </w:r>
          </w:p>
        </w:tc>
      </w:tr>
    </w:tbl>
    <w:p w14:paraId="486DEAD0">
      <w:pPr>
        <w:spacing w:line="360" w:lineRule="auto"/>
        <w:ind w:firstLine="437"/>
        <w:rPr>
          <w:rFonts w:hint="eastAsia" w:ascii="宋体" w:hAnsi="宋体" w:eastAsia="宋体" w:cs="宋体"/>
          <w:bCs/>
          <w:color w:val="auto"/>
          <w:sz w:val="24"/>
          <w:szCs w:val="18"/>
          <w:highlight w:val="none"/>
        </w:rPr>
      </w:pPr>
      <w:r>
        <w:rPr>
          <w:rFonts w:hint="eastAsia" w:ascii="宋体" w:hAnsi="宋体" w:eastAsia="宋体" w:cs="宋体"/>
          <w:bCs/>
          <w:color w:val="auto"/>
          <w:sz w:val="24"/>
          <w:szCs w:val="18"/>
          <w:highlight w:val="none"/>
        </w:rPr>
        <w:t>注：1.以上技术参数及要求中的所有规格尺寸长度、宽度误差均</w:t>
      </w:r>
      <w:r>
        <w:rPr>
          <w:rFonts w:ascii="宋体" w:hAnsi="宋体" w:eastAsia="宋体" w:cs="宋体"/>
          <w:bCs/>
          <w:color w:val="auto"/>
          <w:sz w:val="24"/>
          <w:szCs w:val="18"/>
          <w:highlight w:val="none"/>
        </w:rPr>
        <w:t>≤</w:t>
      </w:r>
      <w:r>
        <w:rPr>
          <w:rFonts w:hint="eastAsia" w:ascii="宋体" w:hAnsi="宋体" w:eastAsia="宋体" w:cs="宋体"/>
          <w:bCs/>
          <w:color w:val="auto"/>
          <w:sz w:val="24"/>
          <w:szCs w:val="18"/>
          <w:highlight w:val="none"/>
        </w:rPr>
        <w:t>3mm。</w:t>
      </w:r>
    </w:p>
    <w:p w14:paraId="3BD5F678">
      <w:pPr>
        <w:spacing w:line="360" w:lineRule="auto"/>
        <w:ind w:firstLine="437"/>
        <w:rPr>
          <w:rFonts w:hint="eastAsia" w:ascii="宋体" w:hAnsi="宋体" w:eastAsia="宋体" w:cs="宋体"/>
          <w:bCs/>
          <w:color w:val="auto"/>
          <w:sz w:val="24"/>
          <w:szCs w:val="18"/>
          <w:highlight w:val="none"/>
        </w:rPr>
      </w:pPr>
      <w:r>
        <w:rPr>
          <w:rFonts w:hint="eastAsia" w:ascii="宋体" w:hAnsi="宋体" w:eastAsia="宋体" w:cs="宋体"/>
          <w:bCs/>
          <w:color w:val="auto"/>
          <w:sz w:val="24"/>
          <w:szCs w:val="18"/>
          <w:highlight w:val="none"/>
        </w:rPr>
        <w:t>2.所有木质家具禁止使用密度板，同时禁止使用刨花板作为承重部件；</w:t>
      </w:r>
    </w:p>
    <w:p w14:paraId="1A5D2952">
      <w:pPr>
        <w:spacing w:line="360" w:lineRule="auto"/>
        <w:ind w:firstLine="437"/>
        <w:rPr>
          <w:rFonts w:hint="eastAsia" w:ascii="宋体" w:hAnsi="宋体" w:eastAsia="宋体" w:cs="宋体"/>
          <w:bCs/>
          <w:color w:val="auto"/>
          <w:sz w:val="24"/>
          <w:szCs w:val="18"/>
          <w:highlight w:val="none"/>
        </w:rPr>
      </w:pPr>
      <w:r>
        <w:rPr>
          <w:rFonts w:hint="eastAsia" w:ascii="宋体" w:hAnsi="宋体" w:eastAsia="宋体" w:cs="宋体"/>
          <w:bCs/>
          <w:color w:val="auto"/>
          <w:sz w:val="24"/>
          <w:szCs w:val="18"/>
          <w:highlight w:val="none"/>
        </w:rPr>
        <w:t>3.除单独标注外，所有木质家具使用的基材应为实木多层板，环保等级为E0级或以上；</w:t>
      </w:r>
    </w:p>
    <w:p w14:paraId="0306EC76">
      <w:pPr>
        <w:spacing w:line="360" w:lineRule="auto"/>
        <w:ind w:firstLine="437"/>
        <w:rPr>
          <w:rFonts w:hint="eastAsia" w:ascii="宋体" w:hAnsi="宋体" w:eastAsia="宋体" w:cs="宋体"/>
          <w:bCs/>
          <w:color w:val="auto"/>
          <w:sz w:val="24"/>
          <w:szCs w:val="18"/>
          <w:highlight w:val="none"/>
        </w:rPr>
      </w:pPr>
      <w:r>
        <w:rPr>
          <w:rFonts w:hint="eastAsia" w:ascii="宋体" w:hAnsi="宋体" w:eastAsia="宋体" w:cs="宋体"/>
          <w:bCs/>
          <w:color w:val="auto"/>
          <w:sz w:val="24"/>
          <w:szCs w:val="18"/>
          <w:highlight w:val="none"/>
        </w:rPr>
        <w:t>4.所有家具五金件质保不少于5年；</w:t>
      </w:r>
    </w:p>
    <w:p w14:paraId="3BAA0ACA">
      <w:pPr>
        <w:spacing w:line="360" w:lineRule="auto"/>
        <w:ind w:firstLine="437"/>
        <w:rPr>
          <w:rFonts w:hint="eastAsia" w:ascii="宋体" w:hAnsi="宋体" w:eastAsia="宋体" w:cs="宋体"/>
          <w:bCs/>
          <w:color w:val="auto"/>
          <w:sz w:val="24"/>
          <w:szCs w:val="18"/>
          <w:highlight w:val="none"/>
        </w:rPr>
      </w:pPr>
      <w:r>
        <w:rPr>
          <w:rFonts w:hint="eastAsia" w:ascii="宋体" w:hAnsi="宋体" w:eastAsia="宋体" w:cs="宋体"/>
          <w:bCs/>
          <w:color w:val="auto"/>
          <w:sz w:val="24"/>
          <w:szCs w:val="18"/>
          <w:highlight w:val="none"/>
        </w:rPr>
        <w:t>5.所有座椅类座深380-450mm,座宽≥400mm；椅背高≥450mm；</w:t>
      </w:r>
    </w:p>
    <w:p w14:paraId="056CA967">
      <w:pPr>
        <w:spacing w:line="360" w:lineRule="auto"/>
        <w:ind w:firstLine="437"/>
        <w:rPr>
          <w:rFonts w:hint="eastAsia" w:ascii="宋体" w:hAnsi="宋体" w:eastAsia="宋体" w:cs="宋体"/>
          <w:bCs/>
          <w:color w:val="auto"/>
          <w:sz w:val="24"/>
          <w:szCs w:val="18"/>
          <w:highlight w:val="none"/>
        </w:rPr>
      </w:pPr>
      <w:r>
        <w:rPr>
          <w:rFonts w:hint="eastAsia" w:ascii="宋体" w:hAnsi="宋体" w:eastAsia="宋体" w:cs="宋体"/>
          <w:bCs/>
          <w:color w:val="auto"/>
          <w:sz w:val="24"/>
          <w:szCs w:val="18"/>
          <w:highlight w:val="none"/>
        </w:rPr>
        <w:t>6.所有油漆应使用水性环保底漆和面漆，符合GB18581-2020标准。</w:t>
      </w:r>
    </w:p>
    <w:p w14:paraId="34AB7982">
      <w:pPr>
        <w:spacing w:line="360" w:lineRule="auto"/>
        <w:ind w:firstLine="437"/>
        <w:rPr>
          <w:rFonts w:hint="eastAsia" w:ascii="宋体" w:hAnsi="宋体" w:eastAsia="宋体" w:cs="宋体"/>
          <w:bCs/>
          <w:color w:val="auto"/>
          <w:sz w:val="24"/>
          <w:szCs w:val="18"/>
          <w:highlight w:val="none"/>
        </w:rPr>
      </w:pPr>
      <w:r>
        <w:rPr>
          <w:rFonts w:hint="eastAsia" w:ascii="宋体" w:hAnsi="宋体" w:eastAsia="宋体" w:cs="宋体"/>
          <w:bCs/>
          <w:color w:val="auto"/>
          <w:sz w:val="24"/>
          <w:szCs w:val="18"/>
          <w:highlight w:val="none"/>
        </w:rPr>
        <w:t>7.投标人自行勘察本项目实施现场，核对现场可能影响货物后期安装的全部因素，确保所投货</w:t>
      </w:r>
      <w:bookmarkStart w:id="63" w:name="_GoBack"/>
      <w:bookmarkEnd w:id="63"/>
      <w:r>
        <w:rPr>
          <w:rFonts w:hint="eastAsia" w:ascii="宋体" w:hAnsi="宋体" w:eastAsia="宋体" w:cs="宋体"/>
          <w:bCs/>
          <w:color w:val="auto"/>
          <w:sz w:val="24"/>
          <w:szCs w:val="18"/>
          <w:highlight w:val="none"/>
        </w:rPr>
        <w:t>物满足现场实际安装要求；因未勘察现场而引起的一切责任由投标人自行承担。</w:t>
      </w:r>
    </w:p>
    <w:p w14:paraId="316146B2">
      <w:pPr>
        <w:spacing w:line="360" w:lineRule="auto"/>
        <w:ind w:firstLine="437"/>
        <w:rPr>
          <w:rFonts w:hint="eastAsia" w:ascii="宋体" w:hAnsi="宋体" w:eastAsia="宋体" w:cs="宋体"/>
          <w:bCs/>
          <w:color w:val="auto"/>
          <w:sz w:val="24"/>
          <w:szCs w:val="18"/>
          <w:highlight w:val="none"/>
        </w:rPr>
      </w:pPr>
      <w:r>
        <w:rPr>
          <w:rFonts w:hint="eastAsia" w:ascii="宋体" w:hAnsi="宋体" w:eastAsia="宋体" w:cs="宋体"/>
          <w:bCs/>
          <w:color w:val="auto"/>
          <w:sz w:val="24"/>
          <w:szCs w:val="18"/>
          <w:highlight w:val="none"/>
        </w:rPr>
        <w:t>8.清单中非定制货物、设备尺寸允许有细微偏差，但如果在后期安装过程中出现不符合现场实际安装情况，中标人则需无条件更换货物、设备。</w:t>
      </w:r>
    </w:p>
    <w:p w14:paraId="7BE1E5AA">
      <w:pPr>
        <w:spacing w:line="360" w:lineRule="auto"/>
        <w:ind w:firstLine="437"/>
        <w:rPr>
          <w:rFonts w:hint="eastAsia" w:ascii="宋体" w:hAnsi="宋体" w:eastAsia="宋体" w:cs="宋体"/>
          <w:bCs/>
          <w:color w:val="auto"/>
          <w:sz w:val="24"/>
          <w:szCs w:val="18"/>
          <w:highlight w:val="none"/>
        </w:rPr>
      </w:pPr>
      <w:r>
        <w:rPr>
          <w:rFonts w:hint="eastAsia" w:ascii="宋体" w:hAnsi="宋体" w:eastAsia="宋体" w:cs="宋体"/>
          <w:b/>
          <w:bCs w:val="0"/>
          <w:color w:val="auto"/>
          <w:sz w:val="24"/>
          <w:szCs w:val="18"/>
          <w:highlight w:val="none"/>
        </w:rPr>
        <w:t>9.除标注“▲”项外，本项目采购需求及技术参数要求须全部满足，任何一项不响应或负偏离，按无效标处理。</w:t>
      </w:r>
    </w:p>
    <w:p w14:paraId="2434A425">
      <w:pPr>
        <w:spacing w:line="360" w:lineRule="auto"/>
        <w:ind w:firstLine="437"/>
        <w:rPr>
          <w:rFonts w:hint="eastAsia" w:ascii="宋体" w:hAnsi="宋体" w:eastAsia="宋体" w:cs="宋体"/>
          <w:bCs/>
          <w:color w:val="auto"/>
          <w:sz w:val="24"/>
          <w:szCs w:val="18"/>
          <w:highlight w:val="none"/>
        </w:rPr>
      </w:pPr>
      <w:r>
        <w:rPr>
          <w:rFonts w:hint="eastAsia" w:ascii="宋体" w:hAnsi="宋体" w:eastAsia="宋体" w:cs="宋体"/>
          <w:bCs/>
          <w:color w:val="auto"/>
          <w:sz w:val="24"/>
          <w:szCs w:val="18"/>
          <w:highlight w:val="none"/>
        </w:rPr>
        <w:t>10.中标后中标单位须提供木材横截面样品，封存备验。</w:t>
      </w:r>
    </w:p>
    <w:p w14:paraId="1289DCD0">
      <w:pPr>
        <w:spacing w:line="360" w:lineRule="auto"/>
        <w:ind w:firstLine="437"/>
        <w:rPr>
          <w:rFonts w:hint="eastAsia" w:ascii="宋体" w:hAnsi="宋体" w:eastAsia="宋体" w:cs="宋体"/>
          <w:bCs/>
          <w:color w:val="auto"/>
          <w:sz w:val="24"/>
          <w:szCs w:val="18"/>
          <w:highlight w:val="none"/>
        </w:rPr>
      </w:pPr>
      <w:r>
        <w:rPr>
          <w:rFonts w:hint="eastAsia" w:ascii="宋体" w:hAnsi="宋体" w:eastAsia="宋体" w:cs="宋体"/>
          <w:bCs/>
          <w:color w:val="auto"/>
          <w:sz w:val="24"/>
          <w:szCs w:val="18"/>
          <w:highlight w:val="none"/>
        </w:rPr>
        <w:t>11.产品验收前必须保证合格；按采购人要求送检（同品牌型号的产品随机取一件送检），采购人有权委托第三方进行产品质量、规格要求等检测，检测不合格的由中标人更换所有产品并承担违约责任及损失。</w:t>
      </w:r>
    </w:p>
    <w:p w14:paraId="4DE8C1F9">
      <w:pPr>
        <w:spacing w:line="360" w:lineRule="auto"/>
        <w:ind w:firstLine="437"/>
        <w:outlineLvl w:val="1"/>
        <w:rPr>
          <w:rFonts w:hint="eastAsia" w:ascii="宋体" w:hAnsi="宋体" w:eastAsia="宋体" w:cs="宋体"/>
          <w:b/>
          <w:bCs/>
          <w:color w:val="auto"/>
          <w:sz w:val="24"/>
          <w:szCs w:val="18"/>
          <w:highlight w:val="none"/>
        </w:rPr>
      </w:pPr>
      <w:r>
        <w:rPr>
          <w:rFonts w:hint="eastAsia" w:ascii="宋体" w:hAnsi="宋体" w:eastAsia="宋体" w:cs="宋体"/>
          <w:b/>
          <w:bCs/>
          <w:color w:val="auto"/>
          <w:sz w:val="24"/>
          <w:szCs w:val="18"/>
          <w:highlight w:val="none"/>
        </w:rPr>
        <w:t>三、参考图样</w:t>
      </w:r>
    </w:p>
    <w:tbl>
      <w:tblPr>
        <w:tblStyle w:val="27"/>
        <w:tblW w:w="93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1903"/>
        <w:gridCol w:w="4284"/>
        <w:gridCol w:w="2138"/>
      </w:tblGrid>
      <w:tr w14:paraId="45748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0" w:hRule="atLeast"/>
        </w:trPr>
        <w:tc>
          <w:tcPr>
            <w:tcW w:w="988" w:type="dxa"/>
          </w:tcPr>
          <w:p w14:paraId="75663FF3">
            <w:pPr>
              <w:jc w:val="center"/>
              <w:rPr>
                <w:rFonts w:hint="eastAsia" w:ascii="宋体" w:hAnsi="宋体" w:eastAsia="宋体" w:cs="宋体"/>
                <w:color w:val="auto"/>
                <w:highlight w:val="none"/>
              </w:rPr>
            </w:pPr>
            <w:r>
              <w:rPr>
                <w:rFonts w:hint="eastAsia" w:ascii="宋体" w:hAnsi="宋体" w:eastAsia="宋体" w:cs="宋体"/>
                <w:color w:val="auto"/>
                <w:highlight w:val="none"/>
              </w:rPr>
              <w:t>序号</w:t>
            </w:r>
          </w:p>
        </w:tc>
        <w:tc>
          <w:tcPr>
            <w:tcW w:w="1903" w:type="dxa"/>
          </w:tcPr>
          <w:p w14:paraId="6EB04CF4">
            <w:pPr>
              <w:jc w:val="center"/>
              <w:rPr>
                <w:rFonts w:hint="eastAsia" w:ascii="宋体" w:hAnsi="宋体" w:eastAsia="宋体" w:cs="宋体"/>
                <w:color w:val="auto"/>
                <w:highlight w:val="none"/>
              </w:rPr>
            </w:pPr>
            <w:r>
              <w:rPr>
                <w:rFonts w:hint="eastAsia" w:ascii="宋体" w:hAnsi="宋体" w:eastAsia="宋体" w:cs="宋体"/>
                <w:color w:val="auto"/>
                <w:highlight w:val="none"/>
              </w:rPr>
              <w:t>名称</w:t>
            </w:r>
          </w:p>
        </w:tc>
        <w:tc>
          <w:tcPr>
            <w:tcW w:w="4284" w:type="dxa"/>
          </w:tcPr>
          <w:p w14:paraId="7C851A42">
            <w:pPr>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rPr>
              <w:t>图样</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仅供参考</w:t>
            </w:r>
            <w:r>
              <w:rPr>
                <w:rFonts w:hint="eastAsia" w:ascii="宋体" w:hAnsi="宋体" w:eastAsia="宋体" w:cs="宋体"/>
                <w:color w:val="auto"/>
                <w:highlight w:val="none"/>
                <w:lang w:eastAsia="zh-CN"/>
              </w:rPr>
              <w:t>）</w:t>
            </w:r>
          </w:p>
        </w:tc>
        <w:tc>
          <w:tcPr>
            <w:tcW w:w="2138" w:type="dxa"/>
          </w:tcPr>
          <w:p w14:paraId="194D4C4B">
            <w:pPr>
              <w:jc w:val="center"/>
              <w:rPr>
                <w:rFonts w:hint="eastAsia" w:ascii="宋体" w:hAnsi="宋体" w:eastAsia="宋体" w:cs="宋体"/>
                <w:color w:val="auto"/>
                <w:highlight w:val="none"/>
              </w:rPr>
            </w:pPr>
            <w:r>
              <w:rPr>
                <w:rFonts w:hint="eastAsia" w:ascii="宋体" w:hAnsi="宋体" w:eastAsia="宋体" w:cs="宋体"/>
                <w:color w:val="auto"/>
                <w:highlight w:val="none"/>
              </w:rPr>
              <w:t>安装地点</w:t>
            </w:r>
          </w:p>
        </w:tc>
      </w:tr>
      <w:tr w14:paraId="39FF0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88" w:type="dxa"/>
            <w:vAlign w:val="center"/>
          </w:tcPr>
          <w:p w14:paraId="2233734C">
            <w:pPr>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1903" w:type="dxa"/>
            <w:vAlign w:val="center"/>
          </w:tcPr>
          <w:p w14:paraId="2ADAE9A0">
            <w:pPr>
              <w:widowControl/>
              <w:autoSpaceDE w:val="0"/>
              <w:jc w:val="center"/>
              <w:textAlignment w:val="center"/>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bidi="ar"/>
              </w:rPr>
              <w:t>办公桌1</w:t>
            </w:r>
          </w:p>
        </w:tc>
        <w:tc>
          <w:tcPr>
            <w:tcW w:w="4284" w:type="dxa"/>
          </w:tcPr>
          <w:p w14:paraId="2B416FC0">
            <w:pPr>
              <w:jc w:val="center"/>
              <w:rPr>
                <w:rFonts w:hint="eastAsia" w:ascii="宋体" w:hAnsi="宋体" w:eastAsia="宋体" w:cs="宋体"/>
                <w:color w:val="auto"/>
                <w:highlight w:val="none"/>
              </w:rPr>
            </w:pPr>
            <w:r>
              <w:rPr>
                <w:color w:val="auto"/>
                <w:highlight w:val="none"/>
              </w:rPr>
              <w:drawing>
                <wp:inline distT="0" distB="0" distL="114300" distR="114300">
                  <wp:extent cx="647700" cy="386715"/>
                  <wp:effectExtent l="0" t="0" r="0" b="13335"/>
                  <wp:docPr id="2" name="图片_9"/>
                  <wp:cNvGraphicFramePr/>
                  <a:graphic xmlns:a="http://schemas.openxmlformats.org/drawingml/2006/main">
                    <a:graphicData uri="http://schemas.openxmlformats.org/drawingml/2006/picture">
                      <pic:pic xmlns:pic="http://schemas.openxmlformats.org/drawingml/2006/picture">
                        <pic:nvPicPr>
                          <pic:cNvPr id="2" name="图片_9"/>
                          <pic:cNvPicPr/>
                        </pic:nvPicPr>
                        <pic:blipFill>
                          <a:blip r:embed="rId8"/>
                          <a:stretch>
                            <a:fillRect/>
                          </a:stretch>
                        </pic:blipFill>
                        <pic:spPr>
                          <a:xfrm>
                            <a:off x="0" y="0"/>
                            <a:ext cx="647700" cy="386715"/>
                          </a:xfrm>
                          <a:prstGeom prst="rect">
                            <a:avLst/>
                          </a:prstGeom>
                          <a:noFill/>
                          <a:ln>
                            <a:noFill/>
                          </a:ln>
                        </pic:spPr>
                      </pic:pic>
                    </a:graphicData>
                  </a:graphic>
                </wp:inline>
              </w:drawing>
            </w:r>
          </w:p>
        </w:tc>
        <w:tc>
          <w:tcPr>
            <w:tcW w:w="2138" w:type="dxa"/>
            <w:vAlign w:val="center"/>
          </w:tcPr>
          <w:p w14:paraId="0868DD50">
            <w:pPr>
              <w:jc w:val="center"/>
              <w:rPr>
                <w:rFonts w:hint="eastAsia" w:ascii="宋体" w:hAnsi="宋体" w:eastAsia="宋体" w:cs="宋体"/>
                <w:color w:val="auto"/>
                <w:highlight w:val="none"/>
              </w:rPr>
            </w:pPr>
            <w:r>
              <w:rPr>
                <w:rFonts w:ascii="宋体" w:hAnsi="宋体" w:eastAsia="宋体" w:cs="宋体"/>
                <w:color w:val="auto"/>
                <w:highlight w:val="none"/>
              </w:rPr>
              <w:t>办公楼办公室</w:t>
            </w:r>
          </w:p>
        </w:tc>
      </w:tr>
      <w:tr w14:paraId="149B3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88" w:type="dxa"/>
            <w:vAlign w:val="center"/>
          </w:tcPr>
          <w:p w14:paraId="06E0077D">
            <w:pPr>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1903" w:type="dxa"/>
            <w:vAlign w:val="center"/>
          </w:tcPr>
          <w:p w14:paraId="5B8BF6F6">
            <w:pPr>
              <w:widowControl/>
              <w:autoSpaceDE w:val="0"/>
              <w:jc w:val="center"/>
              <w:textAlignment w:val="center"/>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bidi="ar"/>
              </w:rPr>
              <w:t>办公椅1</w:t>
            </w:r>
          </w:p>
        </w:tc>
        <w:tc>
          <w:tcPr>
            <w:tcW w:w="4284" w:type="dxa"/>
          </w:tcPr>
          <w:p w14:paraId="238E302F">
            <w:pPr>
              <w:jc w:val="center"/>
              <w:rPr>
                <w:rFonts w:hint="eastAsia" w:ascii="宋体" w:hAnsi="宋体" w:eastAsia="宋体" w:cs="宋体"/>
                <w:color w:val="auto"/>
                <w:highlight w:val="none"/>
              </w:rPr>
            </w:pPr>
            <w:r>
              <w:rPr>
                <w:color w:val="auto"/>
                <w:highlight w:val="none"/>
              </w:rPr>
              <w:drawing>
                <wp:inline distT="0" distB="0" distL="114300" distR="114300">
                  <wp:extent cx="229870" cy="342900"/>
                  <wp:effectExtent l="0" t="0" r="1778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9870" cy="342900"/>
                          </a:xfrm>
                          <a:prstGeom prst="rect">
                            <a:avLst/>
                          </a:prstGeom>
                        </pic:spPr>
                      </pic:pic>
                    </a:graphicData>
                  </a:graphic>
                </wp:inline>
              </w:drawing>
            </w:r>
          </w:p>
        </w:tc>
        <w:tc>
          <w:tcPr>
            <w:tcW w:w="2138" w:type="dxa"/>
            <w:vAlign w:val="center"/>
          </w:tcPr>
          <w:p w14:paraId="20DB355F">
            <w:pPr>
              <w:jc w:val="center"/>
              <w:rPr>
                <w:rFonts w:hint="eastAsia" w:ascii="宋体" w:hAnsi="宋体" w:eastAsia="宋体" w:cs="宋体"/>
                <w:color w:val="auto"/>
                <w:highlight w:val="none"/>
              </w:rPr>
            </w:pPr>
            <w:r>
              <w:rPr>
                <w:rFonts w:ascii="宋体" w:hAnsi="宋体" w:eastAsia="宋体" w:cs="宋体"/>
                <w:color w:val="auto"/>
                <w:highlight w:val="none"/>
              </w:rPr>
              <w:t>办公楼办公室</w:t>
            </w:r>
          </w:p>
        </w:tc>
      </w:tr>
      <w:tr w14:paraId="42AE7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88" w:type="dxa"/>
            <w:vAlign w:val="center"/>
          </w:tcPr>
          <w:p w14:paraId="2284D6A2">
            <w:pPr>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1903" w:type="dxa"/>
            <w:vAlign w:val="center"/>
          </w:tcPr>
          <w:p w14:paraId="5D2ACECE">
            <w:pPr>
              <w:widowControl/>
              <w:autoSpaceDE w:val="0"/>
              <w:jc w:val="center"/>
              <w:textAlignment w:val="center"/>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bidi="ar"/>
              </w:rPr>
              <w:t>会议桌</w:t>
            </w:r>
          </w:p>
        </w:tc>
        <w:tc>
          <w:tcPr>
            <w:tcW w:w="4284" w:type="dxa"/>
          </w:tcPr>
          <w:p w14:paraId="4E4C9964">
            <w:pPr>
              <w:jc w:val="center"/>
              <w:rPr>
                <w:rFonts w:hint="eastAsia" w:ascii="宋体" w:hAnsi="宋体" w:eastAsia="宋体" w:cs="宋体"/>
                <w:color w:val="auto"/>
                <w:highlight w:val="none"/>
              </w:rPr>
            </w:pPr>
            <w:r>
              <w:rPr>
                <w:color w:val="auto"/>
                <w:highlight w:val="none"/>
              </w:rPr>
              <w:drawing>
                <wp:inline distT="0" distB="0" distL="114300" distR="114300">
                  <wp:extent cx="814070" cy="354965"/>
                  <wp:effectExtent l="0" t="0" r="5080" b="6985"/>
                  <wp:docPr id="5" name="图片_16"/>
                  <wp:cNvGraphicFramePr/>
                  <a:graphic xmlns:a="http://schemas.openxmlformats.org/drawingml/2006/main">
                    <a:graphicData uri="http://schemas.openxmlformats.org/drawingml/2006/picture">
                      <pic:pic xmlns:pic="http://schemas.openxmlformats.org/drawingml/2006/picture">
                        <pic:nvPicPr>
                          <pic:cNvPr id="5" name="图片_16"/>
                          <pic:cNvPicPr/>
                        </pic:nvPicPr>
                        <pic:blipFill>
                          <a:blip r:embed="rId10"/>
                          <a:stretch>
                            <a:fillRect/>
                          </a:stretch>
                        </pic:blipFill>
                        <pic:spPr>
                          <a:xfrm>
                            <a:off x="0" y="0"/>
                            <a:ext cx="814070" cy="354965"/>
                          </a:xfrm>
                          <a:prstGeom prst="rect">
                            <a:avLst/>
                          </a:prstGeom>
                          <a:noFill/>
                          <a:ln>
                            <a:noFill/>
                          </a:ln>
                        </pic:spPr>
                      </pic:pic>
                    </a:graphicData>
                  </a:graphic>
                </wp:inline>
              </w:drawing>
            </w:r>
          </w:p>
        </w:tc>
        <w:tc>
          <w:tcPr>
            <w:tcW w:w="2138" w:type="dxa"/>
            <w:vAlign w:val="center"/>
          </w:tcPr>
          <w:p w14:paraId="6BA56206">
            <w:pPr>
              <w:jc w:val="center"/>
              <w:rPr>
                <w:rFonts w:hint="eastAsia" w:ascii="宋体" w:hAnsi="宋体" w:eastAsia="宋体" w:cs="宋体"/>
                <w:color w:val="auto"/>
                <w:highlight w:val="none"/>
              </w:rPr>
            </w:pPr>
            <w:r>
              <w:rPr>
                <w:rFonts w:ascii="宋体" w:hAnsi="宋体" w:eastAsia="宋体" w:cs="宋体"/>
                <w:color w:val="auto"/>
                <w:highlight w:val="none"/>
              </w:rPr>
              <w:t>办公楼4、6楼会议室</w:t>
            </w:r>
          </w:p>
        </w:tc>
      </w:tr>
      <w:tr w14:paraId="5F83B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88" w:type="dxa"/>
            <w:vAlign w:val="center"/>
          </w:tcPr>
          <w:p w14:paraId="395AF9FA">
            <w:pPr>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1903" w:type="dxa"/>
            <w:vAlign w:val="center"/>
          </w:tcPr>
          <w:p w14:paraId="7234B2B3">
            <w:pPr>
              <w:widowControl/>
              <w:autoSpaceDE w:val="0"/>
              <w:jc w:val="center"/>
              <w:textAlignment w:val="center"/>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bidi="ar"/>
              </w:rPr>
              <w:t>茶水柜</w:t>
            </w:r>
          </w:p>
        </w:tc>
        <w:tc>
          <w:tcPr>
            <w:tcW w:w="4284" w:type="dxa"/>
          </w:tcPr>
          <w:p w14:paraId="6AB876C9">
            <w:pPr>
              <w:jc w:val="center"/>
              <w:rPr>
                <w:rFonts w:hint="eastAsia" w:ascii="宋体" w:hAnsi="宋体" w:eastAsia="宋体" w:cs="宋体"/>
                <w:color w:val="auto"/>
                <w:highlight w:val="none"/>
              </w:rPr>
            </w:pPr>
            <w:r>
              <w:rPr>
                <w:color w:val="auto"/>
                <w:highlight w:val="none"/>
              </w:rPr>
              <w:drawing>
                <wp:inline distT="0" distB="0" distL="114300" distR="114300">
                  <wp:extent cx="565150" cy="418465"/>
                  <wp:effectExtent l="0" t="0" r="6350" b="635"/>
                  <wp:docPr id="6" name="图片_2"/>
                  <wp:cNvGraphicFramePr/>
                  <a:graphic xmlns:a="http://schemas.openxmlformats.org/drawingml/2006/main">
                    <a:graphicData uri="http://schemas.openxmlformats.org/drawingml/2006/picture">
                      <pic:pic xmlns:pic="http://schemas.openxmlformats.org/drawingml/2006/picture">
                        <pic:nvPicPr>
                          <pic:cNvPr id="6" name="图片_2"/>
                          <pic:cNvPicPr/>
                        </pic:nvPicPr>
                        <pic:blipFill>
                          <a:blip r:embed="rId11"/>
                          <a:stretch>
                            <a:fillRect/>
                          </a:stretch>
                        </pic:blipFill>
                        <pic:spPr>
                          <a:xfrm>
                            <a:off x="0" y="0"/>
                            <a:ext cx="565150" cy="418465"/>
                          </a:xfrm>
                          <a:prstGeom prst="rect">
                            <a:avLst/>
                          </a:prstGeom>
                          <a:noFill/>
                          <a:ln>
                            <a:noFill/>
                          </a:ln>
                        </pic:spPr>
                      </pic:pic>
                    </a:graphicData>
                  </a:graphic>
                </wp:inline>
              </w:drawing>
            </w:r>
          </w:p>
        </w:tc>
        <w:tc>
          <w:tcPr>
            <w:tcW w:w="2138" w:type="dxa"/>
            <w:vAlign w:val="center"/>
          </w:tcPr>
          <w:p w14:paraId="41B1DD4D">
            <w:pPr>
              <w:jc w:val="center"/>
              <w:rPr>
                <w:rFonts w:hint="eastAsia" w:ascii="宋体" w:hAnsi="宋体" w:eastAsia="宋体" w:cs="宋体"/>
                <w:color w:val="auto"/>
                <w:highlight w:val="none"/>
              </w:rPr>
            </w:pPr>
            <w:r>
              <w:rPr>
                <w:rFonts w:ascii="宋体" w:hAnsi="宋体" w:eastAsia="宋体" w:cs="宋体"/>
                <w:color w:val="auto"/>
                <w:highlight w:val="none"/>
              </w:rPr>
              <w:t>办公楼办公室</w:t>
            </w:r>
          </w:p>
        </w:tc>
      </w:tr>
      <w:tr w14:paraId="4DC15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88" w:type="dxa"/>
            <w:vAlign w:val="center"/>
          </w:tcPr>
          <w:p w14:paraId="0018C8D8">
            <w:pPr>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5</w:t>
            </w:r>
          </w:p>
        </w:tc>
        <w:tc>
          <w:tcPr>
            <w:tcW w:w="1903" w:type="dxa"/>
            <w:vAlign w:val="center"/>
          </w:tcPr>
          <w:p w14:paraId="51DDC2DC">
            <w:pPr>
              <w:widowControl/>
              <w:jc w:val="center"/>
              <w:textAlignment w:val="center"/>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bidi="ar"/>
              </w:rPr>
              <w:t>条桌</w:t>
            </w:r>
          </w:p>
        </w:tc>
        <w:tc>
          <w:tcPr>
            <w:tcW w:w="4284" w:type="dxa"/>
          </w:tcPr>
          <w:p w14:paraId="43895B33">
            <w:pPr>
              <w:jc w:val="center"/>
              <w:rPr>
                <w:rFonts w:hint="eastAsia" w:ascii="宋体" w:hAnsi="宋体" w:eastAsia="宋体" w:cs="宋体"/>
                <w:color w:val="auto"/>
                <w:highlight w:val="none"/>
              </w:rPr>
            </w:pPr>
            <w:r>
              <w:rPr>
                <w:color w:val="auto"/>
                <w:highlight w:val="none"/>
              </w:rPr>
              <w:drawing>
                <wp:inline distT="0" distB="0" distL="114300" distR="114300">
                  <wp:extent cx="696595" cy="366395"/>
                  <wp:effectExtent l="0" t="0" r="8255" b="14605"/>
                  <wp:docPr id="1" name="图片_147"/>
                  <wp:cNvGraphicFramePr/>
                  <a:graphic xmlns:a="http://schemas.openxmlformats.org/drawingml/2006/main">
                    <a:graphicData uri="http://schemas.openxmlformats.org/drawingml/2006/picture">
                      <pic:pic xmlns:pic="http://schemas.openxmlformats.org/drawingml/2006/picture">
                        <pic:nvPicPr>
                          <pic:cNvPr id="1" name="图片_147"/>
                          <pic:cNvPicPr/>
                        </pic:nvPicPr>
                        <pic:blipFill>
                          <a:blip r:embed="rId12"/>
                          <a:stretch>
                            <a:fillRect/>
                          </a:stretch>
                        </pic:blipFill>
                        <pic:spPr>
                          <a:xfrm>
                            <a:off x="0" y="0"/>
                            <a:ext cx="696595" cy="366395"/>
                          </a:xfrm>
                          <a:prstGeom prst="rect">
                            <a:avLst/>
                          </a:prstGeom>
                          <a:noFill/>
                          <a:ln>
                            <a:noFill/>
                          </a:ln>
                        </pic:spPr>
                      </pic:pic>
                    </a:graphicData>
                  </a:graphic>
                </wp:inline>
              </w:drawing>
            </w:r>
          </w:p>
        </w:tc>
        <w:tc>
          <w:tcPr>
            <w:tcW w:w="2138" w:type="dxa"/>
            <w:vAlign w:val="center"/>
          </w:tcPr>
          <w:p w14:paraId="077C7C83">
            <w:pPr>
              <w:jc w:val="center"/>
              <w:rPr>
                <w:rFonts w:hint="eastAsia" w:ascii="宋体" w:hAnsi="宋体" w:eastAsia="宋体" w:cs="宋体"/>
                <w:color w:val="auto"/>
                <w:highlight w:val="none"/>
              </w:rPr>
            </w:pPr>
            <w:r>
              <w:rPr>
                <w:rFonts w:ascii="宋体" w:hAnsi="宋体" w:eastAsia="宋体" w:cs="宋体"/>
                <w:color w:val="auto"/>
                <w:highlight w:val="none"/>
              </w:rPr>
              <w:t>办公楼报告厅</w:t>
            </w:r>
          </w:p>
        </w:tc>
      </w:tr>
      <w:tr w14:paraId="46725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88" w:type="dxa"/>
            <w:vAlign w:val="center"/>
          </w:tcPr>
          <w:p w14:paraId="0E3CE048">
            <w:pPr>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6</w:t>
            </w:r>
          </w:p>
        </w:tc>
        <w:tc>
          <w:tcPr>
            <w:tcW w:w="1903" w:type="dxa"/>
            <w:vAlign w:val="center"/>
          </w:tcPr>
          <w:p w14:paraId="5074F0D0">
            <w:pPr>
              <w:widowControl/>
              <w:wordWrap w:val="0"/>
              <w:autoSpaceDE w:val="0"/>
              <w:jc w:val="center"/>
              <w:textAlignment w:val="center"/>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bidi="ar"/>
              </w:rPr>
              <w:t>演讲台</w:t>
            </w:r>
          </w:p>
        </w:tc>
        <w:tc>
          <w:tcPr>
            <w:tcW w:w="4284" w:type="dxa"/>
          </w:tcPr>
          <w:p w14:paraId="3147406B">
            <w:pPr>
              <w:jc w:val="center"/>
              <w:rPr>
                <w:rFonts w:hint="eastAsia" w:ascii="宋体" w:hAnsi="宋体" w:eastAsia="宋体" w:cs="宋体"/>
                <w:color w:val="auto"/>
                <w:highlight w:val="none"/>
              </w:rPr>
            </w:pPr>
            <w:r>
              <w:rPr>
                <w:color w:val="auto"/>
                <w:highlight w:val="none"/>
              </w:rPr>
              <w:drawing>
                <wp:inline distT="0" distB="0" distL="114300" distR="114300">
                  <wp:extent cx="269875" cy="423545"/>
                  <wp:effectExtent l="0" t="0" r="15875" b="14605"/>
                  <wp:docPr id="9" name="29"/>
                  <wp:cNvGraphicFramePr/>
                  <a:graphic xmlns:a="http://schemas.openxmlformats.org/drawingml/2006/main">
                    <a:graphicData uri="http://schemas.openxmlformats.org/drawingml/2006/picture">
                      <pic:pic xmlns:pic="http://schemas.openxmlformats.org/drawingml/2006/picture">
                        <pic:nvPicPr>
                          <pic:cNvPr id="9" name="29"/>
                          <pic:cNvPicPr/>
                        </pic:nvPicPr>
                        <pic:blipFill>
                          <a:blip r:embed="rId13"/>
                          <a:stretch>
                            <a:fillRect/>
                          </a:stretch>
                        </pic:blipFill>
                        <pic:spPr>
                          <a:xfrm>
                            <a:off x="0" y="0"/>
                            <a:ext cx="269875" cy="423545"/>
                          </a:xfrm>
                          <a:prstGeom prst="rect">
                            <a:avLst/>
                          </a:prstGeom>
                          <a:noFill/>
                          <a:ln>
                            <a:noFill/>
                          </a:ln>
                        </pic:spPr>
                      </pic:pic>
                    </a:graphicData>
                  </a:graphic>
                </wp:inline>
              </w:drawing>
            </w:r>
          </w:p>
        </w:tc>
        <w:tc>
          <w:tcPr>
            <w:tcW w:w="2138" w:type="dxa"/>
            <w:vAlign w:val="center"/>
          </w:tcPr>
          <w:p w14:paraId="157F0F15">
            <w:pPr>
              <w:jc w:val="center"/>
              <w:rPr>
                <w:rFonts w:hint="eastAsia" w:ascii="宋体" w:hAnsi="宋体" w:eastAsia="宋体" w:cs="宋体"/>
                <w:color w:val="auto"/>
                <w:highlight w:val="none"/>
              </w:rPr>
            </w:pPr>
            <w:r>
              <w:rPr>
                <w:rFonts w:ascii="宋体" w:hAnsi="宋体" w:eastAsia="宋体" w:cs="宋体"/>
                <w:color w:val="auto"/>
                <w:highlight w:val="none"/>
              </w:rPr>
              <w:t>办公楼报告厅</w:t>
            </w:r>
          </w:p>
        </w:tc>
      </w:tr>
      <w:tr w14:paraId="2AC2A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88" w:type="dxa"/>
            <w:vAlign w:val="center"/>
          </w:tcPr>
          <w:p w14:paraId="2B00CC6C">
            <w:pPr>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7</w:t>
            </w:r>
          </w:p>
        </w:tc>
        <w:tc>
          <w:tcPr>
            <w:tcW w:w="1903" w:type="dxa"/>
            <w:vAlign w:val="center"/>
          </w:tcPr>
          <w:p w14:paraId="58AF0407">
            <w:pPr>
              <w:widowControl/>
              <w:jc w:val="center"/>
              <w:textAlignment w:val="center"/>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bidi="ar"/>
              </w:rPr>
              <w:t>主席椅</w:t>
            </w:r>
          </w:p>
        </w:tc>
        <w:tc>
          <w:tcPr>
            <w:tcW w:w="4284" w:type="dxa"/>
          </w:tcPr>
          <w:p w14:paraId="4D3A749B">
            <w:pPr>
              <w:jc w:val="center"/>
              <w:rPr>
                <w:rFonts w:hint="eastAsia" w:ascii="宋体" w:hAnsi="宋体" w:eastAsia="宋体" w:cs="宋体"/>
                <w:color w:val="auto"/>
                <w:highlight w:val="none"/>
              </w:rPr>
            </w:pPr>
            <w:r>
              <w:rPr>
                <w:color w:val="auto"/>
                <w:highlight w:val="none"/>
              </w:rPr>
              <w:drawing>
                <wp:inline distT="0" distB="0" distL="114300" distR="114300">
                  <wp:extent cx="367665" cy="360045"/>
                  <wp:effectExtent l="0" t="0" r="13335" b="1905"/>
                  <wp:docPr id="10" name="图片_10"/>
                  <wp:cNvGraphicFramePr/>
                  <a:graphic xmlns:a="http://schemas.openxmlformats.org/drawingml/2006/main">
                    <a:graphicData uri="http://schemas.openxmlformats.org/drawingml/2006/picture">
                      <pic:pic xmlns:pic="http://schemas.openxmlformats.org/drawingml/2006/picture">
                        <pic:nvPicPr>
                          <pic:cNvPr id="10" name="图片_10"/>
                          <pic:cNvPicPr/>
                        </pic:nvPicPr>
                        <pic:blipFill>
                          <a:blip r:embed="rId14"/>
                          <a:stretch>
                            <a:fillRect/>
                          </a:stretch>
                        </pic:blipFill>
                        <pic:spPr>
                          <a:xfrm>
                            <a:off x="0" y="0"/>
                            <a:ext cx="367665" cy="360045"/>
                          </a:xfrm>
                          <a:prstGeom prst="rect">
                            <a:avLst/>
                          </a:prstGeom>
                          <a:noFill/>
                          <a:ln>
                            <a:noFill/>
                          </a:ln>
                        </pic:spPr>
                      </pic:pic>
                    </a:graphicData>
                  </a:graphic>
                </wp:inline>
              </w:drawing>
            </w:r>
          </w:p>
        </w:tc>
        <w:tc>
          <w:tcPr>
            <w:tcW w:w="2138" w:type="dxa"/>
            <w:vAlign w:val="center"/>
          </w:tcPr>
          <w:p w14:paraId="56984602">
            <w:pPr>
              <w:jc w:val="center"/>
              <w:rPr>
                <w:rFonts w:hint="eastAsia" w:ascii="宋体" w:hAnsi="宋体" w:eastAsia="宋体" w:cs="宋体"/>
                <w:color w:val="auto"/>
                <w:highlight w:val="none"/>
              </w:rPr>
            </w:pPr>
            <w:r>
              <w:rPr>
                <w:rFonts w:ascii="宋体" w:hAnsi="宋体" w:eastAsia="宋体" w:cs="宋体"/>
                <w:color w:val="auto"/>
                <w:highlight w:val="none"/>
              </w:rPr>
              <w:t>办公楼报告厅</w:t>
            </w:r>
          </w:p>
        </w:tc>
      </w:tr>
      <w:tr w14:paraId="340C4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88" w:type="dxa"/>
            <w:vAlign w:val="center"/>
          </w:tcPr>
          <w:p w14:paraId="0809367C">
            <w:pPr>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8</w:t>
            </w:r>
          </w:p>
        </w:tc>
        <w:tc>
          <w:tcPr>
            <w:tcW w:w="1903" w:type="dxa"/>
            <w:vAlign w:val="center"/>
          </w:tcPr>
          <w:p w14:paraId="647BF9DA">
            <w:pPr>
              <w:widowControl/>
              <w:autoSpaceDE w:val="0"/>
              <w:jc w:val="center"/>
              <w:textAlignment w:val="center"/>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bidi="ar"/>
              </w:rPr>
              <w:t>礼堂椅</w:t>
            </w:r>
          </w:p>
        </w:tc>
        <w:tc>
          <w:tcPr>
            <w:tcW w:w="4284" w:type="dxa"/>
          </w:tcPr>
          <w:p w14:paraId="032D12FD">
            <w:pPr>
              <w:jc w:val="center"/>
              <w:rPr>
                <w:rFonts w:hint="eastAsia" w:ascii="宋体" w:hAnsi="宋体" w:eastAsia="宋体" w:cs="宋体"/>
                <w:color w:val="auto"/>
                <w:highlight w:val="none"/>
              </w:rPr>
            </w:pPr>
            <w:r>
              <w:rPr>
                <w:color w:val="auto"/>
                <w:highlight w:val="none"/>
              </w:rPr>
              <w:drawing>
                <wp:inline distT="0" distB="0" distL="114300" distR="114300">
                  <wp:extent cx="314960" cy="332105"/>
                  <wp:effectExtent l="0" t="0" r="8890" b="10795"/>
                  <wp:docPr id="11" name="图片_78"/>
                  <wp:cNvGraphicFramePr/>
                  <a:graphic xmlns:a="http://schemas.openxmlformats.org/drawingml/2006/main">
                    <a:graphicData uri="http://schemas.openxmlformats.org/drawingml/2006/picture">
                      <pic:pic xmlns:pic="http://schemas.openxmlformats.org/drawingml/2006/picture">
                        <pic:nvPicPr>
                          <pic:cNvPr id="11" name="图片_78"/>
                          <pic:cNvPicPr/>
                        </pic:nvPicPr>
                        <pic:blipFill>
                          <a:blip r:embed="rId15"/>
                          <a:stretch>
                            <a:fillRect/>
                          </a:stretch>
                        </pic:blipFill>
                        <pic:spPr>
                          <a:xfrm>
                            <a:off x="0" y="0"/>
                            <a:ext cx="314960" cy="332105"/>
                          </a:xfrm>
                          <a:prstGeom prst="rect">
                            <a:avLst/>
                          </a:prstGeom>
                          <a:noFill/>
                          <a:ln>
                            <a:noFill/>
                          </a:ln>
                        </pic:spPr>
                      </pic:pic>
                    </a:graphicData>
                  </a:graphic>
                </wp:inline>
              </w:drawing>
            </w:r>
          </w:p>
        </w:tc>
        <w:tc>
          <w:tcPr>
            <w:tcW w:w="2138" w:type="dxa"/>
            <w:vAlign w:val="center"/>
          </w:tcPr>
          <w:p w14:paraId="733E31E0">
            <w:pPr>
              <w:jc w:val="center"/>
              <w:rPr>
                <w:rFonts w:hint="eastAsia" w:ascii="宋体" w:hAnsi="宋体" w:eastAsia="宋体" w:cs="宋体"/>
                <w:color w:val="auto"/>
                <w:highlight w:val="none"/>
              </w:rPr>
            </w:pPr>
            <w:r>
              <w:rPr>
                <w:rFonts w:ascii="宋体" w:hAnsi="宋体" w:eastAsia="宋体" w:cs="宋体"/>
                <w:color w:val="auto"/>
                <w:highlight w:val="none"/>
              </w:rPr>
              <w:t>办公楼报告厅</w:t>
            </w:r>
          </w:p>
        </w:tc>
      </w:tr>
      <w:tr w14:paraId="10308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88" w:type="dxa"/>
            <w:vAlign w:val="center"/>
          </w:tcPr>
          <w:p w14:paraId="55149060">
            <w:pPr>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9</w:t>
            </w:r>
          </w:p>
        </w:tc>
        <w:tc>
          <w:tcPr>
            <w:tcW w:w="1903" w:type="dxa"/>
            <w:vAlign w:val="center"/>
          </w:tcPr>
          <w:p w14:paraId="10F38D18">
            <w:pPr>
              <w:widowControl/>
              <w:autoSpaceDE w:val="0"/>
              <w:jc w:val="center"/>
              <w:textAlignment w:val="center"/>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bidi="ar"/>
              </w:rPr>
              <w:t>讲台桌</w:t>
            </w:r>
          </w:p>
        </w:tc>
        <w:tc>
          <w:tcPr>
            <w:tcW w:w="4284" w:type="dxa"/>
          </w:tcPr>
          <w:p w14:paraId="6A787981">
            <w:pPr>
              <w:jc w:val="center"/>
              <w:rPr>
                <w:rFonts w:hint="eastAsia" w:ascii="宋体" w:hAnsi="宋体" w:eastAsia="宋体" w:cs="宋体"/>
                <w:color w:val="auto"/>
                <w:highlight w:val="none"/>
              </w:rPr>
            </w:pPr>
            <w:r>
              <w:rPr>
                <w:color w:val="auto"/>
                <w:highlight w:val="none"/>
              </w:rPr>
              <w:drawing>
                <wp:inline distT="0" distB="0" distL="114300" distR="114300">
                  <wp:extent cx="348615" cy="415925"/>
                  <wp:effectExtent l="0" t="0" r="13335" b="3175"/>
                  <wp:docPr id="12" name="图片_2_SpCnt_1"/>
                  <wp:cNvGraphicFramePr/>
                  <a:graphic xmlns:a="http://schemas.openxmlformats.org/drawingml/2006/main">
                    <a:graphicData uri="http://schemas.openxmlformats.org/drawingml/2006/picture">
                      <pic:pic xmlns:pic="http://schemas.openxmlformats.org/drawingml/2006/picture">
                        <pic:nvPicPr>
                          <pic:cNvPr id="12" name="图片_2_SpCnt_1"/>
                          <pic:cNvPicPr/>
                        </pic:nvPicPr>
                        <pic:blipFill>
                          <a:blip r:embed="rId16"/>
                          <a:stretch>
                            <a:fillRect/>
                          </a:stretch>
                        </pic:blipFill>
                        <pic:spPr>
                          <a:xfrm>
                            <a:off x="0" y="0"/>
                            <a:ext cx="348615" cy="415925"/>
                          </a:xfrm>
                          <a:prstGeom prst="rect">
                            <a:avLst/>
                          </a:prstGeom>
                          <a:noFill/>
                          <a:ln>
                            <a:noFill/>
                          </a:ln>
                        </pic:spPr>
                      </pic:pic>
                    </a:graphicData>
                  </a:graphic>
                </wp:inline>
              </w:drawing>
            </w:r>
          </w:p>
        </w:tc>
        <w:tc>
          <w:tcPr>
            <w:tcW w:w="2138" w:type="dxa"/>
            <w:vAlign w:val="center"/>
          </w:tcPr>
          <w:p w14:paraId="2ADA3503">
            <w:pPr>
              <w:jc w:val="center"/>
              <w:rPr>
                <w:rFonts w:hint="eastAsia" w:ascii="宋体" w:hAnsi="宋体" w:eastAsia="宋体" w:cs="宋体"/>
                <w:color w:val="auto"/>
                <w:highlight w:val="none"/>
              </w:rPr>
            </w:pPr>
            <w:r>
              <w:rPr>
                <w:rFonts w:ascii="宋体" w:hAnsi="宋体" w:eastAsia="宋体" w:cs="宋体"/>
                <w:color w:val="auto"/>
                <w:highlight w:val="none"/>
              </w:rPr>
              <w:t>办公楼微机室、教学区</w:t>
            </w:r>
          </w:p>
        </w:tc>
      </w:tr>
      <w:tr w14:paraId="2465E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88" w:type="dxa"/>
            <w:vAlign w:val="center"/>
          </w:tcPr>
          <w:p w14:paraId="304C05F2">
            <w:pPr>
              <w:jc w:val="center"/>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10</w:t>
            </w:r>
          </w:p>
        </w:tc>
        <w:tc>
          <w:tcPr>
            <w:tcW w:w="1903" w:type="dxa"/>
            <w:vAlign w:val="center"/>
          </w:tcPr>
          <w:p w14:paraId="6F8CECF4">
            <w:pPr>
              <w:widowControl/>
              <w:autoSpaceDE w:val="0"/>
              <w:jc w:val="center"/>
              <w:textAlignment w:val="center"/>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bidi="ar"/>
              </w:rPr>
              <w:t>电脑桌</w:t>
            </w:r>
          </w:p>
        </w:tc>
        <w:tc>
          <w:tcPr>
            <w:tcW w:w="4284" w:type="dxa"/>
          </w:tcPr>
          <w:p w14:paraId="0C6B36E4">
            <w:pPr>
              <w:jc w:val="center"/>
              <w:rPr>
                <w:rFonts w:hint="eastAsia" w:ascii="宋体" w:hAnsi="宋体" w:eastAsia="宋体" w:cs="宋体"/>
                <w:color w:val="auto"/>
                <w:highlight w:val="none"/>
              </w:rPr>
            </w:pPr>
            <w:r>
              <w:rPr>
                <w:color w:val="auto"/>
                <w:highlight w:val="none"/>
              </w:rPr>
              <w:drawing>
                <wp:inline distT="0" distB="0" distL="114300" distR="114300">
                  <wp:extent cx="367665" cy="407035"/>
                  <wp:effectExtent l="0" t="0" r="13335" b="12065"/>
                  <wp:docPr id="13" name="图片_8"/>
                  <wp:cNvGraphicFramePr/>
                  <a:graphic xmlns:a="http://schemas.openxmlformats.org/drawingml/2006/main">
                    <a:graphicData uri="http://schemas.openxmlformats.org/drawingml/2006/picture">
                      <pic:pic xmlns:pic="http://schemas.openxmlformats.org/drawingml/2006/picture">
                        <pic:nvPicPr>
                          <pic:cNvPr id="13" name="图片_8"/>
                          <pic:cNvPicPr/>
                        </pic:nvPicPr>
                        <pic:blipFill>
                          <a:blip r:embed="rId17"/>
                          <a:stretch>
                            <a:fillRect/>
                          </a:stretch>
                        </pic:blipFill>
                        <pic:spPr>
                          <a:xfrm>
                            <a:off x="0" y="0"/>
                            <a:ext cx="367665" cy="407035"/>
                          </a:xfrm>
                          <a:prstGeom prst="rect">
                            <a:avLst/>
                          </a:prstGeom>
                          <a:noFill/>
                          <a:ln>
                            <a:noFill/>
                          </a:ln>
                        </pic:spPr>
                      </pic:pic>
                    </a:graphicData>
                  </a:graphic>
                </wp:inline>
              </w:drawing>
            </w:r>
          </w:p>
        </w:tc>
        <w:tc>
          <w:tcPr>
            <w:tcW w:w="2138" w:type="dxa"/>
            <w:vAlign w:val="center"/>
          </w:tcPr>
          <w:p w14:paraId="08259230">
            <w:pPr>
              <w:jc w:val="center"/>
              <w:rPr>
                <w:rFonts w:hint="eastAsia" w:ascii="宋体" w:hAnsi="宋体" w:eastAsia="宋体" w:cs="宋体"/>
                <w:color w:val="auto"/>
                <w:highlight w:val="none"/>
              </w:rPr>
            </w:pPr>
            <w:r>
              <w:rPr>
                <w:rFonts w:ascii="宋体" w:hAnsi="宋体" w:eastAsia="宋体" w:cs="宋体"/>
                <w:color w:val="auto"/>
                <w:highlight w:val="none"/>
              </w:rPr>
              <w:t>办公楼微机室</w:t>
            </w:r>
          </w:p>
        </w:tc>
      </w:tr>
      <w:tr w14:paraId="0CACB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88" w:type="dxa"/>
            <w:vAlign w:val="center"/>
          </w:tcPr>
          <w:p w14:paraId="748B8430">
            <w:pPr>
              <w:jc w:val="center"/>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11</w:t>
            </w:r>
          </w:p>
        </w:tc>
        <w:tc>
          <w:tcPr>
            <w:tcW w:w="1903" w:type="dxa"/>
            <w:vAlign w:val="center"/>
          </w:tcPr>
          <w:p w14:paraId="275B1455">
            <w:pPr>
              <w:widowControl/>
              <w:autoSpaceDE w:val="0"/>
              <w:jc w:val="center"/>
              <w:textAlignment w:val="center"/>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bidi="ar"/>
              </w:rPr>
              <w:t>电脑椅</w:t>
            </w:r>
          </w:p>
        </w:tc>
        <w:tc>
          <w:tcPr>
            <w:tcW w:w="4284" w:type="dxa"/>
          </w:tcPr>
          <w:p w14:paraId="6C27D41F">
            <w:pPr>
              <w:jc w:val="center"/>
              <w:rPr>
                <w:rFonts w:hint="eastAsia" w:ascii="宋体" w:hAnsi="宋体" w:eastAsia="宋体" w:cs="宋体"/>
                <w:color w:val="auto"/>
                <w:highlight w:val="none"/>
              </w:rPr>
            </w:pPr>
            <w:r>
              <w:rPr>
                <w:color w:val="auto"/>
                <w:highlight w:val="none"/>
              </w:rPr>
              <w:drawing>
                <wp:inline distT="0" distB="0" distL="114300" distR="114300">
                  <wp:extent cx="295910" cy="398145"/>
                  <wp:effectExtent l="0" t="0" r="8890" b="1905"/>
                  <wp:docPr id="14" name="图片_171"/>
                  <wp:cNvGraphicFramePr/>
                  <a:graphic xmlns:a="http://schemas.openxmlformats.org/drawingml/2006/main">
                    <a:graphicData uri="http://schemas.openxmlformats.org/drawingml/2006/picture">
                      <pic:pic xmlns:pic="http://schemas.openxmlformats.org/drawingml/2006/picture">
                        <pic:nvPicPr>
                          <pic:cNvPr id="14" name="图片_171"/>
                          <pic:cNvPicPr/>
                        </pic:nvPicPr>
                        <pic:blipFill>
                          <a:blip r:embed="rId18"/>
                          <a:stretch>
                            <a:fillRect/>
                          </a:stretch>
                        </pic:blipFill>
                        <pic:spPr>
                          <a:xfrm>
                            <a:off x="0" y="0"/>
                            <a:ext cx="295910" cy="398145"/>
                          </a:xfrm>
                          <a:prstGeom prst="rect">
                            <a:avLst/>
                          </a:prstGeom>
                          <a:noFill/>
                          <a:ln>
                            <a:noFill/>
                          </a:ln>
                        </pic:spPr>
                      </pic:pic>
                    </a:graphicData>
                  </a:graphic>
                </wp:inline>
              </w:drawing>
            </w:r>
          </w:p>
        </w:tc>
        <w:tc>
          <w:tcPr>
            <w:tcW w:w="2138" w:type="dxa"/>
            <w:vAlign w:val="center"/>
          </w:tcPr>
          <w:p w14:paraId="4F01A1E5">
            <w:pPr>
              <w:jc w:val="center"/>
              <w:rPr>
                <w:rFonts w:hint="eastAsia" w:ascii="宋体" w:hAnsi="宋体" w:eastAsia="宋体" w:cs="宋体"/>
                <w:color w:val="auto"/>
                <w:highlight w:val="none"/>
              </w:rPr>
            </w:pPr>
            <w:r>
              <w:rPr>
                <w:rFonts w:ascii="宋体" w:hAnsi="宋体" w:eastAsia="宋体" w:cs="宋体"/>
                <w:color w:val="auto"/>
                <w:highlight w:val="none"/>
              </w:rPr>
              <w:t>办公楼微机室</w:t>
            </w:r>
          </w:p>
        </w:tc>
      </w:tr>
      <w:tr w14:paraId="1D1CF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88" w:type="dxa"/>
            <w:vAlign w:val="center"/>
          </w:tcPr>
          <w:p w14:paraId="59466F17">
            <w:pPr>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2</w:t>
            </w:r>
          </w:p>
        </w:tc>
        <w:tc>
          <w:tcPr>
            <w:tcW w:w="1903" w:type="dxa"/>
            <w:vAlign w:val="center"/>
          </w:tcPr>
          <w:p w14:paraId="7E20B239">
            <w:pPr>
              <w:widowControl/>
              <w:autoSpaceDE w:val="0"/>
              <w:jc w:val="center"/>
              <w:textAlignment w:val="center"/>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bidi="ar"/>
              </w:rPr>
              <w:t>休闲桌1</w:t>
            </w:r>
          </w:p>
        </w:tc>
        <w:tc>
          <w:tcPr>
            <w:tcW w:w="4284" w:type="dxa"/>
          </w:tcPr>
          <w:p w14:paraId="476231FD">
            <w:pPr>
              <w:jc w:val="center"/>
              <w:rPr>
                <w:rFonts w:hint="eastAsia" w:ascii="宋体" w:hAnsi="宋体" w:eastAsia="宋体" w:cs="宋体"/>
                <w:color w:val="auto"/>
                <w:highlight w:val="none"/>
              </w:rPr>
            </w:pPr>
            <w:r>
              <w:rPr>
                <w:color w:val="auto"/>
                <w:highlight w:val="none"/>
              </w:rPr>
              <w:drawing>
                <wp:inline distT="0" distB="0" distL="114300" distR="114300">
                  <wp:extent cx="452755" cy="364490"/>
                  <wp:effectExtent l="0" t="0" r="4445" b="16510"/>
                  <wp:docPr id="15" name="图片_152"/>
                  <wp:cNvGraphicFramePr/>
                  <a:graphic xmlns:a="http://schemas.openxmlformats.org/drawingml/2006/main">
                    <a:graphicData uri="http://schemas.openxmlformats.org/drawingml/2006/picture">
                      <pic:pic xmlns:pic="http://schemas.openxmlformats.org/drawingml/2006/picture">
                        <pic:nvPicPr>
                          <pic:cNvPr id="15" name="图片_152"/>
                          <pic:cNvPicPr/>
                        </pic:nvPicPr>
                        <pic:blipFill>
                          <a:blip r:embed="rId19"/>
                          <a:stretch>
                            <a:fillRect/>
                          </a:stretch>
                        </pic:blipFill>
                        <pic:spPr>
                          <a:xfrm>
                            <a:off x="0" y="0"/>
                            <a:ext cx="452755" cy="364490"/>
                          </a:xfrm>
                          <a:prstGeom prst="rect">
                            <a:avLst/>
                          </a:prstGeom>
                          <a:noFill/>
                          <a:ln>
                            <a:noFill/>
                          </a:ln>
                        </pic:spPr>
                      </pic:pic>
                    </a:graphicData>
                  </a:graphic>
                </wp:inline>
              </w:drawing>
            </w:r>
          </w:p>
        </w:tc>
        <w:tc>
          <w:tcPr>
            <w:tcW w:w="2138" w:type="dxa"/>
            <w:vAlign w:val="center"/>
          </w:tcPr>
          <w:p w14:paraId="1D24855D">
            <w:pPr>
              <w:jc w:val="center"/>
              <w:rPr>
                <w:rFonts w:hint="eastAsia" w:ascii="宋体" w:hAnsi="宋体" w:eastAsia="宋体" w:cs="宋体"/>
                <w:color w:val="auto"/>
                <w:highlight w:val="none"/>
              </w:rPr>
            </w:pPr>
            <w:r>
              <w:rPr>
                <w:rFonts w:ascii="宋体" w:hAnsi="宋体" w:eastAsia="宋体" w:cs="宋体"/>
                <w:color w:val="auto"/>
                <w:highlight w:val="none"/>
              </w:rPr>
              <w:t>办公楼休息区</w:t>
            </w:r>
          </w:p>
        </w:tc>
      </w:tr>
      <w:tr w14:paraId="596F1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88" w:type="dxa"/>
            <w:vAlign w:val="center"/>
          </w:tcPr>
          <w:p w14:paraId="7BD9143D">
            <w:pPr>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3</w:t>
            </w:r>
          </w:p>
        </w:tc>
        <w:tc>
          <w:tcPr>
            <w:tcW w:w="1903" w:type="dxa"/>
            <w:vAlign w:val="center"/>
          </w:tcPr>
          <w:p w14:paraId="51EA7087">
            <w:pPr>
              <w:widowControl/>
              <w:jc w:val="center"/>
              <w:textAlignment w:val="center"/>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bidi="ar"/>
              </w:rPr>
              <w:t>休闲椅1</w:t>
            </w:r>
          </w:p>
        </w:tc>
        <w:tc>
          <w:tcPr>
            <w:tcW w:w="4284" w:type="dxa"/>
          </w:tcPr>
          <w:p w14:paraId="29EBDB5D">
            <w:pPr>
              <w:jc w:val="center"/>
              <w:rPr>
                <w:rFonts w:hint="eastAsia" w:ascii="宋体" w:hAnsi="宋体" w:eastAsia="宋体" w:cs="宋体"/>
                <w:color w:val="auto"/>
                <w:highlight w:val="none"/>
              </w:rPr>
            </w:pPr>
            <w:r>
              <w:rPr>
                <w:color w:val="auto"/>
                <w:highlight w:val="none"/>
              </w:rPr>
              <w:drawing>
                <wp:inline distT="0" distB="0" distL="114300" distR="114300">
                  <wp:extent cx="801370" cy="386715"/>
                  <wp:effectExtent l="0" t="0" r="17780" b="13335"/>
                  <wp:docPr id="16" name="图片_31"/>
                  <wp:cNvGraphicFramePr/>
                  <a:graphic xmlns:a="http://schemas.openxmlformats.org/drawingml/2006/main">
                    <a:graphicData uri="http://schemas.openxmlformats.org/drawingml/2006/picture">
                      <pic:pic xmlns:pic="http://schemas.openxmlformats.org/drawingml/2006/picture">
                        <pic:nvPicPr>
                          <pic:cNvPr id="16" name="图片_31"/>
                          <pic:cNvPicPr/>
                        </pic:nvPicPr>
                        <pic:blipFill>
                          <a:blip r:embed="rId20"/>
                          <a:stretch>
                            <a:fillRect/>
                          </a:stretch>
                        </pic:blipFill>
                        <pic:spPr>
                          <a:xfrm>
                            <a:off x="0" y="0"/>
                            <a:ext cx="801370" cy="386715"/>
                          </a:xfrm>
                          <a:prstGeom prst="rect">
                            <a:avLst/>
                          </a:prstGeom>
                          <a:noFill/>
                          <a:ln>
                            <a:noFill/>
                          </a:ln>
                        </pic:spPr>
                      </pic:pic>
                    </a:graphicData>
                  </a:graphic>
                </wp:inline>
              </w:drawing>
            </w:r>
          </w:p>
        </w:tc>
        <w:tc>
          <w:tcPr>
            <w:tcW w:w="2138" w:type="dxa"/>
            <w:vAlign w:val="center"/>
          </w:tcPr>
          <w:p w14:paraId="584B3CF9">
            <w:pPr>
              <w:jc w:val="center"/>
              <w:rPr>
                <w:rFonts w:hint="eastAsia" w:ascii="宋体" w:hAnsi="宋体" w:eastAsia="宋体" w:cs="宋体"/>
                <w:color w:val="auto"/>
                <w:highlight w:val="none"/>
              </w:rPr>
            </w:pPr>
            <w:r>
              <w:rPr>
                <w:rFonts w:ascii="宋体" w:hAnsi="宋体" w:eastAsia="宋体" w:cs="宋体"/>
                <w:color w:val="auto"/>
                <w:highlight w:val="none"/>
              </w:rPr>
              <w:t>办公楼休息区</w:t>
            </w:r>
          </w:p>
        </w:tc>
      </w:tr>
      <w:tr w14:paraId="2567B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88" w:type="dxa"/>
            <w:vAlign w:val="center"/>
          </w:tcPr>
          <w:p w14:paraId="154CA0D9">
            <w:pPr>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14</w:t>
            </w:r>
          </w:p>
        </w:tc>
        <w:tc>
          <w:tcPr>
            <w:tcW w:w="1903" w:type="dxa"/>
            <w:vAlign w:val="center"/>
          </w:tcPr>
          <w:p w14:paraId="37C35BE8">
            <w:pPr>
              <w:widowControl/>
              <w:autoSpaceDE w:val="0"/>
              <w:jc w:val="center"/>
              <w:textAlignment w:val="center"/>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bidi="ar"/>
              </w:rPr>
              <w:t>排椅</w:t>
            </w:r>
          </w:p>
        </w:tc>
        <w:tc>
          <w:tcPr>
            <w:tcW w:w="4284" w:type="dxa"/>
          </w:tcPr>
          <w:p w14:paraId="5CA99A29">
            <w:pPr>
              <w:jc w:val="center"/>
              <w:rPr>
                <w:rFonts w:hint="eastAsia" w:ascii="宋体" w:hAnsi="宋体" w:eastAsia="宋体" w:cs="宋体"/>
                <w:color w:val="auto"/>
                <w:highlight w:val="none"/>
              </w:rPr>
            </w:pPr>
            <w:r>
              <w:rPr>
                <w:color w:val="auto"/>
                <w:highlight w:val="none"/>
              </w:rPr>
              <w:drawing>
                <wp:inline distT="0" distB="0" distL="114300" distR="114300">
                  <wp:extent cx="680720" cy="423545"/>
                  <wp:effectExtent l="0" t="0" r="5080" b="14605"/>
                  <wp:docPr id="17" name="图片_19_SpCnt_1"/>
                  <wp:cNvGraphicFramePr/>
                  <a:graphic xmlns:a="http://schemas.openxmlformats.org/drawingml/2006/main">
                    <a:graphicData uri="http://schemas.openxmlformats.org/drawingml/2006/picture">
                      <pic:pic xmlns:pic="http://schemas.openxmlformats.org/drawingml/2006/picture">
                        <pic:nvPicPr>
                          <pic:cNvPr id="17" name="图片_19_SpCnt_1"/>
                          <pic:cNvPicPr/>
                        </pic:nvPicPr>
                        <pic:blipFill>
                          <a:blip r:embed="rId21"/>
                          <a:stretch>
                            <a:fillRect/>
                          </a:stretch>
                        </pic:blipFill>
                        <pic:spPr>
                          <a:xfrm>
                            <a:off x="0" y="0"/>
                            <a:ext cx="680720" cy="423545"/>
                          </a:xfrm>
                          <a:prstGeom prst="rect">
                            <a:avLst/>
                          </a:prstGeom>
                          <a:noFill/>
                          <a:ln>
                            <a:noFill/>
                          </a:ln>
                        </pic:spPr>
                      </pic:pic>
                    </a:graphicData>
                  </a:graphic>
                </wp:inline>
              </w:drawing>
            </w:r>
          </w:p>
        </w:tc>
        <w:tc>
          <w:tcPr>
            <w:tcW w:w="2138" w:type="dxa"/>
            <w:vAlign w:val="center"/>
          </w:tcPr>
          <w:p w14:paraId="718C10A6">
            <w:pPr>
              <w:jc w:val="center"/>
              <w:rPr>
                <w:rFonts w:hint="eastAsia" w:ascii="宋体" w:hAnsi="宋体" w:eastAsia="宋体" w:cs="宋体"/>
                <w:color w:val="auto"/>
                <w:highlight w:val="none"/>
              </w:rPr>
            </w:pPr>
            <w:r>
              <w:rPr>
                <w:rFonts w:ascii="宋体" w:hAnsi="宋体" w:eastAsia="宋体" w:cs="宋体"/>
                <w:color w:val="auto"/>
                <w:highlight w:val="none"/>
              </w:rPr>
              <w:t>办公楼业务大厅、待考区</w:t>
            </w:r>
          </w:p>
        </w:tc>
      </w:tr>
      <w:tr w14:paraId="284A0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88" w:type="dxa"/>
            <w:vAlign w:val="center"/>
          </w:tcPr>
          <w:p w14:paraId="16DF91E9">
            <w:pPr>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5</w:t>
            </w:r>
          </w:p>
        </w:tc>
        <w:tc>
          <w:tcPr>
            <w:tcW w:w="1903" w:type="dxa"/>
            <w:vAlign w:val="center"/>
          </w:tcPr>
          <w:p w14:paraId="19ED45A7">
            <w:pPr>
              <w:widowControl/>
              <w:jc w:val="center"/>
              <w:textAlignment w:val="center"/>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bidi="ar"/>
              </w:rPr>
              <w:t>台前椅</w:t>
            </w:r>
          </w:p>
        </w:tc>
        <w:tc>
          <w:tcPr>
            <w:tcW w:w="4284" w:type="dxa"/>
          </w:tcPr>
          <w:p w14:paraId="3E95DF60">
            <w:pPr>
              <w:jc w:val="center"/>
              <w:rPr>
                <w:rFonts w:hint="eastAsia" w:ascii="宋体" w:hAnsi="宋体" w:eastAsia="宋体" w:cs="宋体"/>
                <w:color w:val="auto"/>
                <w:highlight w:val="none"/>
              </w:rPr>
            </w:pPr>
            <w:r>
              <w:rPr>
                <w:color w:val="auto"/>
                <w:highlight w:val="none"/>
              </w:rPr>
              <w:drawing>
                <wp:inline distT="0" distB="0" distL="114300" distR="114300">
                  <wp:extent cx="393700" cy="364490"/>
                  <wp:effectExtent l="0" t="0" r="6350" b="16510"/>
                  <wp:docPr id="18" name="图片_7"/>
                  <wp:cNvGraphicFramePr/>
                  <a:graphic xmlns:a="http://schemas.openxmlformats.org/drawingml/2006/main">
                    <a:graphicData uri="http://schemas.openxmlformats.org/drawingml/2006/picture">
                      <pic:pic xmlns:pic="http://schemas.openxmlformats.org/drawingml/2006/picture">
                        <pic:nvPicPr>
                          <pic:cNvPr id="18" name="图片_7"/>
                          <pic:cNvPicPr/>
                        </pic:nvPicPr>
                        <pic:blipFill>
                          <a:blip r:embed="rId22"/>
                          <a:stretch>
                            <a:fillRect/>
                          </a:stretch>
                        </pic:blipFill>
                        <pic:spPr>
                          <a:xfrm>
                            <a:off x="0" y="0"/>
                            <a:ext cx="393700" cy="364490"/>
                          </a:xfrm>
                          <a:prstGeom prst="rect">
                            <a:avLst/>
                          </a:prstGeom>
                          <a:noFill/>
                          <a:ln>
                            <a:noFill/>
                          </a:ln>
                        </pic:spPr>
                      </pic:pic>
                    </a:graphicData>
                  </a:graphic>
                </wp:inline>
              </w:drawing>
            </w:r>
          </w:p>
        </w:tc>
        <w:tc>
          <w:tcPr>
            <w:tcW w:w="2138" w:type="dxa"/>
            <w:vAlign w:val="center"/>
          </w:tcPr>
          <w:p w14:paraId="16A73933">
            <w:pPr>
              <w:jc w:val="center"/>
              <w:rPr>
                <w:rFonts w:hint="eastAsia" w:ascii="宋体" w:hAnsi="宋体" w:eastAsia="宋体" w:cs="宋体"/>
                <w:color w:val="auto"/>
                <w:highlight w:val="none"/>
              </w:rPr>
            </w:pPr>
            <w:r>
              <w:rPr>
                <w:rFonts w:ascii="宋体" w:hAnsi="宋体" w:eastAsia="宋体" w:cs="宋体"/>
                <w:color w:val="auto"/>
                <w:highlight w:val="none"/>
              </w:rPr>
              <w:t>办公楼报检大厅</w:t>
            </w:r>
          </w:p>
        </w:tc>
      </w:tr>
      <w:tr w14:paraId="5FF2A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88" w:type="dxa"/>
            <w:vAlign w:val="center"/>
          </w:tcPr>
          <w:p w14:paraId="3BCAB212">
            <w:pPr>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6</w:t>
            </w:r>
          </w:p>
        </w:tc>
        <w:tc>
          <w:tcPr>
            <w:tcW w:w="1903" w:type="dxa"/>
            <w:vAlign w:val="center"/>
          </w:tcPr>
          <w:p w14:paraId="6A1E3088">
            <w:pPr>
              <w:widowControl/>
              <w:jc w:val="center"/>
              <w:textAlignment w:val="center"/>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bidi="ar"/>
              </w:rPr>
              <w:t>单人沙发1</w:t>
            </w:r>
          </w:p>
        </w:tc>
        <w:tc>
          <w:tcPr>
            <w:tcW w:w="4284" w:type="dxa"/>
          </w:tcPr>
          <w:p w14:paraId="2338C300">
            <w:pPr>
              <w:jc w:val="center"/>
              <w:rPr>
                <w:rFonts w:hint="eastAsia" w:ascii="宋体" w:hAnsi="宋体" w:eastAsia="宋体" w:cs="宋体"/>
                <w:color w:val="auto"/>
                <w:highlight w:val="none"/>
              </w:rPr>
            </w:pPr>
            <w:r>
              <w:rPr>
                <w:color w:val="auto"/>
                <w:highlight w:val="none"/>
              </w:rPr>
              <w:drawing>
                <wp:inline distT="0" distB="0" distL="114300" distR="114300">
                  <wp:extent cx="506095" cy="410210"/>
                  <wp:effectExtent l="0" t="0" r="8255" b="8890"/>
                  <wp:docPr id="19" name="图片_141"/>
                  <wp:cNvGraphicFramePr/>
                  <a:graphic xmlns:a="http://schemas.openxmlformats.org/drawingml/2006/main">
                    <a:graphicData uri="http://schemas.openxmlformats.org/drawingml/2006/picture">
                      <pic:pic xmlns:pic="http://schemas.openxmlformats.org/drawingml/2006/picture">
                        <pic:nvPicPr>
                          <pic:cNvPr id="19" name="图片_141"/>
                          <pic:cNvPicPr/>
                        </pic:nvPicPr>
                        <pic:blipFill>
                          <a:blip r:embed="rId23"/>
                          <a:stretch>
                            <a:fillRect/>
                          </a:stretch>
                        </pic:blipFill>
                        <pic:spPr>
                          <a:xfrm>
                            <a:off x="0" y="0"/>
                            <a:ext cx="506095" cy="410210"/>
                          </a:xfrm>
                          <a:prstGeom prst="rect">
                            <a:avLst/>
                          </a:prstGeom>
                          <a:noFill/>
                          <a:ln>
                            <a:noFill/>
                          </a:ln>
                        </pic:spPr>
                      </pic:pic>
                    </a:graphicData>
                  </a:graphic>
                </wp:inline>
              </w:drawing>
            </w:r>
          </w:p>
        </w:tc>
        <w:tc>
          <w:tcPr>
            <w:tcW w:w="2138" w:type="dxa"/>
            <w:vAlign w:val="center"/>
          </w:tcPr>
          <w:p w14:paraId="539D9890">
            <w:pPr>
              <w:jc w:val="center"/>
              <w:rPr>
                <w:rFonts w:hint="eastAsia" w:ascii="宋体" w:hAnsi="宋体" w:eastAsia="宋体" w:cs="宋体"/>
                <w:color w:val="auto"/>
                <w:highlight w:val="none"/>
              </w:rPr>
            </w:pPr>
            <w:r>
              <w:rPr>
                <w:rFonts w:ascii="宋体" w:hAnsi="宋体" w:eastAsia="宋体" w:cs="宋体"/>
                <w:color w:val="auto"/>
                <w:highlight w:val="none"/>
              </w:rPr>
              <w:t>办公楼</w:t>
            </w:r>
          </w:p>
        </w:tc>
      </w:tr>
      <w:tr w14:paraId="6357C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88" w:type="dxa"/>
            <w:vAlign w:val="center"/>
          </w:tcPr>
          <w:p w14:paraId="7A7E1C1B">
            <w:pPr>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7</w:t>
            </w:r>
          </w:p>
        </w:tc>
        <w:tc>
          <w:tcPr>
            <w:tcW w:w="1903" w:type="dxa"/>
            <w:vAlign w:val="center"/>
          </w:tcPr>
          <w:p w14:paraId="5309261A">
            <w:pPr>
              <w:widowControl/>
              <w:jc w:val="center"/>
              <w:textAlignment w:val="center"/>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bidi="ar"/>
              </w:rPr>
              <w:t>双人沙发1</w:t>
            </w:r>
          </w:p>
        </w:tc>
        <w:tc>
          <w:tcPr>
            <w:tcW w:w="4284" w:type="dxa"/>
          </w:tcPr>
          <w:p w14:paraId="21079BAC">
            <w:pPr>
              <w:jc w:val="center"/>
              <w:rPr>
                <w:rFonts w:hint="eastAsia" w:ascii="宋体" w:hAnsi="宋体" w:eastAsia="宋体" w:cs="宋体"/>
                <w:color w:val="auto"/>
                <w:highlight w:val="none"/>
              </w:rPr>
            </w:pPr>
            <w:r>
              <w:rPr>
                <w:color w:val="auto"/>
                <w:highlight w:val="none"/>
              </w:rPr>
              <w:drawing>
                <wp:inline distT="0" distB="0" distL="114300" distR="114300">
                  <wp:extent cx="918845" cy="436880"/>
                  <wp:effectExtent l="0" t="0" r="14605" b="1270"/>
                  <wp:docPr id="20" name="图片_142"/>
                  <wp:cNvGraphicFramePr/>
                  <a:graphic xmlns:a="http://schemas.openxmlformats.org/drawingml/2006/main">
                    <a:graphicData uri="http://schemas.openxmlformats.org/drawingml/2006/picture">
                      <pic:pic xmlns:pic="http://schemas.openxmlformats.org/drawingml/2006/picture">
                        <pic:nvPicPr>
                          <pic:cNvPr id="20" name="图片_142"/>
                          <pic:cNvPicPr/>
                        </pic:nvPicPr>
                        <pic:blipFill>
                          <a:blip r:embed="rId24"/>
                          <a:stretch>
                            <a:fillRect/>
                          </a:stretch>
                        </pic:blipFill>
                        <pic:spPr>
                          <a:xfrm>
                            <a:off x="0" y="0"/>
                            <a:ext cx="918845" cy="436880"/>
                          </a:xfrm>
                          <a:prstGeom prst="rect">
                            <a:avLst/>
                          </a:prstGeom>
                          <a:noFill/>
                          <a:ln>
                            <a:noFill/>
                          </a:ln>
                        </pic:spPr>
                      </pic:pic>
                    </a:graphicData>
                  </a:graphic>
                </wp:inline>
              </w:drawing>
            </w:r>
          </w:p>
        </w:tc>
        <w:tc>
          <w:tcPr>
            <w:tcW w:w="2138" w:type="dxa"/>
            <w:vAlign w:val="center"/>
          </w:tcPr>
          <w:p w14:paraId="3BEBE25D">
            <w:pPr>
              <w:jc w:val="center"/>
              <w:rPr>
                <w:rFonts w:hint="eastAsia" w:ascii="宋体" w:hAnsi="宋体" w:eastAsia="宋体" w:cs="宋体"/>
                <w:color w:val="auto"/>
                <w:highlight w:val="none"/>
              </w:rPr>
            </w:pPr>
            <w:r>
              <w:rPr>
                <w:rFonts w:ascii="宋体" w:hAnsi="宋体" w:eastAsia="宋体" w:cs="宋体"/>
                <w:color w:val="auto"/>
                <w:highlight w:val="none"/>
              </w:rPr>
              <w:t>办公楼</w:t>
            </w:r>
          </w:p>
        </w:tc>
      </w:tr>
      <w:tr w14:paraId="0569F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88" w:type="dxa"/>
            <w:vAlign w:val="center"/>
          </w:tcPr>
          <w:p w14:paraId="3A1B2CF5">
            <w:pPr>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8</w:t>
            </w:r>
          </w:p>
        </w:tc>
        <w:tc>
          <w:tcPr>
            <w:tcW w:w="1903" w:type="dxa"/>
            <w:vAlign w:val="center"/>
          </w:tcPr>
          <w:p w14:paraId="3F988D25">
            <w:pPr>
              <w:widowControl/>
              <w:jc w:val="center"/>
              <w:textAlignment w:val="center"/>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bidi="ar"/>
              </w:rPr>
              <w:t>茶几1</w:t>
            </w:r>
          </w:p>
        </w:tc>
        <w:tc>
          <w:tcPr>
            <w:tcW w:w="4284" w:type="dxa"/>
          </w:tcPr>
          <w:p w14:paraId="5A6B8B9F">
            <w:pPr>
              <w:jc w:val="center"/>
              <w:rPr>
                <w:rFonts w:hint="eastAsia" w:ascii="宋体" w:hAnsi="宋体" w:eastAsia="宋体" w:cs="宋体"/>
                <w:color w:val="auto"/>
                <w:highlight w:val="none"/>
              </w:rPr>
            </w:pPr>
            <w:r>
              <w:rPr>
                <w:color w:val="auto"/>
                <w:highlight w:val="none"/>
              </w:rPr>
              <w:drawing>
                <wp:inline distT="0" distB="0" distL="114300" distR="114300">
                  <wp:extent cx="979170" cy="415925"/>
                  <wp:effectExtent l="0" t="0" r="11430" b="3175"/>
                  <wp:docPr id="21" name="图片_143"/>
                  <wp:cNvGraphicFramePr/>
                  <a:graphic xmlns:a="http://schemas.openxmlformats.org/drawingml/2006/main">
                    <a:graphicData uri="http://schemas.openxmlformats.org/drawingml/2006/picture">
                      <pic:pic xmlns:pic="http://schemas.openxmlformats.org/drawingml/2006/picture">
                        <pic:nvPicPr>
                          <pic:cNvPr id="21" name="图片_143"/>
                          <pic:cNvPicPr/>
                        </pic:nvPicPr>
                        <pic:blipFill>
                          <a:blip r:embed="rId25"/>
                          <a:stretch>
                            <a:fillRect/>
                          </a:stretch>
                        </pic:blipFill>
                        <pic:spPr>
                          <a:xfrm>
                            <a:off x="0" y="0"/>
                            <a:ext cx="979170" cy="415925"/>
                          </a:xfrm>
                          <a:prstGeom prst="rect">
                            <a:avLst/>
                          </a:prstGeom>
                          <a:noFill/>
                          <a:ln>
                            <a:noFill/>
                          </a:ln>
                        </pic:spPr>
                      </pic:pic>
                    </a:graphicData>
                  </a:graphic>
                </wp:inline>
              </w:drawing>
            </w:r>
          </w:p>
        </w:tc>
        <w:tc>
          <w:tcPr>
            <w:tcW w:w="2138" w:type="dxa"/>
            <w:vAlign w:val="center"/>
          </w:tcPr>
          <w:p w14:paraId="6AD84207">
            <w:pPr>
              <w:jc w:val="center"/>
              <w:rPr>
                <w:rFonts w:hint="eastAsia" w:ascii="宋体" w:hAnsi="宋体" w:eastAsia="宋体" w:cs="宋体"/>
                <w:color w:val="auto"/>
                <w:highlight w:val="none"/>
              </w:rPr>
            </w:pPr>
            <w:r>
              <w:rPr>
                <w:rFonts w:ascii="宋体" w:hAnsi="宋体" w:eastAsia="宋体" w:cs="宋体"/>
                <w:color w:val="auto"/>
                <w:highlight w:val="none"/>
              </w:rPr>
              <w:t>办公楼</w:t>
            </w:r>
          </w:p>
        </w:tc>
      </w:tr>
      <w:tr w14:paraId="24600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88" w:type="dxa"/>
            <w:vAlign w:val="center"/>
          </w:tcPr>
          <w:p w14:paraId="4E0D9084">
            <w:pPr>
              <w:jc w:val="center"/>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19</w:t>
            </w:r>
          </w:p>
        </w:tc>
        <w:tc>
          <w:tcPr>
            <w:tcW w:w="1903" w:type="dxa"/>
            <w:vAlign w:val="center"/>
          </w:tcPr>
          <w:p w14:paraId="796E0499">
            <w:pPr>
              <w:widowControl/>
              <w:autoSpaceDE w:val="0"/>
              <w:jc w:val="center"/>
              <w:textAlignment w:val="center"/>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bidi="ar"/>
              </w:rPr>
              <w:t>茶几3</w:t>
            </w:r>
          </w:p>
        </w:tc>
        <w:tc>
          <w:tcPr>
            <w:tcW w:w="4284" w:type="dxa"/>
          </w:tcPr>
          <w:p w14:paraId="0CB349F6">
            <w:pPr>
              <w:jc w:val="center"/>
              <w:rPr>
                <w:rFonts w:hint="eastAsia" w:ascii="宋体" w:hAnsi="宋体" w:eastAsia="宋体" w:cs="宋体"/>
                <w:color w:val="auto"/>
                <w:highlight w:val="none"/>
              </w:rPr>
            </w:pPr>
            <w:r>
              <w:rPr>
                <w:color w:val="auto"/>
                <w:highlight w:val="none"/>
              </w:rPr>
              <w:drawing>
                <wp:inline distT="0" distB="0" distL="114300" distR="114300">
                  <wp:extent cx="972185" cy="357505"/>
                  <wp:effectExtent l="0" t="0" r="18415" b="4445"/>
                  <wp:docPr id="22" name="图片_143"/>
                  <wp:cNvGraphicFramePr/>
                  <a:graphic xmlns:a="http://schemas.openxmlformats.org/drawingml/2006/main">
                    <a:graphicData uri="http://schemas.openxmlformats.org/drawingml/2006/picture">
                      <pic:pic xmlns:pic="http://schemas.openxmlformats.org/drawingml/2006/picture">
                        <pic:nvPicPr>
                          <pic:cNvPr id="22" name="图片_143"/>
                          <pic:cNvPicPr/>
                        </pic:nvPicPr>
                        <pic:blipFill>
                          <a:blip r:embed="rId25"/>
                          <a:stretch>
                            <a:fillRect/>
                          </a:stretch>
                        </pic:blipFill>
                        <pic:spPr>
                          <a:xfrm>
                            <a:off x="0" y="0"/>
                            <a:ext cx="972185" cy="357505"/>
                          </a:xfrm>
                          <a:prstGeom prst="rect">
                            <a:avLst/>
                          </a:prstGeom>
                          <a:noFill/>
                          <a:ln>
                            <a:noFill/>
                          </a:ln>
                        </pic:spPr>
                      </pic:pic>
                    </a:graphicData>
                  </a:graphic>
                </wp:inline>
              </w:drawing>
            </w:r>
          </w:p>
        </w:tc>
        <w:tc>
          <w:tcPr>
            <w:tcW w:w="2138" w:type="dxa"/>
            <w:vAlign w:val="center"/>
          </w:tcPr>
          <w:p w14:paraId="552916E4">
            <w:pPr>
              <w:jc w:val="center"/>
              <w:rPr>
                <w:rFonts w:hint="eastAsia" w:ascii="宋体" w:hAnsi="宋体" w:eastAsia="宋体" w:cs="宋体"/>
                <w:color w:val="auto"/>
                <w:highlight w:val="none"/>
              </w:rPr>
            </w:pPr>
            <w:r>
              <w:rPr>
                <w:rFonts w:ascii="宋体" w:hAnsi="宋体" w:eastAsia="宋体" w:cs="宋体"/>
                <w:color w:val="auto"/>
                <w:highlight w:val="none"/>
              </w:rPr>
              <w:t>办公楼</w:t>
            </w:r>
          </w:p>
        </w:tc>
      </w:tr>
      <w:tr w14:paraId="12F02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88" w:type="dxa"/>
            <w:vAlign w:val="center"/>
          </w:tcPr>
          <w:p w14:paraId="1438F5F1">
            <w:pPr>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0</w:t>
            </w:r>
          </w:p>
        </w:tc>
        <w:tc>
          <w:tcPr>
            <w:tcW w:w="1903" w:type="dxa"/>
            <w:vAlign w:val="center"/>
          </w:tcPr>
          <w:p w14:paraId="683FCBA8">
            <w:pPr>
              <w:widowControl/>
              <w:autoSpaceDE w:val="0"/>
              <w:jc w:val="center"/>
              <w:textAlignment w:val="center"/>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bidi="ar"/>
              </w:rPr>
              <w:t>更衣柜</w:t>
            </w:r>
          </w:p>
        </w:tc>
        <w:tc>
          <w:tcPr>
            <w:tcW w:w="4284" w:type="dxa"/>
          </w:tcPr>
          <w:p w14:paraId="7274D334">
            <w:pPr>
              <w:jc w:val="center"/>
              <w:rPr>
                <w:rFonts w:hint="eastAsia" w:ascii="宋体" w:hAnsi="宋体" w:eastAsia="宋体" w:cs="宋体"/>
                <w:color w:val="auto"/>
                <w:highlight w:val="none"/>
              </w:rPr>
            </w:pPr>
            <w:r>
              <w:rPr>
                <w:color w:val="auto"/>
                <w:highlight w:val="none"/>
              </w:rPr>
              <w:drawing>
                <wp:inline distT="0" distB="0" distL="114300" distR="114300">
                  <wp:extent cx="308610" cy="466725"/>
                  <wp:effectExtent l="0" t="0" r="15240" b="9525"/>
                  <wp:docPr id="23" name="图片_123"/>
                  <wp:cNvGraphicFramePr/>
                  <a:graphic xmlns:a="http://schemas.openxmlformats.org/drawingml/2006/main">
                    <a:graphicData uri="http://schemas.openxmlformats.org/drawingml/2006/picture">
                      <pic:pic xmlns:pic="http://schemas.openxmlformats.org/drawingml/2006/picture">
                        <pic:nvPicPr>
                          <pic:cNvPr id="23" name="图片_123"/>
                          <pic:cNvPicPr/>
                        </pic:nvPicPr>
                        <pic:blipFill>
                          <a:blip r:embed="rId26"/>
                          <a:stretch>
                            <a:fillRect/>
                          </a:stretch>
                        </pic:blipFill>
                        <pic:spPr>
                          <a:xfrm>
                            <a:off x="0" y="0"/>
                            <a:ext cx="308610" cy="466725"/>
                          </a:xfrm>
                          <a:prstGeom prst="rect">
                            <a:avLst/>
                          </a:prstGeom>
                          <a:noFill/>
                          <a:ln>
                            <a:noFill/>
                          </a:ln>
                        </pic:spPr>
                      </pic:pic>
                    </a:graphicData>
                  </a:graphic>
                </wp:inline>
              </w:drawing>
            </w:r>
          </w:p>
        </w:tc>
        <w:tc>
          <w:tcPr>
            <w:tcW w:w="2138" w:type="dxa"/>
            <w:vAlign w:val="center"/>
          </w:tcPr>
          <w:p w14:paraId="06D776AB">
            <w:pPr>
              <w:jc w:val="center"/>
              <w:rPr>
                <w:rFonts w:hint="eastAsia" w:ascii="宋体" w:hAnsi="宋体" w:eastAsia="宋体" w:cs="宋体"/>
                <w:color w:val="auto"/>
                <w:highlight w:val="none"/>
              </w:rPr>
            </w:pPr>
            <w:r>
              <w:rPr>
                <w:rFonts w:ascii="宋体" w:hAnsi="宋体" w:eastAsia="宋体" w:cs="宋体"/>
                <w:color w:val="auto"/>
                <w:highlight w:val="none"/>
              </w:rPr>
              <w:t>办公楼更衣室</w:t>
            </w:r>
          </w:p>
        </w:tc>
      </w:tr>
      <w:tr w14:paraId="1DFA7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88" w:type="dxa"/>
            <w:vAlign w:val="center"/>
          </w:tcPr>
          <w:p w14:paraId="22E8150D">
            <w:pPr>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1</w:t>
            </w:r>
          </w:p>
        </w:tc>
        <w:tc>
          <w:tcPr>
            <w:tcW w:w="1903" w:type="dxa"/>
            <w:vAlign w:val="center"/>
          </w:tcPr>
          <w:p w14:paraId="3C7C5270">
            <w:pPr>
              <w:widowControl/>
              <w:autoSpaceDE w:val="0"/>
              <w:jc w:val="center"/>
              <w:textAlignment w:val="center"/>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bidi="ar"/>
              </w:rPr>
              <w:t>更衣凳</w:t>
            </w:r>
          </w:p>
        </w:tc>
        <w:tc>
          <w:tcPr>
            <w:tcW w:w="4284" w:type="dxa"/>
          </w:tcPr>
          <w:p w14:paraId="08736DCE">
            <w:pPr>
              <w:jc w:val="center"/>
              <w:rPr>
                <w:rFonts w:hint="eastAsia" w:ascii="宋体" w:hAnsi="宋体" w:eastAsia="宋体" w:cs="宋体"/>
                <w:color w:val="auto"/>
                <w:highlight w:val="none"/>
              </w:rPr>
            </w:pPr>
            <w:r>
              <w:rPr>
                <w:color w:val="auto"/>
                <w:highlight w:val="none"/>
              </w:rPr>
              <w:drawing>
                <wp:inline distT="0" distB="0" distL="114300" distR="114300">
                  <wp:extent cx="663575" cy="410845"/>
                  <wp:effectExtent l="0" t="0" r="3175" b="8255"/>
                  <wp:docPr id="24" name="图片_13"/>
                  <wp:cNvGraphicFramePr/>
                  <a:graphic xmlns:a="http://schemas.openxmlformats.org/drawingml/2006/main">
                    <a:graphicData uri="http://schemas.openxmlformats.org/drawingml/2006/picture">
                      <pic:pic xmlns:pic="http://schemas.openxmlformats.org/drawingml/2006/picture">
                        <pic:nvPicPr>
                          <pic:cNvPr id="24" name="图片_13"/>
                          <pic:cNvPicPr/>
                        </pic:nvPicPr>
                        <pic:blipFill>
                          <a:blip r:embed="rId27"/>
                          <a:stretch>
                            <a:fillRect/>
                          </a:stretch>
                        </pic:blipFill>
                        <pic:spPr>
                          <a:xfrm>
                            <a:off x="0" y="0"/>
                            <a:ext cx="663575" cy="410845"/>
                          </a:xfrm>
                          <a:prstGeom prst="rect">
                            <a:avLst/>
                          </a:prstGeom>
                          <a:noFill/>
                          <a:ln>
                            <a:noFill/>
                          </a:ln>
                        </pic:spPr>
                      </pic:pic>
                    </a:graphicData>
                  </a:graphic>
                </wp:inline>
              </w:drawing>
            </w:r>
          </w:p>
        </w:tc>
        <w:tc>
          <w:tcPr>
            <w:tcW w:w="2138" w:type="dxa"/>
            <w:vAlign w:val="center"/>
          </w:tcPr>
          <w:p w14:paraId="4F482684">
            <w:pPr>
              <w:jc w:val="center"/>
              <w:rPr>
                <w:rFonts w:hint="eastAsia" w:ascii="宋体" w:hAnsi="宋体" w:eastAsia="宋体" w:cs="宋体"/>
                <w:color w:val="auto"/>
                <w:highlight w:val="none"/>
              </w:rPr>
            </w:pPr>
            <w:r>
              <w:rPr>
                <w:rFonts w:ascii="宋体" w:hAnsi="宋体" w:eastAsia="宋体" w:cs="宋体"/>
                <w:color w:val="auto"/>
                <w:highlight w:val="none"/>
              </w:rPr>
              <w:t>办公楼更衣室</w:t>
            </w:r>
          </w:p>
        </w:tc>
      </w:tr>
      <w:tr w14:paraId="08703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88" w:type="dxa"/>
            <w:vAlign w:val="center"/>
          </w:tcPr>
          <w:p w14:paraId="2C8E25AF">
            <w:pPr>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2</w:t>
            </w:r>
          </w:p>
        </w:tc>
        <w:tc>
          <w:tcPr>
            <w:tcW w:w="1903" w:type="dxa"/>
            <w:vAlign w:val="center"/>
          </w:tcPr>
          <w:p w14:paraId="6448872F">
            <w:pPr>
              <w:widowControl/>
              <w:autoSpaceDE w:val="0"/>
              <w:jc w:val="center"/>
              <w:textAlignment w:val="center"/>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bidi="ar"/>
              </w:rPr>
              <w:t>值班床</w:t>
            </w:r>
          </w:p>
        </w:tc>
        <w:tc>
          <w:tcPr>
            <w:tcW w:w="4284" w:type="dxa"/>
          </w:tcPr>
          <w:p w14:paraId="4D770365">
            <w:pPr>
              <w:jc w:val="center"/>
              <w:rPr>
                <w:rFonts w:hint="eastAsia" w:ascii="宋体" w:hAnsi="宋体" w:eastAsia="宋体" w:cs="宋体"/>
                <w:color w:val="auto"/>
                <w:highlight w:val="none"/>
              </w:rPr>
            </w:pPr>
            <w:r>
              <w:rPr>
                <w:color w:val="auto"/>
                <w:highlight w:val="none"/>
              </w:rPr>
              <w:drawing>
                <wp:inline distT="0" distB="0" distL="114300" distR="114300">
                  <wp:extent cx="762000" cy="407670"/>
                  <wp:effectExtent l="0" t="0" r="0" b="11430"/>
                  <wp:docPr id="25" name="图片_209"/>
                  <wp:cNvGraphicFramePr/>
                  <a:graphic xmlns:a="http://schemas.openxmlformats.org/drawingml/2006/main">
                    <a:graphicData uri="http://schemas.openxmlformats.org/drawingml/2006/picture">
                      <pic:pic xmlns:pic="http://schemas.openxmlformats.org/drawingml/2006/picture">
                        <pic:nvPicPr>
                          <pic:cNvPr id="25" name="图片_209"/>
                          <pic:cNvPicPr/>
                        </pic:nvPicPr>
                        <pic:blipFill>
                          <a:blip r:embed="rId28"/>
                          <a:stretch>
                            <a:fillRect/>
                          </a:stretch>
                        </pic:blipFill>
                        <pic:spPr>
                          <a:xfrm>
                            <a:off x="0" y="0"/>
                            <a:ext cx="762000" cy="407670"/>
                          </a:xfrm>
                          <a:prstGeom prst="rect">
                            <a:avLst/>
                          </a:prstGeom>
                          <a:noFill/>
                          <a:ln>
                            <a:noFill/>
                          </a:ln>
                        </pic:spPr>
                      </pic:pic>
                    </a:graphicData>
                  </a:graphic>
                </wp:inline>
              </w:drawing>
            </w:r>
          </w:p>
        </w:tc>
        <w:tc>
          <w:tcPr>
            <w:tcW w:w="2138" w:type="dxa"/>
            <w:vAlign w:val="center"/>
          </w:tcPr>
          <w:p w14:paraId="69CA140D">
            <w:pPr>
              <w:jc w:val="center"/>
              <w:rPr>
                <w:rFonts w:hint="eastAsia" w:ascii="宋体" w:hAnsi="宋体" w:eastAsia="宋体" w:cs="宋体"/>
                <w:color w:val="auto"/>
                <w:highlight w:val="none"/>
              </w:rPr>
            </w:pPr>
            <w:r>
              <w:rPr>
                <w:rFonts w:ascii="宋体" w:hAnsi="宋体" w:eastAsia="宋体" w:cs="宋体"/>
                <w:color w:val="auto"/>
                <w:highlight w:val="none"/>
              </w:rPr>
              <w:t>办公楼值班室</w:t>
            </w:r>
          </w:p>
        </w:tc>
      </w:tr>
      <w:tr w14:paraId="13A6B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88" w:type="dxa"/>
            <w:vAlign w:val="center"/>
          </w:tcPr>
          <w:p w14:paraId="544E2FE4">
            <w:pPr>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3</w:t>
            </w:r>
          </w:p>
        </w:tc>
        <w:tc>
          <w:tcPr>
            <w:tcW w:w="1903" w:type="dxa"/>
            <w:vAlign w:val="center"/>
          </w:tcPr>
          <w:p w14:paraId="56900EAD">
            <w:pPr>
              <w:widowControl/>
              <w:autoSpaceDE w:val="0"/>
              <w:jc w:val="center"/>
              <w:textAlignment w:val="center"/>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bidi="ar"/>
              </w:rPr>
              <w:t>床垫1</w:t>
            </w:r>
          </w:p>
        </w:tc>
        <w:tc>
          <w:tcPr>
            <w:tcW w:w="4284" w:type="dxa"/>
          </w:tcPr>
          <w:p w14:paraId="6F8FDC4F">
            <w:pPr>
              <w:jc w:val="center"/>
              <w:rPr>
                <w:rFonts w:hint="eastAsia" w:ascii="宋体" w:hAnsi="宋体" w:eastAsia="宋体" w:cs="宋体"/>
                <w:color w:val="auto"/>
                <w:highlight w:val="none"/>
              </w:rPr>
            </w:pPr>
            <w:r>
              <w:rPr>
                <w:color w:val="auto"/>
                <w:highlight w:val="none"/>
              </w:rPr>
              <w:drawing>
                <wp:inline distT="0" distB="0" distL="114300" distR="114300">
                  <wp:extent cx="728980" cy="286385"/>
                  <wp:effectExtent l="0" t="0" r="13970" b="18415"/>
                  <wp:docPr id="26" name="图片_211"/>
                  <wp:cNvGraphicFramePr/>
                  <a:graphic xmlns:a="http://schemas.openxmlformats.org/drawingml/2006/main">
                    <a:graphicData uri="http://schemas.openxmlformats.org/drawingml/2006/picture">
                      <pic:pic xmlns:pic="http://schemas.openxmlformats.org/drawingml/2006/picture">
                        <pic:nvPicPr>
                          <pic:cNvPr id="26" name="图片_211"/>
                          <pic:cNvPicPr/>
                        </pic:nvPicPr>
                        <pic:blipFill>
                          <a:blip r:embed="rId29"/>
                          <a:stretch>
                            <a:fillRect/>
                          </a:stretch>
                        </pic:blipFill>
                        <pic:spPr>
                          <a:xfrm>
                            <a:off x="0" y="0"/>
                            <a:ext cx="728980" cy="286385"/>
                          </a:xfrm>
                          <a:prstGeom prst="rect">
                            <a:avLst/>
                          </a:prstGeom>
                          <a:noFill/>
                          <a:ln>
                            <a:noFill/>
                          </a:ln>
                        </pic:spPr>
                      </pic:pic>
                    </a:graphicData>
                  </a:graphic>
                </wp:inline>
              </w:drawing>
            </w:r>
          </w:p>
        </w:tc>
        <w:tc>
          <w:tcPr>
            <w:tcW w:w="2138" w:type="dxa"/>
            <w:vAlign w:val="center"/>
          </w:tcPr>
          <w:p w14:paraId="7D03BE41">
            <w:pPr>
              <w:jc w:val="center"/>
              <w:rPr>
                <w:rFonts w:hint="eastAsia" w:ascii="宋体" w:hAnsi="宋体" w:eastAsia="宋体" w:cs="宋体"/>
                <w:color w:val="auto"/>
                <w:highlight w:val="none"/>
              </w:rPr>
            </w:pPr>
            <w:r>
              <w:rPr>
                <w:rFonts w:ascii="宋体" w:hAnsi="宋体" w:eastAsia="宋体" w:cs="宋体"/>
                <w:color w:val="auto"/>
                <w:highlight w:val="none"/>
              </w:rPr>
              <w:t>办公楼值班室</w:t>
            </w:r>
          </w:p>
        </w:tc>
      </w:tr>
      <w:tr w14:paraId="45905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88" w:type="dxa"/>
            <w:vAlign w:val="center"/>
          </w:tcPr>
          <w:p w14:paraId="7CFB59F7">
            <w:pPr>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4</w:t>
            </w:r>
          </w:p>
        </w:tc>
        <w:tc>
          <w:tcPr>
            <w:tcW w:w="1903" w:type="dxa"/>
            <w:vAlign w:val="center"/>
          </w:tcPr>
          <w:p w14:paraId="51B75F4D">
            <w:pPr>
              <w:widowControl/>
              <w:autoSpaceDE w:val="0"/>
              <w:jc w:val="center"/>
              <w:textAlignment w:val="center"/>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bidi="ar"/>
              </w:rPr>
              <w:t>造型墙柜</w:t>
            </w:r>
          </w:p>
        </w:tc>
        <w:tc>
          <w:tcPr>
            <w:tcW w:w="4284" w:type="dxa"/>
          </w:tcPr>
          <w:p w14:paraId="02CFEF82">
            <w:pPr>
              <w:jc w:val="center"/>
              <w:rPr>
                <w:rFonts w:hint="eastAsia" w:ascii="宋体" w:hAnsi="宋体" w:eastAsia="宋体" w:cs="宋体"/>
                <w:color w:val="auto"/>
                <w:highlight w:val="none"/>
              </w:rPr>
            </w:pPr>
            <w:r>
              <w:rPr>
                <w:color w:val="auto"/>
                <w:highlight w:val="none"/>
              </w:rPr>
              <w:drawing>
                <wp:inline distT="0" distB="0" distL="114300" distR="114300">
                  <wp:extent cx="1242695" cy="1226820"/>
                  <wp:effectExtent l="0" t="0" r="14605" b="11430"/>
                  <wp:docPr id="5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pic:cNvPicPr>
                            <a:picLocks noChangeAspect="1"/>
                          </pic:cNvPicPr>
                        </pic:nvPicPr>
                        <pic:blipFill>
                          <a:blip r:embed="rId30"/>
                          <a:stretch>
                            <a:fillRect/>
                          </a:stretch>
                        </pic:blipFill>
                        <pic:spPr>
                          <a:xfrm>
                            <a:off x="0" y="0"/>
                            <a:ext cx="1242695" cy="1226820"/>
                          </a:xfrm>
                          <a:prstGeom prst="rect">
                            <a:avLst/>
                          </a:prstGeom>
                        </pic:spPr>
                      </pic:pic>
                    </a:graphicData>
                  </a:graphic>
                </wp:inline>
              </w:drawing>
            </w:r>
          </w:p>
        </w:tc>
        <w:tc>
          <w:tcPr>
            <w:tcW w:w="2138" w:type="dxa"/>
            <w:vAlign w:val="center"/>
          </w:tcPr>
          <w:p w14:paraId="7E23FC3B">
            <w:pPr>
              <w:jc w:val="center"/>
              <w:rPr>
                <w:rFonts w:hint="eastAsia" w:ascii="宋体" w:hAnsi="宋体" w:eastAsia="宋体" w:cs="宋体"/>
                <w:color w:val="auto"/>
                <w:highlight w:val="none"/>
              </w:rPr>
            </w:pPr>
            <w:r>
              <w:rPr>
                <w:rFonts w:ascii="宋体" w:hAnsi="宋体" w:eastAsia="宋体" w:cs="宋体"/>
                <w:color w:val="auto"/>
                <w:highlight w:val="none"/>
              </w:rPr>
              <w:t>办公楼书屋</w:t>
            </w:r>
          </w:p>
        </w:tc>
      </w:tr>
      <w:tr w14:paraId="6B34E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88" w:type="dxa"/>
            <w:vAlign w:val="center"/>
          </w:tcPr>
          <w:p w14:paraId="4C93AC30">
            <w:pPr>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5</w:t>
            </w:r>
          </w:p>
        </w:tc>
        <w:tc>
          <w:tcPr>
            <w:tcW w:w="1903" w:type="dxa"/>
            <w:vAlign w:val="center"/>
          </w:tcPr>
          <w:p w14:paraId="58417D9C">
            <w:pPr>
              <w:widowControl/>
              <w:autoSpaceDE w:val="0"/>
              <w:jc w:val="center"/>
              <w:textAlignment w:val="center"/>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bidi="ar"/>
              </w:rPr>
              <w:t>读书墙柜</w:t>
            </w:r>
          </w:p>
        </w:tc>
        <w:tc>
          <w:tcPr>
            <w:tcW w:w="4284" w:type="dxa"/>
          </w:tcPr>
          <w:p w14:paraId="637CB125">
            <w:pPr>
              <w:jc w:val="center"/>
              <w:rPr>
                <w:rFonts w:hint="eastAsia" w:ascii="宋体" w:hAnsi="宋体" w:eastAsia="宋体" w:cs="宋体"/>
                <w:color w:val="auto"/>
                <w:highlight w:val="none"/>
              </w:rPr>
            </w:pPr>
            <w:r>
              <w:rPr>
                <w:color w:val="auto"/>
                <w:highlight w:val="none"/>
              </w:rPr>
              <w:drawing>
                <wp:inline distT="0" distB="0" distL="114300" distR="114300">
                  <wp:extent cx="1540510" cy="753110"/>
                  <wp:effectExtent l="0" t="0" r="2540" b="8890"/>
                  <wp:docPr id="5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2"/>
                          <pic:cNvPicPr>
                            <a:picLocks noChangeAspect="1"/>
                          </pic:cNvPicPr>
                        </pic:nvPicPr>
                        <pic:blipFill>
                          <a:blip r:embed="rId31"/>
                          <a:stretch>
                            <a:fillRect/>
                          </a:stretch>
                        </pic:blipFill>
                        <pic:spPr>
                          <a:xfrm>
                            <a:off x="0" y="0"/>
                            <a:ext cx="1540510" cy="753110"/>
                          </a:xfrm>
                          <a:prstGeom prst="rect">
                            <a:avLst/>
                          </a:prstGeom>
                        </pic:spPr>
                      </pic:pic>
                    </a:graphicData>
                  </a:graphic>
                </wp:inline>
              </w:drawing>
            </w:r>
          </w:p>
        </w:tc>
        <w:tc>
          <w:tcPr>
            <w:tcW w:w="2138" w:type="dxa"/>
            <w:vAlign w:val="center"/>
          </w:tcPr>
          <w:p w14:paraId="41A4D2B9">
            <w:pPr>
              <w:jc w:val="center"/>
              <w:rPr>
                <w:rFonts w:hint="eastAsia" w:ascii="宋体" w:hAnsi="宋体" w:eastAsia="宋体" w:cs="宋体"/>
                <w:color w:val="auto"/>
                <w:highlight w:val="none"/>
              </w:rPr>
            </w:pPr>
            <w:r>
              <w:rPr>
                <w:rFonts w:ascii="宋体" w:hAnsi="宋体" w:eastAsia="宋体" w:cs="宋体"/>
                <w:color w:val="auto"/>
                <w:highlight w:val="none"/>
              </w:rPr>
              <w:t>办公楼书屋</w:t>
            </w:r>
          </w:p>
        </w:tc>
      </w:tr>
      <w:tr w14:paraId="19DC9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88" w:type="dxa"/>
            <w:vAlign w:val="center"/>
          </w:tcPr>
          <w:p w14:paraId="6894CA0F">
            <w:pPr>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6</w:t>
            </w:r>
          </w:p>
        </w:tc>
        <w:tc>
          <w:tcPr>
            <w:tcW w:w="1903" w:type="dxa"/>
            <w:vAlign w:val="center"/>
          </w:tcPr>
          <w:p w14:paraId="2F189EF5">
            <w:pPr>
              <w:widowControl/>
              <w:autoSpaceDE w:val="0"/>
              <w:jc w:val="center"/>
              <w:textAlignment w:val="center"/>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bidi="ar"/>
              </w:rPr>
              <w:t>隔断门扇</w:t>
            </w:r>
          </w:p>
        </w:tc>
        <w:tc>
          <w:tcPr>
            <w:tcW w:w="4284" w:type="dxa"/>
          </w:tcPr>
          <w:p w14:paraId="5E96D9FE">
            <w:pPr>
              <w:jc w:val="center"/>
              <w:rPr>
                <w:rFonts w:hint="eastAsia" w:ascii="宋体" w:hAnsi="宋体" w:eastAsia="宋体" w:cs="宋体"/>
                <w:color w:val="auto"/>
                <w:highlight w:val="none"/>
              </w:rPr>
            </w:pPr>
            <w:r>
              <w:rPr>
                <w:color w:val="auto"/>
                <w:highlight w:val="none"/>
              </w:rPr>
              <w:drawing>
                <wp:inline distT="0" distB="0" distL="114300" distR="114300">
                  <wp:extent cx="1731010" cy="808355"/>
                  <wp:effectExtent l="0" t="0" r="2540" b="10795"/>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32"/>
                          <a:stretch>
                            <a:fillRect/>
                          </a:stretch>
                        </pic:blipFill>
                        <pic:spPr>
                          <a:xfrm>
                            <a:off x="0" y="0"/>
                            <a:ext cx="1731010" cy="808355"/>
                          </a:xfrm>
                          <a:prstGeom prst="rect">
                            <a:avLst/>
                          </a:prstGeom>
                        </pic:spPr>
                      </pic:pic>
                    </a:graphicData>
                  </a:graphic>
                </wp:inline>
              </w:drawing>
            </w:r>
          </w:p>
        </w:tc>
        <w:tc>
          <w:tcPr>
            <w:tcW w:w="2138" w:type="dxa"/>
            <w:vAlign w:val="center"/>
          </w:tcPr>
          <w:p w14:paraId="5C35DFEE">
            <w:pPr>
              <w:jc w:val="center"/>
              <w:rPr>
                <w:rFonts w:hint="eastAsia" w:ascii="宋体" w:hAnsi="宋体" w:eastAsia="宋体" w:cs="宋体"/>
                <w:color w:val="auto"/>
                <w:highlight w:val="none"/>
              </w:rPr>
            </w:pPr>
            <w:r>
              <w:rPr>
                <w:rFonts w:ascii="宋体" w:hAnsi="宋体" w:eastAsia="宋体" w:cs="宋体"/>
                <w:color w:val="auto"/>
                <w:highlight w:val="none"/>
              </w:rPr>
              <w:t>办公楼书屋</w:t>
            </w:r>
          </w:p>
        </w:tc>
      </w:tr>
      <w:tr w14:paraId="53EC0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88" w:type="dxa"/>
            <w:vAlign w:val="center"/>
          </w:tcPr>
          <w:p w14:paraId="3E3C2FC1">
            <w:pPr>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7</w:t>
            </w:r>
          </w:p>
        </w:tc>
        <w:tc>
          <w:tcPr>
            <w:tcW w:w="1903" w:type="dxa"/>
            <w:vAlign w:val="center"/>
          </w:tcPr>
          <w:p w14:paraId="2600D7FB">
            <w:pPr>
              <w:widowControl/>
              <w:jc w:val="center"/>
              <w:textAlignment w:val="center"/>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bidi="ar"/>
              </w:rPr>
              <w:t>隔墙玻璃屏风</w:t>
            </w:r>
          </w:p>
        </w:tc>
        <w:tc>
          <w:tcPr>
            <w:tcW w:w="4284" w:type="dxa"/>
          </w:tcPr>
          <w:p w14:paraId="096A7BFF">
            <w:pPr>
              <w:jc w:val="center"/>
              <w:rPr>
                <w:rFonts w:hint="eastAsia" w:ascii="宋体" w:hAnsi="宋体" w:eastAsia="宋体" w:cs="宋体"/>
                <w:color w:val="auto"/>
                <w:highlight w:val="none"/>
              </w:rPr>
            </w:pPr>
            <w:r>
              <w:rPr>
                <w:color w:val="auto"/>
                <w:highlight w:val="none"/>
              </w:rPr>
              <w:drawing>
                <wp:inline distT="0" distB="0" distL="114300" distR="114300">
                  <wp:extent cx="812165" cy="782320"/>
                  <wp:effectExtent l="0" t="0" r="6985" b="17780"/>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pic:cNvPicPr>
                            <a:picLocks noChangeAspect="1"/>
                          </pic:cNvPicPr>
                        </pic:nvPicPr>
                        <pic:blipFill>
                          <a:blip r:embed="rId33"/>
                          <a:stretch>
                            <a:fillRect/>
                          </a:stretch>
                        </pic:blipFill>
                        <pic:spPr>
                          <a:xfrm>
                            <a:off x="0" y="0"/>
                            <a:ext cx="812165" cy="782320"/>
                          </a:xfrm>
                          <a:prstGeom prst="rect">
                            <a:avLst/>
                          </a:prstGeom>
                        </pic:spPr>
                      </pic:pic>
                    </a:graphicData>
                  </a:graphic>
                </wp:inline>
              </w:drawing>
            </w:r>
          </w:p>
        </w:tc>
        <w:tc>
          <w:tcPr>
            <w:tcW w:w="2138" w:type="dxa"/>
            <w:vAlign w:val="center"/>
          </w:tcPr>
          <w:p w14:paraId="5523A7DF">
            <w:pPr>
              <w:jc w:val="center"/>
              <w:rPr>
                <w:rFonts w:hint="eastAsia" w:ascii="宋体" w:hAnsi="宋体" w:eastAsia="宋体" w:cs="宋体"/>
                <w:color w:val="auto"/>
                <w:highlight w:val="none"/>
              </w:rPr>
            </w:pPr>
            <w:r>
              <w:rPr>
                <w:rFonts w:ascii="宋体" w:hAnsi="宋体" w:eastAsia="宋体" w:cs="宋体"/>
                <w:color w:val="auto"/>
                <w:highlight w:val="none"/>
              </w:rPr>
              <w:t>办公楼书屋</w:t>
            </w:r>
          </w:p>
        </w:tc>
      </w:tr>
      <w:tr w14:paraId="47BD6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88" w:type="dxa"/>
            <w:vAlign w:val="center"/>
          </w:tcPr>
          <w:p w14:paraId="20A4AA1B">
            <w:pPr>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8</w:t>
            </w:r>
          </w:p>
        </w:tc>
        <w:tc>
          <w:tcPr>
            <w:tcW w:w="1903" w:type="dxa"/>
            <w:vAlign w:val="center"/>
          </w:tcPr>
          <w:p w14:paraId="681E991C">
            <w:pPr>
              <w:widowControl/>
              <w:jc w:val="center"/>
              <w:textAlignment w:val="center"/>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bidi="ar"/>
              </w:rPr>
              <w:t>休闲桌2</w:t>
            </w:r>
          </w:p>
        </w:tc>
        <w:tc>
          <w:tcPr>
            <w:tcW w:w="4284" w:type="dxa"/>
          </w:tcPr>
          <w:p w14:paraId="78E4B610">
            <w:pPr>
              <w:jc w:val="center"/>
              <w:rPr>
                <w:rFonts w:hint="eastAsia" w:ascii="宋体" w:hAnsi="宋体" w:eastAsia="宋体" w:cs="宋体"/>
                <w:color w:val="auto"/>
                <w:highlight w:val="none"/>
              </w:rPr>
            </w:pPr>
            <w:r>
              <w:rPr>
                <w:color w:val="auto"/>
                <w:highlight w:val="none"/>
              </w:rPr>
              <w:drawing>
                <wp:inline distT="0" distB="0" distL="114300" distR="114300">
                  <wp:extent cx="1532255" cy="810895"/>
                  <wp:effectExtent l="0" t="0" r="10795" b="8255"/>
                  <wp:docPr id="5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pic:cNvPicPr>
                            <a:picLocks noChangeAspect="1"/>
                          </pic:cNvPicPr>
                        </pic:nvPicPr>
                        <pic:blipFill>
                          <a:blip r:embed="rId34"/>
                          <a:stretch>
                            <a:fillRect/>
                          </a:stretch>
                        </pic:blipFill>
                        <pic:spPr>
                          <a:xfrm>
                            <a:off x="0" y="0"/>
                            <a:ext cx="1532255" cy="810895"/>
                          </a:xfrm>
                          <a:prstGeom prst="rect">
                            <a:avLst/>
                          </a:prstGeom>
                        </pic:spPr>
                      </pic:pic>
                    </a:graphicData>
                  </a:graphic>
                </wp:inline>
              </w:drawing>
            </w:r>
          </w:p>
        </w:tc>
        <w:tc>
          <w:tcPr>
            <w:tcW w:w="2138" w:type="dxa"/>
            <w:vAlign w:val="center"/>
          </w:tcPr>
          <w:p w14:paraId="79297D6B">
            <w:pPr>
              <w:jc w:val="center"/>
              <w:rPr>
                <w:rFonts w:hint="eastAsia" w:ascii="宋体" w:hAnsi="宋体" w:eastAsia="宋体" w:cs="宋体"/>
                <w:color w:val="auto"/>
                <w:highlight w:val="none"/>
              </w:rPr>
            </w:pPr>
            <w:r>
              <w:rPr>
                <w:rFonts w:ascii="宋体" w:hAnsi="宋体" w:eastAsia="宋体" w:cs="宋体"/>
                <w:color w:val="auto"/>
                <w:highlight w:val="none"/>
              </w:rPr>
              <w:t>办公楼书屋</w:t>
            </w:r>
          </w:p>
        </w:tc>
      </w:tr>
      <w:tr w14:paraId="02201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88" w:type="dxa"/>
            <w:vAlign w:val="center"/>
          </w:tcPr>
          <w:p w14:paraId="48AEA195">
            <w:pPr>
              <w:jc w:val="center"/>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29</w:t>
            </w:r>
          </w:p>
        </w:tc>
        <w:tc>
          <w:tcPr>
            <w:tcW w:w="1903" w:type="dxa"/>
            <w:vAlign w:val="center"/>
          </w:tcPr>
          <w:p w14:paraId="6E79A798">
            <w:pPr>
              <w:widowControl/>
              <w:jc w:val="center"/>
              <w:textAlignment w:val="center"/>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bidi="ar"/>
              </w:rPr>
              <w:t>休闲椅2</w:t>
            </w:r>
          </w:p>
        </w:tc>
        <w:tc>
          <w:tcPr>
            <w:tcW w:w="4284" w:type="dxa"/>
          </w:tcPr>
          <w:p w14:paraId="4C1F6396">
            <w:pPr>
              <w:jc w:val="center"/>
              <w:rPr>
                <w:rFonts w:hint="eastAsia" w:ascii="宋体" w:hAnsi="宋体" w:eastAsia="宋体" w:cs="宋体"/>
                <w:color w:val="auto"/>
                <w:highlight w:val="none"/>
              </w:rPr>
            </w:pPr>
            <w:r>
              <w:rPr>
                <w:color w:val="auto"/>
                <w:highlight w:val="none"/>
              </w:rPr>
              <w:drawing>
                <wp:inline distT="0" distB="0" distL="114300" distR="114300">
                  <wp:extent cx="1532255" cy="810895"/>
                  <wp:effectExtent l="0" t="0" r="10795" b="8255"/>
                  <wp:docPr id="5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4"/>
                          <pic:cNvPicPr>
                            <a:picLocks noChangeAspect="1"/>
                          </pic:cNvPicPr>
                        </pic:nvPicPr>
                        <pic:blipFill>
                          <a:blip r:embed="rId34"/>
                          <a:stretch>
                            <a:fillRect/>
                          </a:stretch>
                        </pic:blipFill>
                        <pic:spPr>
                          <a:xfrm>
                            <a:off x="0" y="0"/>
                            <a:ext cx="1532255" cy="810895"/>
                          </a:xfrm>
                          <a:prstGeom prst="rect">
                            <a:avLst/>
                          </a:prstGeom>
                        </pic:spPr>
                      </pic:pic>
                    </a:graphicData>
                  </a:graphic>
                </wp:inline>
              </w:drawing>
            </w:r>
          </w:p>
        </w:tc>
        <w:tc>
          <w:tcPr>
            <w:tcW w:w="2138" w:type="dxa"/>
            <w:vAlign w:val="center"/>
          </w:tcPr>
          <w:p w14:paraId="6B3C4496">
            <w:pPr>
              <w:jc w:val="center"/>
              <w:rPr>
                <w:rFonts w:hint="eastAsia" w:ascii="宋体" w:hAnsi="宋体" w:eastAsia="宋体" w:cs="宋体"/>
                <w:color w:val="auto"/>
                <w:highlight w:val="none"/>
              </w:rPr>
            </w:pPr>
            <w:r>
              <w:rPr>
                <w:rFonts w:ascii="宋体" w:hAnsi="宋体" w:eastAsia="宋体" w:cs="宋体"/>
                <w:color w:val="auto"/>
                <w:highlight w:val="none"/>
              </w:rPr>
              <w:t>办公楼书屋</w:t>
            </w:r>
          </w:p>
        </w:tc>
      </w:tr>
      <w:tr w14:paraId="7A39E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88" w:type="dxa"/>
            <w:vAlign w:val="center"/>
          </w:tcPr>
          <w:p w14:paraId="24733974">
            <w:pPr>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rPr>
              <w:t>3</w:t>
            </w:r>
            <w:r>
              <w:rPr>
                <w:rFonts w:hint="eastAsia" w:ascii="宋体" w:hAnsi="宋体" w:eastAsia="宋体" w:cs="宋体"/>
                <w:color w:val="auto"/>
                <w:highlight w:val="none"/>
                <w:lang w:val="en-US" w:eastAsia="zh-CN"/>
              </w:rPr>
              <w:t>0</w:t>
            </w:r>
          </w:p>
        </w:tc>
        <w:tc>
          <w:tcPr>
            <w:tcW w:w="1903" w:type="dxa"/>
            <w:vAlign w:val="center"/>
          </w:tcPr>
          <w:p w14:paraId="736FEA03">
            <w:pPr>
              <w:widowControl/>
              <w:autoSpaceDE w:val="0"/>
              <w:jc w:val="center"/>
              <w:textAlignment w:val="center"/>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bidi="ar"/>
              </w:rPr>
              <w:t>树型书架</w:t>
            </w:r>
          </w:p>
        </w:tc>
        <w:tc>
          <w:tcPr>
            <w:tcW w:w="4284" w:type="dxa"/>
          </w:tcPr>
          <w:p w14:paraId="277161E3">
            <w:pPr>
              <w:jc w:val="center"/>
              <w:rPr>
                <w:rFonts w:hint="eastAsia" w:ascii="宋体" w:hAnsi="宋体" w:eastAsia="宋体" w:cs="宋体"/>
                <w:color w:val="auto"/>
                <w:highlight w:val="none"/>
              </w:rPr>
            </w:pPr>
            <w:r>
              <w:rPr>
                <w:color w:val="auto"/>
                <w:highlight w:val="none"/>
              </w:rPr>
              <w:drawing>
                <wp:inline distT="0" distB="0" distL="114300" distR="114300">
                  <wp:extent cx="1524000" cy="880745"/>
                  <wp:effectExtent l="0" t="0" r="0" b="14605"/>
                  <wp:docPr id="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pic:cNvPicPr>
                            <a:picLocks noChangeAspect="1"/>
                          </pic:cNvPicPr>
                        </pic:nvPicPr>
                        <pic:blipFill>
                          <a:blip r:embed="rId35"/>
                          <a:stretch>
                            <a:fillRect/>
                          </a:stretch>
                        </pic:blipFill>
                        <pic:spPr>
                          <a:xfrm>
                            <a:off x="0" y="0"/>
                            <a:ext cx="1524000" cy="880745"/>
                          </a:xfrm>
                          <a:prstGeom prst="rect">
                            <a:avLst/>
                          </a:prstGeom>
                        </pic:spPr>
                      </pic:pic>
                    </a:graphicData>
                  </a:graphic>
                </wp:inline>
              </w:drawing>
            </w:r>
          </w:p>
        </w:tc>
        <w:tc>
          <w:tcPr>
            <w:tcW w:w="2138" w:type="dxa"/>
            <w:vAlign w:val="center"/>
          </w:tcPr>
          <w:p w14:paraId="43C5116A">
            <w:pPr>
              <w:jc w:val="center"/>
              <w:rPr>
                <w:rFonts w:hint="eastAsia" w:ascii="宋体" w:hAnsi="宋体" w:eastAsia="宋体" w:cs="宋体"/>
                <w:color w:val="auto"/>
                <w:highlight w:val="none"/>
              </w:rPr>
            </w:pPr>
            <w:r>
              <w:rPr>
                <w:rFonts w:ascii="宋体" w:hAnsi="宋体" w:eastAsia="宋体" w:cs="宋体"/>
                <w:color w:val="auto"/>
                <w:highlight w:val="none"/>
              </w:rPr>
              <w:t>办公楼书屋</w:t>
            </w:r>
          </w:p>
        </w:tc>
      </w:tr>
      <w:tr w14:paraId="54614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88" w:type="dxa"/>
            <w:vAlign w:val="center"/>
          </w:tcPr>
          <w:p w14:paraId="19A2F98D">
            <w:pPr>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rPr>
              <w:t>3</w:t>
            </w:r>
            <w:r>
              <w:rPr>
                <w:rFonts w:hint="eastAsia" w:ascii="宋体" w:hAnsi="宋体" w:eastAsia="宋体" w:cs="宋体"/>
                <w:color w:val="auto"/>
                <w:highlight w:val="none"/>
                <w:lang w:val="en-US" w:eastAsia="zh-CN"/>
              </w:rPr>
              <w:t>1</w:t>
            </w:r>
          </w:p>
        </w:tc>
        <w:tc>
          <w:tcPr>
            <w:tcW w:w="1903" w:type="dxa"/>
            <w:vAlign w:val="center"/>
          </w:tcPr>
          <w:p w14:paraId="1C4C5970">
            <w:pPr>
              <w:widowControl/>
              <w:autoSpaceDE w:val="0"/>
              <w:jc w:val="center"/>
              <w:textAlignment w:val="center"/>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bidi="ar"/>
              </w:rPr>
              <w:t>书架</w:t>
            </w:r>
          </w:p>
        </w:tc>
        <w:tc>
          <w:tcPr>
            <w:tcW w:w="4284" w:type="dxa"/>
          </w:tcPr>
          <w:p w14:paraId="380FCE8B">
            <w:pPr>
              <w:jc w:val="center"/>
              <w:rPr>
                <w:rFonts w:hint="eastAsia" w:ascii="宋体" w:hAnsi="宋体" w:eastAsia="宋体" w:cs="宋体"/>
                <w:color w:val="auto"/>
                <w:highlight w:val="none"/>
              </w:rPr>
            </w:pPr>
            <w:r>
              <w:rPr>
                <w:color w:val="auto"/>
                <w:highlight w:val="none"/>
              </w:rPr>
              <w:drawing>
                <wp:inline distT="0" distB="0" distL="114300" distR="114300">
                  <wp:extent cx="689610" cy="434975"/>
                  <wp:effectExtent l="0" t="0" r="15240" b="3175"/>
                  <wp:docPr id="28" name="图片_23"/>
                  <wp:cNvGraphicFramePr/>
                  <a:graphic xmlns:a="http://schemas.openxmlformats.org/drawingml/2006/main">
                    <a:graphicData uri="http://schemas.openxmlformats.org/drawingml/2006/picture">
                      <pic:pic xmlns:pic="http://schemas.openxmlformats.org/drawingml/2006/picture">
                        <pic:nvPicPr>
                          <pic:cNvPr id="28" name="图片_23"/>
                          <pic:cNvPicPr/>
                        </pic:nvPicPr>
                        <pic:blipFill>
                          <a:blip r:embed="rId36"/>
                          <a:stretch>
                            <a:fillRect/>
                          </a:stretch>
                        </pic:blipFill>
                        <pic:spPr>
                          <a:xfrm>
                            <a:off x="0" y="0"/>
                            <a:ext cx="689610" cy="434975"/>
                          </a:xfrm>
                          <a:prstGeom prst="rect">
                            <a:avLst/>
                          </a:prstGeom>
                          <a:noFill/>
                          <a:ln>
                            <a:noFill/>
                          </a:ln>
                        </pic:spPr>
                      </pic:pic>
                    </a:graphicData>
                  </a:graphic>
                </wp:inline>
              </w:drawing>
            </w:r>
          </w:p>
        </w:tc>
        <w:tc>
          <w:tcPr>
            <w:tcW w:w="2138" w:type="dxa"/>
            <w:vAlign w:val="center"/>
          </w:tcPr>
          <w:p w14:paraId="51736E75">
            <w:pPr>
              <w:jc w:val="center"/>
              <w:rPr>
                <w:rFonts w:hint="eastAsia" w:ascii="宋体" w:hAnsi="宋体" w:eastAsia="宋体" w:cs="宋体"/>
                <w:color w:val="auto"/>
                <w:highlight w:val="none"/>
              </w:rPr>
            </w:pPr>
            <w:r>
              <w:rPr>
                <w:rFonts w:ascii="宋体" w:hAnsi="宋体" w:eastAsia="宋体" w:cs="宋体"/>
                <w:color w:val="auto"/>
                <w:highlight w:val="none"/>
              </w:rPr>
              <w:t>办公楼书屋</w:t>
            </w:r>
          </w:p>
        </w:tc>
      </w:tr>
      <w:tr w14:paraId="60A3A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88" w:type="dxa"/>
            <w:vAlign w:val="center"/>
          </w:tcPr>
          <w:p w14:paraId="34142A53">
            <w:pPr>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3</w:t>
            </w:r>
            <w:r>
              <w:rPr>
                <w:rFonts w:hint="eastAsia" w:ascii="宋体" w:hAnsi="宋体" w:eastAsia="宋体" w:cs="宋体"/>
                <w:color w:val="auto"/>
                <w:highlight w:val="none"/>
                <w:lang w:val="en-US" w:eastAsia="zh-CN"/>
              </w:rPr>
              <w:t>2</w:t>
            </w:r>
          </w:p>
        </w:tc>
        <w:tc>
          <w:tcPr>
            <w:tcW w:w="1903" w:type="dxa"/>
            <w:vAlign w:val="center"/>
          </w:tcPr>
          <w:p w14:paraId="04A88613">
            <w:pPr>
              <w:widowControl/>
              <w:autoSpaceDE w:val="0"/>
              <w:jc w:val="center"/>
              <w:textAlignment w:val="center"/>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bidi="ar"/>
              </w:rPr>
              <w:t>茶几2</w:t>
            </w:r>
          </w:p>
        </w:tc>
        <w:tc>
          <w:tcPr>
            <w:tcW w:w="4284" w:type="dxa"/>
          </w:tcPr>
          <w:p w14:paraId="502C4B29">
            <w:pPr>
              <w:jc w:val="center"/>
              <w:rPr>
                <w:rFonts w:hint="eastAsia" w:ascii="宋体" w:hAnsi="宋体" w:eastAsia="宋体" w:cs="宋体"/>
                <w:color w:val="auto"/>
                <w:highlight w:val="none"/>
              </w:rPr>
            </w:pPr>
            <w:r>
              <w:rPr>
                <w:color w:val="auto"/>
                <w:highlight w:val="none"/>
              </w:rPr>
              <w:drawing>
                <wp:inline distT="0" distB="0" distL="114300" distR="114300">
                  <wp:extent cx="1887855" cy="762000"/>
                  <wp:effectExtent l="0" t="0" r="17145" b="0"/>
                  <wp:docPr id="5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5"/>
                          <pic:cNvPicPr>
                            <a:picLocks noChangeAspect="1"/>
                          </pic:cNvPicPr>
                        </pic:nvPicPr>
                        <pic:blipFill>
                          <a:blip r:embed="rId37"/>
                          <a:stretch>
                            <a:fillRect/>
                          </a:stretch>
                        </pic:blipFill>
                        <pic:spPr>
                          <a:xfrm>
                            <a:off x="0" y="0"/>
                            <a:ext cx="1887855" cy="762000"/>
                          </a:xfrm>
                          <a:prstGeom prst="rect">
                            <a:avLst/>
                          </a:prstGeom>
                        </pic:spPr>
                      </pic:pic>
                    </a:graphicData>
                  </a:graphic>
                </wp:inline>
              </w:drawing>
            </w:r>
          </w:p>
        </w:tc>
        <w:tc>
          <w:tcPr>
            <w:tcW w:w="2138" w:type="dxa"/>
            <w:vAlign w:val="center"/>
          </w:tcPr>
          <w:p w14:paraId="4E4C4FF1">
            <w:pPr>
              <w:jc w:val="center"/>
              <w:rPr>
                <w:rFonts w:hint="eastAsia" w:ascii="宋体" w:hAnsi="宋体" w:eastAsia="宋体" w:cs="宋体"/>
                <w:color w:val="auto"/>
                <w:highlight w:val="none"/>
              </w:rPr>
            </w:pPr>
            <w:r>
              <w:rPr>
                <w:rFonts w:ascii="宋体" w:hAnsi="宋体" w:eastAsia="宋体" w:cs="宋体"/>
                <w:color w:val="auto"/>
                <w:highlight w:val="none"/>
              </w:rPr>
              <w:t>办公楼书屋</w:t>
            </w:r>
          </w:p>
        </w:tc>
      </w:tr>
      <w:tr w14:paraId="7C840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88" w:type="dxa"/>
            <w:vAlign w:val="center"/>
          </w:tcPr>
          <w:p w14:paraId="015F54EB">
            <w:pPr>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rPr>
              <w:t>3</w:t>
            </w:r>
            <w:r>
              <w:rPr>
                <w:rFonts w:hint="eastAsia" w:ascii="宋体" w:hAnsi="宋体" w:eastAsia="宋体" w:cs="宋体"/>
                <w:color w:val="auto"/>
                <w:highlight w:val="none"/>
                <w:lang w:val="en-US" w:eastAsia="zh-CN"/>
              </w:rPr>
              <w:t>3</w:t>
            </w:r>
          </w:p>
        </w:tc>
        <w:tc>
          <w:tcPr>
            <w:tcW w:w="1903" w:type="dxa"/>
            <w:vAlign w:val="center"/>
          </w:tcPr>
          <w:p w14:paraId="4149718B">
            <w:pPr>
              <w:widowControl/>
              <w:autoSpaceDE w:val="0"/>
              <w:jc w:val="center"/>
              <w:textAlignment w:val="center"/>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bidi="ar"/>
              </w:rPr>
              <w:t>单人沙发2</w:t>
            </w:r>
          </w:p>
        </w:tc>
        <w:tc>
          <w:tcPr>
            <w:tcW w:w="4284" w:type="dxa"/>
          </w:tcPr>
          <w:p w14:paraId="3995C7DA">
            <w:pPr>
              <w:jc w:val="center"/>
              <w:rPr>
                <w:rFonts w:hint="eastAsia" w:ascii="宋体" w:hAnsi="宋体" w:eastAsia="宋体" w:cs="宋体"/>
                <w:color w:val="auto"/>
                <w:highlight w:val="none"/>
              </w:rPr>
            </w:pPr>
            <w:r>
              <w:rPr>
                <w:color w:val="auto"/>
                <w:highlight w:val="none"/>
              </w:rPr>
              <w:drawing>
                <wp:inline distT="0" distB="0" distL="114300" distR="114300">
                  <wp:extent cx="663575" cy="389890"/>
                  <wp:effectExtent l="0" t="0" r="3175" b="10160"/>
                  <wp:docPr id="29" name="图片_28"/>
                  <wp:cNvGraphicFramePr/>
                  <a:graphic xmlns:a="http://schemas.openxmlformats.org/drawingml/2006/main">
                    <a:graphicData uri="http://schemas.openxmlformats.org/drawingml/2006/picture">
                      <pic:pic xmlns:pic="http://schemas.openxmlformats.org/drawingml/2006/picture">
                        <pic:nvPicPr>
                          <pic:cNvPr id="29" name="图片_28"/>
                          <pic:cNvPicPr/>
                        </pic:nvPicPr>
                        <pic:blipFill>
                          <a:blip r:embed="rId38"/>
                          <a:stretch>
                            <a:fillRect/>
                          </a:stretch>
                        </pic:blipFill>
                        <pic:spPr>
                          <a:xfrm>
                            <a:off x="0" y="0"/>
                            <a:ext cx="663575" cy="389890"/>
                          </a:xfrm>
                          <a:prstGeom prst="rect">
                            <a:avLst/>
                          </a:prstGeom>
                          <a:noFill/>
                          <a:ln>
                            <a:noFill/>
                          </a:ln>
                        </pic:spPr>
                      </pic:pic>
                    </a:graphicData>
                  </a:graphic>
                </wp:inline>
              </w:drawing>
            </w:r>
          </w:p>
        </w:tc>
        <w:tc>
          <w:tcPr>
            <w:tcW w:w="2138" w:type="dxa"/>
            <w:vAlign w:val="center"/>
          </w:tcPr>
          <w:p w14:paraId="4220B9C8">
            <w:pPr>
              <w:jc w:val="center"/>
              <w:rPr>
                <w:rFonts w:hint="eastAsia" w:ascii="宋体" w:hAnsi="宋体" w:eastAsia="宋体" w:cs="宋体"/>
                <w:color w:val="auto"/>
                <w:highlight w:val="none"/>
              </w:rPr>
            </w:pPr>
            <w:r>
              <w:rPr>
                <w:rFonts w:ascii="宋体" w:hAnsi="宋体" w:eastAsia="宋体" w:cs="宋体"/>
                <w:color w:val="auto"/>
                <w:highlight w:val="none"/>
              </w:rPr>
              <w:t>办公楼书屋</w:t>
            </w:r>
          </w:p>
        </w:tc>
      </w:tr>
      <w:tr w14:paraId="2DEF2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88" w:type="dxa"/>
            <w:vAlign w:val="center"/>
          </w:tcPr>
          <w:p w14:paraId="6F34AF69">
            <w:pPr>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rPr>
              <w:t>3</w:t>
            </w:r>
            <w:r>
              <w:rPr>
                <w:rFonts w:hint="eastAsia" w:ascii="宋体" w:hAnsi="宋体" w:eastAsia="宋体" w:cs="宋体"/>
                <w:color w:val="auto"/>
                <w:highlight w:val="none"/>
                <w:lang w:val="en-US" w:eastAsia="zh-CN"/>
              </w:rPr>
              <w:t>4</w:t>
            </w:r>
          </w:p>
        </w:tc>
        <w:tc>
          <w:tcPr>
            <w:tcW w:w="1903" w:type="dxa"/>
            <w:vAlign w:val="center"/>
          </w:tcPr>
          <w:p w14:paraId="533A478E">
            <w:pPr>
              <w:widowControl/>
              <w:autoSpaceDE w:val="0"/>
              <w:jc w:val="center"/>
              <w:textAlignment w:val="center"/>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bidi="ar"/>
              </w:rPr>
              <w:t>休闲桌3</w:t>
            </w:r>
          </w:p>
        </w:tc>
        <w:tc>
          <w:tcPr>
            <w:tcW w:w="4284" w:type="dxa"/>
          </w:tcPr>
          <w:p w14:paraId="7DD7E886">
            <w:pPr>
              <w:jc w:val="center"/>
              <w:rPr>
                <w:rFonts w:hint="eastAsia" w:ascii="宋体" w:hAnsi="宋体" w:eastAsia="宋体" w:cs="宋体"/>
                <w:color w:val="auto"/>
                <w:highlight w:val="none"/>
              </w:rPr>
            </w:pPr>
            <w:r>
              <w:rPr>
                <w:color w:val="auto"/>
                <w:highlight w:val="none"/>
              </w:rPr>
              <w:drawing>
                <wp:inline distT="0" distB="0" distL="114300" distR="114300">
                  <wp:extent cx="663575" cy="389890"/>
                  <wp:effectExtent l="0" t="0" r="3175" b="10160"/>
                  <wp:docPr id="30" name="图片_28"/>
                  <wp:cNvGraphicFramePr/>
                  <a:graphic xmlns:a="http://schemas.openxmlformats.org/drawingml/2006/main">
                    <a:graphicData uri="http://schemas.openxmlformats.org/drawingml/2006/picture">
                      <pic:pic xmlns:pic="http://schemas.openxmlformats.org/drawingml/2006/picture">
                        <pic:nvPicPr>
                          <pic:cNvPr id="30" name="图片_28"/>
                          <pic:cNvPicPr/>
                        </pic:nvPicPr>
                        <pic:blipFill>
                          <a:blip r:embed="rId38"/>
                          <a:stretch>
                            <a:fillRect/>
                          </a:stretch>
                        </pic:blipFill>
                        <pic:spPr>
                          <a:xfrm>
                            <a:off x="0" y="0"/>
                            <a:ext cx="663575" cy="389890"/>
                          </a:xfrm>
                          <a:prstGeom prst="rect">
                            <a:avLst/>
                          </a:prstGeom>
                          <a:noFill/>
                          <a:ln>
                            <a:noFill/>
                          </a:ln>
                        </pic:spPr>
                      </pic:pic>
                    </a:graphicData>
                  </a:graphic>
                </wp:inline>
              </w:drawing>
            </w:r>
          </w:p>
        </w:tc>
        <w:tc>
          <w:tcPr>
            <w:tcW w:w="2138" w:type="dxa"/>
            <w:vAlign w:val="center"/>
          </w:tcPr>
          <w:p w14:paraId="5F0069FE">
            <w:pPr>
              <w:jc w:val="center"/>
              <w:rPr>
                <w:rFonts w:hint="eastAsia" w:ascii="宋体" w:hAnsi="宋体" w:eastAsia="宋体" w:cs="宋体"/>
                <w:color w:val="auto"/>
                <w:highlight w:val="none"/>
              </w:rPr>
            </w:pPr>
            <w:r>
              <w:rPr>
                <w:rFonts w:ascii="宋体" w:hAnsi="宋体" w:eastAsia="宋体" w:cs="宋体"/>
                <w:color w:val="auto"/>
                <w:highlight w:val="none"/>
              </w:rPr>
              <w:t>办公楼书屋</w:t>
            </w:r>
          </w:p>
        </w:tc>
      </w:tr>
      <w:tr w14:paraId="4BB99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88" w:type="dxa"/>
            <w:vAlign w:val="center"/>
          </w:tcPr>
          <w:p w14:paraId="4A7676ED">
            <w:pPr>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rPr>
              <w:t>3</w:t>
            </w:r>
            <w:r>
              <w:rPr>
                <w:rFonts w:hint="eastAsia" w:ascii="宋体" w:hAnsi="宋体" w:eastAsia="宋体" w:cs="宋体"/>
                <w:color w:val="auto"/>
                <w:highlight w:val="none"/>
                <w:lang w:val="en-US" w:eastAsia="zh-CN"/>
              </w:rPr>
              <w:t>5</w:t>
            </w:r>
          </w:p>
        </w:tc>
        <w:tc>
          <w:tcPr>
            <w:tcW w:w="1903" w:type="dxa"/>
            <w:vAlign w:val="center"/>
          </w:tcPr>
          <w:p w14:paraId="3DBD4348">
            <w:pPr>
              <w:wordWrap w:val="0"/>
              <w:autoSpaceDE w:val="0"/>
              <w:spacing w:line="440" w:lineRule="exact"/>
              <w:jc w:val="center"/>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bidi="ar"/>
              </w:rPr>
              <w:t>四人阅读桌</w:t>
            </w:r>
          </w:p>
        </w:tc>
        <w:tc>
          <w:tcPr>
            <w:tcW w:w="4284" w:type="dxa"/>
          </w:tcPr>
          <w:p w14:paraId="20CAEB30">
            <w:pPr>
              <w:jc w:val="center"/>
              <w:rPr>
                <w:rFonts w:hint="eastAsia" w:ascii="宋体" w:hAnsi="宋体" w:eastAsia="宋体" w:cs="宋体"/>
                <w:color w:val="auto"/>
                <w:highlight w:val="none"/>
              </w:rPr>
            </w:pPr>
            <w:r>
              <w:rPr>
                <w:color w:val="auto"/>
                <w:highlight w:val="none"/>
              </w:rPr>
              <w:drawing>
                <wp:inline distT="0" distB="0" distL="114300" distR="114300">
                  <wp:extent cx="531495" cy="307975"/>
                  <wp:effectExtent l="0" t="0" r="1905" b="15875"/>
                  <wp:docPr id="31" name="图片_7_SpCnt_1"/>
                  <wp:cNvGraphicFramePr/>
                  <a:graphic xmlns:a="http://schemas.openxmlformats.org/drawingml/2006/main">
                    <a:graphicData uri="http://schemas.openxmlformats.org/drawingml/2006/picture">
                      <pic:pic xmlns:pic="http://schemas.openxmlformats.org/drawingml/2006/picture">
                        <pic:nvPicPr>
                          <pic:cNvPr id="31" name="图片_7_SpCnt_1"/>
                          <pic:cNvPicPr/>
                        </pic:nvPicPr>
                        <pic:blipFill>
                          <a:blip r:embed="rId39"/>
                          <a:stretch>
                            <a:fillRect/>
                          </a:stretch>
                        </pic:blipFill>
                        <pic:spPr>
                          <a:xfrm>
                            <a:off x="0" y="0"/>
                            <a:ext cx="531495" cy="307975"/>
                          </a:xfrm>
                          <a:prstGeom prst="rect">
                            <a:avLst/>
                          </a:prstGeom>
                          <a:noFill/>
                          <a:ln>
                            <a:noFill/>
                          </a:ln>
                        </pic:spPr>
                      </pic:pic>
                    </a:graphicData>
                  </a:graphic>
                </wp:inline>
              </w:drawing>
            </w:r>
          </w:p>
        </w:tc>
        <w:tc>
          <w:tcPr>
            <w:tcW w:w="2138" w:type="dxa"/>
            <w:vAlign w:val="center"/>
          </w:tcPr>
          <w:p w14:paraId="23AD5599">
            <w:pPr>
              <w:jc w:val="center"/>
              <w:rPr>
                <w:rFonts w:hint="eastAsia" w:ascii="宋体" w:hAnsi="宋体" w:eastAsia="宋体" w:cs="宋体"/>
                <w:color w:val="auto"/>
                <w:highlight w:val="none"/>
              </w:rPr>
            </w:pPr>
            <w:r>
              <w:rPr>
                <w:rFonts w:ascii="宋体" w:hAnsi="宋体" w:eastAsia="宋体" w:cs="宋体"/>
                <w:color w:val="auto"/>
                <w:highlight w:val="none"/>
              </w:rPr>
              <w:t>办公楼书屋</w:t>
            </w:r>
          </w:p>
        </w:tc>
      </w:tr>
      <w:tr w14:paraId="269FE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88" w:type="dxa"/>
            <w:vAlign w:val="center"/>
          </w:tcPr>
          <w:p w14:paraId="2A823FCC">
            <w:pPr>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rPr>
              <w:t>3</w:t>
            </w:r>
            <w:r>
              <w:rPr>
                <w:rFonts w:hint="eastAsia" w:ascii="宋体" w:hAnsi="宋体" w:eastAsia="宋体" w:cs="宋体"/>
                <w:color w:val="auto"/>
                <w:highlight w:val="none"/>
                <w:lang w:val="en-US" w:eastAsia="zh-CN"/>
              </w:rPr>
              <w:t>6</w:t>
            </w:r>
          </w:p>
        </w:tc>
        <w:tc>
          <w:tcPr>
            <w:tcW w:w="1903" w:type="dxa"/>
            <w:vAlign w:val="center"/>
          </w:tcPr>
          <w:p w14:paraId="61D64F06">
            <w:pPr>
              <w:widowControl/>
              <w:jc w:val="center"/>
              <w:textAlignment w:val="center"/>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bidi="ar"/>
              </w:rPr>
              <w:t>阅读椅</w:t>
            </w:r>
          </w:p>
        </w:tc>
        <w:tc>
          <w:tcPr>
            <w:tcW w:w="4284" w:type="dxa"/>
          </w:tcPr>
          <w:p w14:paraId="75A271D1">
            <w:pPr>
              <w:jc w:val="center"/>
              <w:rPr>
                <w:rFonts w:hint="eastAsia" w:ascii="宋体" w:hAnsi="宋体" w:eastAsia="宋体" w:cs="宋体"/>
                <w:color w:val="auto"/>
                <w:highlight w:val="none"/>
              </w:rPr>
            </w:pPr>
            <w:r>
              <w:rPr>
                <w:color w:val="auto"/>
                <w:highlight w:val="none"/>
              </w:rPr>
              <w:drawing>
                <wp:inline distT="0" distB="0" distL="114300" distR="114300">
                  <wp:extent cx="577215" cy="685165"/>
                  <wp:effectExtent l="0" t="0" r="13335" b="635"/>
                  <wp:docPr id="32" name="图片_25"/>
                  <wp:cNvGraphicFramePr/>
                  <a:graphic xmlns:a="http://schemas.openxmlformats.org/drawingml/2006/main">
                    <a:graphicData uri="http://schemas.openxmlformats.org/drawingml/2006/picture">
                      <pic:pic xmlns:pic="http://schemas.openxmlformats.org/drawingml/2006/picture">
                        <pic:nvPicPr>
                          <pic:cNvPr id="32" name="图片_25"/>
                          <pic:cNvPicPr/>
                        </pic:nvPicPr>
                        <pic:blipFill>
                          <a:blip r:embed="rId40"/>
                          <a:stretch>
                            <a:fillRect/>
                          </a:stretch>
                        </pic:blipFill>
                        <pic:spPr>
                          <a:xfrm>
                            <a:off x="0" y="0"/>
                            <a:ext cx="577215" cy="685165"/>
                          </a:xfrm>
                          <a:prstGeom prst="rect">
                            <a:avLst/>
                          </a:prstGeom>
                          <a:noFill/>
                          <a:ln>
                            <a:noFill/>
                          </a:ln>
                        </pic:spPr>
                      </pic:pic>
                    </a:graphicData>
                  </a:graphic>
                </wp:inline>
              </w:drawing>
            </w:r>
          </w:p>
        </w:tc>
        <w:tc>
          <w:tcPr>
            <w:tcW w:w="2138" w:type="dxa"/>
            <w:vAlign w:val="center"/>
          </w:tcPr>
          <w:p w14:paraId="73F55A8E">
            <w:pPr>
              <w:jc w:val="center"/>
              <w:rPr>
                <w:rFonts w:hint="eastAsia" w:ascii="宋体" w:hAnsi="宋体" w:eastAsia="宋体" w:cs="宋体"/>
                <w:color w:val="auto"/>
                <w:highlight w:val="none"/>
              </w:rPr>
            </w:pPr>
            <w:r>
              <w:rPr>
                <w:rFonts w:ascii="宋体" w:hAnsi="宋体" w:eastAsia="宋体" w:cs="宋体"/>
                <w:color w:val="auto"/>
                <w:highlight w:val="none"/>
              </w:rPr>
              <w:t>办公楼书屋</w:t>
            </w:r>
          </w:p>
        </w:tc>
      </w:tr>
      <w:tr w14:paraId="57B4B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88" w:type="dxa"/>
            <w:vAlign w:val="center"/>
          </w:tcPr>
          <w:p w14:paraId="60951F45">
            <w:pPr>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rPr>
              <w:t>3</w:t>
            </w:r>
            <w:r>
              <w:rPr>
                <w:rFonts w:hint="eastAsia" w:ascii="宋体" w:hAnsi="宋体" w:eastAsia="宋体" w:cs="宋体"/>
                <w:color w:val="auto"/>
                <w:highlight w:val="none"/>
                <w:lang w:val="en-US" w:eastAsia="zh-CN"/>
              </w:rPr>
              <w:t>7</w:t>
            </w:r>
          </w:p>
        </w:tc>
        <w:tc>
          <w:tcPr>
            <w:tcW w:w="1903" w:type="dxa"/>
            <w:vAlign w:val="center"/>
          </w:tcPr>
          <w:p w14:paraId="53DD7687">
            <w:pPr>
              <w:widowControl/>
              <w:jc w:val="center"/>
              <w:textAlignment w:val="center"/>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bidi="ar"/>
              </w:rPr>
              <w:t>休闲桌4</w:t>
            </w:r>
          </w:p>
        </w:tc>
        <w:tc>
          <w:tcPr>
            <w:tcW w:w="4284" w:type="dxa"/>
          </w:tcPr>
          <w:p w14:paraId="7218F86D">
            <w:pPr>
              <w:jc w:val="center"/>
              <w:rPr>
                <w:rFonts w:hint="eastAsia" w:ascii="宋体" w:hAnsi="宋体" w:eastAsia="宋体" w:cs="宋体"/>
                <w:color w:val="auto"/>
                <w:highlight w:val="none"/>
              </w:rPr>
            </w:pPr>
            <w:r>
              <w:rPr>
                <w:color w:val="auto"/>
                <w:highlight w:val="none"/>
              </w:rPr>
              <w:drawing>
                <wp:inline distT="0" distB="0" distL="114300" distR="114300">
                  <wp:extent cx="702945" cy="455930"/>
                  <wp:effectExtent l="0" t="0" r="1905" b="1270"/>
                  <wp:docPr id="33" name="图片_11"/>
                  <wp:cNvGraphicFramePr/>
                  <a:graphic xmlns:a="http://schemas.openxmlformats.org/drawingml/2006/main">
                    <a:graphicData uri="http://schemas.openxmlformats.org/drawingml/2006/picture">
                      <pic:pic xmlns:pic="http://schemas.openxmlformats.org/drawingml/2006/picture">
                        <pic:nvPicPr>
                          <pic:cNvPr id="33" name="图片_11"/>
                          <pic:cNvPicPr/>
                        </pic:nvPicPr>
                        <pic:blipFill>
                          <a:blip r:embed="rId41"/>
                          <a:stretch>
                            <a:fillRect/>
                          </a:stretch>
                        </pic:blipFill>
                        <pic:spPr>
                          <a:xfrm>
                            <a:off x="0" y="0"/>
                            <a:ext cx="702945" cy="455930"/>
                          </a:xfrm>
                          <a:prstGeom prst="rect">
                            <a:avLst/>
                          </a:prstGeom>
                          <a:noFill/>
                          <a:ln>
                            <a:noFill/>
                          </a:ln>
                        </pic:spPr>
                      </pic:pic>
                    </a:graphicData>
                  </a:graphic>
                </wp:inline>
              </w:drawing>
            </w:r>
          </w:p>
        </w:tc>
        <w:tc>
          <w:tcPr>
            <w:tcW w:w="2138" w:type="dxa"/>
            <w:vAlign w:val="center"/>
          </w:tcPr>
          <w:p w14:paraId="42FF5034">
            <w:pPr>
              <w:jc w:val="center"/>
              <w:rPr>
                <w:rFonts w:hint="eastAsia" w:ascii="宋体" w:hAnsi="宋体" w:eastAsia="宋体" w:cs="宋体"/>
                <w:color w:val="auto"/>
                <w:highlight w:val="none"/>
              </w:rPr>
            </w:pPr>
            <w:r>
              <w:rPr>
                <w:rFonts w:ascii="宋体" w:hAnsi="宋体" w:eastAsia="宋体" w:cs="宋体"/>
                <w:color w:val="auto"/>
                <w:highlight w:val="none"/>
              </w:rPr>
              <w:t>办公楼书屋</w:t>
            </w:r>
          </w:p>
        </w:tc>
      </w:tr>
      <w:tr w14:paraId="3E77D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88" w:type="dxa"/>
            <w:vAlign w:val="center"/>
          </w:tcPr>
          <w:p w14:paraId="4ABFB905">
            <w:pPr>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rPr>
              <w:t>3</w:t>
            </w:r>
            <w:r>
              <w:rPr>
                <w:rFonts w:hint="eastAsia" w:ascii="宋体" w:hAnsi="宋体" w:eastAsia="宋体" w:cs="宋体"/>
                <w:color w:val="auto"/>
                <w:highlight w:val="none"/>
                <w:lang w:val="en-US" w:eastAsia="zh-CN"/>
              </w:rPr>
              <w:t>8</w:t>
            </w:r>
          </w:p>
        </w:tc>
        <w:tc>
          <w:tcPr>
            <w:tcW w:w="1903" w:type="dxa"/>
            <w:vAlign w:val="center"/>
          </w:tcPr>
          <w:p w14:paraId="3829C883">
            <w:pPr>
              <w:widowControl/>
              <w:jc w:val="center"/>
              <w:textAlignment w:val="center"/>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bidi="ar"/>
              </w:rPr>
              <w:t>休闲椅3</w:t>
            </w:r>
          </w:p>
        </w:tc>
        <w:tc>
          <w:tcPr>
            <w:tcW w:w="4284" w:type="dxa"/>
          </w:tcPr>
          <w:p w14:paraId="35FE1F4F">
            <w:pPr>
              <w:jc w:val="center"/>
              <w:rPr>
                <w:rFonts w:hint="eastAsia" w:ascii="宋体" w:hAnsi="宋体" w:eastAsia="宋体" w:cs="宋体"/>
                <w:color w:val="auto"/>
                <w:highlight w:val="none"/>
              </w:rPr>
            </w:pPr>
            <w:r>
              <w:rPr>
                <w:color w:val="auto"/>
                <w:highlight w:val="none"/>
              </w:rPr>
              <w:drawing>
                <wp:inline distT="0" distB="0" distL="114300" distR="114300">
                  <wp:extent cx="544830" cy="357505"/>
                  <wp:effectExtent l="0" t="0" r="7620" b="4445"/>
                  <wp:docPr id="34" name="图片_11"/>
                  <wp:cNvGraphicFramePr/>
                  <a:graphic xmlns:a="http://schemas.openxmlformats.org/drawingml/2006/main">
                    <a:graphicData uri="http://schemas.openxmlformats.org/drawingml/2006/picture">
                      <pic:pic xmlns:pic="http://schemas.openxmlformats.org/drawingml/2006/picture">
                        <pic:nvPicPr>
                          <pic:cNvPr id="34" name="图片_11"/>
                          <pic:cNvPicPr/>
                        </pic:nvPicPr>
                        <pic:blipFill>
                          <a:blip r:embed="rId41"/>
                          <a:stretch>
                            <a:fillRect/>
                          </a:stretch>
                        </pic:blipFill>
                        <pic:spPr>
                          <a:xfrm>
                            <a:off x="0" y="0"/>
                            <a:ext cx="544830" cy="357505"/>
                          </a:xfrm>
                          <a:prstGeom prst="rect">
                            <a:avLst/>
                          </a:prstGeom>
                          <a:noFill/>
                          <a:ln>
                            <a:noFill/>
                          </a:ln>
                        </pic:spPr>
                      </pic:pic>
                    </a:graphicData>
                  </a:graphic>
                </wp:inline>
              </w:drawing>
            </w:r>
          </w:p>
        </w:tc>
        <w:tc>
          <w:tcPr>
            <w:tcW w:w="2138" w:type="dxa"/>
            <w:vAlign w:val="center"/>
          </w:tcPr>
          <w:p w14:paraId="7103EBBE">
            <w:pPr>
              <w:jc w:val="center"/>
              <w:rPr>
                <w:rFonts w:hint="eastAsia" w:ascii="宋体" w:hAnsi="宋体" w:eastAsia="宋体" w:cs="宋体"/>
                <w:color w:val="auto"/>
                <w:highlight w:val="none"/>
              </w:rPr>
            </w:pPr>
            <w:r>
              <w:rPr>
                <w:rFonts w:ascii="宋体" w:hAnsi="宋体" w:eastAsia="宋体" w:cs="宋体"/>
                <w:color w:val="auto"/>
                <w:highlight w:val="none"/>
              </w:rPr>
              <w:t>办公楼书屋</w:t>
            </w:r>
          </w:p>
        </w:tc>
      </w:tr>
      <w:tr w14:paraId="769E6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88" w:type="dxa"/>
            <w:vAlign w:val="center"/>
          </w:tcPr>
          <w:p w14:paraId="1616A1C0">
            <w:pPr>
              <w:jc w:val="center"/>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39</w:t>
            </w:r>
          </w:p>
        </w:tc>
        <w:tc>
          <w:tcPr>
            <w:tcW w:w="1903" w:type="dxa"/>
            <w:vAlign w:val="center"/>
          </w:tcPr>
          <w:p w14:paraId="7D47F7F2">
            <w:pPr>
              <w:widowControl/>
              <w:autoSpaceDE w:val="0"/>
              <w:jc w:val="center"/>
              <w:textAlignment w:val="center"/>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bidi="ar"/>
              </w:rPr>
              <w:t>边柜</w:t>
            </w:r>
          </w:p>
        </w:tc>
        <w:tc>
          <w:tcPr>
            <w:tcW w:w="4284" w:type="dxa"/>
          </w:tcPr>
          <w:p w14:paraId="4CFFFDC4">
            <w:pPr>
              <w:jc w:val="center"/>
              <w:rPr>
                <w:rFonts w:hint="eastAsia" w:ascii="宋体" w:hAnsi="宋体" w:eastAsia="宋体" w:cs="宋体"/>
                <w:color w:val="auto"/>
                <w:highlight w:val="none"/>
              </w:rPr>
            </w:pPr>
            <w:r>
              <w:rPr>
                <w:color w:val="auto"/>
                <w:highlight w:val="none"/>
              </w:rPr>
              <w:drawing>
                <wp:inline distT="0" distB="0" distL="114300" distR="114300">
                  <wp:extent cx="1369695" cy="845185"/>
                  <wp:effectExtent l="0" t="0" r="1905" b="12065"/>
                  <wp:docPr id="35" name="图片_26"/>
                  <wp:cNvGraphicFramePr/>
                  <a:graphic xmlns:a="http://schemas.openxmlformats.org/drawingml/2006/main">
                    <a:graphicData uri="http://schemas.openxmlformats.org/drawingml/2006/picture">
                      <pic:pic xmlns:pic="http://schemas.openxmlformats.org/drawingml/2006/picture">
                        <pic:nvPicPr>
                          <pic:cNvPr id="35" name="图片_26"/>
                          <pic:cNvPicPr/>
                        </pic:nvPicPr>
                        <pic:blipFill>
                          <a:blip r:embed="rId42"/>
                          <a:stretch>
                            <a:fillRect/>
                          </a:stretch>
                        </pic:blipFill>
                        <pic:spPr>
                          <a:xfrm>
                            <a:off x="0" y="0"/>
                            <a:ext cx="1369695" cy="845185"/>
                          </a:xfrm>
                          <a:prstGeom prst="rect">
                            <a:avLst/>
                          </a:prstGeom>
                          <a:noFill/>
                          <a:ln>
                            <a:noFill/>
                          </a:ln>
                        </pic:spPr>
                      </pic:pic>
                    </a:graphicData>
                  </a:graphic>
                </wp:inline>
              </w:drawing>
            </w:r>
          </w:p>
        </w:tc>
        <w:tc>
          <w:tcPr>
            <w:tcW w:w="2138" w:type="dxa"/>
            <w:vAlign w:val="center"/>
          </w:tcPr>
          <w:p w14:paraId="13B735FA">
            <w:pPr>
              <w:jc w:val="center"/>
              <w:rPr>
                <w:rFonts w:hint="eastAsia" w:ascii="宋体" w:hAnsi="宋体" w:eastAsia="宋体" w:cs="宋体"/>
                <w:color w:val="auto"/>
                <w:highlight w:val="none"/>
              </w:rPr>
            </w:pPr>
            <w:r>
              <w:rPr>
                <w:rFonts w:ascii="宋体" w:hAnsi="宋体" w:eastAsia="宋体" w:cs="宋体"/>
                <w:color w:val="auto"/>
                <w:highlight w:val="none"/>
              </w:rPr>
              <w:t>办公楼书屋</w:t>
            </w:r>
          </w:p>
        </w:tc>
      </w:tr>
      <w:tr w14:paraId="3EF14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88" w:type="dxa"/>
            <w:vAlign w:val="center"/>
          </w:tcPr>
          <w:p w14:paraId="371F6D6E">
            <w:pPr>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rPr>
              <w:t>4</w:t>
            </w:r>
            <w:r>
              <w:rPr>
                <w:rFonts w:hint="eastAsia" w:ascii="宋体" w:hAnsi="宋体" w:eastAsia="宋体" w:cs="宋体"/>
                <w:color w:val="auto"/>
                <w:highlight w:val="none"/>
                <w:lang w:val="en-US" w:eastAsia="zh-CN"/>
              </w:rPr>
              <w:t>0</w:t>
            </w:r>
          </w:p>
        </w:tc>
        <w:tc>
          <w:tcPr>
            <w:tcW w:w="1903" w:type="dxa"/>
            <w:vAlign w:val="center"/>
          </w:tcPr>
          <w:p w14:paraId="4BB5D3D3">
            <w:pPr>
              <w:widowControl/>
              <w:jc w:val="center"/>
              <w:textAlignment w:val="center"/>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bidi="ar"/>
              </w:rPr>
              <w:t>书柜</w:t>
            </w:r>
          </w:p>
        </w:tc>
        <w:tc>
          <w:tcPr>
            <w:tcW w:w="4284" w:type="dxa"/>
          </w:tcPr>
          <w:p w14:paraId="198C2EB4">
            <w:pPr>
              <w:jc w:val="center"/>
              <w:rPr>
                <w:rFonts w:hint="eastAsia" w:ascii="宋体" w:hAnsi="宋体" w:eastAsia="宋体" w:cs="宋体"/>
                <w:color w:val="auto"/>
                <w:highlight w:val="none"/>
              </w:rPr>
            </w:pPr>
            <w:r>
              <w:rPr>
                <w:color w:val="auto"/>
                <w:highlight w:val="none"/>
              </w:rPr>
              <w:drawing>
                <wp:inline distT="0" distB="0" distL="114300" distR="114300">
                  <wp:extent cx="457835" cy="813435"/>
                  <wp:effectExtent l="0" t="0" r="18415" b="5715"/>
                  <wp:docPr id="3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7835" cy="813435"/>
                          </a:xfrm>
                          <a:prstGeom prst="rect">
                            <a:avLst/>
                          </a:prstGeom>
                        </pic:spPr>
                      </pic:pic>
                    </a:graphicData>
                  </a:graphic>
                </wp:inline>
              </w:drawing>
            </w:r>
          </w:p>
        </w:tc>
        <w:tc>
          <w:tcPr>
            <w:tcW w:w="2138" w:type="dxa"/>
            <w:vAlign w:val="center"/>
          </w:tcPr>
          <w:p w14:paraId="31E87C31">
            <w:pPr>
              <w:jc w:val="center"/>
              <w:rPr>
                <w:rFonts w:hint="eastAsia" w:ascii="宋体" w:hAnsi="宋体" w:eastAsia="宋体" w:cs="宋体"/>
                <w:color w:val="auto"/>
                <w:highlight w:val="none"/>
              </w:rPr>
            </w:pPr>
            <w:r>
              <w:rPr>
                <w:rFonts w:ascii="宋体" w:hAnsi="宋体" w:eastAsia="宋体" w:cs="宋体"/>
                <w:color w:val="auto"/>
                <w:highlight w:val="none"/>
              </w:rPr>
              <w:t>办公楼</w:t>
            </w:r>
          </w:p>
        </w:tc>
      </w:tr>
      <w:tr w14:paraId="2294C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88" w:type="dxa"/>
            <w:vAlign w:val="center"/>
          </w:tcPr>
          <w:p w14:paraId="48E1E239">
            <w:pPr>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4</w:t>
            </w:r>
            <w:r>
              <w:rPr>
                <w:rFonts w:hint="eastAsia" w:ascii="宋体" w:hAnsi="宋体" w:eastAsia="宋体" w:cs="宋体"/>
                <w:color w:val="auto"/>
                <w:highlight w:val="none"/>
                <w:lang w:val="en-US" w:eastAsia="zh-CN"/>
              </w:rPr>
              <w:t>1</w:t>
            </w:r>
          </w:p>
        </w:tc>
        <w:tc>
          <w:tcPr>
            <w:tcW w:w="1903" w:type="dxa"/>
            <w:vAlign w:val="center"/>
          </w:tcPr>
          <w:p w14:paraId="1CB07E79">
            <w:pPr>
              <w:widowControl/>
              <w:jc w:val="center"/>
              <w:textAlignment w:val="center"/>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bidi="ar"/>
              </w:rPr>
              <w:t>文件柜</w:t>
            </w:r>
          </w:p>
        </w:tc>
        <w:tc>
          <w:tcPr>
            <w:tcW w:w="4284" w:type="dxa"/>
          </w:tcPr>
          <w:p w14:paraId="39F0B2A9">
            <w:pPr>
              <w:jc w:val="center"/>
              <w:rPr>
                <w:rFonts w:hint="eastAsia" w:ascii="宋体" w:hAnsi="宋体" w:eastAsia="宋体" w:cs="宋体"/>
                <w:color w:val="auto"/>
                <w:highlight w:val="none"/>
              </w:rPr>
            </w:pPr>
            <w:r>
              <w:rPr>
                <w:color w:val="auto"/>
                <w:highlight w:val="none"/>
              </w:rPr>
              <w:drawing>
                <wp:inline distT="0" distB="0" distL="114300" distR="114300">
                  <wp:extent cx="222250" cy="395605"/>
                  <wp:effectExtent l="0" t="0" r="6350" b="4445"/>
                  <wp:docPr id="3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2250" cy="395605"/>
                          </a:xfrm>
                          <a:prstGeom prst="rect">
                            <a:avLst/>
                          </a:prstGeom>
                        </pic:spPr>
                      </pic:pic>
                    </a:graphicData>
                  </a:graphic>
                </wp:inline>
              </w:drawing>
            </w:r>
          </w:p>
        </w:tc>
        <w:tc>
          <w:tcPr>
            <w:tcW w:w="2138" w:type="dxa"/>
            <w:vAlign w:val="center"/>
          </w:tcPr>
          <w:p w14:paraId="6202DAE7">
            <w:pPr>
              <w:jc w:val="center"/>
              <w:rPr>
                <w:rFonts w:hint="eastAsia" w:ascii="宋体" w:hAnsi="宋体" w:eastAsia="宋体" w:cs="宋体"/>
                <w:color w:val="auto"/>
                <w:highlight w:val="none"/>
              </w:rPr>
            </w:pPr>
            <w:r>
              <w:rPr>
                <w:rFonts w:ascii="宋体" w:hAnsi="宋体" w:eastAsia="宋体" w:cs="宋体"/>
                <w:color w:val="auto"/>
                <w:highlight w:val="none"/>
              </w:rPr>
              <w:t>办公楼</w:t>
            </w:r>
          </w:p>
        </w:tc>
      </w:tr>
      <w:tr w14:paraId="742F3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88" w:type="dxa"/>
            <w:vAlign w:val="center"/>
          </w:tcPr>
          <w:p w14:paraId="42807225">
            <w:pPr>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rPr>
              <w:t>4</w:t>
            </w:r>
            <w:r>
              <w:rPr>
                <w:rFonts w:hint="eastAsia" w:ascii="宋体" w:hAnsi="宋体" w:eastAsia="宋体" w:cs="宋体"/>
                <w:color w:val="auto"/>
                <w:highlight w:val="none"/>
                <w:lang w:val="en-US" w:eastAsia="zh-CN"/>
              </w:rPr>
              <w:t>2</w:t>
            </w:r>
          </w:p>
        </w:tc>
        <w:tc>
          <w:tcPr>
            <w:tcW w:w="1903" w:type="dxa"/>
            <w:vAlign w:val="center"/>
          </w:tcPr>
          <w:p w14:paraId="54A7C191">
            <w:pPr>
              <w:widowControl/>
              <w:jc w:val="center"/>
              <w:textAlignment w:val="center"/>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bidi="ar"/>
              </w:rPr>
              <w:t>四人快餐桌</w:t>
            </w:r>
          </w:p>
        </w:tc>
        <w:tc>
          <w:tcPr>
            <w:tcW w:w="4284" w:type="dxa"/>
          </w:tcPr>
          <w:p w14:paraId="42B9C67F">
            <w:pPr>
              <w:jc w:val="center"/>
              <w:rPr>
                <w:rFonts w:hint="eastAsia" w:ascii="宋体" w:hAnsi="宋体" w:eastAsia="宋体" w:cs="宋体"/>
                <w:color w:val="auto"/>
                <w:highlight w:val="none"/>
              </w:rPr>
            </w:pPr>
            <w:r>
              <w:rPr>
                <w:color w:val="auto"/>
                <w:highlight w:val="none"/>
              </w:rPr>
              <w:drawing>
                <wp:inline distT="0" distB="0" distL="114300" distR="114300">
                  <wp:extent cx="1290955" cy="901065"/>
                  <wp:effectExtent l="0" t="0" r="4445" b="13335"/>
                  <wp:docPr id="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290955" cy="901065"/>
                          </a:xfrm>
                          <a:prstGeom prst="rect">
                            <a:avLst/>
                          </a:prstGeom>
                          <a:noFill/>
                          <a:ln>
                            <a:noFill/>
                          </a:ln>
                        </pic:spPr>
                      </pic:pic>
                    </a:graphicData>
                  </a:graphic>
                </wp:inline>
              </w:drawing>
            </w:r>
          </w:p>
        </w:tc>
        <w:tc>
          <w:tcPr>
            <w:tcW w:w="2138" w:type="dxa"/>
            <w:vAlign w:val="center"/>
          </w:tcPr>
          <w:p w14:paraId="6C00C269">
            <w:pPr>
              <w:jc w:val="center"/>
              <w:rPr>
                <w:rFonts w:hint="eastAsia" w:ascii="宋体" w:hAnsi="宋体" w:eastAsia="宋体" w:cs="宋体"/>
                <w:color w:val="auto"/>
                <w:highlight w:val="none"/>
              </w:rPr>
            </w:pPr>
            <w:r>
              <w:rPr>
                <w:rFonts w:ascii="宋体" w:hAnsi="宋体" w:eastAsia="宋体" w:cs="宋体"/>
                <w:color w:val="auto"/>
                <w:highlight w:val="none"/>
              </w:rPr>
              <w:t>食堂</w:t>
            </w:r>
          </w:p>
        </w:tc>
      </w:tr>
      <w:tr w14:paraId="2A05C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88" w:type="dxa"/>
            <w:vAlign w:val="center"/>
          </w:tcPr>
          <w:p w14:paraId="51C08C07">
            <w:pPr>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rPr>
              <w:t>4</w:t>
            </w:r>
            <w:r>
              <w:rPr>
                <w:rFonts w:hint="eastAsia" w:ascii="宋体" w:hAnsi="宋体" w:eastAsia="宋体" w:cs="宋体"/>
                <w:color w:val="auto"/>
                <w:highlight w:val="none"/>
                <w:lang w:val="en-US" w:eastAsia="zh-CN"/>
              </w:rPr>
              <w:t>3</w:t>
            </w:r>
          </w:p>
        </w:tc>
        <w:tc>
          <w:tcPr>
            <w:tcW w:w="1903" w:type="dxa"/>
            <w:vAlign w:val="center"/>
          </w:tcPr>
          <w:p w14:paraId="62C8C6BA">
            <w:pPr>
              <w:widowControl/>
              <w:jc w:val="center"/>
              <w:textAlignment w:val="center"/>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bidi="ar"/>
              </w:rPr>
              <w:t>椅子</w:t>
            </w:r>
          </w:p>
        </w:tc>
        <w:tc>
          <w:tcPr>
            <w:tcW w:w="4284" w:type="dxa"/>
          </w:tcPr>
          <w:p w14:paraId="4B7CB3C6">
            <w:pPr>
              <w:jc w:val="center"/>
              <w:rPr>
                <w:rFonts w:hint="eastAsia" w:ascii="宋体" w:hAnsi="宋体" w:eastAsia="宋体" w:cs="宋体"/>
                <w:color w:val="auto"/>
                <w:highlight w:val="none"/>
              </w:rPr>
            </w:pPr>
            <w:r>
              <w:rPr>
                <w:color w:val="auto"/>
                <w:highlight w:val="none"/>
              </w:rPr>
              <w:drawing>
                <wp:inline distT="0" distB="0" distL="114300" distR="114300">
                  <wp:extent cx="1109345" cy="749935"/>
                  <wp:effectExtent l="0" t="0" r="14605" b="12065"/>
                  <wp:docPr id="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109345" cy="749935"/>
                          </a:xfrm>
                          <a:prstGeom prst="rect">
                            <a:avLst/>
                          </a:prstGeom>
                          <a:noFill/>
                          <a:ln>
                            <a:noFill/>
                          </a:ln>
                        </pic:spPr>
                      </pic:pic>
                    </a:graphicData>
                  </a:graphic>
                </wp:inline>
              </w:drawing>
            </w:r>
          </w:p>
        </w:tc>
        <w:tc>
          <w:tcPr>
            <w:tcW w:w="2138" w:type="dxa"/>
            <w:vAlign w:val="center"/>
          </w:tcPr>
          <w:p w14:paraId="0A09837B">
            <w:pPr>
              <w:jc w:val="center"/>
              <w:rPr>
                <w:rFonts w:hint="eastAsia" w:ascii="宋体" w:hAnsi="宋体" w:eastAsia="宋体" w:cs="宋体"/>
                <w:color w:val="auto"/>
                <w:highlight w:val="none"/>
              </w:rPr>
            </w:pPr>
            <w:r>
              <w:rPr>
                <w:rFonts w:ascii="宋体" w:hAnsi="宋体" w:eastAsia="宋体" w:cs="宋体"/>
                <w:color w:val="auto"/>
                <w:highlight w:val="none"/>
              </w:rPr>
              <w:t>食堂</w:t>
            </w:r>
          </w:p>
        </w:tc>
      </w:tr>
      <w:tr w14:paraId="696DC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88" w:type="dxa"/>
            <w:vAlign w:val="center"/>
          </w:tcPr>
          <w:p w14:paraId="3A213A1C">
            <w:pPr>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rPr>
              <w:t>4</w:t>
            </w:r>
            <w:r>
              <w:rPr>
                <w:rFonts w:hint="eastAsia" w:ascii="宋体" w:hAnsi="宋体" w:eastAsia="宋体" w:cs="宋体"/>
                <w:color w:val="auto"/>
                <w:highlight w:val="none"/>
                <w:lang w:val="en-US" w:eastAsia="zh-CN"/>
              </w:rPr>
              <w:t>4</w:t>
            </w:r>
          </w:p>
        </w:tc>
        <w:tc>
          <w:tcPr>
            <w:tcW w:w="1903" w:type="dxa"/>
            <w:vAlign w:val="center"/>
          </w:tcPr>
          <w:p w14:paraId="27BF0A4E">
            <w:pPr>
              <w:widowControl/>
              <w:jc w:val="center"/>
              <w:textAlignment w:val="center"/>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bidi="ar"/>
              </w:rPr>
              <w:t>休闲桌6</w:t>
            </w:r>
          </w:p>
        </w:tc>
        <w:tc>
          <w:tcPr>
            <w:tcW w:w="4284" w:type="dxa"/>
          </w:tcPr>
          <w:p w14:paraId="66FB2CC6">
            <w:pPr>
              <w:jc w:val="center"/>
              <w:rPr>
                <w:rFonts w:hint="eastAsia" w:ascii="宋体" w:hAnsi="宋体" w:eastAsia="宋体" w:cs="宋体"/>
                <w:color w:val="auto"/>
                <w:highlight w:val="none"/>
              </w:rPr>
            </w:pPr>
            <w:r>
              <w:rPr>
                <w:color w:val="auto"/>
                <w:highlight w:val="none"/>
              </w:rPr>
              <w:drawing>
                <wp:inline distT="0" distB="0" distL="114300" distR="114300">
                  <wp:extent cx="723900" cy="805815"/>
                  <wp:effectExtent l="0" t="0" r="0" b="13335"/>
                  <wp:docPr id="5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6"/>
                          <pic:cNvPicPr>
                            <a:picLocks noChangeAspect="1"/>
                          </pic:cNvPicPr>
                        </pic:nvPicPr>
                        <pic:blipFill>
                          <a:blip r:embed="rId47"/>
                          <a:stretch>
                            <a:fillRect/>
                          </a:stretch>
                        </pic:blipFill>
                        <pic:spPr>
                          <a:xfrm>
                            <a:off x="0" y="0"/>
                            <a:ext cx="723900" cy="805815"/>
                          </a:xfrm>
                          <a:prstGeom prst="rect">
                            <a:avLst/>
                          </a:prstGeom>
                        </pic:spPr>
                      </pic:pic>
                    </a:graphicData>
                  </a:graphic>
                </wp:inline>
              </w:drawing>
            </w:r>
          </w:p>
        </w:tc>
        <w:tc>
          <w:tcPr>
            <w:tcW w:w="2138" w:type="dxa"/>
            <w:vAlign w:val="center"/>
          </w:tcPr>
          <w:p w14:paraId="4CF18AFC">
            <w:pPr>
              <w:jc w:val="center"/>
              <w:rPr>
                <w:rFonts w:hint="eastAsia" w:ascii="宋体" w:hAnsi="宋体" w:eastAsia="宋体" w:cs="宋体"/>
                <w:color w:val="auto"/>
                <w:highlight w:val="none"/>
              </w:rPr>
            </w:pPr>
            <w:r>
              <w:rPr>
                <w:rFonts w:ascii="宋体" w:hAnsi="宋体" w:eastAsia="宋体" w:cs="宋体"/>
                <w:color w:val="auto"/>
                <w:highlight w:val="none"/>
              </w:rPr>
              <w:t>食堂职工书屋</w:t>
            </w:r>
          </w:p>
        </w:tc>
      </w:tr>
      <w:tr w14:paraId="732A1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88" w:type="dxa"/>
            <w:vAlign w:val="center"/>
          </w:tcPr>
          <w:p w14:paraId="3311C21A">
            <w:pPr>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rPr>
              <w:t>4</w:t>
            </w:r>
            <w:r>
              <w:rPr>
                <w:rFonts w:hint="eastAsia" w:ascii="宋体" w:hAnsi="宋体" w:eastAsia="宋体" w:cs="宋体"/>
                <w:color w:val="auto"/>
                <w:highlight w:val="none"/>
                <w:lang w:val="en-US" w:eastAsia="zh-CN"/>
              </w:rPr>
              <w:t>5</w:t>
            </w:r>
          </w:p>
        </w:tc>
        <w:tc>
          <w:tcPr>
            <w:tcW w:w="1903" w:type="dxa"/>
            <w:vAlign w:val="center"/>
          </w:tcPr>
          <w:p w14:paraId="4B503563">
            <w:pPr>
              <w:widowControl/>
              <w:jc w:val="center"/>
              <w:textAlignment w:val="center"/>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bidi="ar"/>
              </w:rPr>
              <w:t>休闲椅5</w:t>
            </w:r>
          </w:p>
        </w:tc>
        <w:tc>
          <w:tcPr>
            <w:tcW w:w="4284" w:type="dxa"/>
          </w:tcPr>
          <w:p w14:paraId="5F1CFDEA">
            <w:pPr>
              <w:jc w:val="center"/>
              <w:rPr>
                <w:rFonts w:hint="eastAsia" w:ascii="宋体" w:hAnsi="宋体" w:eastAsia="宋体" w:cs="宋体"/>
                <w:color w:val="auto"/>
                <w:highlight w:val="none"/>
              </w:rPr>
            </w:pPr>
            <w:r>
              <w:rPr>
                <w:color w:val="auto"/>
                <w:highlight w:val="none"/>
              </w:rPr>
              <w:drawing>
                <wp:inline distT="0" distB="0" distL="114300" distR="114300">
                  <wp:extent cx="723900" cy="805815"/>
                  <wp:effectExtent l="0" t="0" r="0" b="13335"/>
                  <wp:docPr id="5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pic:cNvPicPr>
                            <a:picLocks noChangeAspect="1"/>
                          </pic:cNvPicPr>
                        </pic:nvPicPr>
                        <pic:blipFill>
                          <a:blip r:embed="rId47"/>
                          <a:stretch>
                            <a:fillRect/>
                          </a:stretch>
                        </pic:blipFill>
                        <pic:spPr>
                          <a:xfrm>
                            <a:off x="0" y="0"/>
                            <a:ext cx="723900" cy="805815"/>
                          </a:xfrm>
                          <a:prstGeom prst="rect">
                            <a:avLst/>
                          </a:prstGeom>
                        </pic:spPr>
                      </pic:pic>
                    </a:graphicData>
                  </a:graphic>
                </wp:inline>
              </w:drawing>
            </w:r>
          </w:p>
        </w:tc>
        <w:tc>
          <w:tcPr>
            <w:tcW w:w="2138" w:type="dxa"/>
            <w:vAlign w:val="center"/>
          </w:tcPr>
          <w:p w14:paraId="7645E9DF">
            <w:pPr>
              <w:jc w:val="center"/>
              <w:rPr>
                <w:rFonts w:hint="eastAsia" w:ascii="宋体" w:hAnsi="宋体" w:eastAsia="宋体" w:cs="宋体"/>
                <w:color w:val="auto"/>
                <w:highlight w:val="none"/>
              </w:rPr>
            </w:pPr>
            <w:r>
              <w:rPr>
                <w:rFonts w:ascii="宋体" w:hAnsi="宋体" w:eastAsia="宋体" w:cs="宋体"/>
                <w:color w:val="auto"/>
                <w:highlight w:val="none"/>
              </w:rPr>
              <w:t>食堂职工书屋</w:t>
            </w:r>
          </w:p>
        </w:tc>
      </w:tr>
      <w:tr w14:paraId="4DA30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88" w:type="dxa"/>
            <w:vAlign w:val="center"/>
          </w:tcPr>
          <w:p w14:paraId="30D3B31C">
            <w:pPr>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rPr>
              <w:t>4</w:t>
            </w:r>
            <w:r>
              <w:rPr>
                <w:rFonts w:hint="eastAsia" w:ascii="宋体" w:hAnsi="宋体" w:eastAsia="宋体" w:cs="宋体"/>
                <w:color w:val="auto"/>
                <w:highlight w:val="none"/>
                <w:lang w:val="en-US" w:eastAsia="zh-CN"/>
              </w:rPr>
              <w:t>6</w:t>
            </w:r>
          </w:p>
        </w:tc>
        <w:tc>
          <w:tcPr>
            <w:tcW w:w="1903" w:type="dxa"/>
            <w:vAlign w:val="center"/>
          </w:tcPr>
          <w:p w14:paraId="448B0287">
            <w:pPr>
              <w:widowControl/>
              <w:jc w:val="center"/>
              <w:textAlignment w:val="center"/>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bidi="ar"/>
              </w:rPr>
              <w:t>双人沙发2</w:t>
            </w:r>
          </w:p>
        </w:tc>
        <w:tc>
          <w:tcPr>
            <w:tcW w:w="4284" w:type="dxa"/>
          </w:tcPr>
          <w:p w14:paraId="23ECC837">
            <w:pPr>
              <w:jc w:val="center"/>
              <w:rPr>
                <w:rFonts w:hint="eastAsia" w:ascii="宋体" w:hAnsi="宋体" w:eastAsia="宋体" w:cs="宋体"/>
                <w:color w:val="auto"/>
                <w:highlight w:val="none"/>
              </w:rPr>
            </w:pPr>
            <w:r>
              <w:rPr>
                <w:color w:val="auto"/>
                <w:highlight w:val="none"/>
              </w:rPr>
              <w:drawing>
                <wp:inline distT="0" distB="0" distL="114300" distR="114300">
                  <wp:extent cx="752475" cy="455930"/>
                  <wp:effectExtent l="0" t="0" r="9525" b="1270"/>
                  <wp:docPr id="5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pic:cNvPicPr>
                            <a:picLocks noChangeAspect="1"/>
                          </pic:cNvPicPr>
                        </pic:nvPicPr>
                        <pic:blipFill>
                          <a:blip r:embed="rId48"/>
                          <a:stretch>
                            <a:fillRect/>
                          </a:stretch>
                        </pic:blipFill>
                        <pic:spPr>
                          <a:xfrm>
                            <a:off x="0" y="0"/>
                            <a:ext cx="752475" cy="455930"/>
                          </a:xfrm>
                          <a:prstGeom prst="rect">
                            <a:avLst/>
                          </a:prstGeom>
                        </pic:spPr>
                      </pic:pic>
                    </a:graphicData>
                  </a:graphic>
                </wp:inline>
              </w:drawing>
            </w:r>
          </w:p>
        </w:tc>
        <w:tc>
          <w:tcPr>
            <w:tcW w:w="2138" w:type="dxa"/>
            <w:vAlign w:val="center"/>
          </w:tcPr>
          <w:p w14:paraId="4DC9B148">
            <w:pPr>
              <w:jc w:val="center"/>
              <w:rPr>
                <w:rFonts w:hint="eastAsia" w:ascii="宋体" w:hAnsi="宋体" w:eastAsia="宋体" w:cs="宋体"/>
                <w:color w:val="auto"/>
                <w:highlight w:val="none"/>
              </w:rPr>
            </w:pPr>
            <w:r>
              <w:rPr>
                <w:rFonts w:ascii="宋体" w:hAnsi="宋体" w:eastAsia="宋体" w:cs="宋体"/>
                <w:color w:val="auto"/>
                <w:highlight w:val="none"/>
              </w:rPr>
              <w:t>食堂</w:t>
            </w:r>
          </w:p>
        </w:tc>
      </w:tr>
      <w:tr w14:paraId="6E343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88" w:type="dxa"/>
            <w:vAlign w:val="center"/>
          </w:tcPr>
          <w:p w14:paraId="022BF3F9">
            <w:pPr>
              <w:jc w:val="center"/>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47</w:t>
            </w:r>
          </w:p>
        </w:tc>
        <w:tc>
          <w:tcPr>
            <w:tcW w:w="1903" w:type="dxa"/>
            <w:vAlign w:val="center"/>
          </w:tcPr>
          <w:p w14:paraId="6B3B435D">
            <w:pPr>
              <w:widowControl/>
              <w:jc w:val="center"/>
              <w:textAlignment w:val="center"/>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bidi="ar"/>
              </w:rPr>
              <w:t>单人沙发3</w:t>
            </w:r>
          </w:p>
        </w:tc>
        <w:tc>
          <w:tcPr>
            <w:tcW w:w="4284" w:type="dxa"/>
          </w:tcPr>
          <w:p w14:paraId="5B94318F">
            <w:pPr>
              <w:jc w:val="center"/>
              <w:rPr>
                <w:rFonts w:hint="eastAsia" w:ascii="宋体" w:hAnsi="宋体" w:eastAsia="宋体" w:cs="宋体"/>
                <w:color w:val="auto"/>
                <w:highlight w:val="none"/>
              </w:rPr>
            </w:pPr>
            <w:r>
              <w:rPr>
                <w:color w:val="auto"/>
                <w:highlight w:val="none"/>
              </w:rPr>
              <w:drawing>
                <wp:inline distT="0" distB="0" distL="114300" distR="114300">
                  <wp:extent cx="753110" cy="455930"/>
                  <wp:effectExtent l="0" t="0" r="8890" b="1270"/>
                  <wp:docPr id="5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pic:cNvPicPr>
                            <a:picLocks noChangeAspect="1"/>
                          </pic:cNvPicPr>
                        </pic:nvPicPr>
                        <pic:blipFill>
                          <a:blip r:embed="rId48"/>
                          <a:stretch>
                            <a:fillRect/>
                          </a:stretch>
                        </pic:blipFill>
                        <pic:spPr>
                          <a:xfrm>
                            <a:off x="0" y="0"/>
                            <a:ext cx="753110" cy="455930"/>
                          </a:xfrm>
                          <a:prstGeom prst="rect">
                            <a:avLst/>
                          </a:prstGeom>
                        </pic:spPr>
                      </pic:pic>
                    </a:graphicData>
                  </a:graphic>
                </wp:inline>
              </w:drawing>
            </w:r>
          </w:p>
        </w:tc>
        <w:tc>
          <w:tcPr>
            <w:tcW w:w="2138" w:type="dxa"/>
            <w:vAlign w:val="center"/>
          </w:tcPr>
          <w:p w14:paraId="5F3E2592">
            <w:pPr>
              <w:jc w:val="center"/>
              <w:rPr>
                <w:rFonts w:hint="eastAsia" w:ascii="宋体" w:hAnsi="宋体" w:eastAsia="宋体" w:cs="宋体"/>
                <w:color w:val="auto"/>
                <w:highlight w:val="none"/>
              </w:rPr>
            </w:pPr>
            <w:r>
              <w:rPr>
                <w:rFonts w:ascii="宋体" w:hAnsi="宋体" w:eastAsia="宋体" w:cs="宋体"/>
                <w:color w:val="auto"/>
                <w:highlight w:val="none"/>
              </w:rPr>
              <w:t>食堂</w:t>
            </w:r>
          </w:p>
        </w:tc>
      </w:tr>
      <w:tr w14:paraId="642DA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88" w:type="dxa"/>
            <w:vAlign w:val="center"/>
          </w:tcPr>
          <w:p w14:paraId="653EA8FB">
            <w:pPr>
              <w:jc w:val="center"/>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48</w:t>
            </w:r>
          </w:p>
        </w:tc>
        <w:tc>
          <w:tcPr>
            <w:tcW w:w="1903" w:type="dxa"/>
            <w:vAlign w:val="center"/>
          </w:tcPr>
          <w:p w14:paraId="2FE5A10B">
            <w:pPr>
              <w:widowControl/>
              <w:jc w:val="center"/>
              <w:textAlignment w:val="center"/>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bidi="ar"/>
              </w:rPr>
              <w:t>茶几4</w:t>
            </w:r>
          </w:p>
        </w:tc>
        <w:tc>
          <w:tcPr>
            <w:tcW w:w="4284" w:type="dxa"/>
          </w:tcPr>
          <w:p w14:paraId="175FE024">
            <w:pPr>
              <w:jc w:val="center"/>
              <w:rPr>
                <w:rFonts w:hint="eastAsia" w:ascii="宋体" w:hAnsi="宋体" w:eastAsia="宋体" w:cs="宋体"/>
                <w:color w:val="auto"/>
                <w:highlight w:val="none"/>
              </w:rPr>
            </w:pPr>
            <w:r>
              <w:rPr>
                <w:color w:val="auto"/>
                <w:highlight w:val="none"/>
              </w:rPr>
              <w:drawing>
                <wp:inline distT="0" distB="0" distL="114300" distR="114300">
                  <wp:extent cx="551815" cy="325755"/>
                  <wp:effectExtent l="0" t="0" r="635" b="17145"/>
                  <wp:docPr id="4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pic:cNvPicPr>
                            <a:picLocks noChangeAspect="1"/>
                          </pic:cNvPicPr>
                        </pic:nvPicPr>
                        <pic:blipFill>
                          <a:blip r:embed="rId49"/>
                          <a:stretch>
                            <a:fillRect/>
                          </a:stretch>
                        </pic:blipFill>
                        <pic:spPr>
                          <a:xfrm>
                            <a:off x="0" y="0"/>
                            <a:ext cx="551815" cy="325755"/>
                          </a:xfrm>
                          <a:prstGeom prst="rect">
                            <a:avLst/>
                          </a:prstGeom>
                        </pic:spPr>
                      </pic:pic>
                    </a:graphicData>
                  </a:graphic>
                </wp:inline>
              </w:drawing>
            </w:r>
          </w:p>
        </w:tc>
        <w:tc>
          <w:tcPr>
            <w:tcW w:w="2138" w:type="dxa"/>
            <w:vAlign w:val="center"/>
          </w:tcPr>
          <w:p w14:paraId="542680F2">
            <w:pPr>
              <w:jc w:val="center"/>
              <w:rPr>
                <w:rFonts w:hint="eastAsia" w:ascii="宋体" w:hAnsi="宋体" w:eastAsia="宋体" w:cs="宋体"/>
                <w:color w:val="auto"/>
                <w:highlight w:val="none"/>
              </w:rPr>
            </w:pPr>
            <w:r>
              <w:rPr>
                <w:rFonts w:ascii="宋体" w:hAnsi="宋体" w:eastAsia="宋体" w:cs="宋体"/>
                <w:color w:val="auto"/>
                <w:highlight w:val="none"/>
              </w:rPr>
              <w:t>食堂</w:t>
            </w:r>
          </w:p>
        </w:tc>
      </w:tr>
    </w:tbl>
    <w:p w14:paraId="45CA5E1F">
      <w:pPr>
        <w:spacing w:line="360" w:lineRule="auto"/>
        <w:ind w:firstLine="437"/>
        <w:outlineLvl w:val="1"/>
        <w:rPr>
          <w:rFonts w:hint="eastAsia" w:ascii="宋体" w:hAnsi="宋体" w:eastAsia="宋体" w:cs="宋体"/>
          <w:b/>
          <w:bCs/>
          <w:color w:val="auto"/>
          <w:sz w:val="24"/>
          <w:szCs w:val="18"/>
          <w:highlight w:val="none"/>
          <w:lang w:val="en-US" w:eastAsia="zh-CN"/>
        </w:rPr>
      </w:pPr>
    </w:p>
    <w:p w14:paraId="2574E9E0">
      <w:pPr>
        <w:spacing w:line="360" w:lineRule="auto"/>
        <w:ind w:firstLine="437"/>
        <w:outlineLvl w:val="1"/>
        <w:rPr>
          <w:rFonts w:hint="eastAsia" w:ascii="宋体" w:hAnsi="宋体" w:eastAsia="宋体" w:cs="宋体"/>
          <w:b/>
          <w:bCs/>
          <w:color w:val="auto"/>
          <w:sz w:val="24"/>
          <w:szCs w:val="18"/>
          <w:highlight w:val="none"/>
          <w:lang w:val="en-US" w:eastAsia="zh-CN"/>
        </w:rPr>
      </w:pPr>
      <w:r>
        <w:rPr>
          <w:rFonts w:hint="eastAsia" w:ascii="宋体" w:hAnsi="宋体" w:eastAsia="宋体" w:cs="宋体"/>
          <w:b/>
          <w:bCs/>
          <w:color w:val="auto"/>
          <w:sz w:val="24"/>
          <w:szCs w:val="18"/>
          <w:highlight w:val="none"/>
          <w:lang w:val="en-US" w:eastAsia="zh-CN"/>
        </w:rPr>
        <w:t>四、房间尺寸平面图</w:t>
      </w:r>
      <w:r>
        <w:rPr>
          <w:rFonts w:hint="eastAsia" w:ascii="宋体" w:hAnsi="宋体" w:eastAsia="宋体" w:cs="宋体"/>
          <w:b/>
          <w:bCs/>
          <w:color w:val="auto"/>
          <w:sz w:val="24"/>
          <w:szCs w:val="18"/>
          <w:highlight w:val="yellow"/>
          <w:lang w:val="en-US" w:eastAsia="zh-CN"/>
        </w:rPr>
        <w:t>（仅供参考，最终以现场实际尺寸为准）</w:t>
      </w:r>
    </w:p>
    <w:p w14:paraId="3475E567">
      <w:pPr>
        <w:spacing w:line="360" w:lineRule="auto"/>
        <w:ind w:firstLine="437"/>
        <w:rPr>
          <w:rFonts w:hint="default" w:ascii="宋体" w:hAnsi="宋体" w:eastAsia="宋体" w:cs="宋体"/>
          <w:bCs/>
          <w:color w:val="auto"/>
          <w:sz w:val="24"/>
          <w:szCs w:val="18"/>
          <w:highlight w:val="none"/>
          <w:lang w:val="en-US" w:eastAsia="zh-CN"/>
        </w:rPr>
      </w:pPr>
      <w:r>
        <w:rPr>
          <w:rFonts w:hint="eastAsia" w:ascii="宋体" w:hAnsi="宋体" w:eastAsia="宋体" w:cs="宋体"/>
          <w:bCs/>
          <w:color w:val="auto"/>
          <w:sz w:val="24"/>
          <w:szCs w:val="18"/>
          <w:highlight w:val="none"/>
          <w:lang w:val="en-US" w:eastAsia="zh-CN"/>
        </w:rPr>
        <w:t>报告厅：</w:t>
      </w:r>
    </w:p>
    <w:p w14:paraId="330CA91B">
      <w:pPr>
        <w:spacing w:line="360" w:lineRule="auto"/>
        <w:ind w:firstLine="437"/>
        <w:rPr>
          <w:rFonts w:hint="eastAsia" w:ascii="宋体" w:hAnsi="宋体" w:eastAsia="宋体" w:cs="宋体"/>
          <w:bCs/>
          <w:color w:val="auto"/>
          <w:sz w:val="24"/>
          <w:szCs w:val="18"/>
          <w:highlight w:val="none"/>
          <w:lang w:eastAsia="zh-CN"/>
        </w:rPr>
      </w:pPr>
      <w:r>
        <w:rPr>
          <w:rFonts w:hint="eastAsia" w:ascii="宋体" w:hAnsi="宋体" w:eastAsia="宋体" w:cs="宋体"/>
          <w:bCs/>
          <w:color w:val="auto"/>
          <w:sz w:val="24"/>
          <w:szCs w:val="18"/>
          <w:highlight w:val="none"/>
          <w:lang w:eastAsia="zh-CN"/>
        </w:rPr>
        <w:drawing>
          <wp:inline distT="0" distB="0" distL="114300" distR="114300">
            <wp:extent cx="5267325" cy="5120640"/>
            <wp:effectExtent l="0" t="0" r="9525" b="3810"/>
            <wp:docPr id="3" name="图片 3" descr="报告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报告厅"/>
                    <pic:cNvPicPr>
                      <a:picLocks noChangeAspect="1"/>
                    </pic:cNvPicPr>
                  </pic:nvPicPr>
                  <pic:blipFill>
                    <a:blip r:embed="rId50"/>
                    <a:stretch>
                      <a:fillRect/>
                    </a:stretch>
                  </pic:blipFill>
                  <pic:spPr>
                    <a:xfrm>
                      <a:off x="0" y="0"/>
                      <a:ext cx="5267325" cy="5120640"/>
                    </a:xfrm>
                    <a:prstGeom prst="rect">
                      <a:avLst/>
                    </a:prstGeom>
                  </pic:spPr>
                </pic:pic>
              </a:graphicData>
            </a:graphic>
          </wp:inline>
        </w:drawing>
      </w:r>
    </w:p>
    <w:p w14:paraId="4F518779">
      <w:pPr>
        <w:spacing w:line="360" w:lineRule="auto"/>
        <w:ind w:firstLine="437"/>
        <w:rPr>
          <w:rFonts w:hint="eastAsia" w:ascii="宋体" w:hAnsi="宋体" w:eastAsia="宋体" w:cs="宋体"/>
          <w:bCs/>
          <w:color w:val="auto"/>
          <w:sz w:val="24"/>
          <w:szCs w:val="18"/>
          <w:highlight w:val="none"/>
          <w:lang w:val="en-US" w:eastAsia="zh-CN"/>
        </w:rPr>
      </w:pPr>
    </w:p>
    <w:p w14:paraId="2DCC71B8">
      <w:pPr>
        <w:spacing w:line="360" w:lineRule="auto"/>
        <w:ind w:firstLine="437"/>
        <w:rPr>
          <w:rFonts w:hint="default" w:ascii="宋体" w:hAnsi="宋体" w:eastAsia="宋体" w:cs="宋体"/>
          <w:bCs/>
          <w:color w:val="auto"/>
          <w:sz w:val="24"/>
          <w:szCs w:val="18"/>
          <w:highlight w:val="none"/>
          <w:lang w:val="en-US" w:eastAsia="zh-CN"/>
        </w:rPr>
      </w:pPr>
      <w:r>
        <w:rPr>
          <w:rFonts w:hint="eastAsia" w:ascii="宋体" w:hAnsi="宋体" w:eastAsia="宋体" w:cs="宋体"/>
          <w:bCs/>
          <w:color w:val="auto"/>
          <w:sz w:val="24"/>
          <w:szCs w:val="18"/>
          <w:highlight w:val="none"/>
          <w:lang w:val="en-US" w:eastAsia="zh-CN"/>
        </w:rPr>
        <w:t>更衣室-1F：</w:t>
      </w:r>
    </w:p>
    <w:p w14:paraId="5F1F84DA">
      <w:pPr>
        <w:spacing w:line="360" w:lineRule="auto"/>
        <w:ind w:firstLine="437"/>
        <w:rPr>
          <w:rFonts w:hint="eastAsia" w:ascii="宋体" w:hAnsi="宋体" w:eastAsia="宋体" w:cs="宋体"/>
          <w:bCs/>
          <w:color w:val="auto"/>
          <w:sz w:val="24"/>
          <w:szCs w:val="18"/>
          <w:highlight w:val="none"/>
          <w:lang w:eastAsia="zh-CN"/>
        </w:rPr>
      </w:pPr>
      <w:r>
        <w:rPr>
          <w:rFonts w:hint="eastAsia" w:ascii="宋体" w:hAnsi="宋体" w:eastAsia="宋体" w:cs="宋体"/>
          <w:bCs/>
          <w:color w:val="auto"/>
          <w:sz w:val="24"/>
          <w:szCs w:val="18"/>
          <w:highlight w:val="none"/>
          <w:lang w:eastAsia="zh-CN"/>
        </w:rPr>
        <w:drawing>
          <wp:inline distT="0" distB="0" distL="114300" distR="114300">
            <wp:extent cx="5265420" cy="2969895"/>
            <wp:effectExtent l="0" t="0" r="11430" b="1905"/>
            <wp:docPr id="7" name="图片 7" descr="更衣室-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更衣室-1F"/>
                    <pic:cNvPicPr>
                      <a:picLocks noChangeAspect="1"/>
                    </pic:cNvPicPr>
                  </pic:nvPicPr>
                  <pic:blipFill>
                    <a:blip r:embed="rId51"/>
                    <a:stretch>
                      <a:fillRect/>
                    </a:stretch>
                  </pic:blipFill>
                  <pic:spPr>
                    <a:xfrm>
                      <a:off x="0" y="0"/>
                      <a:ext cx="5265420" cy="2969895"/>
                    </a:xfrm>
                    <a:prstGeom prst="rect">
                      <a:avLst/>
                    </a:prstGeom>
                  </pic:spPr>
                </pic:pic>
              </a:graphicData>
            </a:graphic>
          </wp:inline>
        </w:drawing>
      </w:r>
    </w:p>
    <w:p w14:paraId="5356EAB4">
      <w:pPr>
        <w:spacing w:line="360" w:lineRule="auto"/>
        <w:ind w:firstLine="437"/>
        <w:rPr>
          <w:rFonts w:hint="eastAsia" w:ascii="宋体" w:hAnsi="宋体" w:eastAsia="宋体" w:cs="宋体"/>
          <w:bCs/>
          <w:color w:val="auto"/>
          <w:sz w:val="24"/>
          <w:szCs w:val="18"/>
          <w:highlight w:val="none"/>
          <w:lang w:val="en-US" w:eastAsia="zh-CN"/>
        </w:rPr>
      </w:pPr>
    </w:p>
    <w:p w14:paraId="62691E5E">
      <w:pPr>
        <w:spacing w:line="360" w:lineRule="auto"/>
        <w:ind w:firstLine="437"/>
        <w:rPr>
          <w:rFonts w:hint="eastAsia" w:ascii="宋体" w:hAnsi="宋体" w:eastAsia="宋体" w:cs="宋体"/>
          <w:bCs/>
          <w:color w:val="auto"/>
          <w:sz w:val="24"/>
          <w:szCs w:val="18"/>
          <w:highlight w:val="none"/>
          <w:lang w:val="en-US" w:eastAsia="zh-CN"/>
        </w:rPr>
      </w:pPr>
      <w:r>
        <w:rPr>
          <w:rFonts w:hint="eastAsia" w:ascii="宋体" w:hAnsi="宋体" w:eastAsia="宋体" w:cs="宋体"/>
          <w:bCs/>
          <w:color w:val="auto"/>
          <w:sz w:val="24"/>
          <w:szCs w:val="18"/>
          <w:highlight w:val="none"/>
          <w:lang w:val="en-US" w:eastAsia="zh-CN"/>
        </w:rPr>
        <w:t>更衣室-6F：</w:t>
      </w:r>
    </w:p>
    <w:p w14:paraId="33DF83B8">
      <w:pPr>
        <w:spacing w:line="360" w:lineRule="auto"/>
        <w:ind w:firstLine="437"/>
        <w:rPr>
          <w:rFonts w:hint="eastAsia" w:ascii="宋体" w:hAnsi="宋体" w:eastAsia="宋体" w:cs="宋体"/>
          <w:bCs/>
          <w:color w:val="auto"/>
          <w:sz w:val="24"/>
          <w:szCs w:val="18"/>
          <w:highlight w:val="none"/>
          <w:lang w:eastAsia="zh-CN"/>
        </w:rPr>
      </w:pPr>
      <w:r>
        <w:rPr>
          <w:rFonts w:hint="eastAsia" w:ascii="宋体" w:hAnsi="宋体" w:eastAsia="宋体" w:cs="宋体"/>
          <w:bCs/>
          <w:color w:val="auto"/>
          <w:sz w:val="24"/>
          <w:szCs w:val="18"/>
          <w:highlight w:val="none"/>
          <w:lang w:eastAsia="zh-CN"/>
        </w:rPr>
        <w:drawing>
          <wp:inline distT="0" distB="0" distL="114300" distR="114300">
            <wp:extent cx="5273675" cy="3296920"/>
            <wp:effectExtent l="0" t="0" r="3175" b="17780"/>
            <wp:docPr id="36" name="图片 36" descr="更衣室-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更衣室-6F"/>
                    <pic:cNvPicPr>
                      <a:picLocks noChangeAspect="1"/>
                    </pic:cNvPicPr>
                  </pic:nvPicPr>
                  <pic:blipFill>
                    <a:blip r:embed="rId52"/>
                    <a:stretch>
                      <a:fillRect/>
                    </a:stretch>
                  </pic:blipFill>
                  <pic:spPr>
                    <a:xfrm>
                      <a:off x="0" y="0"/>
                      <a:ext cx="5273675" cy="3296920"/>
                    </a:xfrm>
                    <a:prstGeom prst="rect">
                      <a:avLst/>
                    </a:prstGeom>
                  </pic:spPr>
                </pic:pic>
              </a:graphicData>
            </a:graphic>
          </wp:inline>
        </w:drawing>
      </w:r>
    </w:p>
    <w:p w14:paraId="1FEC708D">
      <w:pPr>
        <w:spacing w:line="360" w:lineRule="auto"/>
        <w:ind w:firstLine="437"/>
        <w:rPr>
          <w:rFonts w:hint="eastAsia" w:ascii="宋体" w:hAnsi="宋体" w:eastAsia="宋体" w:cs="宋体"/>
          <w:bCs/>
          <w:color w:val="auto"/>
          <w:sz w:val="24"/>
          <w:szCs w:val="18"/>
          <w:highlight w:val="none"/>
          <w:lang w:val="en-US" w:eastAsia="zh-CN"/>
        </w:rPr>
      </w:pPr>
    </w:p>
    <w:p w14:paraId="497CE423">
      <w:pPr>
        <w:spacing w:line="360" w:lineRule="auto"/>
        <w:ind w:firstLine="437"/>
        <w:rPr>
          <w:rFonts w:hint="default" w:ascii="宋体" w:hAnsi="宋体" w:eastAsia="宋体" w:cs="宋体"/>
          <w:bCs/>
          <w:color w:val="auto"/>
          <w:sz w:val="24"/>
          <w:szCs w:val="18"/>
          <w:highlight w:val="none"/>
          <w:lang w:val="en-US" w:eastAsia="zh-CN"/>
        </w:rPr>
      </w:pPr>
      <w:r>
        <w:rPr>
          <w:rFonts w:hint="eastAsia" w:ascii="宋体" w:hAnsi="宋体" w:eastAsia="宋体" w:cs="宋体"/>
          <w:bCs/>
          <w:color w:val="auto"/>
          <w:sz w:val="24"/>
          <w:szCs w:val="18"/>
          <w:highlight w:val="none"/>
          <w:lang w:val="en-US" w:eastAsia="zh-CN"/>
        </w:rPr>
        <w:t>职工书屋：</w:t>
      </w:r>
    </w:p>
    <w:p w14:paraId="74247DF9">
      <w:pPr>
        <w:spacing w:line="360" w:lineRule="auto"/>
        <w:ind w:firstLine="437"/>
        <w:rPr>
          <w:rFonts w:hint="eastAsia" w:ascii="宋体" w:hAnsi="宋体" w:eastAsia="宋体" w:cs="宋体"/>
          <w:bCs/>
          <w:color w:val="auto"/>
          <w:sz w:val="24"/>
          <w:szCs w:val="18"/>
          <w:highlight w:val="none"/>
          <w:lang w:eastAsia="zh-CN"/>
        </w:rPr>
      </w:pPr>
      <w:r>
        <w:rPr>
          <w:rFonts w:hint="eastAsia" w:ascii="宋体" w:hAnsi="宋体" w:eastAsia="宋体" w:cs="宋体"/>
          <w:bCs/>
          <w:color w:val="auto"/>
          <w:sz w:val="24"/>
          <w:szCs w:val="18"/>
          <w:highlight w:val="none"/>
          <w:lang w:eastAsia="zh-CN"/>
        </w:rPr>
        <w:drawing>
          <wp:inline distT="0" distB="0" distL="114300" distR="114300">
            <wp:extent cx="5266690" cy="2962910"/>
            <wp:effectExtent l="0" t="0" r="10160" b="8890"/>
            <wp:docPr id="40" name="图片 40" descr="职工书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职工书屋"/>
                    <pic:cNvPicPr>
                      <a:picLocks noChangeAspect="1"/>
                    </pic:cNvPicPr>
                  </pic:nvPicPr>
                  <pic:blipFill>
                    <a:blip r:embed="rId53"/>
                    <a:stretch>
                      <a:fillRect/>
                    </a:stretch>
                  </pic:blipFill>
                  <pic:spPr>
                    <a:xfrm>
                      <a:off x="0" y="0"/>
                      <a:ext cx="5266690" cy="2962910"/>
                    </a:xfrm>
                    <a:prstGeom prst="rect">
                      <a:avLst/>
                    </a:prstGeom>
                  </pic:spPr>
                </pic:pic>
              </a:graphicData>
            </a:graphic>
          </wp:inline>
        </w:drawing>
      </w:r>
    </w:p>
    <w:p w14:paraId="64F30B65">
      <w:pPr>
        <w:spacing w:line="360" w:lineRule="auto"/>
        <w:ind w:firstLine="437"/>
        <w:outlineLvl w:val="1"/>
        <w:rPr>
          <w:rFonts w:hint="eastAsia" w:ascii="宋体" w:hAnsi="宋体" w:eastAsia="宋体" w:cs="宋体"/>
          <w:b/>
          <w:bCs/>
          <w:color w:val="auto"/>
          <w:sz w:val="24"/>
          <w:szCs w:val="18"/>
          <w:highlight w:val="none"/>
        </w:rPr>
      </w:pPr>
    </w:p>
    <w:p w14:paraId="7F899D14">
      <w:pPr>
        <w:spacing w:line="360" w:lineRule="auto"/>
        <w:ind w:firstLine="437"/>
        <w:outlineLvl w:val="1"/>
        <w:rPr>
          <w:rFonts w:hint="eastAsia" w:ascii="宋体" w:hAnsi="宋体" w:eastAsia="宋体" w:cs="宋体"/>
          <w:b/>
          <w:bCs/>
          <w:color w:val="auto"/>
          <w:sz w:val="24"/>
          <w:szCs w:val="18"/>
          <w:highlight w:val="none"/>
        </w:rPr>
      </w:pPr>
      <w:r>
        <w:rPr>
          <w:rFonts w:hint="eastAsia" w:ascii="宋体" w:hAnsi="宋体" w:eastAsia="宋体" w:cs="宋体"/>
          <w:b/>
          <w:bCs/>
          <w:color w:val="auto"/>
          <w:sz w:val="24"/>
          <w:szCs w:val="18"/>
          <w:highlight w:val="none"/>
          <w:lang w:val="en-US" w:eastAsia="zh-CN"/>
        </w:rPr>
        <w:t>五</w:t>
      </w:r>
      <w:r>
        <w:rPr>
          <w:rFonts w:hint="eastAsia" w:ascii="宋体" w:hAnsi="宋体" w:eastAsia="宋体" w:cs="宋体"/>
          <w:b/>
          <w:bCs/>
          <w:color w:val="auto"/>
          <w:sz w:val="24"/>
          <w:szCs w:val="18"/>
          <w:highlight w:val="none"/>
        </w:rPr>
        <w:t>、报价要求</w:t>
      </w:r>
      <w:bookmarkEnd w:id="27"/>
      <w:bookmarkEnd w:id="28"/>
    </w:p>
    <w:p w14:paraId="5D5C15F4">
      <w:pPr>
        <w:spacing w:line="360" w:lineRule="auto"/>
        <w:ind w:firstLine="437"/>
        <w:rPr>
          <w:rFonts w:hint="eastAsia" w:ascii="宋体" w:hAnsi="宋体" w:eastAsia="宋体" w:cs="宋体"/>
          <w:bCs/>
          <w:color w:val="auto"/>
          <w:sz w:val="24"/>
          <w:szCs w:val="18"/>
          <w:highlight w:val="none"/>
        </w:rPr>
      </w:pPr>
      <w:r>
        <w:rPr>
          <w:rFonts w:hint="eastAsia" w:ascii="宋体" w:hAnsi="宋体" w:eastAsia="宋体" w:cs="宋体"/>
          <w:bCs/>
          <w:color w:val="auto"/>
          <w:sz w:val="24"/>
          <w:szCs w:val="18"/>
          <w:highlight w:val="none"/>
        </w:rPr>
        <w:t>投标报价包括对应本项目需求的全部货物及所需附件购置费、包装费、运输费、人工费、保险费、安装调试费、各种税费、资料费、售后服务费及完成项目应有的全部费用。采购人后期不予追加任何费用，请投标人综合考虑各种风险，谨慎报价。</w:t>
      </w:r>
    </w:p>
    <w:p w14:paraId="30C31E10">
      <w:pPr>
        <w:spacing w:line="360" w:lineRule="auto"/>
        <w:ind w:firstLine="437"/>
        <w:outlineLvl w:val="1"/>
        <w:rPr>
          <w:rFonts w:hint="eastAsia" w:ascii="宋体" w:hAnsi="宋体" w:eastAsia="宋体" w:cs="宋体"/>
          <w:b/>
          <w:bCs/>
          <w:color w:val="auto"/>
          <w:sz w:val="24"/>
          <w:szCs w:val="18"/>
          <w:highlight w:val="none"/>
        </w:rPr>
      </w:pPr>
      <w:bookmarkStart w:id="29" w:name="_Toc15293"/>
      <w:bookmarkStart w:id="30" w:name="_Toc14698"/>
      <w:r>
        <w:rPr>
          <w:rFonts w:hint="eastAsia" w:ascii="宋体" w:hAnsi="宋体" w:eastAsia="宋体" w:cs="宋体"/>
          <w:b/>
          <w:bCs/>
          <w:color w:val="auto"/>
          <w:sz w:val="24"/>
          <w:szCs w:val="18"/>
          <w:highlight w:val="none"/>
          <w:lang w:val="en-US" w:eastAsia="zh-CN"/>
        </w:rPr>
        <w:t>六</w:t>
      </w:r>
      <w:r>
        <w:rPr>
          <w:rFonts w:hint="eastAsia" w:ascii="宋体" w:hAnsi="宋体" w:eastAsia="宋体" w:cs="宋体"/>
          <w:b/>
          <w:bCs/>
          <w:color w:val="auto"/>
          <w:sz w:val="24"/>
          <w:szCs w:val="18"/>
          <w:highlight w:val="none"/>
        </w:rPr>
        <w:t>、其他要求</w:t>
      </w:r>
      <w:bookmarkEnd w:id="29"/>
      <w:bookmarkEnd w:id="30"/>
    </w:p>
    <w:p w14:paraId="48651F48">
      <w:pPr>
        <w:spacing w:line="360" w:lineRule="auto"/>
        <w:ind w:firstLine="437"/>
        <w:rPr>
          <w:rFonts w:hint="eastAsia" w:ascii="宋体" w:hAnsi="宋体" w:eastAsia="宋体" w:cs="宋体"/>
          <w:bCs/>
          <w:color w:val="auto"/>
          <w:sz w:val="24"/>
          <w:szCs w:val="18"/>
          <w:highlight w:val="none"/>
        </w:rPr>
      </w:pPr>
      <w:r>
        <w:rPr>
          <w:rFonts w:hint="eastAsia" w:ascii="宋体" w:hAnsi="宋体" w:eastAsia="宋体" w:cs="宋体"/>
          <w:bCs/>
          <w:color w:val="auto"/>
          <w:sz w:val="24"/>
          <w:szCs w:val="18"/>
          <w:highlight w:val="none"/>
        </w:rPr>
        <w:t>（一）货物的生产、安装、维修、检验、验收等按照以下原则执行：有国家标准的执行国家标准；无国家标准的执行行业标准；无行业标准的执行地方标准；无地方标准的执行企业标准。</w:t>
      </w:r>
    </w:p>
    <w:p w14:paraId="6A6DF455">
      <w:pPr>
        <w:spacing w:line="360" w:lineRule="auto"/>
        <w:ind w:firstLine="437"/>
        <w:rPr>
          <w:rFonts w:hint="eastAsia" w:ascii="宋体" w:hAnsi="宋体" w:eastAsia="宋体" w:cs="宋体"/>
          <w:bCs/>
          <w:color w:val="auto"/>
          <w:sz w:val="24"/>
          <w:szCs w:val="18"/>
          <w:highlight w:val="none"/>
        </w:rPr>
      </w:pPr>
      <w:r>
        <w:rPr>
          <w:rFonts w:hint="eastAsia" w:ascii="宋体" w:hAnsi="宋体" w:eastAsia="宋体" w:cs="宋体"/>
          <w:bCs/>
          <w:color w:val="auto"/>
          <w:sz w:val="24"/>
          <w:szCs w:val="18"/>
          <w:highlight w:val="none"/>
        </w:rPr>
        <w:t>（二）如果在技术参数或配置中标明了品牌或产地，则仅供参考，并非指定，但投标人提供的货物必须满足主要技术参数及配置要求，投标人可以选用替代的方案，但这种替代整体上要优于或相当于招标文件的相关要求。</w:t>
      </w:r>
    </w:p>
    <w:p w14:paraId="17433F4B">
      <w:pPr>
        <w:spacing w:line="360" w:lineRule="auto"/>
        <w:ind w:firstLine="437"/>
        <w:rPr>
          <w:rFonts w:hint="eastAsia" w:ascii="宋体" w:hAnsi="宋体" w:eastAsia="宋体" w:cs="宋体"/>
          <w:bCs/>
          <w:color w:val="auto"/>
          <w:sz w:val="24"/>
          <w:szCs w:val="18"/>
          <w:highlight w:val="none"/>
        </w:rPr>
      </w:pPr>
      <w:r>
        <w:rPr>
          <w:rFonts w:hint="eastAsia" w:ascii="宋体" w:hAnsi="宋体" w:eastAsia="宋体" w:cs="宋体"/>
          <w:bCs/>
          <w:color w:val="auto"/>
          <w:sz w:val="24"/>
          <w:szCs w:val="18"/>
          <w:highlight w:val="none"/>
        </w:rPr>
        <w:t>（三）供货时所有货物（包括零部件）须为全新的、未使用过的原装正品，并完全符合国家质量标准，提供厂家出具的合格证书、有国家强制性认证要求的产品须提供相应证书，货物的技术参数及配置情况必须由投标人提供国家相关检测机构出具的检验报告、生产厂家公开发布的印刷资料等技术资料予以支持。没有技术资料支持的技术参数及配置不能视为响应。 (厂家出具的合格证书供货时提供)</w:t>
      </w:r>
    </w:p>
    <w:p w14:paraId="09DFCEA1">
      <w:pPr>
        <w:spacing w:line="360" w:lineRule="auto"/>
        <w:ind w:firstLine="437"/>
        <w:rPr>
          <w:rFonts w:hint="eastAsia" w:ascii="宋体" w:hAnsi="宋体" w:eastAsia="宋体" w:cs="宋体"/>
          <w:bCs/>
          <w:color w:val="auto"/>
          <w:sz w:val="24"/>
          <w:szCs w:val="18"/>
          <w:highlight w:val="none"/>
        </w:rPr>
      </w:pPr>
      <w:r>
        <w:rPr>
          <w:rFonts w:hint="eastAsia" w:ascii="宋体" w:hAnsi="宋体" w:eastAsia="宋体" w:cs="宋体"/>
          <w:bCs/>
          <w:color w:val="auto"/>
          <w:sz w:val="24"/>
          <w:szCs w:val="18"/>
          <w:highlight w:val="none"/>
        </w:rPr>
        <w:t>（四）技术支持</w:t>
      </w:r>
    </w:p>
    <w:p w14:paraId="6A06BAAC">
      <w:pPr>
        <w:spacing w:line="360" w:lineRule="auto"/>
        <w:ind w:firstLine="437"/>
        <w:rPr>
          <w:rFonts w:hint="eastAsia" w:ascii="宋体" w:hAnsi="宋体" w:eastAsia="宋体" w:cs="宋体"/>
          <w:bCs/>
          <w:color w:val="auto"/>
          <w:sz w:val="24"/>
          <w:szCs w:val="18"/>
          <w:highlight w:val="none"/>
        </w:rPr>
      </w:pPr>
      <w:r>
        <w:rPr>
          <w:rFonts w:hint="eastAsia" w:ascii="宋体" w:hAnsi="宋体" w:eastAsia="宋体" w:cs="宋体"/>
          <w:bCs/>
          <w:color w:val="auto"/>
          <w:sz w:val="24"/>
          <w:szCs w:val="18"/>
          <w:highlight w:val="none"/>
        </w:rPr>
        <w:t>1.中标人应向采购人提供全方位、及时而有效的技术支持和服务。</w:t>
      </w:r>
    </w:p>
    <w:p w14:paraId="1F343D91">
      <w:pPr>
        <w:spacing w:line="360" w:lineRule="auto"/>
        <w:ind w:firstLine="437"/>
        <w:rPr>
          <w:rFonts w:hint="eastAsia" w:ascii="宋体" w:hAnsi="宋体" w:eastAsia="宋体" w:cs="宋体"/>
          <w:bCs/>
          <w:color w:val="auto"/>
          <w:sz w:val="24"/>
          <w:szCs w:val="18"/>
          <w:highlight w:val="none"/>
        </w:rPr>
      </w:pPr>
      <w:r>
        <w:rPr>
          <w:rFonts w:hint="eastAsia" w:ascii="宋体" w:hAnsi="宋体" w:eastAsia="宋体" w:cs="宋体"/>
          <w:bCs/>
          <w:color w:val="auto"/>
          <w:sz w:val="24"/>
          <w:szCs w:val="18"/>
          <w:highlight w:val="none"/>
        </w:rPr>
        <w:t>2.中标人负责供货、安装、调试。</w:t>
      </w:r>
    </w:p>
    <w:p w14:paraId="322A986D">
      <w:pPr>
        <w:spacing w:line="360" w:lineRule="auto"/>
        <w:ind w:firstLine="437"/>
        <w:rPr>
          <w:rFonts w:hint="eastAsia" w:ascii="宋体" w:hAnsi="宋体" w:eastAsia="宋体" w:cs="宋体"/>
          <w:bCs/>
          <w:color w:val="auto"/>
          <w:sz w:val="24"/>
          <w:szCs w:val="18"/>
          <w:highlight w:val="none"/>
        </w:rPr>
      </w:pPr>
      <w:r>
        <w:rPr>
          <w:rFonts w:hint="eastAsia" w:ascii="宋体" w:hAnsi="宋体" w:eastAsia="宋体" w:cs="宋体"/>
          <w:bCs/>
          <w:color w:val="auto"/>
          <w:sz w:val="24"/>
          <w:szCs w:val="18"/>
          <w:highlight w:val="none"/>
        </w:rPr>
        <w:t>3.中标人负责将货物的全部有关技术文件（外文应提供中文翻译资料，下同）、施工图纸、资料、测试、验收报告等汇集成册交付采购人，涉及进口的产品或部件配件软件等须提供中国海关进口货物报关单、完税证明及商检证明等材料。</w:t>
      </w:r>
    </w:p>
    <w:p w14:paraId="272662A5">
      <w:pPr>
        <w:spacing w:line="360" w:lineRule="auto"/>
        <w:ind w:firstLine="437"/>
        <w:rPr>
          <w:rFonts w:hint="eastAsia" w:ascii="宋体" w:hAnsi="宋体" w:eastAsia="宋体" w:cs="宋体"/>
          <w:bCs/>
          <w:color w:val="auto"/>
          <w:sz w:val="24"/>
          <w:szCs w:val="18"/>
          <w:highlight w:val="none"/>
        </w:rPr>
      </w:pPr>
      <w:r>
        <w:rPr>
          <w:rFonts w:hint="eastAsia" w:ascii="宋体" w:hAnsi="宋体" w:eastAsia="宋体" w:cs="宋体"/>
          <w:bCs/>
          <w:color w:val="auto"/>
          <w:sz w:val="24"/>
          <w:szCs w:val="18"/>
          <w:highlight w:val="none"/>
        </w:rPr>
        <w:t>（五）质保及售后服务：</w:t>
      </w:r>
    </w:p>
    <w:p w14:paraId="06A30DA4">
      <w:pPr>
        <w:spacing w:line="360" w:lineRule="auto"/>
        <w:ind w:firstLine="437"/>
        <w:rPr>
          <w:rFonts w:hint="eastAsia" w:ascii="宋体" w:hAnsi="宋体" w:eastAsia="宋体" w:cs="宋体"/>
          <w:bCs/>
          <w:color w:val="auto"/>
          <w:sz w:val="24"/>
          <w:szCs w:val="18"/>
          <w:highlight w:val="none"/>
        </w:rPr>
      </w:pPr>
      <w:r>
        <w:rPr>
          <w:rFonts w:hint="eastAsia" w:ascii="宋体" w:hAnsi="宋体" w:eastAsia="宋体" w:cs="宋体"/>
          <w:bCs/>
          <w:color w:val="auto"/>
          <w:sz w:val="24"/>
          <w:szCs w:val="18"/>
          <w:highlight w:val="none"/>
        </w:rPr>
        <w:t>1.中标人须提供至少3年（自验收合格之日起）的免费质保服务（具体以投标承诺为准），中标人每年须至少提供2次的上门巡检服务，巡检过程中须根据采购人使用情况，免费更换常用配件，如备用柜门板、铰链、镙丝等产品备件及常用维修工具。无正当理由，中标人不得拒绝上门巡检服务及备品备件更换。所有质保费用均已包含在投标报价中，均由中标人自行承担。质保期满后，应提供优先的有偿售后服务及按不高于投标文件中主要配件、易损件清单所报价格供应原厂零配件等。软件终身免费升级服务。</w:t>
      </w:r>
    </w:p>
    <w:p w14:paraId="384EFACF">
      <w:pPr>
        <w:spacing w:line="360" w:lineRule="auto"/>
        <w:ind w:firstLine="437"/>
        <w:rPr>
          <w:rFonts w:hint="eastAsia" w:ascii="宋体" w:hAnsi="宋体" w:eastAsia="宋体" w:cs="宋体"/>
          <w:bCs/>
          <w:color w:val="auto"/>
          <w:sz w:val="24"/>
          <w:szCs w:val="18"/>
          <w:highlight w:val="none"/>
        </w:rPr>
      </w:pPr>
      <w:r>
        <w:rPr>
          <w:rFonts w:hint="eastAsia" w:ascii="宋体" w:hAnsi="宋体" w:eastAsia="宋体" w:cs="宋体"/>
          <w:bCs/>
          <w:color w:val="auto"/>
          <w:sz w:val="24"/>
          <w:szCs w:val="18"/>
          <w:highlight w:val="none"/>
        </w:rPr>
        <w:t>2.中标人须设有维修服务电话，负责解答用户在货物使用中遇到的问题，及时提出解决问题的建议和操作方法。</w:t>
      </w:r>
    </w:p>
    <w:p w14:paraId="48F8B3CF">
      <w:pPr>
        <w:spacing w:line="360" w:lineRule="auto"/>
        <w:ind w:firstLine="437"/>
        <w:rPr>
          <w:rFonts w:hint="eastAsia" w:ascii="宋体" w:hAnsi="宋体" w:eastAsia="宋体" w:cs="宋体"/>
          <w:bCs/>
          <w:color w:val="auto"/>
          <w:sz w:val="24"/>
          <w:szCs w:val="18"/>
          <w:highlight w:val="none"/>
        </w:rPr>
      </w:pPr>
      <w:r>
        <w:rPr>
          <w:rFonts w:hint="eastAsia" w:ascii="宋体" w:hAnsi="宋体" w:eastAsia="宋体" w:cs="宋体"/>
          <w:bCs/>
          <w:color w:val="auto"/>
          <w:sz w:val="24"/>
          <w:szCs w:val="18"/>
          <w:highlight w:val="none"/>
        </w:rPr>
        <w:t>3.售后服务响应时间：如货物出现故障，电话响应无法解决，中标人必须在接报修电话24小时内到现场并解决问题。</w:t>
      </w:r>
    </w:p>
    <w:p w14:paraId="0816F986">
      <w:pPr>
        <w:spacing w:line="360" w:lineRule="auto"/>
        <w:ind w:firstLine="437"/>
        <w:rPr>
          <w:rFonts w:hint="eastAsia" w:ascii="宋体" w:hAnsi="宋体" w:eastAsia="宋体" w:cs="宋体"/>
          <w:bCs/>
          <w:color w:val="auto"/>
          <w:sz w:val="24"/>
          <w:szCs w:val="18"/>
          <w:highlight w:val="none"/>
        </w:rPr>
      </w:pPr>
      <w:r>
        <w:rPr>
          <w:rFonts w:hint="eastAsia" w:ascii="宋体" w:hAnsi="宋体" w:eastAsia="宋体" w:cs="宋体"/>
          <w:bCs/>
          <w:color w:val="auto"/>
          <w:sz w:val="24"/>
          <w:szCs w:val="18"/>
          <w:highlight w:val="none"/>
        </w:rPr>
        <w:t>（六）培训：中标人负责为采购人操作人员提供操作及维护培训，直至其能熟练独立操作及日常维护与保养，简单故障诊断与排除。</w:t>
      </w:r>
    </w:p>
    <w:p w14:paraId="746F3DAD">
      <w:pPr>
        <w:spacing w:line="360" w:lineRule="auto"/>
        <w:ind w:firstLine="437"/>
        <w:rPr>
          <w:rFonts w:hint="eastAsia" w:ascii="宋体" w:hAnsi="宋体" w:eastAsia="宋体" w:cs="宋体"/>
          <w:bCs/>
          <w:color w:val="auto"/>
          <w:sz w:val="24"/>
          <w:szCs w:val="18"/>
          <w:highlight w:val="none"/>
        </w:rPr>
      </w:pPr>
      <w:r>
        <w:rPr>
          <w:rFonts w:hint="eastAsia" w:ascii="宋体" w:hAnsi="宋体" w:eastAsia="宋体" w:cs="宋体"/>
          <w:bCs/>
          <w:color w:val="auto"/>
          <w:sz w:val="24"/>
          <w:szCs w:val="18"/>
          <w:highlight w:val="none"/>
        </w:rPr>
        <w:t>（七）交货期：合同签订后，自接到采购人通知之日起30个日历天内完成全部货物的供货、安装、调试。</w:t>
      </w:r>
    </w:p>
    <w:p w14:paraId="6A9E184C">
      <w:pPr>
        <w:spacing w:line="360" w:lineRule="auto"/>
        <w:ind w:firstLine="437"/>
        <w:rPr>
          <w:rFonts w:hint="eastAsia" w:ascii="宋体" w:hAnsi="宋体" w:eastAsia="宋体" w:cs="宋体"/>
          <w:bCs/>
          <w:color w:val="auto"/>
          <w:sz w:val="24"/>
          <w:szCs w:val="18"/>
          <w:highlight w:val="none"/>
        </w:rPr>
      </w:pPr>
      <w:r>
        <w:rPr>
          <w:rFonts w:hint="eastAsia" w:ascii="宋体" w:hAnsi="宋体" w:eastAsia="宋体" w:cs="宋体"/>
          <w:bCs/>
          <w:color w:val="auto"/>
          <w:sz w:val="24"/>
          <w:szCs w:val="18"/>
          <w:highlight w:val="none"/>
        </w:rPr>
        <w:t>（八）交货地点：采购人指定地点。</w:t>
      </w:r>
    </w:p>
    <w:p w14:paraId="4E16FE97">
      <w:pPr>
        <w:spacing w:line="360" w:lineRule="auto"/>
        <w:ind w:firstLine="437"/>
        <w:rPr>
          <w:rFonts w:hint="eastAsia" w:ascii="宋体" w:hAnsi="宋体" w:eastAsia="宋体" w:cs="宋体"/>
          <w:bCs/>
          <w:color w:val="auto"/>
          <w:sz w:val="24"/>
          <w:szCs w:val="18"/>
          <w:highlight w:val="none"/>
        </w:rPr>
      </w:pPr>
      <w:r>
        <w:rPr>
          <w:rFonts w:hint="eastAsia" w:ascii="宋体" w:hAnsi="宋体" w:eastAsia="宋体" w:cs="宋体"/>
          <w:bCs/>
          <w:color w:val="auto"/>
          <w:sz w:val="24"/>
          <w:szCs w:val="18"/>
          <w:highlight w:val="none"/>
        </w:rPr>
        <w:t>（九）验收：</w:t>
      </w:r>
    </w:p>
    <w:p w14:paraId="6331BEAB">
      <w:pPr>
        <w:spacing w:line="360" w:lineRule="auto"/>
        <w:ind w:firstLine="437"/>
        <w:rPr>
          <w:rFonts w:hint="eastAsia" w:ascii="宋体" w:hAnsi="宋体" w:eastAsia="宋体" w:cs="宋体"/>
          <w:bCs/>
          <w:color w:val="auto"/>
          <w:sz w:val="24"/>
          <w:szCs w:val="18"/>
          <w:highlight w:val="none"/>
        </w:rPr>
      </w:pPr>
      <w:r>
        <w:rPr>
          <w:rFonts w:hint="eastAsia" w:ascii="宋体" w:hAnsi="宋体" w:eastAsia="宋体" w:cs="宋体"/>
          <w:bCs/>
          <w:color w:val="auto"/>
          <w:sz w:val="24"/>
          <w:szCs w:val="18"/>
          <w:highlight w:val="none"/>
        </w:rPr>
        <w:t>1.采购人和相关部门按照国家规定标准验收，没有国家标准的按行业标准验收，无行业标准的按地方或企业标准验收，中标人予以配合。涉及安全、消防、环保等其他需要由质检或行业主管部门验收的项目，采购人须约请相关部门和专家参加项目验收。</w:t>
      </w:r>
    </w:p>
    <w:p w14:paraId="066CA1D5">
      <w:pPr>
        <w:spacing w:line="360" w:lineRule="auto"/>
        <w:ind w:firstLine="437"/>
        <w:rPr>
          <w:rFonts w:hint="eastAsia" w:ascii="宋体" w:hAnsi="宋体" w:eastAsia="宋体" w:cs="宋体"/>
          <w:b/>
          <w:bCs/>
          <w:color w:val="auto"/>
          <w:sz w:val="24"/>
          <w:szCs w:val="18"/>
          <w:highlight w:val="none"/>
        </w:rPr>
      </w:pPr>
      <w:r>
        <w:rPr>
          <w:rFonts w:hint="eastAsia" w:ascii="宋体" w:hAnsi="宋体" w:eastAsia="宋体" w:cs="宋体"/>
          <w:bCs/>
          <w:color w:val="auto"/>
          <w:sz w:val="24"/>
          <w:szCs w:val="18"/>
          <w:highlight w:val="none"/>
        </w:rPr>
        <w:t>2.货物在验收时，投标人应提供发票、制造厂家出具的产品合格证书、装箱清单等, 涉及进口的产品、部件、配件等须提供中国海关进口货物报关单、完税证明及商检证明等材料；提供有关货物的操作规程和使用说明书，维护手册、保养修理所需的各种随机工具及相关设计、制造、检验、安装、技术性指导等文件和应由投标人提供的必要文件。</w:t>
      </w:r>
    </w:p>
    <w:p w14:paraId="10891796">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p>
    <w:p w14:paraId="765A9999">
      <w:pPr>
        <w:spacing w:line="360" w:lineRule="auto"/>
        <w:jc w:val="center"/>
        <w:outlineLvl w:val="0"/>
        <w:rPr>
          <w:rFonts w:hint="eastAsia" w:ascii="宋体" w:hAnsi="宋体" w:eastAsia="宋体" w:cs="宋体"/>
          <w:b/>
          <w:color w:val="auto"/>
          <w:sz w:val="28"/>
          <w:highlight w:val="none"/>
        </w:rPr>
      </w:pPr>
      <w:bookmarkStart w:id="31" w:name="_Toc16417"/>
      <w:bookmarkStart w:id="32" w:name="_Toc13882"/>
      <w:r>
        <w:rPr>
          <w:rFonts w:hint="eastAsia" w:ascii="宋体" w:hAnsi="宋体" w:eastAsia="宋体" w:cs="宋体"/>
          <w:b/>
          <w:color w:val="auto"/>
          <w:sz w:val="28"/>
          <w:highlight w:val="none"/>
        </w:rPr>
        <w:t>第四章  评标方法和标准（综合评分法）</w:t>
      </w:r>
      <w:bookmarkEnd w:id="31"/>
      <w:bookmarkEnd w:id="32"/>
    </w:p>
    <w:p w14:paraId="0CC3870F">
      <w:pPr>
        <w:spacing w:line="360" w:lineRule="auto"/>
        <w:ind w:firstLine="437"/>
        <w:outlineLvl w:val="1"/>
        <w:rPr>
          <w:rFonts w:hint="eastAsia" w:ascii="宋体" w:hAnsi="宋体" w:eastAsia="宋体" w:cs="宋体"/>
          <w:b/>
          <w:color w:val="auto"/>
          <w:sz w:val="24"/>
          <w:highlight w:val="none"/>
        </w:rPr>
      </w:pPr>
      <w:bookmarkStart w:id="33" w:name="_Toc1246"/>
      <w:bookmarkStart w:id="34" w:name="_Toc11823"/>
      <w:r>
        <w:rPr>
          <w:rFonts w:hint="eastAsia" w:ascii="宋体" w:hAnsi="宋体" w:eastAsia="宋体" w:cs="宋体"/>
          <w:b/>
          <w:color w:val="auto"/>
          <w:sz w:val="24"/>
          <w:highlight w:val="none"/>
        </w:rPr>
        <w:t>一、总则</w:t>
      </w:r>
      <w:bookmarkEnd w:id="33"/>
      <w:bookmarkEnd w:id="34"/>
    </w:p>
    <w:p w14:paraId="44210352">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本项目将按照招标文件第二章 投标人须知的相关要求及本章的规定评标。</w:t>
      </w:r>
    </w:p>
    <w:p w14:paraId="41893575">
      <w:pPr>
        <w:spacing w:line="360" w:lineRule="auto"/>
        <w:ind w:firstLine="437"/>
        <w:outlineLvl w:val="1"/>
        <w:rPr>
          <w:rFonts w:hint="eastAsia" w:ascii="宋体" w:hAnsi="宋体" w:eastAsia="宋体" w:cs="宋体"/>
          <w:b/>
          <w:color w:val="auto"/>
          <w:sz w:val="24"/>
          <w:highlight w:val="none"/>
        </w:rPr>
      </w:pPr>
      <w:bookmarkStart w:id="35" w:name="_Toc31871"/>
      <w:bookmarkStart w:id="36" w:name="_Toc13117"/>
      <w:r>
        <w:rPr>
          <w:rFonts w:hint="eastAsia" w:ascii="宋体" w:hAnsi="宋体" w:eastAsia="宋体" w:cs="宋体"/>
          <w:b/>
          <w:color w:val="auto"/>
          <w:sz w:val="24"/>
          <w:highlight w:val="none"/>
        </w:rPr>
        <w:t>二、评标方法</w:t>
      </w:r>
      <w:bookmarkEnd w:id="35"/>
      <w:bookmarkEnd w:id="36"/>
    </w:p>
    <w:p w14:paraId="47D4AD15">
      <w:pPr>
        <w:spacing w:line="360" w:lineRule="auto"/>
        <w:ind w:firstLine="437"/>
        <w:outlineLvl w:val="2"/>
        <w:rPr>
          <w:rFonts w:hint="eastAsia" w:ascii="宋体" w:hAnsi="宋体" w:eastAsia="宋体" w:cs="宋体"/>
          <w:color w:val="auto"/>
          <w:sz w:val="24"/>
          <w:highlight w:val="none"/>
        </w:rPr>
      </w:pPr>
      <w:r>
        <w:rPr>
          <w:rFonts w:hint="eastAsia" w:ascii="宋体" w:hAnsi="宋体" w:eastAsia="宋体" w:cs="宋体"/>
          <w:color w:val="auto"/>
          <w:sz w:val="24"/>
          <w:highlight w:val="none"/>
        </w:rPr>
        <w:t>2.1资格审查</w:t>
      </w:r>
    </w:p>
    <w:tbl>
      <w:tblPr>
        <w:tblStyle w:val="27"/>
        <w:tblW w:w="51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2"/>
        <w:gridCol w:w="1651"/>
        <w:gridCol w:w="4561"/>
        <w:gridCol w:w="1887"/>
      </w:tblGrid>
      <w:tr w14:paraId="4ECA8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5000" w:type="pct"/>
            <w:gridSpan w:val="4"/>
            <w:tcBorders>
              <w:bottom w:val="single" w:color="auto" w:sz="4" w:space="0"/>
            </w:tcBorders>
            <w:vAlign w:val="center"/>
          </w:tcPr>
          <w:p w14:paraId="4500E7D4">
            <w:pPr>
              <w:adjustRightInd w:val="0"/>
              <w:snapToGrid w:val="0"/>
              <w:spacing w:line="360" w:lineRule="auto"/>
              <w:ind w:right="-10"/>
              <w:jc w:val="center"/>
              <w:rPr>
                <w:rFonts w:hint="eastAsia" w:ascii="宋体" w:hAnsi="宋体" w:eastAsia="宋体" w:cs="宋体"/>
                <w:color w:val="auto"/>
                <w:sz w:val="24"/>
                <w:highlight w:val="none"/>
              </w:rPr>
            </w:pPr>
            <w:r>
              <w:rPr>
                <w:rFonts w:hint="eastAsia" w:ascii="宋体" w:hAnsi="宋体" w:eastAsia="宋体" w:cs="宋体"/>
                <w:b/>
                <w:color w:val="auto"/>
                <w:sz w:val="24"/>
                <w:szCs w:val="22"/>
                <w:highlight w:val="none"/>
              </w:rPr>
              <w:t>资格审查表</w:t>
            </w:r>
          </w:p>
        </w:tc>
      </w:tr>
      <w:tr w14:paraId="3EBF8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tcBorders>
              <w:bottom w:val="single" w:color="auto" w:sz="4" w:space="0"/>
            </w:tcBorders>
            <w:vAlign w:val="center"/>
          </w:tcPr>
          <w:p w14:paraId="4B39E6AE">
            <w:pPr>
              <w:adjustRightInd w:val="0"/>
              <w:snapToGrid w:val="0"/>
              <w:spacing w:line="360" w:lineRule="auto"/>
              <w:ind w:right="-1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942" w:type="pct"/>
            <w:tcBorders>
              <w:bottom w:val="single" w:color="auto" w:sz="4" w:space="0"/>
            </w:tcBorders>
            <w:vAlign w:val="center"/>
          </w:tcPr>
          <w:p w14:paraId="07536F84">
            <w:pPr>
              <w:pStyle w:val="46"/>
              <w:pBdr>
                <w:bottom w:val="none" w:color="auto" w:sz="0" w:space="0"/>
              </w:pBdr>
              <w:tabs>
                <w:tab w:val="clear" w:pos="4153"/>
                <w:tab w:val="clear" w:pos="8306"/>
              </w:tabs>
              <w:snapToGrid w:val="0"/>
              <w:spacing w:line="360" w:lineRule="auto"/>
              <w:ind w:right="-10"/>
              <w:textAlignment w:val="auto"/>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审查因素</w:t>
            </w:r>
          </w:p>
        </w:tc>
        <w:tc>
          <w:tcPr>
            <w:tcW w:w="2603" w:type="pct"/>
            <w:tcBorders>
              <w:bottom w:val="single" w:color="auto" w:sz="4" w:space="0"/>
            </w:tcBorders>
            <w:vAlign w:val="center"/>
          </w:tcPr>
          <w:p w14:paraId="26E9C750">
            <w:pPr>
              <w:adjustRightInd w:val="0"/>
              <w:snapToGrid w:val="0"/>
              <w:spacing w:line="360" w:lineRule="auto"/>
              <w:ind w:right="-1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审查内容</w:t>
            </w:r>
          </w:p>
        </w:tc>
        <w:tc>
          <w:tcPr>
            <w:tcW w:w="1075" w:type="pct"/>
            <w:tcBorders>
              <w:bottom w:val="single" w:color="auto" w:sz="4" w:space="0"/>
            </w:tcBorders>
            <w:vAlign w:val="center"/>
          </w:tcPr>
          <w:p w14:paraId="71900FEB">
            <w:pPr>
              <w:adjustRightInd w:val="0"/>
              <w:snapToGrid w:val="0"/>
              <w:spacing w:line="360" w:lineRule="auto"/>
              <w:ind w:right="-1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格式要求</w:t>
            </w:r>
          </w:p>
        </w:tc>
      </w:tr>
      <w:tr w14:paraId="73ADD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5" w:hRule="atLeast"/>
          <w:jc w:val="center"/>
        </w:trPr>
        <w:tc>
          <w:tcPr>
            <w:tcW w:w="378" w:type="pct"/>
            <w:tcBorders>
              <w:bottom w:val="single" w:color="auto" w:sz="4" w:space="0"/>
            </w:tcBorders>
            <w:vAlign w:val="center"/>
          </w:tcPr>
          <w:p w14:paraId="555C70A2">
            <w:pPr>
              <w:adjustRightInd w:val="0"/>
              <w:snapToGrid w:val="0"/>
              <w:spacing w:line="360" w:lineRule="auto"/>
              <w:ind w:right="-1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942" w:type="pct"/>
            <w:tcBorders>
              <w:bottom w:val="single" w:color="auto" w:sz="4" w:space="0"/>
            </w:tcBorders>
            <w:vAlign w:val="center"/>
          </w:tcPr>
          <w:p w14:paraId="5659EC30">
            <w:pPr>
              <w:spacing w:after="50" w:line="360" w:lineRule="auto"/>
              <w:ind w:right="-10"/>
              <w:jc w:val="center"/>
              <w:rPr>
                <w:rFonts w:hint="eastAsia" w:ascii="宋体" w:hAnsi="宋体" w:eastAsia="宋体" w:cs="宋体"/>
                <w:color w:val="auto"/>
                <w:sz w:val="24"/>
                <w:szCs w:val="28"/>
                <w:highlight w:val="none"/>
              </w:rPr>
            </w:pPr>
            <w:r>
              <w:rPr>
                <w:rFonts w:hint="eastAsia" w:ascii="宋体" w:hAnsi="宋体" w:eastAsia="宋体" w:cs="宋体"/>
                <w:color w:val="auto"/>
                <w:spacing w:val="9"/>
                <w:sz w:val="24"/>
                <w:szCs w:val="24"/>
                <w:highlight w:val="none"/>
              </w:rPr>
              <w:t>营业执照等证明</w:t>
            </w:r>
            <w:r>
              <w:rPr>
                <w:rFonts w:hint="eastAsia" w:ascii="宋体" w:hAnsi="宋体" w:eastAsia="宋体" w:cs="宋体"/>
                <w:color w:val="auto"/>
                <w:spacing w:val="-3"/>
                <w:sz w:val="24"/>
                <w:szCs w:val="24"/>
                <w:highlight w:val="none"/>
              </w:rPr>
              <w:t>文件</w:t>
            </w:r>
          </w:p>
        </w:tc>
        <w:tc>
          <w:tcPr>
            <w:tcW w:w="2603" w:type="pct"/>
            <w:tcBorders>
              <w:bottom w:val="single" w:color="auto" w:sz="4" w:space="0"/>
            </w:tcBorders>
            <w:vAlign w:val="center"/>
          </w:tcPr>
          <w:p w14:paraId="52C6D882">
            <w:pPr>
              <w:spacing w:after="50" w:line="360" w:lineRule="auto"/>
              <w:ind w:right="-1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（1）投标人为企业（包括合伙企业）的，应提供有效的营业执照；</w:t>
            </w:r>
          </w:p>
          <w:p w14:paraId="316CE2B9">
            <w:pPr>
              <w:spacing w:after="50" w:line="360" w:lineRule="auto"/>
              <w:ind w:right="-1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（2）投标人为事业单位的，应提供有效的事业单位法人证书；</w:t>
            </w:r>
          </w:p>
          <w:p w14:paraId="39429179">
            <w:pPr>
              <w:spacing w:after="50" w:line="360" w:lineRule="auto"/>
              <w:ind w:right="-1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（3）投标人是非企业机构的，应提供有效的执业许可证或登记证书等证明文件；</w:t>
            </w:r>
          </w:p>
          <w:p w14:paraId="49D3A69F">
            <w:pPr>
              <w:spacing w:after="50" w:line="360" w:lineRule="auto"/>
              <w:ind w:right="-1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（4）投标人是个体工商户的，应提供有效的个体工商户营业执照；</w:t>
            </w:r>
          </w:p>
          <w:p w14:paraId="57AC0F88">
            <w:pPr>
              <w:spacing w:after="50" w:line="360" w:lineRule="auto"/>
              <w:ind w:right="-10"/>
              <w:jc w:val="left"/>
              <w:rPr>
                <w:rFonts w:hint="eastAsia" w:ascii="宋体" w:hAnsi="宋体" w:eastAsia="宋体" w:cs="宋体"/>
                <w:color w:val="auto"/>
                <w:sz w:val="24"/>
                <w:szCs w:val="28"/>
                <w:highlight w:val="none"/>
              </w:rPr>
            </w:pPr>
            <w:r>
              <w:rPr>
                <w:rFonts w:hint="eastAsia" w:ascii="宋体" w:hAnsi="宋体" w:eastAsia="宋体" w:cs="宋体"/>
                <w:color w:val="auto"/>
                <w:sz w:val="24"/>
                <w:szCs w:val="24"/>
                <w:highlight w:val="none"/>
              </w:rPr>
              <w:t>（5）投标人是自然人的，应提供有效的自然人身份证明。</w:t>
            </w:r>
          </w:p>
        </w:tc>
        <w:tc>
          <w:tcPr>
            <w:tcW w:w="1075" w:type="pct"/>
            <w:vAlign w:val="center"/>
          </w:tcPr>
          <w:p w14:paraId="7EDCB237">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提供材料扫描件或电子证照，应完整的体现出材料或电子证照全部内容。联合体投标的联合体各方均须提供。</w:t>
            </w:r>
          </w:p>
        </w:tc>
      </w:tr>
      <w:tr w14:paraId="0B307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378" w:type="pct"/>
            <w:tcBorders>
              <w:bottom w:val="single" w:color="auto" w:sz="4" w:space="0"/>
            </w:tcBorders>
            <w:vAlign w:val="center"/>
          </w:tcPr>
          <w:p w14:paraId="6E52CB9E">
            <w:pPr>
              <w:adjustRightInd w:val="0"/>
              <w:snapToGrid w:val="0"/>
              <w:spacing w:line="360" w:lineRule="auto"/>
              <w:ind w:right="-1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942" w:type="pct"/>
            <w:tcBorders>
              <w:bottom w:val="single" w:color="auto" w:sz="4" w:space="0"/>
            </w:tcBorders>
            <w:vAlign w:val="center"/>
          </w:tcPr>
          <w:p w14:paraId="795A5585">
            <w:pPr>
              <w:spacing w:after="50" w:line="360" w:lineRule="auto"/>
              <w:ind w:right="-1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18"/>
                <w:highlight w:val="none"/>
              </w:rPr>
              <w:t>投标人资格声明书</w:t>
            </w:r>
          </w:p>
        </w:tc>
        <w:tc>
          <w:tcPr>
            <w:tcW w:w="2603" w:type="pct"/>
            <w:tcBorders>
              <w:bottom w:val="single" w:color="auto" w:sz="4" w:space="0"/>
            </w:tcBorders>
            <w:vAlign w:val="center"/>
          </w:tcPr>
          <w:p w14:paraId="198FC987">
            <w:pPr>
              <w:spacing w:after="50" w:line="360" w:lineRule="auto"/>
              <w:ind w:right="-10"/>
              <w:jc w:val="left"/>
              <w:rPr>
                <w:rFonts w:hint="eastAsia" w:ascii="宋体" w:hAnsi="宋体" w:eastAsia="宋体" w:cs="宋体"/>
                <w:color w:val="auto"/>
                <w:sz w:val="24"/>
                <w:szCs w:val="28"/>
                <w:highlight w:val="none"/>
              </w:rPr>
            </w:pPr>
            <w:r>
              <w:rPr>
                <w:rFonts w:hint="eastAsia" w:ascii="宋体" w:hAnsi="宋体" w:eastAsia="宋体" w:cs="宋体"/>
                <w:color w:val="auto"/>
                <w:sz w:val="24"/>
                <w:szCs w:val="24"/>
                <w:highlight w:val="none"/>
              </w:rPr>
              <w:t>提供符合招标文件要求的《投标人资格声明书》。</w:t>
            </w:r>
          </w:p>
        </w:tc>
        <w:tc>
          <w:tcPr>
            <w:tcW w:w="1075" w:type="pct"/>
            <w:vAlign w:val="center"/>
          </w:tcPr>
          <w:p w14:paraId="3C32FD69">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详见第六章投标文件格式。</w:t>
            </w:r>
          </w:p>
        </w:tc>
      </w:tr>
      <w:tr w14:paraId="6977D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tcBorders>
              <w:bottom w:val="single" w:color="auto" w:sz="4" w:space="0"/>
            </w:tcBorders>
            <w:vAlign w:val="center"/>
          </w:tcPr>
          <w:p w14:paraId="5D288ADE">
            <w:pPr>
              <w:adjustRightInd w:val="0"/>
              <w:snapToGrid w:val="0"/>
              <w:spacing w:line="360" w:lineRule="auto"/>
              <w:ind w:right="-1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942" w:type="pct"/>
            <w:tcBorders>
              <w:bottom w:val="single" w:color="auto" w:sz="4" w:space="0"/>
            </w:tcBorders>
            <w:vAlign w:val="center"/>
          </w:tcPr>
          <w:p w14:paraId="77643FF6">
            <w:pPr>
              <w:spacing w:after="50" w:line="360" w:lineRule="auto"/>
              <w:ind w:right="-1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4"/>
                <w:highlight w:val="none"/>
              </w:rPr>
              <w:t>投标人信用记录</w:t>
            </w:r>
          </w:p>
        </w:tc>
        <w:tc>
          <w:tcPr>
            <w:tcW w:w="2603" w:type="pct"/>
            <w:tcBorders>
              <w:bottom w:val="single" w:color="auto" w:sz="4" w:space="0"/>
            </w:tcBorders>
            <w:vAlign w:val="center"/>
          </w:tcPr>
          <w:p w14:paraId="5BF6ADFC">
            <w:pPr>
              <w:spacing w:after="50" w:line="360" w:lineRule="auto"/>
              <w:ind w:right="-10"/>
              <w:jc w:val="left"/>
              <w:rPr>
                <w:rFonts w:hint="eastAsia" w:ascii="宋体" w:hAnsi="宋体" w:eastAsia="宋体" w:cs="宋体"/>
                <w:color w:val="auto"/>
                <w:highlight w:val="none"/>
              </w:rPr>
            </w:pPr>
            <w:r>
              <w:rPr>
                <w:rFonts w:hint="eastAsia" w:ascii="宋体" w:hAnsi="宋体" w:eastAsia="宋体" w:cs="宋体"/>
                <w:color w:val="auto"/>
                <w:sz w:val="24"/>
                <w:szCs w:val="24"/>
                <w:highlight w:val="none"/>
                <w:lang w:val="zh-CN"/>
              </w:rPr>
              <w:t>投标人不得存在《</w:t>
            </w:r>
            <w:r>
              <w:rPr>
                <w:rFonts w:hint="eastAsia" w:ascii="宋体" w:hAnsi="宋体" w:eastAsia="宋体" w:cs="宋体"/>
                <w:color w:val="auto"/>
                <w:sz w:val="24"/>
                <w:szCs w:val="24"/>
                <w:highlight w:val="none"/>
              </w:rPr>
              <w:t>投标邀请</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中信誉要求和</w:t>
            </w:r>
            <w:r>
              <w:rPr>
                <w:rFonts w:hint="eastAsia" w:ascii="宋体" w:hAnsi="宋体" w:eastAsia="宋体" w:cs="宋体"/>
                <w:color w:val="auto"/>
                <w:sz w:val="24"/>
                <w:szCs w:val="24"/>
                <w:highlight w:val="none"/>
                <w:lang w:val="zh-CN"/>
              </w:rPr>
              <w:t>投标人须知正文第1</w:t>
            </w: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zh-CN"/>
              </w:rPr>
              <w:t>.2</w:t>
            </w:r>
            <w:r>
              <w:rPr>
                <w:rFonts w:hint="eastAsia" w:ascii="宋体" w:hAnsi="宋体" w:eastAsia="宋体" w:cs="宋体"/>
                <w:color w:val="auto"/>
                <w:sz w:val="24"/>
                <w:szCs w:val="24"/>
                <w:highlight w:val="none"/>
              </w:rPr>
              <w:t>条中</w:t>
            </w:r>
            <w:r>
              <w:rPr>
                <w:rFonts w:hint="eastAsia" w:ascii="宋体" w:hAnsi="宋体" w:eastAsia="宋体" w:cs="宋体"/>
                <w:color w:val="auto"/>
                <w:sz w:val="24"/>
                <w:szCs w:val="28"/>
                <w:highlight w:val="none"/>
              </w:rPr>
              <w:t>的</w:t>
            </w:r>
            <w:r>
              <w:rPr>
                <w:rFonts w:hint="eastAsia" w:ascii="宋体" w:hAnsi="宋体" w:eastAsia="宋体" w:cs="宋体"/>
                <w:color w:val="auto"/>
                <w:sz w:val="24"/>
                <w:szCs w:val="18"/>
                <w:highlight w:val="none"/>
              </w:rPr>
              <w:t>不良信用记录情形</w:t>
            </w:r>
          </w:p>
        </w:tc>
        <w:tc>
          <w:tcPr>
            <w:tcW w:w="1075" w:type="pct"/>
            <w:tcBorders>
              <w:bottom w:val="single" w:color="auto" w:sz="4" w:space="0"/>
            </w:tcBorders>
            <w:vAlign w:val="center"/>
          </w:tcPr>
          <w:p w14:paraId="217D92DC">
            <w:pPr>
              <w:spacing w:line="360" w:lineRule="auto"/>
              <w:jc w:val="center"/>
              <w:rPr>
                <w:rFonts w:hint="eastAsia" w:ascii="宋体" w:hAnsi="宋体" w:eastAsia="宋体" w:cs="宋体"/>
                <w:color w:val="auto"/>
                <w:highlight w:val="none"/>
              </w:rPr>
            </w:pPr>
            <w:r>
              <w:rPr>
                <w:rFonts w:hint="eastAsia" w:ascii="宋体" w:hAnsi="宋体" w:eastAsia="宋体" w:cs="宋体"/>
                <w:color w:val="auto"/>
                <w:sz w:val="24"/>
                <w:szCs w:val="24"/>
                <w:highlight w:val="none"/>
              </w:rPr>
              <w:t>无须投标人提供，由采购人或采购代理机构查询。</w:t>
            </w:r>
          </w:p>
        </w:tc>
      </w:tr>
      <w:tr w14:paraId="2C706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tcBorders>
              <w:bottom w:val="single" w:color="auto" w:sz="4" w:space="0"/>
            </w:tcBorders>
            <w:vAlign w:val="center"/>
          </w:tcPr>
          <w:p w14:paraId="351FC60F">
            <w:pPr>
              <w:adjustRightInd w:val="0"/>
              <w:snapToGrid w:val="0"/>
              <w:spacing w:line="360" w:lineRule="auto"/>
              <w:ind w:right="-1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p>
        </w:tc>
        <w:tc>
          <w:tcPr>
            <w:tcW w:w="942" w:type="pct"/>
            <w:tcBorders>
              <w:bottom w:val="single" w:color="auto" w:sz="4" w:space="0"/>
            </w:tcBorders>
            <w:vAlign w:val="center"/>
          </w:tcPr>
          <w:p w14:paraId="1EFDF096">
            <w:pPr>
              <w:spacing w:after="50" w:line="360" w:lineRule="auto"/>
              <w:ind w:right="-1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中小企业证明文件</w:t>
            </w:r>
          </w:p>
          <w:p w14:paraId="0F037ABE">
            <w:pPr>
              <w:spacing w:after="50" w:line="360" w:lineRule="auto"/>
              <w:ind w:right="-10"/>
              <w:jc w:val="center"/>
              <w:rPr>
                <w:rFonts w:hint="eastAsia" w:ascii="宋体" w:hAnsi="宋体" w:eastAsia="宋体" w:cs="宋体"/>
                <w:color w:val="auto"/>
                <w:sz w:val="24"/>
                <w:szCs w:val="24"/>
                <w:highlight w:val="none"/>
              </w:rPr>
            </w:pPr>
          </w:p>
        </w:tc>
        <w:tc>
          <w:tcPr>
            <w:tcW w:w="2603" w:type="pct"/>
            <w:tcBorders>
              <w:bottom w:val="single" w:color="auto" w:sz="4" w:space="0"/>
            </w:tcBorders>
          </w:tcPr>
          <w:p w14:paraId="1388931C">
            <w:pPr>
              <w:spacing w:after="50" w:line="360" w:lineRule="auto"/>
              <w:ind w:right="-1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8"/>
                <w:highlight w:val="none"/>
              </w:rPr>
              <w:t>符合申请人的资格要求中落实政府采购政策需满足的资格要求：</w:t>
            </w:r>
          </w:p>
          <w:p w14:paraId="7980429B">
            <w:pPr>
              <w:spacing w:after="50" w:line="360" w:lineRule="auto"/>
              <w:ind w:right="-1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（1）专门面向中小企业采购的，</w:t>
            </w:r>
            <w:r>
              <w:rPr>
                <w:rFonts w:hint="eastAsia" w:ascii="宋体" w:hAnsi="宋体" w:eastAsia="宋体" w:cs="宋体"/>
                <w:color w:val="auto"/>
                <w:sz w:val="24"/>
                <w:szCs w:val="24"/>
                <w:highlight w:val="none"/>
                <w:lang w:val="zh-CN"/>
              </w:rPr>
              <w:t>投标人</w:t>
            </w:r>
            <w:r>
              <w:rPr>
                <w:rFonts w:hint="eastAsia" w:ascii="宋体" w:hAnsi="宋体" w:eastAsia="宋体" w:cs="宋体"/>
                <w:color w:val="auto"/>
                <w:sz w:val="24"/>
                <w:szCs w:val="24"/>
                <w:highlight w:val="none"/>
              </w:rPr>
              <w:t>应提供《中小企业声明函》或《残疾人福利性单位声明函》或由省级以上监狱管理局、戒毒管理局（含新疆 生产建设兵团）出具的属于监狱企业的证明文件。</w:t>
            </w:r>
          </w:p>
          <w:p w14:paraId="48881F4E">
            <w:pPr>
              <w:spacing w:after="50" w:line="360" w:lineRule="auto"/>
              <w:ind w:right="-1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如招标文件要求以联合体形式参加或者要求合同分包的，且投标人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招标文件关于预留份额的要求。</w:t>
            </w:r>
          </w:p>
        </w:tc>
        <w:tc>
          <w:tcPr>
            <w:tcW w:w="1075" w:type="pct"/>
            <w:tcBorders>
              <w:bottom w:val="single" w:color="auto" w:sz="4" w:space="0"/>
            </w:tcBorders>
            <w:vAlign w:val="center"/>
          </w:tcPr>
          <w:p w14:paraId="2925DBDD">
            <w:pPr>
              <w:spacing w:after="50" w:line="360" w:lineRule="auto"/>
              <w:ind w:right="-10"/>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详见第六章投标文件格式。</w:t>
            </w:r>
          </w:p>
        </w:tc>
      </w:tr>
      <w:tr w14:paraId="177CC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tcBorders>
              <w:bottom w:val="single" w:color="auto" w:sz="4" w:space="0"/>
            </w:tcBorders>
            <w:vAlign w:val="center"/>
          </w:tcPr>
          <w:p w14:paraId="7078F0C6">
            <w:pPr>
              <w:adjustRightInd w:val="0"/>
              <w:snapToGrid w:val="0"/>
              <w:spacing w:line="360" w:lineRule="auto"/>
              <w:ind w:right="-1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p>
        </w:tc>
        <w:tc>
          <w:tcPr>
            <w:tcW w:w="942" w:type="pct"/>
            <w:tcBorders>
              <w:bottom w:val="single" w:color="auto" w:sz="4" w:space="0"/>
            </w:tcBorders>
            <w:vAlign w:val="center"/>
          </w:tcPr>
          <w:p w14:paraId="6AB9CD38">
            <w:pPr>
              <w:spacing w:after="50" w:line="360" w:lineRule="auto"/>
              <w:ind w:right="-10"/>
              <w:jc w:val="center"/>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其它落实政府采</w:t>
            </w:r>
            <w:r>
              <w:rPr>
                <w:rFonts w:hint="eastAsia" w:ascii="宋体" w:hAnsi="宋体" w:eastAsia="宋体" w:cs="宋体"/>
                <w:color w:val="auto"/>
                <w:spacing w:val="11"/>
                <w:sz w:val="24"/>
                <w:szCs w:val="24"/>
                <w:highlight w:val="none"/>
              </w:rPr>
              <w:t>购政策的资格要</w:t>
            </w:r>
            <w:r>
              <w:rPr>
                <w:rFonts w:hint="eastAsia" w:ascii="宋体" w:hAnsi="宋体" w:eastAsia="宋体" w:cs="宋体"/>
                <w:color w:val="auto"/>
                <w:sz w:val="24"/>
                <w:szCs w:val="24"/>
                <w:highlight w:val="none"/>
              </w:rPr>
              <w:t>求</w:t>
            </w:r>
          </w:p>
        </w:tc>
        <w:tc>
          <w:tcPr>
            <w:tcW w:w="2603" w:type="pct"/>
            <w:tcBorders>
              <w:bottom w:val="single" w:color="auto" w:sz="4" w:space="0"/>
            </w:tcBorders>
            <w:vAlign w:val="center"/>
          </w:tcPr>
          <w:p w14:paraId="7502CFC2">
            <w:pPr>
              <w:spacing w:after="50" w:line="360" w:lineRule="auto"/>
              <w:ind w:right="-1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如有，见第一章《投标邀请》</w:t>
            </w:r>
          </w:p>
        </w:tc>
        <w:tc>
          <w:tcPr>
            <w:tcW w:w="1075" w:type="pct"/>
            <w:tcBorders>
              <w:bottom w:val="single" w:color="auto" w:sz="4" w:space="0"/>
            </w:tcBorders>
            <w:vAlign w:val="center"/>
          </w:tcPr>
          <w:p w14:paraId="07E92D55">
            <w:pPr>
              <w:spacing w:after="50" w:line="360" w:lineRule="auto"/>
              <w:ind w:right="-10"/>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提供材料扫描件或电子证照，应完整的体现出材料或电子证照全部内容。</w:t>
            </w:r>
          </w:p>
        </w:tc>
      </w:tr>
      <w:tr w14:paraId="2512C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vAlign w:val="center"/>
          </w:tcPr>
          <w:p w14:paraId="27E109C5">
            <w:pPr>
              <w:adjustRightInd w:val="0"/>
              <w:snapToGrid w:val="0"/>
              <w:spacing w:line="360" w:lineRule="auto"/>
              <w:ind w:right="-1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6</w:t>
            </w:r>
          </w:p>
        </w:tc>
        <w:tc>
          <w:tcPr>
            <w:tcW w:w="942" w:type="pct"/>
            <w:vAlign w:val="center"/>
          </w:tcPr>
          <w:p w14:paraId="7F4089E1">
            <w:pPr>
              <w:spacing w:after="50" w:line="360" w:lineRule="auto"/>
              <w:ind w:right="-10"/>
              <w:jc w:val="center"/>
              <w:rPr>
                <w:rFonts w:hint="eastAsia" w:ascii="宋体" w:hAnsi="宋体" w:eastAsia="宋体" w:cs="宋体"/>
                <w:color w:val="auto"/>
                <w:spacing w:val="10"/>
                <w:sz w:val="24"/>
                <w:szCs w:val="24"/>
                <w:highlight w:val="none"/>
              </w:rPr>
            </w:pPr>
            <w:r>
              <w:rPr>
                <w:rFonts w:hint="eastAsia" w:ascii="宋体" w:hAnsi="宋体" w:eastAsia="宋体" w:cs="宋体"/>
                <w:color w:val="auto"/>
                <w:spacing w:val="10"/>
                <w:sz w:val="24"/>
                <w:szCs w:val="24"/>
                <w:highlight w:val="none"/>
              </w:rPr>
              <w:t>诚信投标承诺书</w:t>
            </w:r>
          </w:p>
        </w:tc>
        <w:tc>
          <w:tcPr>
            <w:tcW w:w="2603" w:type="pct"/>
            <w:vAlign w:val="center"/>
          </w:tcPr>
          <w:p w14:paraId="69F6693B">
            <w:pPr>
              <w:spacing w:after="50" w:line="360" w:lineRule="auto"/>
              <w:ind w:right="-10"/>
              <w:rPr>
                <w:rFonts w:hint="eastAsia" w:ascii="宋体" w:hAnsi="宋体" w:eastAsia="宋体" w:cs="宋体"/>
                <w:color w:val="auto"/>
                <w:spacing w:val="10"/>
                <w:sz w:val="24"/>
                <w:szCs w:val="24"/>
                <w:highlight w:val="none"/>
              </w:rPr>
            </w:pPr>
            <w:r>
              <w:rPr>
                <w:rFonts w:hint="eastAsia" w:ascii="宋体" w:hAnsi="宋体" w:eastAsia="宋体" w:cs="宋体"/>
                <w:color w:val="auto"/>
                <w:spacing w:val="10"/>
                <w:sz w:val="24"/>
                <w:szCs w:val="24"/>
                <w:highlight w:val="none"/>
              </w:rPr>
              <w:t>格式、填写要求符合招标文件规定并加盖投标人电子签章</w:t>
            </w:r>
          </w:p>
        </w:tc>
        <w:tc>
          <w:tcPr>
            <w:tcW w:w="1075" w:type="pct"/>
            <w:vAlign w:val="center"/>
          </w:tcPr>
          <w:p w14:paraId="2D2FFD3D">
            <w:pPr>
              <w:spacing w:after="50" w:line="360" w:lineRule="auto"/>
              <w:ind w:right="-10"/>
              <w:rPr>
                <w:rFonts w:hint="eastAsia" w:ascii="宋体" w:hAnsi="宋体" w:eastAsia="宋体" w:cs="宋体"/>
                <w:color w:val="auto"/>
                <w:spacing w:val="10"/>
                <w:sz w:val="24"/>
                <w:szCs w:val="24"/>
                <w:highlight w:val="none"/>
              </w:rPr>
            </w:pPr>
            <w:r>
              <w:rPr>
                <w:rFonts w:hint="eastAsia" w:ascii="宋体" w:hAnsi="宋体" w:eastAsia="宋体" w:cs="宋体"/>
                <w:color w:val="auto"/>
                <w:sz w:val="24"/>
                <w:szCs w:val="24"/>
                <w:highlight w:val="none"/>
              </w:rPr>
              <w:t>详见第六章投标文件格式。</w:t>
            </w:r>
          </w:p>
        </w:tc>
      </w:tr>
    </w:tbl>
    <w:p w14:paraId="5CD68EFA">
      <w:pPr>
        <w:spacing w:line="360" w:lineRule="auto"/>
        <w:ind w:firstLine="435"/>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资格审查指标通过标准：</w:t>
      </w:r>
      <w:r>
        <w:rPr>
          <w:rFonts w:hint="eastAsia" w:ascii="宋体" w:hAnsi="宋体" w:eastAsia="宋体" w:cs="宋体"/>
          <w:color w:val="auto"/>
          <w:sz w:val="24"/>
          <w:highlight w:val="none"/>
        </w:rPr>
        <w:t>投标人必须通过资格审查表中的全部评审指标。</w:t>
      </w:r>
    </w:p>
    <w:p w14:paraId="2E380468">
      <w:pPr>
        <w:spacing w:line="360" w:lineRule="auto"/>
        <w:ind w:firstLine="437"/>
        <w:outlineLvl w:val="2"/>
        <w:rPr>
          <w:rFonts w:hint="eastAsia" w:ascii="宋体" w:hAnsi="宋体" w:eastAsia="宋体" w:cs="宋体"/>
          <w:color w:val="auto"/>
          <w:sz w:val="24"/>
          <w:highlight w:val="none"/>
        </w:rPr>
      </w:pPr>
      <w:r>
        <w:rPr>
          <w:rFonts w:hint="eastAsia" w:ascii="宋体" w:hAnsi="宋体" w:eastAsia="宋体" w:cs="宋体"/>
          <w:color w:val="auto"/>
          <w:sz w:val="24"/>
          <w:highlight w:val="none"/>
        </w:rPr>
        <w:t>2.2符合性审查</w:t>
      </w:r>
    </w:p>
    <w:p w14:paraId="360DDFBA">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评标委员会对通过资格审查的投标人的投标文件进行符合性审查，以确定其是否满足招标文件的实质性要求。符合性审查表如下：</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2117"/>
        <w:gridCol w:w="3128"/>
        <w:gridCol w:w="2511"/>
      </w:tblGrid>
      <w:tr w14:paraId="101C2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5000" w:type="pct"/>
            <w:gridSpan w:val="4"/>
            <w:tcBorders>
              <w:bottom w:val="single" w:color="auto" w:sz="4" w:space="0"/>
            </w:tcBorders>
            <w:vAlign w:val="center"/>
          </w:tcPr>
          <w:p w14:paraId="4D4CA328">
            <w:pPr>
              <w:adjustRightInd w:val="0"/>
              <w:snapToGrid w:val="0"/>
              <w:spacing w:line="360" w:lineRule="auto"/>
              <w:ind w:right="-1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符合性审查表</w:t>
            </w:r>
          </w:p>
        </w:tc>
      </w:tr>
      <w:tr w14:paraId="19A2C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450" w:type="pct"/>
            <w:tcBorders>
              <w:bottom w:val="single" w:color="auto" w:sz="4" w:space="0"/>
            </w:tcBorders>
            <w:vAlign w:val="center"/>
          </w:tcPr>
          <w:p w14:paraId="22D39B2A">
            <w:pPr>
              <w:adjustRightInd w:val="0"/>
              <w:snapToGrid w:val="0"/>
              <w:spacing w:line="360" w:lineRule="auto"/>
              <w:ind w:right="-1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1242" w:type="pct"/>
            <w:tcBorders>
              <w:bottom w:val="single" w:color="auto" w:sz="4" w:space="0"/>
            </w:tcBorders>
            <w:vAlign w:val="center"/>
          </w:tcPr>
          <w:p w14:paraId="2AF45D52">
            <w:pPr>
              <w:pStyle w:val="46"/>
              <w:pBdr>
                <w:bottom w:val="none" w:color="auto" w:sz="0" w:space="0"/>
              </w:pBdr>
              <w:tabs>
                <w:tab w:val="clear" w:pos="4153"/>
                <w:tab w:val="clear" w:pos="8306"/>
              </w:tabs>
              <w:snapToGrid w:val="0"/>
              <w:spacing w:line="360" w:lineRule="auto"/>
              <w:ind w:right="-10"/>
              <w:textAlignment w:val="auto"/>
              <w:rPr>
                <w:rFonts w:hint="eastAsia" w:ascii="宋体" w:hAnsi="宋体" w:eastAsia="宋体" w:cs="宋体"/>
                <w:color w:val="auto"/>
                <w:kern w:val="2"/>
                <w:highlight w:val="none"/>
              </w:rPr>
            </w:pPr>
            <w:r>
              <w:rPr>
                <w:rFonts w:hint="eastAsia" w:ascii="宋体" w:hAnsi="宋体" w:eastAsia="宋体" w:cs="宋体"/>
                <w:color w:val="auto"/>
                <w:kern w:val="2"/>
                <w:highlight w:val="none"/>
              </w:rPr>
              <w:t>审查指标</w:t>
            </w:r>
          </w:p>
        </w:tc>
        <w:tc>
          <w:tcPr>
            <w:tcW w:w="1835" w:type="pct"/>
            <w:tcBorders>
              <w:bottom w:val="single" w:color="auto" w:sz="4" w:space="0"/>
            </w:tcBorders>
            <w:vAlign w:val="center"/>
          </w:tcPr>
          <w:p w14:paraId="7BACDC11">
            <w:pPr>
              <w:adjustRightInd w:val="0"/>
              <w:snapToGrid w:val="0"/>
              <w:spacing w:line="360" w:lineRule="auto"/>
              <w:ind w:right="-1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审查标准</w:t>
            </w:r>
          </w:p>
        </w:tc>
        <w:tc>
          <w:tcPr>
            <w:tcW w:w="1472" w:type="pct"/>
            <w:tcBorders>
              <w:bottom w:val="single" w:color="auto" w:sz="4" w:space="0"/>
            </w:tcBorders>
            <w:vAlign w:val="center"/>
          </w:tcPr>
          <w:p w14:paraId="31836ABE">
            <w:pPr>
              <w:adjustRightInd w:val="0"/>
              <w:snapToGrid w:val="0"/>
              <w:spacing w:line="360" w:lineRule="auto"/>
              <w:ind w:right="-1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格式要求</w:t>
            </w:r>
          </w:p>
        </w:tc>
      </w:tr>
      <w:tr w14:paraId="71834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pct"/>
            <w:vAlign w:val="center"/>
          </w:tcPr>
          <w:p w14:paraId="154045CF">
            <w:pPr>
              <w:adjustRightInd w:val="0"/>
              <w:snapToGrid w:val="0"/>
              <w:spacing w:line="360" w:lineRule="auto"/>
              <w:ind w:right="-1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1242" w:type="pct"/>
            <w:vAlign w:val="center"/>
          </w:tcPr>
          <w:p w14:paraId="5DC2C27B">
            <w:pPr>
              <w:spacing w:after="50" w:line="360" w:lineRule="auto"/>
              <w:ind w:right="-10"/>
              <w:jc w:val="center"/>
              <w:rPr>
                <w:rFonts w:hint="eastAsia" w:ascii="宋体" w:hAnsi="宋体" w:eastAsia="宋体" w:cs="宋体"/>
                <w:color w:val="auto"/>
                <w:sz w:val="24"/>
                <w:szCs w:val="28"/>
                <w:highlight w:val="none"/>
              </w:rPr>
            </w:pPr>
            <w:r>
              <w:rPr>
                <w:rFonts w:hint="eastAsia" w:ascii="宋体" w:hAnsi="宋体" w:eastAsia="宋体" w:cs="宋体"/>
                <w:color w:val="auto"/>
                <w:sz w:val="24"/>
                <w:highlight w:val="none"/>
              </w:rPr>
              <w:t>开标一览表</w:t>
            </w:r>
          </w:p>
        </w:tc>
        <w:tc>
          <w:tcPr>
            <w:tcW w:w="1835" w:type="pct"/>
            <w:vAlign w:val="center"/>
          </w:tcPr>
          <w:p w14:paraId="13ABCFF0">
            <w:pPr>
              <w:spacing w:after="50" w:line="360" w:lineRule="auto"/>
              <w:ind w:right="-1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格式、填写要求符合招标文件规定并加盖投标人电子签章</w:t>
            </w:r>
          </w:p>
        </w:tc>
        <w:tc>
          <w:tcPr>
            <w:tcW w:w="1472" w:type="pct"/>
            <w:vAlign w:val="center"/>
          </w:tcPr>
          <w:p w14:paraId="4154E934">
            <w:pPr>
              <w:adjustRightInd w:val="0"/>
              <w:snapToGrid w:val="0"/>
              <w:spacing w:line="360" w:lineRule="auto"/>
              <w:ind w:right="-1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详见第六章投标文件格式。</w:t>
            </w:r>
          </w:p>
        </w:tc>
      </w:tr>
      <w:tr w14:paraId="3050B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pct"/>
            <w:vAlign w:val="center"/>
          </w:tcPr>
          <w:p w14:paraId="534ECC83">
            <w:pPr>
              <w:adjustRightInd w:val="0"/>
              <w:snapToGrid w:val="0"/>
              <w:spacing w:line="360" w:lineRule="auto"/>
              <w:ind w:right="-1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1242" w:type="pct"/>
            <w:vAlign w:val="center"/>
          </w:tcPr>
          <w:p w14:paraId="11089F39">
            <w:pPr>
              <w:spacing w:after="50" w:line="360" w:lineRule="auto"/>
              <w:ind w:right="-1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投标函</w:t>
            </w:r>
          </w:p>
        </w:tc>
        <w:tc>
          <w:tcPr>
            <w:tcW w:w="1835" w:type="pct"/>
            <w:vAlign w:val="center"/>
          </w:tcPr>
          <w:p w14:paraId="12D11B30">
            <w:pPr>
              <w:spacing w:after="50" w:line="360" w:lineRule="auto"/>
              <w:ind w:right="-1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格式、填写要求符合招标文件规定并加盖投标人电子签章</w:t>
            </w:r>
          </w:p>
        </w:tc>
        <w:tc>
          <w:tcPr>
            <w:tcW w:w="1472" w:type="pct"/>
            <w:vAlign w:val="center"/>
          </w:tcPr>
          <w:p w14:paraId="7B0CACDE">
            <w:pPr>
              <w:adjustRightInd w:val="0"/>
              <w:snapToGrid w:val="0"/>
              <w:spacing w:line="360" w:lineRule="auto"/>
              <w:ind w:right="-1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详见第六章投标文件格式。</w:t>
            </w:r>
          </w:p>
        </w:tc>
      </w:tr>
      <w:tr w14:paraId="41322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pct"/>
            <w:vAlign w:val="center"/>
          </w:tcPr>
          <w:p w14:paraId="235CAFE1">
            <w:pPr>
              <w:adjustRightInd w:val="0"/>
              <w:snapToGrid w:val="0"/>
              <w:spacing w:line="360" w:lineRule="auto"/>
              <w:ind w:right="-1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1242" w:type="pct"/>
            <w:vAlign w:val="center"/>
          </w:tcPr>
          <w:p w14:paraId="35D41C1D">
            <w:pPr>
              <w:spacing w:after="50" w:line="360" w:lineRule="auto"/>
              <w:ind w:right="-1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授权书</w:t>
            </w:r>
          </w:p>
        </w:tc>
        <w:tc>
          <w:tcPr>
            <w:tcW w:w="1835" w:type="pct"/>
            <w:vAlign w:val="center"/>
          </w:tcPr>
          <w:p w14:paraId="2547420E">
            <w:pPr>
              <w:spacing w:after="50" w:line="360" w:lineRule="auto"/>
              <w:ind w:right="-1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格式、填写要求符合招标文件规定并加盖投标人电子签章</w:t>
            </w:r>
          </w:p>
        </w:tc>
        <w:tc>
          <w:tcPr>
            <w:tcW w:w="1472" w:type="pct"/>
            <w:vAlign w:val="center"/>
          </w:tcPr>
          <w:p w14:paraId="39BDCB6F">
            <w:pPr>
              <w:adjustRightInd w:val="0"/>
              <w:snapToGrid w:val="0"/>
              <w:spacing w:line="360" w:lineRule="auto"/>
              <w:ind w:right="-1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法定代表人参加投标的无需此件，提供身份证明即可。详见第六章投标文件格式。</w:t>
            </w:r>
          </w:p>
        </w:tc>
      </w:tr>
      <w:tr w14:paraId="29C53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pct"/>
            <w:vAlign w:val="center"/>
          </w:tcPr>
          <w:p w14:paraId="3CBEA6D4">
            <w:pPr>
              <w:adjustRightInd w:val="0"/>
              <w:snapToGrid w:val="0"/>
              <w:spacing w:line="360" w:lineRule="auto"/>
              <w:ind w:right="-1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p>
        </w:tc>
        <w:tc>
          <w:tcPr>
            <w:tcW w:w="1242" w:type="pct"/>
            <w:vAlign w:val="center"/>
          </w:tcPr>
          <w:p w14:paraId="7912F997">
            <w:pPr>
              <w:spacing w:after="50" w:line="360" w:lineRule="auto"/>
              <w:ind w:right="-1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投标报价</w:t>
            </w:r>
          </w:p>
        </w:tc>
        <w:tc>
          <w:tcPr>
            <w:tcW w:w="1835" w:type="pct"/>
            <w:vAlign w:val="center"/>
          </w:tcPr>
          <w:p w14:paraId="67FE093E">
            <w:pPr>
              <w:spacing w:after="50" w:line="360" w:lineRule="auto"/>
              <w:ind w:right="-1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符合</w:t>
            </w:r>
            <w:r>
              <w:rPr>
                <w:rFonts w:hint="eastAsia" w:ascii="宋体" w:hAnsi="宋体" w:eastAsia="宋体" w:cs="宋体"/>
                <w:color w:val="auto"/>
                <w:sz w:val="24"/>
                <w:highlight w:val="none"/>
              </w:rPr>
              <w:t>招标文件投标人须知正文第9条要求</w:t>
            </w:r>
          </w:p>
        </w:tc>
        <w:tc>
          <w:tcPr>
            <w:tcW w:w="1472" w:type="pct"/>
            <w:vAlign w:val="center"/>
          </w:tcPr>
          <w:p w14:paraId="17B5853D">
            <w:pPr>
              <w:adjustRightInd w:val="0"/>
              <w:snapToGrid w:val="0"/>
              <w:spacing w:line="360" w:lineRule="auto"/>
              <w:ind w:right="-1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详见第六章投标文件格式。</w:t>
            </w:r>
          </w:p>
        </w:tc>
      </w:tr>
      <w:tr w14:paraId="159E1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pct"/>
            <w:vAlign w:val="center"/>
          </w:tcPr>
          <w:p w14:paraId="0DC2CF39">
            <w:pPr>
              <w:adjustRightInd w:val="0"/>
              <w:snapToGrid w:val="0"/>
              <w:spacing w:line="360" w:lineRule="auto"/>
              <w:ind w:right="-1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p>
        </w:tc>
        <w:tc>
          <w:tcPr>
            <w:tcW w:w="1242" w:type="pct"/>
            <w:vAlign w:val="center"/>
          </w:tcPr>
          <w:p w14:paraId="05947DD9">
            <w:pPr>
              <w:spacing w:after="50" w:line="360" w:lineRule="auto"/>
              <w:ind w:right="-1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商务响应情况</w:t>
            </w:r>
          </w:p>
        </w:tc>
        <w:tc>
          <w:tcPr>
            <w:tcW w:w="3430" w:type="dxa"/>
            <w:vAlign w:val="center"/>
          </w:tcPr>
          <w:p w14:paraId="2CACB3E4">
            <w:pPr>
              <w:spacing w:after="50" w:line="360" w:lineRule="auto"/>
              <w:ind w:right="-1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符合招标文件采购需求中对付款方式、供货及安装期限、供货及安装地点、免费质保期等实质性要求</w:t>
            </w:r>
          </w:p>
        </w:tc>
        <w:tc>
          <w:tcPr>
            <w:tcW w:w="1472" w:type="pct"/>
            <w:vAlign w:val="center"/>
          </w:tcPr>
          <w:p w14:paraId="787E054C">
            <w:pPr>
              <w:adjustRightInd w:val="0"/>
              <w:snapToGrid w:val="0"/>
              <w:spacing w:line="360" w:lineRule="auto"/>
              <w:ind w:right="-1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详见第六章投标文件格式。</w:t>
            </w:r>
          </w:p>
        </w:tc>
      </w:tr>
      <w:tr w14:paraId="56312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pct"/>
            <w:vAlign w:val="center"/>
          </w:tcPr>
          <w:p w14:paraId="6D9CCC80">
            <w:pPr>
              <w:adjustRightInd w:val="0"/>
              <w:snapToGrid w:val="0"/>
              <w:spacing w:line="360" w:lineRule="auto"/>
              <w:ind w:right="-1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6</w:t>
            </w:r>
          </w:p>
        </w:tc>
        <w:tc>
          <w:tcPr>
            <w:tcW w:w="1242" w:type="pct"/>
            <w:vAlign w:val="center"/>
          </w:tcPr>
          <w:p w14:paraId="335E4C94">
            <w:pPr>
              <w:spacing w:after="50" w:line="360" w:lineRule="auto"/>
              <w:ind w:right="-1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技术响应情况</w:t>
            </w:r>
          </w:p>
        </w:tc>
        <w:tc>
          <w:tcPr>
            <w:tcW w:w="3430" w:type="dxa"/>
            <w:vAlign w:val="center"/>
          </w:tcPr>
          <w:p w14:paraId="43AC89D4">
            <w:pPr>
              <w:spacing w:after="50" w:line="360" w:lineRule="auto"/>
              <w:ind w:right="-1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符合招标文件采购需求中货物技术参数等实质性要求</w:t>
            </w:r>
          </w:p>
        </w:tc>
        <w:tc>
          <w:tcPr>
            <w:tcW w:w="1472" w:type="pct"/>
            <w:vAlign w:val="center"/>
          </w:tcPr>
          <w:p w14:paraId="4D306F78">
            <w:pPr>
              <w:adjustRightInd w:val="0"/>
              <w:snapToGrid w:val="0"/>
              <w:spacing w:line="360" w:lineRule="auto"/>
              <w:ind w:right="-1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详见第六章投标文件格式。</w:t>
            </w:r>
          </w:p>
        </w:tc>
      </w:tr>
      <w:tr w14:paraId="71061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pct"/>
            <w:vAlign w:val="center"/>
          </w:tcPr>
          <w:p w14:paraId="3692BFE0">
            <w:pPr>
              <w:adjustRightInd w:val="0"/>
              <w:snapToGrid w:val="0"/>
              <w:spacing w:line="360" w:lineRule="auto"/>
              <w:ind w:right="-1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7</w:t>
            </w:r>
          </w:p>
        </w:tc>
        <w:tc>
          <w:tcPr>
            <w:tcW w:w="1242" w:type="pct"/>
            <w:vAlign w:val="center"/>
          </w:tcPr>
          <w:p w14:paraId="36D7D64F">
            <w:pPr>
              <w:spacing w:after="50" w:line="360" w:lineRule="auto"/>
              <w:ind w:right="-1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其他要求</w:t>
            </w:r>
          </w:p>
        </w:tc>
        <w:tc>
          <w:tcPr>
            <w:tcW w:w="3430" w:type="dxa"/>
            <w:vAlign w:val="center"/>
          </w:tcPr>
          <w:p w14:paraId="114557B0">
            <w:pPr>
              <w:spacing w:after="50" w:line="360" w:lineRule="auto"/>
              <w:ind w:right="-1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符合法律、行政法规规定的其他条件或招标文件列明的其他实质性要求</w:t>
            </w:r>
          </w:p>
        </w:tc>
        <w:tc>
          <w:tcPr>
            <w:tcW w:w="1472" w:type="pct"/>
            <w:vAlign w:val="center"/>
          </w:tcPr>
          <w:p w14:paraId="2C41BD40">
            <w:pPr>
              <w:adjustRightInd w:val="0"/>
              <w:snapToGrid w:val="0"/>
              <w:spacing w:line="360" w:lineRule="auto"/>
              <w:ind w:right="-10"/>
              <w:jc w:val="center"/>
              <w:rPr>
                <w:rFonts w:hint="eastAsia" w:ascii="宋体" w:hAnsi="宋体" w:eastAsia="宋体" w:cs="宋体"/>
                <w:color w:val="auto"/>
                <w:sz w:val="24"/>
                <w:highlight w:val="none"/>
              </w:rPr>
            </w:pPr>
          </w:p>
        </w:tc>
      </w:tr>
    </w:tbl>
    <w:p w14:paraId="10B6A674">
      <w:pPr>
        <w:spacing w:line="360" w:lineRule="auto"/>
        <w:ind w:firstLine="435"/>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符合性审查指标通过标准：</w:t>
      </w:r>
      <w:r>
        <w:rPr>
          <w:rFonts w:hint="eastAsia" w:ascii="宋体" w:hAnsi="宋体" w:eastAsia="宋体" w:cs="宋体"/>
          <w:color w:val="auto"/>
          <w:sz w:val="24"/>
          <w:highlight w:val="none"/>
        </w:rPr>
        <w:t>投标人必须通过符合性审查表中的全部评审指标。</w:t>
      </w:r>
    </w:p>
    <w:p w14:paraId="4A1C7BE5">
      <w:pPr>
        <w:spacing w:line="360" w:lineRule="auto"/>
        <w:ind w:firstLine="437"/>
        <w:outlineLvl w:val="2"/>
        <w:rPr>
          <w:rFonts w:hint="eastAsia" w:ascii="宋体" w:hAnsi="宋体" w:eastAsia="宋体" w:cs="宋体"/>
          <w:color w:val="auto"/>
          <w:sz w:val="24"/>
          <w:highlight w:val="none"/>
        </w:rPr>
      </w:pPr>
      <w:r>
        <w:rPr>
          <w:rFonts w:hint="eastAsia" w:ascii="宋体" w:hAnsi="宋体" w:eastAsia="宋体" w:cs="宋体"/>
          <w:color w:val="auto"/>
          <w:sz w:val="24"/>
          <w:highlight w:val="none"/>
        </w:rPr>
        <w:t>2.3详细审查</w:t>
      </w:r>
    </w:p>
    <w:p w14:paraId="41C9CC2B">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2.3.1评标委员会按照下表对投标文件进行详细审查和评分。</w:t>
      </w:r>
    </w:p>
    <w:p w14:paraId="75AA6E80">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2.3.2本项目综合评分满分为100分，其中：技术资信分值占总分值的权重为</w:t>
      </w:r>
      <w:r>
        <w:rPr>
          <w:rFonts w:hint="eastAsia" w:ascii="宋体" w:hAnsi="宋体" w:eastAsia="宋体" w:cs="宋体"/>
          <w:color w:val="auto"/>
          <w:sz w:val="24"/>
          <w:highlight w:val="none"/>
          <w:u w:val="single"/>
        </w:rPr>
        <w:t xml:space="preserve"> 70 </w:t>
      </w:r>
      <w:r>
        <w:rPr>
          <w:rFonts w:hint="eastAsia" w:ascii="宋体" w:hAnsi="宋体" w:eastAsia="宋体" w:cs="宋体"/>
          <w:color w:val="auto"/>
          <w:sz w:val="24"/>
          <w:highlight w:val="none"/>
        </w:rPr>
        <w:t>%，价格分值占总分值的权重为</w:t>
      </w:r>
      <w:r>
        <w:rPr>
          <w:rFonts w:hint="eastAsia" w:ascii="宋体" w:hAnsi="宋体" w:eastAsia="宋体" w:cs="宋体"/>
          <w:color w:val="auto"/>
          <w:sz w:val="24"/>
          <w:highlight w:val="none"/>
          <w:u w:val="single"/>
        </w:rPr>
        <w:t xml:space="preserve"> 30 </w:t>
      </w:r>
      <w:r>
        <w:rPr>
          <w:rFonts w:hint="eastAsia" w:ascii="宋体" w:hAnsi="宋体" w:eastAsia="宋体" w:cs="宋体"/>
          <w:color w:val="auto"/>
          <w:sz w:val="24"/>
          <w:highlight w:val="none"/>
        </w:rPr>
        <w:t>%。具体评分细则如下：</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5"/>
        <w:gridCol w:w="1720"/>
        <w:gridCol w:w="3745"/>
        <w:gridCol w:w="1582"/>
      </w:tblGrid>
      <w:tr w14:paraId="4DD8F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865" w:type="pct"/>
            <w:tcBorders>
              <w:top w:val="single" w:color="auto" w:sz="4" w:space="0"/>
              <w:left w:val="single" w:color="auto" w:sz="4" w:space="0"/>
              <w:bottom w:val="single" w:color="auto" w:sz="4" w:space="0"/>
              <w:right w:val="single" w:color="auto" w:sz="4" w:space="0"/>
            </w:tcBorders>
            <w:vAlign w:val="center"/>
          </w:tcPr>
          <w:p w14:paraId="265E1F62">
            <w:pPr>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类别</w:t>
            </w:r>
          </w:p>
        </w:tc>
        <w:tc>
          <w:tcPr>
            <w:tcW w:w="1009" w:type="pct"/>
            <w:tcBorders>
              <w:top w:val="single" w:color="auto" w:sz="4" w:space="0"/>
              <w:left w:val="single" w:color="auto" w:sz="4" w:space="0"/>
              <w:bottom w:val="single" w:color="auto" w:sz="4" w:space="0"/>
              <w:right w:val="single" w:color="auto" w:sz="4" w:space="0"/>
            </w:tcBorders>
            <w:vAlign w:val="center"/>
          </w:tcPr>
          <w:p w14:paraId="03E6C840">
            <w:pPr>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评分内容</w:t>
            </w:r>
          </w:p>
        </w:tc>
        <w:tc>
          <w:tcPr>
            <w:tcW w:w="2197" w:type="pct"/>
            <w:tcBorders>
              <w:top w:val="single" w:color="auto" w:sz="4" w:space="0"/>
              <w:left w:val="single" w:color="auto" w:sz="4" w:space="0"/>
              <w:bottom w:val="single" w:color="auto" w:sz="4" w:space="0"/>
              <w:right w:val="single" w:color="auto" w:sz="4" w:space="0"/>
            </w:tcBorders>
            <w:vAlign w:val="center"/>
          </w:tcPr>
          <w:p w14:paraId="479CE3F7">
            <w:pPr>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评分标准</w:t>
            </w:r>
          </w:p>
        </w:tc>
        <w:tc>
          <w:tcPr>
            <w:tcW w:w="928" w:type="pct"/>
            <w:tcBorders>
              <w:top w:val="single" w:color="auto" w:sz="4" w:space="0"/>
              <w:left w:val="single" w:color="auto" w:sz="4" w:space="0"/>
              <w:bottom w:val="single" w:color="auto" w:sz="4" w:space="0"/>
              <w:right w:val="single" w:color="auto" w:sz="4" w:space="0"/>
            </w:tcBorders>
            <w:vAlign w:val="center"/>
          </w:tcPr>
          <w:p w14:paraId="68E254B8">
            <w:pPr>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分值范围</w:t>
            </w:r>
          </w:p>
        </w:tc>
      </w:tr>
      <w:tr w14:paraId="4B07F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vMerge w:val="restart"/>
            <w:tcBorders>
              <w:top w:val="single" w:color="auto" w:sz="4" w:space="0"/>
              <w:left w:val="single" w:color="auto" w:sz="4" w:space="0"/>
              <w:right w:val="single" w:color="auto" w:sz="4" w:space="0"/>
            </w:tcBorders>
            <w:vAlign w:val="center"/>
          </w:tcPr>
          <w:p w14:paraId="1773914A">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技术资信分</w:t>
            </w:r>
          </w:p>
          <w:p w14:paraId="479992DB">
            <w:pPr>
              <w:spacing w:line="360" w:lineRule="auto"/>
              <w:jc w:val="center"/>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70 </w:t>
            </w:r>
            <w:r>
              <w:rPr>
                <w:rFonts w:hint="eastAsia" w:ascii="宋体" w:hAnsi="宋体" w:eastAsia="宋体" w:cs="宋体"/>
                <w:color w:val="auto"/>
                <w:sz w:val="24"/>
                <w:highlight w:val="none"/>
              </w:rPr>
              <w:t>分）</w:t>
            </w:r>
          </w:p>
        </w:tc>
        <w:tc>
          <w:tcPr>
            <w:tcW w:w="4134" w:type="pct"/>
            <w:gridSpan w:val="3"/>
            <w:tcBorders>
              <w:top w:val="single" w:color="auto" w:sz="4" w:space="0"/>
              <w:left w:val="single" w:color="auto" w:sz="4" w:space="0"/>
              <w:bottom w:val="single" w:color="auto" w:sz="4" w:space="0"/>
              <w:right w:val="single" w:color="auto" w:sz="4" w:space="0"/>
            </w:tcBorders>
            <w:vAlign w:val="center"/>
          </w:tcPr>
          <w:p w14:paraId="69A3C6A1">
            <w:pPr>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技术部分</w:t>
            </w:r>
          </w:p>
        </w:tc>
      </w:tr>
      <w:tr w14:paraId="6CAA9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vMerge w:val="continue"/>
            <w:tcBorders>
              <w:left w:val="single" w:color="auto" w:sz="4" w:space="0"/>
              <w:right w:val="single" w:color="auto" w:sz="4" w:space="0"/>
            </w:tcBorders>
            <w:vAlign w:val="center"/>
          </w:tcPr>
          <w:p w14:paraId="0CA76AD1">
            <w:pPr>
              <w:spacing w:line="360" w:lineRule="auto"/>
              <w:jc w:val="center"/>
              <w:rPr>
                <w:rFonts w:hint="eastAsia" w:ascii="宋体" w:hAnsi="宋体" w:eastAsia="宋体" w:cs="宋体"/>
                <w:color w:val="auto"/>
                <w:sz w:val="24"/>
                <w:highlight w:val="none"/>
              </w:rPr>
            </w:pPr>
          </w:p>
        </w:tc>
        <w:tc>
          <w:tcPr>
            <w:tcW w:w="1009" w:type="pct"/>
            <w:tcBorders>
              <w:top w:val="single" w:color="auto" w:sz="4" w:space="0"/>
              <w:left w:val="single" w:color="auto" w:sz="4" w:space="0"/>
              <w:bottom w:val="single" w:color="auto" w:sz="4" w:space="0"/>
              <w:right w:val="single" w:color="auto" w:sz="4" w:space="0"/>
            </w:tcBorders>
            <w:vAlign w:val="center"/>
          </w:tcPr>
          <w:p w14:paraId="0DB9853B">
            <w:pPr>
              <w:spacing w:line="360" w:lineRule="auto"/>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设计方案</w:t>
            </w:r>
          </w:p>
        </w:tc>
        <w:tc>
          <w:tcPr>
            <w:tcW w:w="2197" w:type="pct"/>
            <w:tcBorders>
              <w:top w:val="single" w:color="auto" w:sz="4" w:space="0"/>
              <w:left w:val="single" w:color="auto" w:sz="4" w:space="0"/>
              <w:bottom w:val="single" w:color="auto" w:sz="4" w:space="0"/>
              <w:right w:val="single" w:color="auto" w:sz="4" w:space="0"/>
            </w:tcBorders>
            <w:vAlign w:val="center"/>
          </w:tcPr>
          <w:p w14:paraId="2138EFD8">
            <w:pPr>
              <w:spacing w:line="360" w:lineRule="auto"/>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根据招标文件采购需求货物需求表中货物序号“</w:t>
            </w:r>
            <w:r>
              <w:rPr>
                <w:rFonts w:hint="eastAsia" w:ascii="宋体" w:hAnsi="宋体" w:eastAsia="宋体" w:cs="宋体"/>
                <w:bCs/>
                <w:color w:val="auto"/>
                <w:sz w:val="24"/>
                <w:highlight w:val="none"/>
                <w:lang w:val="en-US" w:eastAsia="zh-CN"/>
              </w:rPr>
              <w:t>8</w:t>
            </w:r>
            <w:r>
              <w:rPr>
                <w:rFonts w:hint="eastAsia" w:ascii="宋体" w:hAnsi="宋体" w:eastAsia="宋体" w:cs="宋体"/>
                <w:bCs/>
                <w:color w:val="auto"/>
                <w:sz w:val="24"/>
                <w:highlight w:val="none"/>
              </w:rPr>
              <w:t>、1</w:t>
            </w:r>
            <w:r>
              <w:rPr>
                <w:rFonts w:hint="eastAsia" w:ascii="宋体" w:hAnsi="宋体" w:eastAsia="宋体" w:cs="宋体"/>
                <w:bCs/>
                <w:color w:val="auto"/>
                <w:sz w:val="24"/>
                <w:highlight w:val="none"/>
                <w:lang w:val="en-US" w:eastAsia="zh-CN"/>
              </w:rPr>
              <w:t>0</w:t>
            </w:r>
            <w:r>
              <w:rPr>
                <w:rFonts w:hint="eastAsia" w:ascii="宋体" w:hAnsi="宋体" w:eastAsia="宋体" w:cs="宋体"/>
                <w:bCs/>
                <w:color w:val="auto"/>
                <w:sz w:val="24"/>
                <w:highlight w:val="none"/>
              </w:rPr>
              <w:t>、2</w:t>
            </w:r>
            <w:r>
              <w:rPr>
                <w:rFonts w:hint="eastAsia" w:ascii="宋体" w:hAnsi="宋体" w:eastAsia="宋体" w:cs="宋体"/>
                <w:bCs/>
                <w:color w:val="auto"/>
                <w:sz w:val="24"/>
                <w:highlight w:val="none"/>
                <w:lang w:val="en-US" w:eastAsia="zh-CN"/>
              </w:rPr>
              <w:t>0</w:t>
            </w:r>
            <w:r>
              <w:rPr>
                <w:rFonts w:hint="eastAsia" w:ascii="宋体" w:hAnsi="宋体" w:eastAsia="宋体" w:cs="宋体"/>
                <w:bCs/>
                <w:color w:val="auto"/>
                <w:sz w:val="24"/>
                <w:highlight w:val="none"/>
              </w:rPr>
              <w:t>、2</w:t>
            </w:r>
            <w:r>
              <w:rPr>
                <w:rFonts w:hint="eastAsia" w:ascii="宋体" w:hAnsi="宋体" w:eastAsia="宋体" w:cs="宋体"/>
                <w:bCs/>
                <w:color w:val="auto"/>
                <w:sz w:val="24"/>
                <w:highlight w:val="none"/>
                <w:lang w:val="en-US" w:eastAsia="zh-CN"/>
              </w:rPr>
              <w:t>4</w:t>
            </w:r>
            <w:r>
              <w:rPr>
                <w:rFonts w:hint="eastAsia" w:ascii="宋体" w:hAnsi="宋体" w:eastAsia="宋体" w:cs="宋体"/>
                <w:bCs/>
                <w:color w:val="auto"/>
                <w:sz w:val="24"/>
                <w:highlight w:val="none"/>
              </w:rPr>
              <w:t>、2</w:t>
            </w:r>
            <w:r>
              <w:rPr>
                <w:rFonts w:hint="eastAsia" w:ascii="宋体" w:hAnsi="宋体" w:eastAsia="宋体" w:cs="宋体"/>
                <w:bCs/>
                <w:color w:val="auto"/>
                <w:sz w:val="24"/>
                <w:highlight w:val="none"/>
                <w:lang w:val="en-US" w:eastAsia="zh-CN"/>
              </w:rPr>
              <w:t>5</w:t>
            </w:r>
            <w:r>
              <w:rPr>
                <w:rFonts w:hint="eastAsia" w:ascii="宋体" w:hAnsi="宋体" w:eastAsia="宋体" w:cs="宋体"/>
                <w:bCs/>
                <w:color w:val="auto"/>
                <w:sz w:val="24"/>
                <w:highlight w:val="none"/>
              </w:rPr>
              <w:t>、2</w:t>
            </w:r>
            <w:r>
              <w:rPr>
                <w:rFonts w:hint="eastAsia" w:ascii="宋体" w:hAnsi="宋体" w:eastAsia="宋体" w:cs="宋体"/>
                <w:bCs/>
                <w:color w:val="auto"/>
                <w:sz w:val="24"/>
                <w:highlight w:val="none"/>
                <w:lang w:val="en-US" w:eastAsia="zh-CN"/>
              </w:rPr>
              <w:t>6</w:t>
            </w:r>
            <w:r>
              <w:rPr>
                <w:rFonts w:hint="eastAsia" w:ascii="宋体" w:hAnsi="宋体" w:eastAsia="宋体" w:cs="宋体"/>
                <w:bCs/>
                <w:color w:val="auto"/>
                <w:sz w:val="24"/>
                <w:highlight w:val="none"/>
              </w:rPr>
              <w:t>、2</w:t>
            </w:r>
            <w:r>
              <w:rPr>
                <w:rFonts w:hint="eastAsia" w:ascii="宋体" w:hAnsi="宋体" w:eastAsia="宋体" w:cs="宋体"/>
                <w:bCs/>
                <w:color w:val="auto"/>
                <w:sz w:val="24"/>
                <w:highlight w:val="none"/>
                <w:lang w:val="en-US" w:eastAsia="zh-CN"/>
              </w:rPr>
              <w:t>7</w:t>
            </w:r>
            <w:r>
              <w:rPr>
                <w:rFonts w:hint="eastAsia" w:ascii="宋体" w:hAnsi="宋体" w:eastAsia="宋体" w:cs="宋体"/>
                <w:bCs/>
                <w:color w:val="auto"/>
                <w:sz w:val="24"/>
                <w:highlight w:val="none"/>
              </w:rPr>
              <w:t>、3</w:t>
            </w:r>
            <w:r>
              <w:rPr>
                <w:rFonts w:hint="eastAsia" w:ascii="宋体" w:hAnsi="宋体" w:eastAsia="宋体" w:cs="宋体"/>
                <w:bCs/>
                <w:color w:val="auto"/>
                <w:sz w:val="24"/>
                <w:highlight w:val="none"/>
                <w:lang w:val="en-US" w:eastAsia="zh-CN"/>
              </w:rPr>
              <w:t>0</w:t>
            </w:r>
            <w:r>
              <w:rPr>
                <w:rFonts w:hint="eastAsia" w:ascii="宋体" w:hAnsi="宋体" w:eastAsia="宋体" w:cs="宋体"/>
                <w:bCs/>
                <w:color w:val="auto"/>
                <w:sz w:val="24"/>
                <w:highlight w:val="none"/>
              </w:rPr>
              <w:t>”条内标“▲”项的要求，对投标人提供的包括但不限于单体产品的多角度三维彩色效果图、用料说明、三视图、工艺结构深化图、装配图等设计图、结构图，以及相应产品房间平面功能布局图、效果图等，由评标委员会进行综合评分：每项5分，总分40分。</w:t>
            </w:r>
          </w:p>
          <w:p w14:paraId="2055E8EB">
            <w:pPr>
              <w:spacing w:line="360" w:lineRule="auto"/>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1）设计内容丰富全面，设计图方案详细且针对性强，三视图结构及效果图整体搭配度协调，提供产品实物图及细节彩色照片，房间效果图、平面功能布局图突出，从多个视角展现，整体内容完整，能够充分体现产品效果的，完全满足项目需求，得5分； </w:t>
            </w:r>
          </w:p>
          <w:p w14:paraId="1AD542BC">
            <w:pPr>
              <w:spacing w:line="360" w:lineRule="auto"/>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2）设计内容完整，设计图方案简单，具有针对性，三视图结构及效果图整体搭配度合理，提供产品实物图及细节彩色照片，房间效果图、平面功能布局图简单，展现视角少，内容无亮点，与项目需求贴合，得3分； </w:t>
            </w:r>
          </w:p>
          <w:p w14:paraId="026DE517">
            <w:pPr>
              <w:spacing w:line="360" w:lineRule="auto"/>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（3）设计内容粗糙，设计图存在缺项，三视图结构及效果图整体搭配度不足，产品图简单，产品细节处理有待改善，得 1 分； </w:t>
            </w:r>
          </w:p>
          <w:p w14:paraId="4CFA5F13">
            <w:pPr>
              <w:spacing w:line="360" w:lineRule="auto"/>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（4）未提供不得分。</w:t>
            </w:r>
          </w:p>
        </w:tc>
        <w:tc>
          <w:tcPr>
            <w:tcW w:w="928" w:type="pct"/>
            <w:tcBorders>
              <w:top w:val="single" w:color="auto" w:sz="4" w:space="0"/>
              <w:left w:val="single" w:color="auto" w:sz="4" w:space="0"/>
              <w:bottom w:val="single" w:color="auto" w:sz="4" w:space="0"/>
              <w:right w:val="single" w:color="auto" w:sz="4" w:space="0"/>
            </w:tcBorders>
            <w:vAlign w:val="center"/>
          </w:tcPr>
          <w:p w14:paraId="3C1E2CD4">
            <w:pPr>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0-40分</w:t>
            </w:r>
          </w:p>
        </w:tc>
      </w:tr>
      <w:tr w14:paraId="7FA23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vMerge w:val="continue"/>
            <w:tcBorders>
              <w:left w:val="single" w:color="auto" w:sz="4" w:space="0"/>
              <w:right w:val="single" w:color="auto" w:sz="4" w:space="0"/>
            </w:tcBorders>
            <w:vAlign w:val="center"/>
          </w:tcPr>
          <w:p w14:paraId="66B3445C">
            <w:pPr>
              <w:spacing w:line="360" w:lineRule="auto"/>
              <w:jc w:val="center"/>
              <w:rPr>
                <w:rFonts w:hint="eastAsia" w:ascii="宋体" w:hAnsi="宋体" w:eastAsia="宋体" w:cs="宋体"/>
                <w:color w:val="auto"/>
                <w:sz w:val="24"/>
                <w:highlight w:val="none"/>
              </w:rPr>
            </w:pPr>
          </w:p>
        </w:tc>
        <w:tc>
          <w:tcPr>
            <w:tcW w:w="1009" w:type="pct"/>
            <w:tcBorders>
              <w:top w:val="single" w:color="auto" w:sz="4" w:space="0"/>
              <w:left w:val="single" w:color="auto" w:sz="4" w:space="0"/>
              <w:bottom w:val="single" w:color="auto" w:sz="4" w:space="0"/>
              <w:right w:val="single" w:color="auto" w:sz="4" w:space="0"/>
            </w:tcBorders>
            <w:vAlign w:val="center"/>
          </w:tcPr>
          <w:p w14:paraId="06526CB2">
            <w:pPr>
              <w:spacing w:line="360" w:lineRule="auto"/>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安装调试方案</w:t>
            </w:r>
          </w:p>
        </w:tc>
        <w:tc>
          <w:tcPr>
            <w:tcW w:w="2197" w:type="pct"/>
            <w:tcBorders>
              <w:top w:val="single" w:color="auto" w:sz="4" w:space="0"/>
              <w:left w:val="single" w:color="auto" w:sz="4" w:space="0"/>
              <w:bottom w:val="single" w:color="auto" w:sz="4" w:space="0"/>
              <w:right w:val="single" w:color="auto" w:sz="4" w:space="0"/>
            </w:tcBorders>
            <w:vAlign w:val="center"/>
          </w:tcPr>
          <w:p w14:paraId="23209207">
            <w:pPr>
              <w:spacing w:line="360" w:lineRule="auto"/>
              <w:jc w:val="left"/>
              <w:rPr>
                <w:rFonts w:hint="eastAsia" w:ascii="宋体" w:hAnsi="宋体" w:eastAsia="宋体" w:cs="宋体"/>
                <w:color w:val="auto"/>
                <w:sz w:val="24"/>
                <w:highlight w:val="none"/>
                <w:lang w:val="zh-TW"/>
              </w:rPr>
            </w:pPr>
            <w:r>
              <w:rPr>
                <w:rFonts w:hint="eastAsia" w:ascii="宋体" w:hAnsi="宋体" w:eastAsia="宋体" w:cs="宋体"/>
                <w:color w:val="auto"/>
                <w:sz w:val="24"/>
                <w:highlight w:val="none"/>
              </w:rPr>
              <w:t>投标人根据项目具体的实施情况制定安装调试方案，主要考虑供货安装（人员劳动力、施工安装技术措施等）、验收方案、施工进度、质量、安全保证方案及措施和协同配合的完整性、合理性、可行性等：</w:t>
            </w:r>
            <w:r>
              <w:rPr>
                <w:rFonts w:hint="eastAsia" w:ascii="宋体" w:hAnsi="宋体" w:eastAsia="宋体" w:cs="宋体"/>
                <w:color w:val="auto"/>
                <w:sz w:val="24"/>
                <w:highlight w:val="none"/>
                <w:lang w:val="zh-TW"/>
              </w:rPr>
              <w:t xml:space="preserve"> </w:t>
            </w:r>
          </w:p>
          <w:p w14:paraId="338ED436">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①供货安装、验收等实施方案详尽，施工进度、质量、安全保证方案及措施和协同配合方案完整且符合项目实际情况的得5分；</w:t>
            </w:r>
          </w:p>
          <w:p w14:paraId="096FE1E7">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②供货安装、验收等实施方案齐全，施工进度、质量、安全保证方案及措施和协同配合方案简单且符合实际情况的得3分；</w:t>
            </w:r>
          </w:p>
          <w:p w14:paraId="243A1CEF">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③供货安装、验收内容简单，施工进度、质量、安全保证方案及措施和协同配合方案不缺项的得1分；</w:t>
            </w:r>
          </w:p>
          <w:p w14:paraId="6474B146">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④未提供的不得分。</w:t>
            </w:r>
          </w:p>
        </w:tc>
        <w:tc>
          <w:tcPr>
            <w:tcW w:w="928" w:type="pct"/>
            <w:tcBorders>
              <w:top w:val="single" w:color="auto" w:sz="4" w:space="0"/>
              <w:left w:val="single" w:color="auto" w:sz="4" w:space="0"/>
              <w:bottom w:val="single" w:color="auto" w:sz="4" w:space="0"/>
              <w:right w:val="single" w:color="auto" w:sz="4" w:space="0"/>
            </w:tcBorders>
            <w:vAlign w:val="center"/>
          </w:tcPr>
          <w:p w14:paraId="6BC1A9F6">
            <w:pPr>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0-5分</w:t>
            </w:r>
          </w:p>
        </w:tc>
      </w:tr>
      <w:tr w14:paraId="5130B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vMerge w:val="continue"/>
            <w:tcBorders>
              <w:left w:val="single" w:color="auto" w:sz="4" w:space="0"/>
              <w:right w:val="single" w:color="auto" w:sz="4" w:space="0"/>
            </w:tcBorders>
            <w:vAlign w:val="center"/>
          </w:tcPr>
          <w:p w14:paraId="0C87E7E5">
            <w:pPr>
              <w:spacing w:line="360" w:lineRule="auto"/>
              <w:jc w:val="center"/>
              <w:rPr>
                <w:rFonts w:hint="eastAsia" w:ascii="宋体" w:hAnsi="宋体" w:eastAsia="宋体" w:cs="宋体"/>
                <w:color w:val="auto"/>
                <w:sz w:val="24"/>
                <w:highlight w:val="none"/>
              </w:rPr>
            </w:pPr>
          </w:p>
        </w:tc>
        <w:tc>
          <w:tcPr>
            <w:tcW w:w="1009" w:type="pct"/>
            <w:tcBorders>
              <w:top w:val="single" w:color="auto" w:sz="4" w:space="0"/>
              <w:left w:val="single" w:color="auto" w:sz="4" w:space="0"/>
              <w:bottom w:val="single" w:color="auto" w:sz="4" w:space="0"/>
              <w:right w:val="single" w:color="auto" w:sz="4" w:space="0"/>
            </w:tcBorders>
            <w:vAlign w:val="center"/>
          </w:tcPr>
          <w:p w14:paraId="54D7E82C">
            <w:pPr>
              <w:spacing w:line="360" w:lineRule="auto"/>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售后服务方案</w:t>
            </w:r>
          </w:p>
        </w:tc>
        <w:tc>
          <w:tcPr>
            <w:tcW w:w="2197" w:type="pct"/>
            <w:tcBorders>
              <w:top w:val="single" w:color="auto" w:sz="4" w:space="0"/>
              <w:left w:val="single" w:color="auto" w:sz="4" w:space="0"/>
              <w:bottom w:val="single" w:color="auto" w:sz="4" w:space="0"/>
              <w:right w:val="single" w:color="auto" w:sz="4" w:space="0"/>
            </w:tcBorders>
            <w:vAlign w:val="center"/>
          </w:tcPr>
          <w:p w14:paraId="79F2D1B9">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根据投标人提供的售后服务方案进行综合评分： </w:t>
            </w:r>
          </w:p>
          <w:p w14:paraId="73649C11">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①售后服务措施详尽、维修响应时间及时、备件供应保障充足、人员售后配置详细、远程报修服务方案全面、实时维修统计详尽，能保障采购人获得高质量售后服务的得5分； </w:t>
            </w:r>
          </w:p>
          <w:p w14:paraId="75C42DBC">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②售后服务措施完整、维修响应时间及时、具有备件供应保障措施、配置售后人员、具有远程报修服务的得3分； </w:t>
            </w:r>
          </w:p>
          <w:p w14:paraId="021B855A">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③ 售后服务措施、维修响应时间、备件供应保障、配置售后人员、远程报修服务措施不全或存在不足的得1分； </w:t>
            </w:r>
          </w:p>
          <w:p w14:paraId="74D79181">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④未提供的不得分。</w:t>
            </w:r>
          </w:p>
        </w:tc>
        <w:tc>
          <w:tcPr>
            <w:tcW w:w="928" w:type="pct"/>
            <w:tcBorders>
              <w:top w:val="single" w:color="auto" w:sz="4" w:space="0"/>
              <w:left w:val="single" w:color="auto" w:sz="4" w:space="0"/>
              <w:bottom w:val="single" w:color="auto" w:sz="4" w:space="0"/>
              <w:right w:val="single" w:color="auto" w:sz="4" w:space="0"/>
            </w:tcBorders>
            <w:vAlign w:val="center"/>
          </w:tcPr>
          <w:p w14:paraId="0CF5EA78">
            <w:pPr>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0-5分</w:t>
            </w:r>
          </w:p>
        </w:tc>
      </w:tr>
      <w:tr w14:paraId="4EEF0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vMerge w:val="continue"/>
            <w:tcBorders>
              <w:left w:val="single" w:color="auto" w:sz="4" w:space="0"/>
              <w:right w:val="single" w:color="auto" w:sz="4" w:space="0"/>
            </w:tcBorders>
            <w:vAlign w:val="center"/>
          </w:tcPr>
          <w:p w14:paraId="5502C5D4">
            <w:pPr>
              <w:spacing w:line="360" w:lineRule="auto"/>
              <w:jc w:val="center"/>
              <w:rPr>
                <w:rFonts w:hint="eastAsia" w:ascii="宋体" w:hAnsi="宋体" w:eastAsia="宋体" w:cs="宋体"/>
                <w:color w:val="auto"/>
                <w:sz w:val="24"/>
                <w:highlight w:val="none"/>
              </w:rPr>
            </w:pPr>
          </w:p>
        </w:tc>
        <w:tc>
          <w:tcPr>
            <w:tcW w:w="1009" w:type="pct"/>
            <w:tcBorders>
              <w:top w:val="single" w:color="auto" w:sz="4" w:space="0"/>
              <w:left w:val="single" w:color="auto" w:sz="4" w:space="0"/>
              <w:bottom w:val="single" w:color="auto" w:sz="4" w:space="0"/>
              <w:right w:val="single" w:color="auto" w:sz="4" w:space="0"/>
            </w:tcBorders>
            <w:vAlign w:val="center"/>
          </w:tcPr>
          <w:p w14:paraId="666C4462">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免费质保期</w:t>
            </w:r>
          </w:p>
        </w:tc>
        <w:tc>
          <w:tcPr>
            <w:tcW w:w="2197" w:type="pct"/>
            <w:tcBorders>
              <w:top w:val="single" w:color="auto" w:sz="4" w:space="0"/>
              <w:left w:val="single" w:color="auto" w:sz="4" w:space="0"/>
              <w:bottom w:val="single" w:color="auto" w:sz="4" w:space="0"/>
              <w:right w:val="single" w:color="auto" w:sz="4" w:space="0"/>
            </w:tcBorders>
            <w:vAlign w:val="center"/>
          </w:tcPr>
          <w:p w14:paraId="628852CB">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在满足招标文件免费质保期要求的基础上（自验收合格之日起3年），投标人承诺所投全部产品免费质保期每增加1年得2分（增加不满1年的不加分），</w:t>
            </w:r>
            <w:r>
              <w:rPr>
                <w:rFonts w:hint="eastAsia" w:ascii="宋体" w:hAnsi="宋体" w:eastAsia="宋体" w:cs="宋体"/>
                <w:color w:val="auto"/>
                <w:sz w:val="24"/>
                <w:highlight w:val="none"/>
                <w:lang w:val="zh-CN"/>
              </w:rPr>
              <w:t>最高得</w:t>
            </w:r>
            <w:r>
              <w:rPr>
                <w:rFonts w:hint="eastAsia" w:ascii="宋体" w:hAnsi="宋体" w:eastAsia="宋体" w:cs="宋体"/>
                <w:color w:val="auto"/>
                <w:sz w:val="24"/>
                <w:highlight w:val="none"/>
              </w:rPr>
              <w:t>4</w:t>
            </w:r>
            <w:r>
              <w:rPr>
                <w:rFonts w:hint="eastAsia" w:ascii="宋体" w:hAnsi="宋体" w:eastAsia="宋体" w:cs="宋体"/>
                <w:color w:val="auto"/>
                <w:sz w:val="24"/>
                <w:highlight w:val="none"/>
                <w:lang w:val="zh-CN"/>
              </w:rPr>
              <w:t>分。</w:t>
            </w:r>
            <w:r>
              <w:rPr>
                <w:rFonts w:hint="eastAsia" w:ascii="宋体" w:hAnsi="宋体" w:eastAsia="宋体" w:cs="宋体"/>
                <w:color w:val="auto"/>
                <w:sz w:val="24"/>
                <w:highlight w:val="none"/>
              </w:rPr>
              <w:t>注：仅对部分产品增加免费质保期不得分。</w:t>
            </w:r>
          </w:p>
          <w:p w14:paraId="22DD24DE">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r>
              <w:rPr>
                <w:rFonts w:hint="eastAsia" w:ascii="宋体" w:hAnsi="宋体" w:eastAsia="宋体" w:cs="宋体"/>
                <w:color w:val="auto"/>
                <w:sz w:val="24"/>
                <w:highlight w:val="none"/>
                <w:lang w:val="zh-CN"/>
              </w:rPr>
              <w:t>投标文件中提供</w:t>
            </w:r>
            <w:r>
              <w:rPr>
                <w:rFonts w:hint="eastAsia" w:ascii="宋体" w:hAnsi="宋体" w:eastAsia="宋体" w:cs="宋体"/>
                <w:color w:val="auto"/>
                <w:sz w:val="24"/>
                <w:highlight w:val="none"/>
              </w:rPr>
              <w:t>免费质保期承诺函（格式自拟）。</w:t>
            </w:r>
          </w:p>
        </w:tc>
        <w:tc>
          <w:tcPr>
            <w:tcW w:w="928" w:type="pct"/>
            <w:tcBorders>
              <w:top w:val="single" w:color="auto" w:sz="4" w:space="0"/>
              <w:left w:val="single" w:color="auto" w:sz="4" w:space="0"/>
              <w:bottom w:val="single" w:color="auto" w:sz="4" w:space="0"/>
              <w:right w:val="single" w:color="auto" w:sz="4" w:space="0"/>
            </w:tcBorders>
            <w:vAlign w:val="center"/>
          </w:tcPr>
          <w:p w14:paraId="18DC1A70">
            <w:pPr>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0-4分</w:t>
            </w:r>
          </w:p>
        </w:tc>
      </w:tr>
      <w:tr w14:paraId="7ADBC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vMerge w:val="continue"/>
            <w:tcBorders>
              <w:left w:val="single" w:color="auto" w:sz="4" w:space="0"/>
              <w:right w:val="single" w:color="auto" w:sz="4" w:space="0"/>
            </w:tcBorders>
            <w:vAlign w:val="center"/>
          </w:tcPr>
          <w:p w14:paraId="41F6B31E">
            <w:pPr>
              <w:spacing w:line="360" w:lineRule="auto"/>
              <w:jc w:val="center"/>
              <w:rPr>
                <w:rFonts w:hint="eastAsia" w:ascii="宋体" w:hAnsi="宋体" w:eastAsia="宋体" w:cs="宋体"/>
                <w:color w:val="auto"/>
                <w:sz w:val="24"/>
                <w:highlight w:val="none"/>
              </w:rPr>
            </w:pPr>
          </w:p>
        </w:tc>
        <w:tc>
          <w:tcPr>
            <w:tcW w:w="4134" w:type="pct"/>
            <w:gridSpan w:val="3"/>
            <w:tcBorders>
              <w:top w:val="single" w:color="auto" w:sz="4" w:space="0"/>
              <w:left w:val="single" w:color="auto" w:sz="4" w:space="0"/>
              <w:bottom w:val="single" w:color="auto" w:sz="4" w:space="0"/>
              <w:right w:val="single" w:color="auto" w:sz="4" w:space="0"/>
            </w:tcBorders>
            <w:vAlign w:val="center"/>
          </w:tcPr>
          <w:p w14:paraId="30424EF4">
            <w:pPr>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资信部分</w:t>
            </w:r>
          </w:p>
        </w:tc>
      </w:tr>
      <w:tr w14:paraId="3395B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vMerge w:val="continue"/>
            <w:tcBorders>
              <w:left w:val="single" w:color="auto" w:sz="4" w:space="0"/>
              <w:right w:val="single" w:color="auto" w:sz="4" w:space="0"/>
            </w:tcBorders>
            <w:vAlign w:val="center"/>
          </w:tcPr>
          <w:p w14:paraId="5C0699C2">
            <w:pPr>
              <w:spacing w:line="360" w:lineRule="auto"/>
              <w:ind w:firstLine="435"/>
              <w:jc w:val="center"/>
              <w:rPr>
                <w:rFonts w:hint="eastAsia" w:ascii="宋体" w:hAnsi="宋体" w:eastAsia="宋体" w:cs="宋体"/>
                <w:b/>
                <w:bCs/>
                <w:color w:val="auto"/>
                <w:sz w:val="24"/>
                <w:highlight w:val="none"/>
              </w:rPr>
            </w:pPr>
          </w:p>
        </w:tc>
        <w:tc>
          <w:tcPr>
            <w:tcW w:w="1009" w:type="pct"/>
            <w:tcBorders>
              <w:top w:val="single" w:color="auto" w:sz="4" w:space="0"/>
              <w:left w:val="single" w:color="auto" w:sz="4" w:space="0"/>
              <w:bottom w:val="single" w:color="auto" w:sz="4" w:space="0"/>
              <w:right w:val="single" w:color="auto" w:sz="4" w:space="0"/>
            </w:tcBorders>
            <w:vAlign w:val="center"/>
          </w:tcPr>
          <w:p w14:paraId="7C6FF036">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投标人业绩</w:t>
            </w:r>
          </w:p>
        </w:tc>
        <w:tc>
          <w:tcPr>
            <w:tcW w:w="2197" w:type="pct"/>
            <w:tcBorders>
              <w:top w:val="single" w:color="auto" w:sz="4" w:space="0"/>
              <w:left w:val="single" w:color="auto" w:sz="4" w:space="0"/>
              <w:bottom w:val="single" w:color="auto" w:sz="4" w:space="0"/>
              <w:right w:val="single" w:color="auto" w:sz="4" w:space="0"/>
            </w:tcBorders>
            <w:vAlign w:val="center"/>
          </w:tcPr>
          <w:p w14:paraId="6D5F41D3">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自2021年1月1日（以合同签订时间为准）至投标截止时间止，投标人具有办公家具供货安装业绩，每提供一项得2分，其他的不得分，本项满分4分。</w:t>
            </w:r>
          </w:p>
          <w:p w14:paraId="7A6D1F61">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注：1.投标文件中提供业绩合同扫描件，时间以合同签订时间为准；若合同材料中无法体现签订时间、供货内容等关键评审因素的，须另附业主（合同甲方）出具的证明材料，未提供或提供不全的不得分。</w:t>
            </w:r>
          </w:p>
          <w:p w14:paraId="4759C373">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提供的项目业绩只计算评标分值对应的项目数量，按照排列顺序从首个业绩开始评审至对应数量，超出部分不进行评审。对应数量内业绩不符合招标文件要求不得分的，不再补充评审超出部分业绩。如：提供2个业绩即得满分的，按照投标文件排序评审第一、第二项业绩，其余超出部分不再评审。</w:t>
            </w:r>
          </w:p>
        </w:tc>
        <w:tc>
          <w:tcPr>
            <w:tcW w:w="928" w:type="pct"/>
            <w:tcBorders>
              <w:top w:val="single" w:color="auto" w:sz="4" w:space="0"/>
              <w:left w:val="single" w:color="auto" w:sz="4" w:space="0"/>
              <w:bottom w:val="single" w:color="auto" w:sz="4" w:space="0"/>
              <w:right w:val="single" w:color="auto" w:sz="4" w:space="0"/>
            </w:tcBorders>
            <w:vAlign w:val="center"/>
          </w:tcPr>
          <w:p w14:paraId="59ABEC51">
            <w:pPr>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0-4分</w:t>
            </w:r>
          </w:p>
        </w:tc>
      </w:tr>
      <w:tr w14:paraId="2C103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vMerge w:val="continue"/>
            <w:tcBorders>
              <w:left w:val="single" w:color="auto" w:sz="4" w:space="0"/>
              <w:right w:val="single" w:color="auto" w:sz="4" w:space="0"/>
            </w:tcBorders>
            <w:vAlign w:val="center"/>
          </w:tcPr>
          <w:p w14:paraId="124A535E">
            <w:pPr>
              <w:spacing w:line="360" w:lineRule="auto"/>
              <w:ind w:firstLine="435"/>
              <w:jc w:val="center"/>
              <w:rPr>
                <w:rFonts w:hint="eastAsia" w:ascii="宋体" w:hAnsi="宋体" w:eastAsia="宋体" w:cs="宋体"/>
                <w:b/>
                <w:bCs/>
                <w:color w:val="auto"/>
                <w:sz w:val="24"/>
                <w:highlight w:val="none"/>
              </w:rPr>
            </w:pPr>
          </w:p>
        </w:tc>
        <w:tc>
          <w:tcPr>
            <w:tcW w:w="1009" w:type="pct"/>
            <w:tcBorders>
              <w:top w:val="single" w:color="auto" w:sz="4" w:space="0"/>
              <w:left w:val="single" w:color="auto" w:sz="4" w:space="0"/>
              <w:bottom w:val="single" w:color="auto" w:sz="4" w:space="0"/>
              <w:right w:val="single" w:color="auto" w:sz="4" w:space="0"/>
            </w:tcBorders>
            <w:vAlign w:val="center"/>
          </w:tcPr>
          <w:p w14:paraId="486D09E0">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企业技术力量</w:t>
            </w:r>
          </w:p>
        </w:tc>
        <w:tc>
          <w:tcPr>
            <w:tcW w:w="2197" w:type="pct"/>
            <w:tcBorders>
              <w:top w:val="single" w:color="auto" w:sz="4" w:space="0"/>
              <w:left w:val="single" w:color="auto" w:sz="4" w:space="0"/>
              <w:bottom w:val="single" w:color="auto" w:sz="4" w:space="0"/>
              <w:right w:val="single" w:color="auto" w:sz="4" w:space="0"/>
            </w:tcBorders>
            <w:vAlign w:val="center"/>
          </w:tcPr>
          <w:p w14:paraId="1A20B037">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对投标人（或所投产品制造商）具备相应的生产能力，拥有投标产品的生产设备情况：</w:t>
            </w:r>
          </w:p>
          <w:p w14:paraId="7314FFA6">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CNC全程数控电脑加工中心、全自动直线封边机、数控点对点钻孔加工中心、全自动油漆喷涂线、电脑裁板锯、数控六面钻、自动双面刨木机、立式单轴木工镂铣机、木皮拼缝机、木材干燥窑、中央除尘系统、废水废弃处理设备；每具有一项设备得2分，最高得12分。 </w:t>
            </w:r>
          </w:p>
          <w:p w14:paraId="07A08310">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注：①若为自有设备须同时提供设备现场图片、购买发票扫描件，发票中的购买人名称应与投标人（或所投产品制造商）名称一致。</w:t>
            </w:r>
          </w:p>
          <w:p w14:paraId="33D0A4C0">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②若为租赁设备须同时提供设备现场图片、设备租赁合同以及设备出租方的设备发票扫描件，租赁合同中的租赁人名称应与投标人（或所投产品制造商）名称一致。</w:t>
            </w:r>
          </w:p>
          <w:p w14:paraId="664D2C78">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③不符合要求或未提供的不得分。</w:t>
            </w:r>
          </w:p>
        </w:tc>
        <w:tc>
          <w:tcPr>
            <w:tcW w:w="928" w:type="pct"/>
            <w:tcBorders>
              <w:top w:val="single" w:color="auto" w:sz="4" w:space="0"/>
              <w:left w:val="single" w:color="auto" w:sz="4" w:space="0"/>
              <w:bottom w:val="single" w:color="auto" w:sz="4" w:space="0"/>
              <w:right w:val="single" w:color="auto" w:sz="4" w:space="0"/>
            </w:tcBorders>
            <w:vAlign w:val="center"/>
          </w:tcPr>
          <w:p w14:paraId="39AFE5D0">
            <w:pPr>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0-12分</w:t>
            </w:r>
          </w:p>
        </w:tc>
      </w:tr>
      <w:tr w14:paraId="30DFD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tcBorders>
              <w:left w:val="single" w:color="auto" w:sz="4" w:space="0"/>
              <w:right w:val="single" w:color="auto" w:sz="4" w:space="0"/>
            </w:tcBorders>
            <w:vAlign w:val="center"/>
          </w:tcPr>
          <w:p w14:paraId="0620724A">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价格分</w:t>
            </w:r>
          </w:p>
          <w:p w14:paraId="25CD41EC">
            <w:pPr>
              <w:spacing w:line="360" w:lineRule="auto"/>
              <w:jc w:val="center"/>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30 </w:t>
            </w:r>
            <w:r>
              <w:rPr>
                <w:rFonts w:hint="eastAsia" w:ascii="宋体" w:hAnsi="宋体" w:eastAsia="宋体" w:cs="宋体"/>
                <w:color w:val="auto"/>
                <w:sz w:val="24"/>
                <w:highlight w:val="none"/>
              </w:rPr>
              <w:t>分）</w:t>
            </w:r>
          </w:p>
        </w:tc>
        <w:tc>
          <w:tcPr>
            <w:tcW w:w="4134" w:type="pct"/>
            <w:gridSpan w:val="3"/>
            <w:tcBorders>
              <w:top w:val="single" w:color="auto" w:sz="4" w:space="0"/>
              <w:left w:val="single" w:color="auto" w:sz="4" w:space="0"/>
              <w:bottom w:val="single" w:color="auto" w:sz="4" w:space="0"/>
              <w:right w:val="single" w:color="auto" w:sz="4" w:space="0"/>
            </w:tcBorders>
            <w:vAlign w:val="center"/>
          </w:tcPr>
          <w:p w14:paraId="4E66C7AF">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价格分统一采用低价优先法，即满足招标文件要求且投标价格最低的投标报价为评标基准价，其价格分为满分</w:t>
            </w:r>
            <w:r>
              <w:rPr>
                <w:rFonts w:hint="eastAsia" w:ascii="宋体" w:hAnsi="宋体" w:eastAsia="宋体" w:cs="宋体"/>
                <w:color w:val="auto"/>
                <w:sz w:val="24"/>
                <w:highlight w:val="none"/>
                <w:u w:val="single"/>
              </w:rPr>
              <w:t xml:space="preserve"> 30 </w:t>
            </w:r>
            <w:r>
              <w:rPr>
                <w:rFonts w:hint="eastAsia" w:ascii="宋体" w:hAnsi="宋体" w:eastAsia="宋体" w:cs="宋体"/>
                <w:color w:val="auto"/>
                <w:sz w:val="24"/>
                <w:highlight w:val="none"/>
              </w:rPr>
              <w:t>分。其他投标人的价格分统一按照下列公式计算：</w:t>
            </w:r>
          </w:p>
          <w:p w14:paraId="58077351">
            <w:pPr>
              <w:spacing w:line="360" w:lineRule="auto"/>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投标报价得分＝（评标基准价/投标报价）×</w:t>
            </w:r>
            <w:r>
              <w:rPr>
                <w:rFonts w:hint="eastAsia" w:ascii="宋体" w:hAnsi="宋体" w:eastAsia="宋体" w:cs="宋体"/>
                <w:color w:val="auto"/>
                <w:sz w:val="24"/>
                <w:highlight w:val="none"/>
                <w:u w:val="single"/>
              </w:rPr>
              <w:t xml:space="preserve"> 30 </w:t>
            </w:r>
            <w:r>
              <w:rPr>
                <w:rFonts w:hint="eastAsia" w:ascii="宋体" w:hAnsi="宋体" w:eastAsia="宋体" w:cs="宋体"/>
                <w:color w:val="auto"/>
                <w:sz w:val="24"/>
                <w:highlight w:val="none"/>
              </w:rPr>
              <w:t>％×100</w:t>
            </w:r>
          </w:p>
        </w:tc>
      </w:tr>
    </w:tbl>
    <w:p w14:paraId="16255799">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2.3.3分值汇总</w:t>
      </w:r>
    </w:p>
    <w:p w14:paraId="319E4C3E">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（1）评标委员会各成员应当独立对每个有效投标人的投标文件进行评分，并汇总每个投标人的得分。取各位评委评分之平均值，四舍五入保留至小数点后两位数，得到该投标人的技术资信分。</w:t>
      </w:r>
    </w:p>
    <w:p w14:paraId="20DFC130">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（2）将投标人的技术资信分加上根据上述标准计算出的价格分，即为该投标人的综合总得分。</w:t>
      </w:r>
    </w:p>
    <w:p w14:paraId="43032009">
      <w:pPr>
        <w:spacing w:line="360" w:lineRule="auto"/>
        <w:ind w:firstLine="435"/>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三、无效投标条款</w:t>
      </w:r>
    </w:p>
    <w:p w14:paraId="69F0CBB0">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3.1投标文件有下列情形之一的,其投标文件拒收:</w:t>
      </w:r>
    </w:p>
    <w:p w14:paraId="55C317A5">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 未在开标截止时间前通过网上招标投标系统递交有效电子投标文件的，开标系统不予接收，投标将被拒绝。</w:t>
      </w:r>
    </w:p>
    <w:p w14:paraId="386F06AF">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(2)投标企业接到远程解密指令后，须在规定时间内解密。因投标人自身原因导致投标文件在规定时间内未能解密、解密失败或解密超时，投标文件无效；解密时间：从本项目解密程序开始时计时，至完成投标文件解密时间，不得超过60分钟，否则投标文件将被拒绝。</w:t>
      </w:r>
    </w:p>
    <w:p w14:paraId="16603713">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3.2投标人有下列情形之一的,资格审查后其投标作无效投标处理：</w:t>
      </w:r>
    </w:p>
    <w:p w14:paraId="042DA308">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(1)投标人为本项目提供招标代理服务的；</w:t>
      </w:r>
    </w:p>
    <w:p w14:paraId="65D41630">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(2)投标人与在本项目代理机构存在相互任职或工作的；</w:t>
      </w:r>
    </w:p>
    <w:p w14:paraId="146416B1">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(3)招标公告写明专门面向中小企业采购，投标人提供的货物非中小企业制造的；</w:t>
      </w:r>
    </w:p>
    <w:p w14:paraId="5EC74350">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(4)要求供应商以联合体形式参加采购活动，投标人非联合体或者联合协议中中小企业合同金额未达到应当达到的比例；</w:t>
      </w:r>
    </w:p>
    <w:p w14:paraId="1D6E4B0D">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(5)要求获得采购合同的供应商向中小企业分包，投标人未提供分包意向协议或者分包意向协议中中小企业合同金额未达到应当达到的比例；</w:t>
      </w:r>
    </w:p>
    <w:p w14:paraId="2B41F649">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(6)评标专家无法查看并检验电子投标文件中相关资料的；</w:t>
      </w:r>
    </w:p>
    <w:p w14:paraId="1C9209B7">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(7)联合体投标未提交联合体协议的；</w:t>
      </w:r>
    </w:p>
    <w:p w14:paraId="298B77FD">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(8)责令停产停业的；</w:t>
      </w:r>
    </w:p>
    <w:p w14:paraId="6686FBD3">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(9)暂停或者取消参与政府采购项目资格的；</w:t>
      </w:r>
    </w:p>
    <w:p w14:paraId="6377C277">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(10)投标人单位负责人为同一人或者存在（直接）控股、管理关系的不同单位的；</w:t>
      </w:r>
    </w:p>
    <w:p w14:paraId="046C2FE4">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(11)投标人基本资格条件和特定资格条件中有一项及以上不符合要求的；</w:t>
      </w:r>
    </w:p>
    <w:p w14:paraId="4575FD71">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(12)开标时查询投标文件制作机器码、文件创建标识码及造价软件加密锁号。若存在投标文件制作机器码或创建标识码或造价软件加密锁号信息与其他投标人雷同的，投标无效、进行信用信息披露，行政监管部门将依据线索依法查处；</w:t>
      </w:r>
    </w:p>
    <w:p w14:paraId="5A88BA0E">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(13)其它情形，经评标委员会委提出按无效投标处理，并经公共资源交易监督部门核准的；</w:t>
      </w:r>
    </w:p>
    <w:p w14:paraId="4A569B67">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(14)投标人投标MAC地址或投标人联系人或联系电话相同的，由评标委员会否决其投标，并报告监管部门作不良行为处理和进一步调查；</w:t>
      </w:r>
    </w:p>
    <w:p w14:paraId="7794A2F8">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(15)投标人单方面出现其他投标人材料的；</w:t>
      </w:r>
    </w:p>
    <w:p w14:paraId="1C3CFB28">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(16)招标公告未写明允许采购进口产品，投标人所投产品为进口产品的；</w:t>
      </w:r>
    </w:p>
    <w:p w14:paraId="6A7BF922">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(17)招标文件规定的其它无效投标情形。</w:t>
      </w:r>
    </w:p>
    <w:p w14:paraId="311171C2">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3.3 投标人有下列情形之一的,符合性审查后其投标按无效投标处理：</w:t>
      </w:r>
    </w:p>
    <w:p w14:paraId="0545E23E">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(1)投标文件签字、盖章不全，经评标委员会一致认定对开评标内容有实质性影响并经公共资源交易监督部门核准的；</w:t>
      </w:r>
    </w:p>
    <w:p w14:paraId="650511EE">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(2)未按规定的格式填写导致实质性内容不全以及实质上不响应，或者关键字迹模糊、无法辨认; 经公共资源交易监督部门核准的；</w:t>
      </w:r>
    </w:p>
    <w:p w14:paraId="0E8DB427">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(3)同一投标人提交两个以上不同的投标文件或者投标报价，但招标文件规定提交备选方案的除外；</w:t>
      </w:r>
    </w:p>
    <w:p w14:paraId="6D44E3BA">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(4)投标文件没有对招标文件的实质性要求和条件作出响应;</w:t>
      </w:r>
    </w:p>
    <w:p w14:paraId="06E1532E">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(5)投标报价超出规定的投标限价或公布的采购预算的或投标人的投标报价各项单价高于招标文件给定的单价最高限价；</w:t>
      </w:r>
    </w:p>
    <w:p w14:paraId="0D40C1E3">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(6)不按评标委员会要求澄清、说明或补正的，或者评标委员会根据招标文件的规定对投标文件的计算错误进行修正后，投标人不接受修正的投标报价的。</w:t>
      </w:r>
    </w:p>
    <w:p w14:paraId="085AE175">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(7)其它情形，经评标委员会委提出按无效投标处理，并经公共资源交易监督部门核准的；</w:t>
      </w:r>
    </w:p>
    <w:p w14:paraId="2187FDA1">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(8)投标文件含有采购人不能接受的附加条件的；</w:t>
      </w:r>
    </w:p>
    <w:p w14:paraId="7919BED6">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(9)招标文件规定的其它无效投标情形。</w:t>
      </w:r>
    </w:p>
    <w:p w14:paraId="6BBAFE2B">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3.4 投标人有下列情形之一的, 详细评审后其投标按无效投标处理：</w:t>
      </w:r>
    </w:p>
    <w:p w14:paraId="7FB59D25">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(1)投标产品不符合必须强制执行的国家标准的；</w:t>
      </w:r>
    </w:p>
    <w:p w14:paraId="755A9970">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(2)投标人有串通投标、弄虚作假、行贿等违法行为；</w:t>
      </w:r>
    </w:p>
    <w:p w14:paraId="2FBD476A">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(3)投标文件含有违反国家法律、法规的内容，或附有采购人不能接受的条件的；</w:t>
      </w:r>
    </w:p>
    <w:p w14:paraId="0B696C60">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(4)报价明显低于其他投标人，且不能证明报价合理性的投标无效；</w:t>
      </w:r>
    </w:p>
    <w:p w14:paraId="666F618F">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(5)拒不确认评标委员会评审修正的投标无效；</w:t>
      </w:r>
    </w:p>
    <w:p w14:paraId="59FE9E1D">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(6)其它情形，经评标委员会委提出按无效投标处理，并经公共资源交易监督部门核准的；</w:t>
      </w:r>
    </w:p>
    <w:p w14:paraId="18049F58">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(7)招标文件规定的其它无效投标情形。</w:t>
      </w:r>
    </w:p>
    <w:p w14:paraId="0461C086">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p>
    <w:p w14:paraId="35238815">
      <w:pPr>
        <w:spacing w:line="360" w:lineRule="auto"/>
        <w:jc w:val="center"/>
        <w:outlineLvl w:val="0"/>
        <w:rPr>
          <w:rFonts w:hint="eastAsia" w:ascii="宋体" w:hAnsi="宋体" w:eastAsia="宋体" w:cs="宋体"/>
          <w:b/>
          <w:color w:val="auto"/>
          <w:sz w:val="28"/>
          <w:highlight w:val="none"/>
        </w:rPr>
      </w:pPr>
      <w:bookmarkStart w:id="37" w:name="_Toc273"/>
      <w:bookmarkStart w:id="38" w:name="_Toc4682"/>
      <w:r>
        <w:rPr>
          <w:rFonts w:hint="eastAsia" w:ascii="宋体" w:hAnsi="宋体" w:eastAsia="宋体" w:cs="宋体"/>
          <w:b/>
          <w:color w:val="auto"/>
          <w:sz w:val="28"/>
          <w:highlight w:val="none"/>
        </w:rPr>
        <w:t>第五章  政府采购合同</w:t>
      </w:r>
      <w:bookmarkEnd w:id="37"/>
      <w:bookmarkEnd w:id="38"/>
    </w:p>
    <w:p w14:paraId="2F285855">
      <w:pPr>
        <w:pStyle w:val="9"/>
        <w:spacing w:after="0" w:line="360" w:lineRule="auto"/>
        <w:rPr>
          <w:rFonts w:hint="eastAsia" w:ascii="宋体" w:hAnsi="宋体" w:eastAsia="宋体" w:cs="宋体"/>
          <w:b/>
          <w:bCs/>
          <w:color w:val="auto"/>
          <w:spacing w:val="-20"/>
          <w:kern w:val="44"/>
          <w:sz w:val="24"/>
          <w:highlight w:val="none"/>
        </w:rPr>
      </w:pPr>
    </w:p>
    <w:p w14:paraId="39D19264">
      <w:pPr>
        <w:pStyle w:val="9"/>
        <w:spacing w:after="0" w:line="360" w:lineRule="auto"/>
        <w:jc w:val="center"/>
        <w:rPr>
          <w:rFonts w:hint="eastAsia" w:ascii="宋体" w:hAnsi="宋体" w:eastAsia="宋体" w:cs="宋体"/>
          <w:b/>
          <w:bCs/>
          <w:color w:val="auto"/>
          <w:spacing w:val="-20"/>
          <w:kern w:val="44"/>
          <w:sz w:val="24"/>
          <w:highlight w:val="none"/>
        </w:rPr>
      </w:pPr>
    </w:p>
    <w:p w14:paraId="37E9D42E">
      <w:pPr>
        <w:pStyle w:val="9"/>
        <w:spacing w:after="0" w:line="360" w:lineRule="auto"/>
        <w:jc w:val="center"/>
        <w:rPr>
          <w:rFonts w:hint="eastAsia" w:ascii="宋体" w:hAnsi="宋体" w:eastAsia="宋体" w:cs="宋体"/>
          <w:b/>
          <w:bCs/>
          <w:color w:val="auto"/>
          <w:spacing w:val="-20"/>
          <w:kern w:val="44"/>
          <w:sz w:val="24"/>
          <w:highlight w:val="none"/>
        </w:rPr>
      </w:pPr>
    </w:p>
    <w:p w14:paraId="207DB7FD">
      <w:pPr>
        <w:pStyle w:val="9"/>
        <w:spacing w:after="0" w:line="360" w:lineRule="auto"/>
        <w:jc w:val="center"/>
        <w:rPr>
          <w:rFonts w:hint="eastAsia" w:ascii="宋体" w:hAnsi="宋体" w:eastAsia="宋体" w:cs="宋体"/>
          <w:b/>
          <w:bCs/>
          <w:color w:val="auto"/>
          <w:spacing w:val="-20"/>
          <w:kern w:val="44"/>
          <w:sz w:val="24"/>
          <w:highlight w:val="none"/>
        </w:rPr>
      </w:pPr>
    </w:p>
    <w:p w14:paraId="12081F22">
      <w:pPr>
        <w:spacing w:line="360" w:lineRule="auto"/>
        <w:rPr>
          <w:rFonts w:hint="eastAsia" w:ascii="宋体" w:hAnsi="宋体" w:eastAsia="宋体" w:cs="宋体"/>
          <w:b/>
          <w:bCs/>
          <w:color w:val="auto"/>
          <w:spacing w:val="-20"/>
          <w:kern w:val="44"/>
          <w:sz w:val="24"/>
          <w:szCs w:val="24"/>
          <w:highlight w:val="none"/>
        </w:rPr>
      </w:pPr>
    </w:p>
    <w:p w14:paraId="5C9F13FF">
      <w:pPr>
        <w:pStyle w:val="9"/>
        <w:rPr>
          <w:rFonts w:hint="eastAsia" w:ascii="宋体" w:hAnsi="宋体" w:eastAsia="宋体" w:cs="宋体"/>
          <w:b/>
          <w:bCs/>
          <w:color w:val="auto"/>
          <w:spacing w:val="-20"/>
          <w:kern w:val="44"/>
          <w:sz w:val="24"/>
          <w:highlight w:val="none"/>
        </w:rPr>
      </w:pPr>
    </w:p>
    <w:p w14:paraId="5DCF03C3">
      <w:pPr>
        <w:pStyle w:val="9"/>
        <w:rPr>
          <w:rFonts w:hint="eastAsia" w:ascii="宋体" w:hAnsi="宋体" w:eastAsia="宋体" w:cs="宋体"/>
          <w:b/>
          <w:bCs/>
          <w:color w:val="auto"/>
          <w:spacing w:val="-20"/>
          <w:kern w:val="44"/>
          <w:sz w:val="24"/>
          <w:highlight w:val="none"/>
        </w:rPr>
      </w:pPr>
    </w:p>
    <w:p w14:paraId="69D03FC8">
      <w:pPr>
        <w:spacing w:line="360" w:lineRule="auto"/>
        <w:rPr>
          <w:rFonts w:hint="eastAsia" w:ascii="宋体" w:hAnsi="宋体" w:eastAsia="宋体" w:cs="宋体"/>
          <w:b/>
          <w:bCs/>
          <w:color w:val="auto"/>
          <w:spacing w:val="-20"/>
          <w:kern w:val="44"/>
          <w:sz w:val="24"/>
          <w:szCs w:val="24"/>
          <w:highlight w:val="none"/>
        </w:rPr>
      </w:pPr>
    </w:p>
    <w:p w14:paraId="752BC3BB">
      <w:pPr>
        <w:pStyle w:val="9"/>
        <w:spacing w:line="360" w:lineRule="auto"/>
        <w:rPr>
          <w:rFonts w:hint="eastAsia" w:ascii="宋体" w:hAnsi="宋体" w:eastAsia="宋体" w:cs="宋体"/>
          <w:color w:val="auto"/>
          <w:highlight w:val="none"/>
        </w:rPr>
      </w:pPr>
    </w:p>
    <w:p w14:paraId="2B00C23D">
      <w:pPr>
        <w:spacing w:line="360" w:lineRule="auto"/>
        <w:rPr>
          <w:rFonts w:hint="eastAsia" w:ascii="宋体" w:hAnsi="宋体" w:eastAsia="宋体" w:cs="宋体"/>
          <w:b/>
          <w:bCs/>
          <w:color w:val="auto"/>
          <w:spacing w:val="-20"/>
          <w:kern w:val="44"/>
          <w:sz w:val="24"/>
          <w:szCs w:val="24"/>
          <w:highlight w:val="none"/>
        </w:rPr>
      </w:pPr>
    </w:p>
    <w:p w14:paraId="572867D0">
      <w:pPr>
        <w:spacing w:line="360" w:lineRule="auto"/>
        <w:ind w:left="420" w:leftChars="200"/>
        <w:rPr>
          <w:rFonts w:hint="eastAsia" w:ascii="宋体" w:hAnsi="宋体" w:eastAsia="宋体" w:cs="宋体"/>
          <w:i/>
          <w:iCs/>
          <w:color w:val="auto"/>
          <w:sz w:val="24"/>
          <w:szCs w:val="24"/>
          <w:highlight w:val="none"/>
        </w:rPr>
      </w:pPr>
      <w:r>
        <w:rPr>
          <w:rFonts w:hint="eastAsia" w:ascii="宋体" w:hAnsi="宋体" w:eastAsia="宋体" w:cs="宋体"/>
          <w:color w:val="auto"/>
          <w:kern w:val="0"/>
          <w:sz w:val="24"/>
          <w:szCs w:val="24"/>
          <w:highlight w:val="none"/>
        </w:rPr>
        <w:t>项目名称：</w:t>
      </w:r>
      <w:r>
        <w:rPr>
          <w:rFonts w:hint="eastAsia" w:ascii="宋体" w:hAnsi="宋体" w:eastAsia="宋体" w:cs="宋体"/>
          <w:color w:val="auto"/>
          <w:sz w:val="24"/>
          <w:szCs w:val="24"/>
          <w:highlight w:val="none"/>
          <w:u w:val="single"/>
        </w:rPr>
        <w:t>滁州市特种设备安全科普教育基地办公家具采购及安装项目</w:t>
      </w:r>
    </w:p>
    <w:p w14:paraId="4423859B">
      <w:pPr>
        <w:spacing w:line="360" w:lineRule="auto"/>
        <w:ind w:left="420" w:leftChars="200"/>
        <w:rPr>
          <w:rFonts w:hint="eastAsia" w:ascii="宋体" w:hAnsi="宋体" w:eastAsia="宋体" w:cs="宋体"/>
          <w:color w:val="auto"/>
          <w:highlight w:val="none"/>
        </w:rPr>
      </w:pP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21C96C7E">
      <w:pPr>
        <w:spacing w:line="360" w:lineRule="auto"/>
        <w:ind w:left="420" w:left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合同编号：</w:t>
      </w:r>
      <w:r>
        <w:rPr>
          <w:rFonts w:hint="eastAsia" w:ascii="宋体" w:hAnsi="宋体" w:eastAsia="宋体" w:cs="宋体"/>
          <w:color w:val="auto"/>
          <w:sz w:val="24"/>
          <w:szCs w:val="24"/>
          <w:highlight w:val="none"/>
          <w:u w:val="single"/>
        </w:rPr>
        <w:t xml:space="preserve">                             </w:t>
      </w:r>
    </w:p>
    <w:p w14:paraId="4753E7CD">
      <w:pPr>
        <w:spacing w:line="360" w:lineRule="auto"/>
        <w:ind w:left="420" w:left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甲方（采购人）：</w:t>
      </w:r>
      <w:r>
        <w:rPr>
          <w:rFonts w:hint="eastAsia" w:ascii="宋体" w:hAnsi="宋体" w:eastAsia="宋体" w:cs="宋体"/>
          <w:color w:val="auto"/>
          <w:sz w:val="24"/>
          <w:szCs w:val="24"/>
          <w:highlight w:val="none"/>
          <w:u w:val="single"/>
        </w:rPr>
        <w:t xml:space="preserve">滁州市特种设备监督检验中心 </w:t>
      </w:r>
    </w:p>
    <w:p w14:paraId="78F08EFE">
      <w:pPr>
        <w:spacing w:line="360" w:lineRule="auto"/>
        <w:ind w:left="420" w:left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乙方（中标人）：</w:t>
      </w:r>
      <w:r>
        <w:rPr>
          <w:rFonts w:hint="eastAsia" w:ascii="宋体" w:hAnsi="宋体" w:eastAsia="宋体" w:cs="宋体"/>
          <w:color w:val="auto"/>
          <w:sz w:val="24"/>
          <w:szCs w:val="24"/>
          <w:highlight w:val="none"/>
          <w:u w:val="single"/>
        </w:rPr>
        <w:t xml:space="preserve">                       </w:t>
      </w:r>
    </w:p>
    <w:p w14:paraId="3FAA9937">
      <w:pPr>
        <w:spacing w:line="360" w:lineRule="auto"/>
        <w:ind w:left="420" w:left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签订时间：</w:t>
      </w:r>
      <w:r>
        <w:rPr>
          <w:rFonts w:hint="eastAsia" w:ascii="宋体" w:hAnsi="宋体" w:eastAsia="宋体" w:cs="宋体"/>
          <w:color w:val="auto"/>
          <w:sz w:val="24"/>
          <w:szCs w:val="24"/>
          <w:highlight w:val="none"/>
          <w:u w:val="single"/>
        </w:rPr>
        <w:t xml:space="preserve">                             </w:t>
      </w:r>
    </w:p>
    <w:p w14:paraId="0EC49F09">
      <w:pPr>
        <w:spacing w:line="360" w:lineRule="auto"/>
        <w:rPr>
          <w:rFonts w:hint="eastAsia" w:ascii="宋体" w:hAnsi="宋体" w:eastAsia="宋体" w:cs="宋体"/>
          <w:color w:val="auto"/>
          <w:sz w:val="24"/>
          <w:szCs w:val="24"/>
          <w:highlight w:val="none"/>
        </w:rPr>
      </w:pPr>
    </w:p>
    <w:p w14:paraId="2815DDC2">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69E92BDF">
      <w:pPr>
        <w:spacing w:line="360" w:lineRule="auto"/>
        <w:jc w:val="center"/>
        <w:outlineLvl w:val="1"/>
        <w:rPr>
          <w:rFonts w:hint="eastAsia" w:ascii="宋体" w:hAnsi="宋体" w:eastAsia="宋体"/>
          <w:b/>
          <w:color w:val="auto"/>
          <w:sz w:val="24"/>
          <w:szCs w:val="24"/>
          <w:highlight w:val="none"/>
        </w:rPr>
      </w:pPr>
      <w:bookmarkStart w:id="39" w:name="_Toc22492"/>
      <w:r>
        <w:rPr>
          <w:rFonts w:hint="eastAsia" w:ascii="宋体" w:hAnsi="宋体" w:eastAsia="宋体" w:cs="宋体"/>
          <w:b/>
          <w:color w:val="auto"/>
          <w:sz w:val="24"/>
          <w:szCs w:val="24"/>
          <w:highlight w:val="none"/>
          <w:lang w:bidi="ar"/>
        </w:rPr>
        <w:t>使</w:t>
      </w:r>
      <w:r>
        <w:rPr>
          <w:rFonts w:hint="eastAsia" w:ascii="宋体" w:hAnsi="宋体" w:eastAsia="宋体"/>
          <w:b/>
          <w:color w:val="auto"/>
          <w:sz w:val="24"/>
          <w:szCs w:val="24"/>
          <w:highlight w:val="none"/>
          <w:lang w:bidi="ar"/>
        </w:rPr>
        <w:t xml:space="preserve"> </w:t>
      </w:r>
      <w:r>
        <w:rPr>
          <w:rFonts w:hint="eastAsia" w:ascii="宋体" w:hAnsi="宋体" w:eastAsia="宋体" w:cs="宋体"/>
          <w:b/>
          <w:color w:val="auto"/>
          <w:sz w:val="24"/>
          <w:szCs w:val="24"/>
          <w:highlight w:val="none"/>
          <w:lang w:bidi="ar"/>
        </w:rPr>
        <w:t>用</w:t>
      </w:r>
      <w:r>
        <w:rPr>
          <w:rFonts w:hint="eastAsia" w:ascii="宋体" w:hAnsi="宋体" w:eastAsia="宋体"/>
          <w:b/>
          <w:color w:val="auto"/>
          <w:sz w:val="24"/>
          <w:szCs w:val="24"/>
          <w:highlight w:val="none"/>
          <w:lang w:bidi="ar"/>
        </w:rPr>
        <w:t xml:space="preserve"> </w:t>
      </w:r>
      <w:r>
        <w:rPr>
          <w:rFonts w:hint="eastAsia" w:ascii="宋体" w:hAnsi="宋体" w:eastAsia="宋体" w:cs="宋体"/>
          <w:b/>
          <w:color w:val="auto"/>
          <w:sz w:val="24"/>
          <w:szCs w:val="24"/>
          <w:highlight w:val="none"/>
          <w:lang w:bidi="ar"/>
        </w:rPr>
        <w:t>说</w:t>
      </w:r>
      <w:r>
        <w:rPr>
          <w:rFonts w:hint="eastAsia" w:ascii="宋体" w:hAnsi="宋体" w:eastAsia="宋体"/>
          <w:b/>
          <w:color w:val="auto"/>
          <w:sz w:val="24"/>
          <w:szCs w:val="24"/>
          <w:highlight w:val="none"/>
          <w:lang w:bidi="ar"/>
        </w:rPr>
        <w:t xml:space="preserve"> </w:t>
      </w:r>
      <w:r>
        <w:rPr>
          <w:rFonts w:hint="eastAsia" w:ascii="宋体" w:hAnsi="宋体" w:eastAsia="宋体" w:cs="宋体"/>
          <w:b/>
          <w:color w:val="auto"/>
          <w:sz w:val="24"/>
          <w:szCs w:val="24"/>
          <w:highlight w:val="none"/>
          <w:lang w:bidi="ar"/>
        </w:rPr>
        <w:t>明</w:t>
      </w:r>
    </w:p>
    <w:p w14:paraId="3145066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 xml:space="preserve"> </w:t>
      </w:r>
    </w:p>
    <w:p w14:paraId="4013184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1.本合同标准文本适用于购买现成货物的采购项目，不包括需要供应商定制开发、创新研发的货物采购项目。</w:t>
      </w:r>
    </w:p>
    <w:p w14:paraId="379614A2">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 xml:space="preserve">   2.本合同标准文本为政府采购货物买卖合同编制提供参考，可以结合采购项目具体情况，对文本作必要的调整修订后使用。</w:t>
      </w:r>
    </w:p>
    <w:p w14:paraId="13A26C56">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3.本合同标准文本各条款中，如涉及填写多家供应商、制造商，多种采购标的、分包主要内容等信息的，可根据采购项目具体情况添加信息项。</w:t>
      </w:r>
    </w:p>
    <w:p w14:paraId="5922DEC8">
      <w:pPr>
        <w:spacing w:line="360" w:lineRule="auto"/>
        <w:rPr>
          <w:rFonts w:hint="eastAsia" w:ascii="宋体" w:hAnsi="宋体" w:eastAsia="宋体" w:cs="宋体"/>
          <w:color w:val="auto"/>
          <w:sz w:val="24"/>
          <w:szCs w:val="24"/>
          <w:highlight w:val="none"/>
        </w:rPr>
        <w:sectPr>
          <w:headerReference r:id="rId5" w:type="default"/>
          <w:footerReference r:id="rId6" w:type="default"/>
          <w:pgSz w:w="11906" w:h="16838"/>
          <w:pgMar w:top="1440" w:right="1800" w:bottom="1440" w:left="1800" w:header="851" w:footer="992" w:gutter="0"/>
          <w:cols w:space="425" w:num="1"/>
          <w:docGrid w:type="lines" w:linePitch="312" w:charSpace="0"/>
        </w:sectPr>
      </w:pPr>
    </w:p>
    <w:p w14:paraId="29C979B2">
      <w:pPr>
        <w:spacing w:line="360" w:lineRule="auto"/>
        <w:jc w:val="center"/>
        <w:outlineLvl w:val="1"/>
        <w:rPr>
          <w:rFonts w:hint="eastAsia" w:ascii="宋体" w:hAnsi="宋体" w:eastAsia="宋体"/>
          <w:b/>
          <w:color w:val="auto"/>
          <w:sz w:val="24"/>
          <w:szCs w:val="24"/>
          <w:highlight w:val="none"/>
        </w:rPr>
      </w:pPr>
      <w:r>
        <w:rPr>
          <w:rFonts w:hint="eastAsia" w:ascii="宋体" w:hAnsi="宋体" w:eastAsia="宋体" w:cs="宋体"/>
          <w:b/>
          <w:color w:val="auto"/>
          <w:sz w:val="24"/>
          <w:szCs w:val="24"/>
          <w:highlight w:val="none"/>
          <w:lang w:bidi="ar"/>
        </w:rPr>
        <w:t>第一节</w:t>
      </w:r>
      <w:r>
        <w:rPr>
          <w:rFonts w:hint="eastAsia" w:ascii="宋体" w:hAnsi="宋体" w:eastAsia="宋体"/>
          <w:b/>
          <w:color w:val="auto"/>
          <w:sz w:val="24"/>
          <w:szCs w:val="24"/>
          <w:highlight w:val="none"/>
          <w:lang w:bidi="ar"/>
        </w:rPr>
        <w:t xml:space="preserve"> </w:t>
      </w:r>
      <w:r>
        <w:rPr>
          <w:rFonts w:hint="eastAsia" w:ascii="宋体" w:hAnsi="宋体" w:eastAsia="宋体" w:cs="宋体"/>
          <w:b/>
          <w:color w:val="auto"/>
          <w:sz w:val="24"/>
          <w:szCs w:val="24"/>
          <w:highlight w:val="none"/>
          <w:lang w:bidi="ar"/>
        </w:rPr>
        <w:t>政府采购合同协议书</w:t>
      </w:r>
    </w:p>
    <w:p w14:paraId="314E6FBE">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 xml:space="preserve"> </w:t>
      </w:r>
    </w:p>
    <w:p w14:paraId="292189D7">
      <w:pPr>
        <w:adjustRightInd w:val="0"/>
        <w:snapToGrid w:val="0"/>
        <w:spacing w:line="360" w:lineRule="auto"/>
        <w:ind w:left="4800" w:hanging="4800" w:hangingChars="20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甲方（全称）：</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（采购人、受采购人委托签订合同的单位或采购文件约定的合同甲方）</w:t>
      </w:r>
    </w:p>
    <w:p w14:paraId="06B1D154">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乙方1（全称）：</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（供应商）</w:t>
      </w:r>
    </w:p>
    <w:p w14:paraId="6EB83D48">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乙方2（全称）：</w:t>
      </w:r>
      <w:r>
        <w:rPr>
          <w:rFonts w:hint="eastAsia" w:ascii="宋体" w:hAnsi="宋体" w:eastAsia="宋体" w:cs="宋体"/>
          <w:color w:val="auto"/>
          <w:sz w:val="24"/>
          <w:szCs w:val="24"/>
          <w:highlight w:val="none"/>
          <w:u w:val="single"/>
          <w:lang w:bidi="ar"/>
        </w:rPr>
        <w:t xml:space="preserve">     /        </w:t>
      </w:r>
      <w:r>
        <w:rPr>
          <w:rFonts w:hint="eastAsia" w:ascii="宋体" w:hAnsi="宋体" w:eastAsia="宋体" w:cs="宋体"/>
          <w:color w:val="auto"/>
          <w:sz w:val="24"/>
          <w:szCs w:val="24"/>
          <w:highlight w:val="none"/>
          <w:lang w:bidi="ar"/>
        </w:rPr>
        <w:t>（联合体成员供应商或其他合同主体）（如有）</w:t>
      </w:r>
    </w:p>
    <w:p w14:paraId="2D13F515">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乙方3（全称）</w:t>
      </w:r>
      <w:r>
        <w:rPr>
          <w:rFonts w:hint="eastAsia" w:ascii="宋体" w:hAnsi="宋体" w:eastAsia="宋体" w:cs="宋体"/>
          <w:color w:val="auto"/>
          <w:sz w:val="24"/>
          <w:szCs w:val="24"/>
          <w:highlight w:val="none"/>
          <w:u w:val="single"/>
          <w:lang w:bidi="ar"/>
        </w:rPr>
        <w:t xml:space="preserve">     /         </w:t>
      </w:r>
      <w:r>
        <w:rPr>
          <w:rFonts w:hint="eastAsia" w:ascii="宋体" w:hAnsi="宋体" w:eastAsia="宋体" w:cs="宋体"/>
          <w:color w:val="auto"/>
          <w:sz w:val="24"/>
          <w:szCs w:val="24"/>
          <w:highlight w:val="none"/>
          <w:lang w:bidi="ar"/>
        </w:rPr>
        <w:t>（联合体成员供应商或其他合同主体）（如有）</w:t>
      </w:r>
    </w:p>
    <w:p w14:paraId="71ADFF44">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 xml:space="preserve"> </w:t>
      </w:r>
    </w:p>
    <w:p w14:paraId="3B26CF56">
      <w:pPr>
        <w:pStyle w:val="21"/>
        <w:adjustRightInd w:val="0"/>
        <w:snapToGrid w:val="0"/>
        <w:spacing w:before="0" w:after="0" w:afterAutospacing="0" w:line="360" w:lineRule="auto"/>
        <w:ind w:firstLine="480" w:firstLineChars="200"/>
        <w:jc w:val="both"/>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lang w:bidi="ar"/>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5AECE4FE">
      <w:pPr>
        <w:numPr>
          <w:ilvl w:val="0"/>
          <w:numId w:val="2"/>
        </w:numPr>
        <w:adjustRightInd w:val="0"/>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项目信息</w:t>
      </w:r>
    </w:p>
    <w:p w14:paraId="4D19BA71">
      <w:pPr>
        <w:adjustRightInd w:val="0"/>
        <w:snapToGri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bidi="ar"/>
        </w:rPr>
        <w:t>（1）采购项目名称：</w:t>
      </w:r>
      <w:r>
        <w:rPr>
          <w:rFonts w:hint="eastAsia" w:ascii="宋体" w:hAnsi="宋体" w:eastAsia="宋体" w:cs="宋体"/>
          <w:color w:val="auto"/>
          <w:sz w:val="24"/>
          <w:szCs w:val="24"/>
          <w:highlight w:val="none"/>
          <w:u w:val="single"/>
          <w:lang w:bidi="ar"/>
        </w:rPr>
        <w:t xml:space="preserve">滁州市特种设备安全科普教育基地办公家具采购及安装项目 </w:t>
      </w:r>
    </w:p>
    <w:p w14:paraId="6F12568B">
      <w:pPr>
        <w:adjustRightInd w:val="0"/>
        <w:snapToGrid w:val="0"/>
        <w:spacing w:line="360" w:lineRule="auto"/>
        <w:ind w:firstLine="1200" w:firstLineChars="5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采购项目编号：</w:t>
      </w:r>
      <w:r>
        <w:rPr>
          <w:rFonts w:hint="eastAsia" w:ascii="宋体" w:hAnsi="宋体" w:eastAsia="宋体" w:cs="宋体"/>
          <w:color w:val="auto"/>
          <w:sz w:val="24"/>
          <w:szCs w:val="24"/>
          <w:highlight w:val="none"/>
          <w:u w:val="single"/>
          <w:lang w:bidi="ar"/>
        </w:rPr>
        <w:t xml:space="preserve">          </w:t>
      </w:r>
    </w:p>
    <w:p w14:paraId="2D8EF60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（2）采购计划编号：</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 xml:space="preserve"> </w:t>
      </w:r>
    </w:p>
    <w:p w14:paraId="6080403B">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（3）项目内容：</w:t>
      </w:r>
    </w:p>
    <w:p w14:paraId="332CF64B">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 xml:space="preserve">     采购标的及数量（台/套/个/架/组等）：</w:t>
      </w:r>
      <w:r>
        <w:rPr>
          <w:rFonts w:hint="eastAsia" w:ascii="宋体" w:hAnsi="宋体" w:eastAsia="宋体" w:cs="宋体"/>
          <w:color w:val="auto"/>
          <w:sz w:val="24"/>
          <w:szCs w:val="24"/>
          <w:highlight w:val="none"/>
          <w:u w:val="single"/>
          <w:lang w:bidi="ar"/>
        </w:rPr>
        <w:t xml:space="preserve">   详见采购需求    </w:t>
      </w:r>
      <w:r>
        <w:rPr>
          <w:rFonts w:hint="eastAsia" w:ascii="宋体" w:hAnsi="宋体" w:eastAsia="宋体" w:cs="宋体"/>
          <w:color w:val="auto"/>
          <w:sz w:val="24"/>
          <w:szCs w:val="24"/>
          <w:highlight w:val="none"/>
          <w:lang w:bidi="ar"/>
        </w:rPr>
        <w:t xml:space="preserve">            </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 xml:space="preserve"> </w:t>
      </w:r>
    </w:p>
    <w:p w14:paraId="5EF1736F">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 xml:space="preserve">     品牌：</w:t>
      </w:r>
      <w:r>
        <w:rPr>
          <w:rFonts w:hint="eastAsia" w:ascii="宋体" w:hAnsi="宋体" w:eastAsia="宋体" w:cs="宋体"/>
          <w:color w:val="auto"/>
          <w:sz w:val="24"/>
          <w:szCs w:val="24"/>
          <w:highlight w:val="none"/>
          <w:u w:val="single"/>
          <w:lang w:bidi="ar"/>
        </w:rPr>
        <w:t xml:space="preserve">     /        </w:t>
      </w:r>
      <w:r>
        <w:rPr>
          <w:rFonts w:hint="eastAsia" w:ascii="宋体" w:hAnsi="宋体" w:eastAsia="宋体" w:cs="宋体"/>
          <w:color w:val="auto"/>
          <w:sz w:val="24"/>
          <w:szCs w:val="24"/>
          <w:highlight w:val="none"/>
          <w:lang w:bidi="ar"/>
        </w:rPr>
        <w:t xml:space="preserve">     规格型号：</w:t>
      </w:r>
      <w:r>
        <w:rPr>
          <w:rFonts w:hint="eastAsia" w:ascii="宋体" w:hAnsi="宋体" w:eastAsia="宋体" w:cs="宋体"/>
          <w:color w:val="auto"/>
          <w:sz w:val="24"/>
          <w:szCs w:val="24"/>
          <w:highlight w:val="none"/>
          <w:u w:val="single"/>
          <w:lang w:bidi="ar"/>
        </w:rPr>
        <w:t xml:space="preserve">    /       </w:t>
      </w:r>
    </w:p>
    <w:p w14:paraId="6FE66182">
      <w:pPr>
        <w:adjustRightInd w:val="0"/>
        <w:snapToGrid w:val="0"/>
        <w:spacing w:line="360" w:lineRule="auto"/>
        <w:ind w:firstLine="1080" w:firstLineChars="45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bidi="ar"/>
        </w:rPr>
        <w:t>采购标的的技术要求、商务要求具体见附件。</w:t>
      </w:r>
    </w:p>
    <w:p w14:paraId="74379F8D">
      <w:pPr>
        <w:adjustRightInd w:val="0"/>
        <w:snapToGrid w:val="0"/>
        <w:spacing w:line="360" w:lineRule="auto"/>
        <w:ind w:firstLine="1080" w:firstLineChars="4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①涉及信息类产品，请填写该产品关键部件的品牌、型号：</w:t>
      </w:r>
    </w:p>
    <w:p w14:paraId="14F0D0A6">
      <w:pPr>
        <w:adjustRightInd w:val="0"/>
        <w:snapToGrid w:val="0"/>
        <w:spacing w:line="360" w:lineRule="auto"/>
        <w:ind w:firstLine="480" w:firstLineChars="200"/>
        <w:rPr>
          <w:rFonts w:hint="eastAsia" w:ascii="宋体" w:hAnsi="宋体" w:eastAsia="宋体" w:cs="宋体"/>
          <w:color w:val="auto"/>
          <w:kern w:val="0"/>
          <w:sz w:val="24"/>
          <w:szCs w:val="24"/>
          <w:highlight w:val="none"/>
          <w:u w:val="single"/>
        </w:rPr>
      </w:pPr>
      <w:r>
        <w:rPr>
          <w:rFonts w:hint="eastAsia" w:ascii="宋体" w:hAnsi="宋体" w:eastAsia="宋体" w:cs="宋体"/>
          <w:color w:val="auto"/>
          <w:sz w:val="24"/>
          <w:szCs w:val="24"/>
          <w:highlight w:val="none"/>
          <w:lang w:bidi="ar"/>
        </w:rPr>
        <w:t xml:space="preserve">     标的名称：</w:t>
      </w:r>
      <w:r>
        <w:rPr>
          <w:rFonts w:hint="eastAsia" w:ascii="宋体" w:hAnsi="宋体" w:eastAsia="宋体" w:cs="宋体"/>
          <w:color w:val="auto"/>
          <w:kern w:val="0"/>
          <w:sz w:val="24"/>
          <w:szCs w:val="24"/>
          <w:highlight w:val="none"/>
          <w:u w:val="single"/>
          <w:lang w:bidi="ar"/>
        </w:rPr>
        <w:t xml:space="preserve">                         </w:t>
      </w:r>
    </w:p>
    <w:p w14:paraId="75811D7C">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 xml:space="preserve">     关键部件：</w:t>
      </w:r>
      <w:r>
        <w:rPr>
          <w:rFonts w:hint="eastAsia" w:ascii="宋体" w:hAnsi="宋体" w:eastAsia="宋体" w:cs="宋体"/>
          <w:color w:val="auto"/>
          <w:kern w:val="0"/>
          <w:sz w:val="24"/>
          <w:szCs w:val="24"/>
          <w:highlight w:val="none"/>
          <w:u w:val="single"/>
          <w:lang w:bidi="ar"/>
        </w:rPr>
        <w:t xml:space="preserve">          </w:t>
      </w:r>
      <w:r>
        <w:rPr>
          <w:rFonts w:hint="eastAsia" w:ascii="宋体" w:hAnsi="宋体" w:eastAsia="宋体" w:cs="宋体"/>
          <w:color w:val="auto"/>
          <w:kern w:val="0"/>
          <w:sz w:val="24"/>
          <w:szCs w:val="24"/>
          <w:highlight w:val="none"/>
          <w:lang w:bidi="ar"/>
        </w:rPr>
        <w:t xml:space="preserve"> </w:t>
      </w:r>
      <w:r>
        <w:rPr>
          <w:rFonts w:hint="eastAsia" w:ascii="宋体" w:hAnsi="宋体" w:eastAsia="宋体" w:cs="宋体"/>
          <w:color w:val="auto"/>
          <w:sz w:val="24"/>
          <w:szCs w:val="24"/>
          <w:highlight w:val="none"/>
          <w:lang w:bidi="ar"/>
        </w:rPr>
        <w:t>品牌：</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 xml:space="preserve"> 型号：</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 xml:space="preserve"> </w:t>
      </w:r>
    </w:p>
    <w:p w14:paraId="75550C30">
      <w:pPr>
        <w:pStyle w:val="21"/>
        <w:widowControl/>
        <w:autoSpaceDE w:val="0"/>
        <w:autoSpaceDN w:val="0"/>
        <w:adjustRightInd w:val="0"/>
        <w:spacing w:before="0" w:beforeAutospacing="0" w:after="0" w:afterAutospacing="0"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lang w:bidi="ar"/>
        </w:rPr>
        <w:t xml:space="preserve">     </w:t>
      </w:r>
      <w:r>
        <w:rPr>
          <w:rFonts w:hint="eastAsia" w:ascii="宋体" w:hAnsi="宋体" w:eastAsia="宋体" w:cs="宋体"/>
          <w:color w:val="auto"/>
          <w:kern w:val="2"/>
          <w:szCs w:val="24"/>
          <w:highlight w:val="none"/>
          <w:lang w:bidi="ar"/>
        </w:rPr>
        <w:t>关键部件</w:t>
      </w:r>
      <w:r>
        <w:rPr>
          <w:rFonts w:hint="eastAsia" w:ascii="宋体" w:hAnsi="宋体" w:eastAsia="宋体" w:cs="宋体"/>
          <w:color w:val="auto"/>
          <w:szCs w:val="24"/>
          <w:highlight w:val="none"/>
          <w:lang w:bidi="ar"/>
        </w:rPr>
        <w:t>：</w:t>
      </w:r>
      <w:r>
        <w:rPr>
          <w:rFonts w:hint="eastAsia" w:ascii="宋体" w:hAnsi="宋体" w:eastAsia="宋体" w:cs="宋体"/>
          <w:color w:val="auto"/>
          <w:szCs w:val="24"/>
          <w:highlight w:val="none"/>
          <w:u w:val="single"/>
          <w:lang w:bidi="ar"/>
        </w:rPr>
        <w:t xml:space="preserve">          </w:t>
      </w:r>
      <w:r>
        <w:rPr>
          <w:rFonts w:hint="eastAsia" w:ascii="宋体" w:hAnsi="宋体" w:eastAsia="宋体" w:cs="宋体"/>
          <w:color w:val="auto"/>
          <w:szCs w:val="24"/>
          <w:highlight w:val="none"/>
          <w:lang w:bidi="ar"/>
        </w:rPr>
        <w:t xml:space="preserve"> 品牌：</w:t>
      </w:r>
      <w:r>
        <w:rPr>
          <w:rFonts w:hint="eastAsia" w:ascii="宋体" w:hAnsi="宋体" w:eastAsia="宋体" w:cs="宋体"/>
          <w:color w:val="auto"/>
          <w:szCs w:val="24"/>
          <w:highlight w:val="none"/>
          <w:u w:val="single"/>
          <w:lang w:bidi="ar"/>
        </w:rPr>
        <w:t xml:space="preserve">        </w:t>
      </w:r>
      <w:r>
        <w:rPr>
          <w:rFonts w:hint="eastAsia" w:ascii="宋体" w:hAnsi="宋体" w:eastAsia="宋体" w:cs="宋体"/>
          <w:color w:val="auto"/>
          <w:szCs w:val="24"/>
          <w:highlight w:val="none"/>
          <w:lang w:bidi="ar"/>
        </w:rPr>
        <w:t xml:space="preserve"> 型号：</w:t>
      </w:r>
      <w:r>
        <w:rPr>
          <w:rFonts w:hint="eastAsia" w:ascii="宋体" w:hAnsi="宋体" w:eastAsia="宋体" w:cs="宋体"/>
          <w:color w:val="auto"/>
          <w:szCs w:val="24"/>
          <w:highlight w:val="none"/>
          <w:u w:val="single"/>
          <w:lang w:bidi="ar"/>
        </w:rPr>
        <w:t xml:space="preserve">       </w:t>
      </w:r>
      <w:r>
        <w:rPr>
          <w:rFonts w:hint="eastAsia" w:ascii="宋体" w:hAnsi="宋体" w:eastAsia="宋体" w:cs="宋体"/>
          <w:color w:val="auto"/>
          <w:szCs w:val="24"/>
          <w:highlight w:val="none"/>
          <w:lang w:bidi="ar"/>
        </w:rPr>
        <w:t xml:space="preserve"> </w:t>
      </w:r>
    </w:p>
    <w:p w14:paraId="5AC18E3D">
      <w:pPr>
        <w:pStyle w:val="21"/>
        <w:widowControl/>
        <w:autoSpaceDE w:val="0"/>
        <w:autoSpaceDN w:val="0"/>
        <w:adjustRightInd w:val="0"/>
        <w:spacing w:before="0" w:beforeAutospacing="0" w:after="0" w:afterAutospacing="0"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lang w:bidi="ar"/>
        </w:rPr>
        <w:t xml:space="preserve">     关键部件：</w:t>
      </w:r>
      <w:r>
        <w:rPr>
          <w:rFonts w:hint="eastAsia" w:ascii="宋体" w:hAnsi="宋体" w:eastAsia="宋体" w:cs="宋体"/>
          <w:color w:val="auto"/>
          <w:szCs w:val="24"/>
          <w:highlight w:val="none"/>
          <w:u w:val="single"/>
          <w:lang w:bidi="ar"/>
        </w:rPr>
        <w:t xml:space="preserve">          </w:t>
      </w:r>
      <w:r>
        <w:rPr>
          <w:rFonts w:hint="eastAsia" w:ascii="宋体" w:hAnsi="宋体" w:eastAsia="宋体" w:cs="宋体"/>
          <w:color w:val="auto"/>
          <w:szCs w:val="24"/>
          <w:highlight w:val="none"/>
          <w:lang w:bidi="ar"/>
        </w:rPr>
        <w:t xml:space="preserve"> 品牌：</w:t>
      </w:r>
      <w:r>
        <w:rPr>
          <w:rFonts w:hint="eastAsia" w:ascii="宋体" w:hAnsi="宋体" w:eastAsia="宋体" w:cs="宋体"/>
          <w:color w:val="auto"/>
          <w:szCs w:val="24"/>
          <w:highlight w:val="none"/>
          <w:u w:val="single"/>
          <w:lang w:bidi="ar"/>
        </w:rPr>
        <w:t xml:space="preserve">        </w:t>
      </w:r>
      <w:r>
        <w:rPr>
          <w:rFonts w:hint="eastAsia" w:ascii="宋体" w:hAnsi="宋体" w:eastAsia="宋体" w:cs="宋体"/>
          <w:color w:val="auto"/>
          <w:szCs w:val="24"/>
          <w:highlight w:val="none"/>
          <w:lang w:bidi="ar"/>
        </w:rPr>
        <w:t xml:space="preserve"> 型号：</w:t>
      </w:r>
      <w:r>
        <w:rPr>
          <w:rFonts w:hint="eastAsia" w:ascii="宋体" w:hAnsi="宋体" w:eastAsia="宋体" w:cs="宋体"/>
          <w:color w:val="auto"/>
          <w:szCs w:val="24"/>
          <w:highlight w:val="none"/>
          <w:u w:val="single"/>
          <w:lang w:bidi="ar"/>
        </w:rPr>
        <w:t xml:space="preserve">       </w:t>
      </w:r>
    </w:p>
    <w:p w14:paraId="4E7A9D4A">
      <w:pPr>
        <w:pStyle w:val="21"/>
        <w:widowControl/>
        <w:autoSpaceDE w:val="0"/>
        <w:autoSpaceDN w:val="0"/>
        <w:adjustRightInd w:val="0"/>
        <w:snapToGrid w:val="0"/>
        <w:spacing w:before="0" w:beforeAutospacing="0" w:after="0" w:afterAutospacing="0" w:line="360" w:lineRule="auto"/>
        <w:ind w:firstLine="480" w:firstLineChars="200"/>
        <w:rPr>
          <w:rFonts w:hint="eastAsia" w:ascii="宋体" w:hAnsi="宋体" w:eastAsia="宋体" w:cs="宋体"/>
          <w:color w:val="auto"/>
          <w:kern w:val="2"/>
          <w:szCs w:val="24"/>
          <w:highlight w:val="none"/>
          <w:lang w:bidi="ar"/>
        </w:rPr>
      </w:pPr>
      <w:r>
        <w:rPr>
          <w:rFonts w:hint="eastAsia" w:ascii="宋体" w:hAnsi="宋体" w:eastAsia="宋体" w:cs="宋体"/>
          <w:color w:val="auto"/>
          <w:szCs w:val="24"/>
          <w:highlight w:val="none"/>
          <w:lang w:bidi="ar"/>
        </w:rPr>
        <w:t>（注：关键部件是指财政部会同有关部门发布的政府采购需求标准规定的需要通过国家有关部门指定的测评机构开展的安全可靠测评的软硬件，如CPU芯片、操作系统、数据库等。）</w:t>
      </w:r>
    </w:p>
    <w:p w14:paraId="50F105A2">
      <w:pPr>
        <w:adjustRightInd w:val="0"/>
        <w:snapToGrid w:val="0"/>
        <w:spacing w:line="360" w:lineRule="auto"/>
        <w:ind w:firstLine="1080" w:firstLineChars="4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②</w:t>
      </w:r>
      <w:r>
        <w:rPr>
          <w:rFonts w:hint="eastAsia" w:ascii="宋体" w:hAnsi="宋体" w:eastAsia="宋体" w:cs="宋体"/>
          <w:color w:val="auto"/>
          <w:kern w:val="0"/>
          <w:sz w:val="24"/>
          <w:szCs w:val="24"/>
          <w:highlight w:val="none"/>
          <w:lang w:bidi="ar"/>
        </w:rPr>
        <w:t>涉及车辆采购，请填写是否属于新能源汽车：</w:t>
      </w:r>
    </w:p>
    <w:p w14:paraId="49720B51">
      <w:pPr>
        <w:pStyle w:val="21"/>
        <w:widowControl/>
        <w:autoSpaceDE w:val="0"/>
        <w:autoSpaceDN w:val="0"/>
        <w:adjustRightInd w:val="0"/>
        <w:snapToGrid w:val="0"/>
        <w:spacing w:before="0" w:beforeAutospacing="0" w:after="0" w:afterAutospacing="0"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lang w:bidi="ar"/>
        </w:rPr>
        <w:t xml:space="preserve">    □是，《政府采购品目分类目录》底级品目名称：</w:t>
      </w:r>
      <w:r>
        <w:rPr>
          <w:rFonts w:hint="eastAsia" w:ascii="宋体" w:hAnsi="宋体" w:eastAsia="宋体" w:cs="宋体"/>
          <w:color w:val="auto"/>
          <w:szCs w:val="24"/>
          <w:highlight w:val="none"/>
          <w:u w:val="single"/>
          <w:lang w:bidi="ar"/>
        </w:rPr>
        <w:t xml:space="preserve">  /  </w:t>
      </w:r>
      <w:r>
        <w:rPr>
          <w:rFonts w:hint="eastAsia" w:ascii="宋体" w:hAnsi="宋体" w:eastAsia="宋体" w:cs="宋体"/>
          <w:color w:val="auto"/>
          <w:szCs w:val="24"/>
          <w:highlight w:val="none"/>
          <w:lang w:bidi="ar"/>
        </w:rPr>
        <w:t xml:space="preserve"> 数量：</w:t>
      </w:r>
      <w:r>
        <w:rPr>
          <w:rFonts w:hint="eastAsia" w:ascii="宋体" w:hAnsi="宋体" w:eastAsia="宋体" w:cs="宋体"/>
          <w:color w:val="auto"/>
          <w:szCs w:val="24"/>
          <w:highlight w:val="none"/>
          <w:u w:val="single"/>
          <w:lang w:bidi="ar"/>
        </w:rPr>
        <w:t xml:space="preserve">  / </w:t>
      </w:r>
      <w:r>
        <w:rPr>
          <w:rFonts w:hint="eastAsia" w:ascii="宋体" w:hAnsi="宋体" w:eastAsia="宋体" w:cs="宋体"/>
          <w:color w:val="auto"/>
          <w:szCs w:val="24"/>
          <w:highlight w:val="none"/>
          <w:lang w:bidi="ar"/>
        </w:rPr>
        <w:t xml:space="preserve"> 金额：</w:t>
      </w:r>
      <w:r>
        <w:rPr>
          <w:rFonts w:hint="eastAsia" w:ascii="宋体" w:hAnsi="宋体" w:eastAsia="宋体" w:cs="宋体"/>
          <w:color w:val="auto"/>
          <w:szCs w:val="24"/>
          <w:highlight w:val="none"/>
          <w:u w:val="single"/>
          <w:lang w:bidi="ar"/>
        </w:rPr>
        <w:t xml:space="preserve"> /  </w:t>
      </w:r>
      <w:r>
        <w:rPr>
          <w:rFonts w:hint="eastAsia" w:ascii="宋体" w:hAnsi="宋体" w:eastAsia="宋体" w:cs="宋体"/>
          <w:color w:val="auto"/>
          <w:szCs w:val="24"/>
          <w:highlight w:val="none"/>
          <w:lang w:bidi="ar"/>
        </w:rPr>
        <w:t xml:space="preserve"> </w:t>
      </w:r>
    </w:p>
    <w:p w14:paraId="3728F8BE">
      <w:pPr>
        <w:pStyle w:val="21"/>
        <w:widowControl/>
        <w:autoSpaceDE w:val="0"/>
        <w:autoSpaceDN w:val="0"/>
        <w:adjustRightInd w:val="0"/>
        <w:snapToGrid w:val="0"/>
        <w:spacing w:before="0" w:beforeAutospacing="0" w:after="0" w:afterAutospacing="0"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lang w:bidi="ar"/>
        </w:rPr>
        <w:t xml:space="preserve">         ☑否</w:t>
      </w:r>
    </w:p>
    <w:p w14:paraId="39DB7474">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（4）政府采购组织形式：☑政府集中采购  □部门集中采购  □分散采购</w:t>
      </w:r>
    </w:p>
    <w:p w14:paraId="330F6168">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（5）政府采购方式：☑公开招标 □邀请招标 □竞争性谈判 □竞争性磋商</w:t>
      </w:r>
    </w:p>
    <w:p w14:paraId="70188F65">
      <w:pPr>
        <w:pStyle w:val="21"/>
        <w:widowControl/>
        <w:autoSpaceDE w:val="0"/>
        <w:autoSpaceDN w:val="0"/>
        <w:adjustRightInd w:val="0"/>
        <w:snapToGrid w:val="0"/>
        <w:spacing w:before="0" w:beforeAutospacing="0" w:after="0" w:afterAutospacing="0" w:line="360" w:lineRule="auto"/>
        <w:ind w:firstLine="480" w:firstLineChars="200"/>
        <w:rPr>
          <w:rFonts w:hint="eastAsia" w:ascii="宋体" w:hAnsi="宋体" w:eastAsia="宋体" w:cs="宋体"/>
          <w:color w:val="auto"/>
          <w:szCs w:val="24"/>
          <w:highlight w:val="none"/>
          <w:u w:val="single"/>
        </w:rPr>
      </w:pPr>
      <w:r>
        <w:rPr>
          <w:rFonts w:hint="eastAsia" w:ascii="宋体" w:hAnsi="宋体" w:eastAsia="宋体" w:cs="宋体"/>
          <w:color w:val="auto"/>
          <w:szCs w:val="24"/>
          <w:highlight w:val="none"/>
          <w:lang w:bidi="ar"/>
        </w:rPr>
        <w:t xml:space="preserve">                  □询价 □单一来源 □框架协议 □其他：</w:t>
      </w:r>
      <w:r>
        <w:rPr>
          <w:rFonts w:hint="eastAsia" w:ascii="宋体" w:hAnsi="宋体" w:eastAsia="宋体" w:cs="宋体"/>
          <w:color w:val="auto"/>
          <w:szCs w:val="24"/>
          <w:highlight w:val="none"/>
          <w:u w:val="single"/>
          <w:lang w:bidi="ar"/>
        </w:rPr>
        <w:t xml:space="preserve">   /   </w:t>
      </w:r>
    </w:p>
    <w:p w14:paraId="794213DE">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（6）</w:t>
      </w:r>
      <w:r>
        <w:rPr>
          <w:rFonts w:hint="eastAsia" w:ascii="宋体" w:hAnsi="宋体" w:eastAsia="宋体" w:cs="宋体"/>
          <w:color w:val="auto"/>
          <w:sz w:val="24"/>
          <w:szCs w:val="24"/>
          <w:highlight w:val="none"/>
          <w:lang w:bidi="ar"/>
        </w:rPr>
        <w:t>中标（成交）采购标的制造商是否为中小企业：☑是      □否</w:t>
      </w:r>
    </w:p>
    <w:p w14:paraId="7701275A">
      <w:pPr>
        <w:adjustRightInd w:val="0"/>
        <w:snapToGrid w:val="0"/>
        <w:spacing w:line="360" w:lineRule="auto"/>
        <w:rPr>
          <w:rFonts w:hint="eastAsia" w:ascii="宋体" w:hAnsi="宋体" w:eastAsia="宋体" w:cs="宋体"/>
          <w:iCs/>
          <w:color w:val="auto"/>
          <w:sz w:val="24"/>
          <w:szCs w:val="24"/>
          <w:highlight w:val="none"/>
        </w:rPr>
      </w:pPr>
      <w:r>
        <w:rPr>
          <w:rFonts w:hint="eastAsia" w:ascii="宋体" w:hAnsi="宋体" w:eastAsia="宋体" w:cs="宋体"/>
          <w:color w:val="auto"/>
          <w:sz w:val="24"/>
          <w:szCs w:val="24"/>
          <w:highlight w:val="none"/>
          <w:lang w:bidi="ar"/>
        </w:rPr>
        <w:t xml:space="preserve">        本合同是否为专门面向中小企业的采购合同（中小企业预留合同）：</w:t>
      </w:r>
      <w:r>
        <w:rPr>
          <w:rFonts w:hint="eastAsia" w:ascii="宋体" w:hAnsi="宋体" w:eastAsia="宋体" w:cs="宋体"/>
          <w:iCs/>
          <w:color w:val="auto"/>
          <w:sz w:val="24"/>
          <w:szCs w:val="24"/>
          <w:highlight w:val="none"/>
          <w:lang w:bidi="ar"/>
        </w:rPr>
        <w:t>☑是    □否</w:t>
      </w:r>
    </w:p>
    <w:p w14:paraId="024FA3B5">
      <w:pPr>
        <w:adjustRightInd w:val="0"/>
        <w:snapToGrid w:val="0"/>
        <w:spacing w:line="360" w:lineRule="auto"/>
        <w:rPr>
          <w:rFonts w:hint="eastAsia" w:ascii="宋体" w:hAnsi="宋体" w:eastAsia="宋体" w:cs="宋体"/>
          <w:iCs/>
          <w:color w:val="auto"/>
          <w:sz w:val="24"/>
          <w:szCs w:val="24"/>
          <w:highlight w:val="none"/>
        </w:rPr>
      </w:pPr>
      <w:r>
        <w:rPr>
          <w:rFonts w:hint="eastAsia" w:ascii="宋体" w:hAnsi="宋体" w:eastAsia="宋体" w:cs="宋体"/>
          <w:color w:val="auto"/>
          <w:sz w:val="24"/>
          <w:szCs w:val="24"/>
          <w:highlight w:val="none"/>
          <w:lang w:bidi="ar"/>
        </w:rPr>
        <w:t xml:space="preserve">        若本项目不专门面向中小企业采购，是否给予小微企业评审优惠：</w:t>
      </w:r>
      <w:r>
        <w:rPr>
          <w:rFonts w:hint="eastAsia" w:ascii="宋体" w:hAnsi="宋体" w:eastAsia="宋体" w:cs="宋体"/>
          <w:iCs/>
          <w:color w:val="auto"/>
          <w:sz w:val="24"/>
          <w:szCs w:val="24"/>
          <w:highlight w:val="none"/>
          <w:lang w:bidi="ar"/>
        </w:rPr>
        <w:t>□是   □否</w:t>
      </w:r>
    </w:p>
    <w:p w14:paraId="4447FB8B">
      <w:pPr>
        <w:adjustRightInd w:val="0"/>
        <w:snapToGrid w:val="0"/>
        <w:spacing w:line="360" w:lineRule="auto"/>
        <w:rPr>
          <w:rFonts w:hint="eastAsia" w:ascii="宋体" w:hAnsi="宋体" w:eastAsia="宋体" w:cs="宋体"/>
          <w:iCs/>
          <w:color w:val="auto"/>
          <w:sz w:val="24"/>
          <w:szCs w:val="24"/>
          <w:highlight w:val="none"/>
        </w:rPr>
      </w:pPr>
      <w:r>
        <w:rPr>
          <w:rFonts w:hint="eastAsia" w:ascii="宋体" w:hAnsi="宋体" w:eastAsia="宋体" w:cs="宋体"/>
          <w:color w:val="auto"/>
          <w:sz w:val="24"/>
          <w:szCs w:val="24"/>
          <w:highlight w:val="none"/>
          <w:lang w:bidi="ar"/>
        </w:rPr>
        <w:t xml:space="preserve">        中标（成交）采购标的制造商是否为残疾人福利性单位：</w:t>
      </w:r>
      <w:r>
        <w:rPr>
          <w:rFonts w:hint="eastAsia" w:ascii="宋体" w:hAnsi="宋体" w:eastAsia="宋体" w:cs="宋体"/>
          <w:iCs/>
          <w:color w:val="auto"/>
          <w:sz w:val="24"/>
          <w:szCs w:val="24"/>
          <w:highlight w:val="none"/>
          <w:lang w:bidi="ar"/>
        </w:rPr>
        <w:t>□是   □否</w:t>
      </w:r>
    </w:p>
    <w:p w14:paraId="1889E475">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 xml:space="preserve">        中标（成交）采购标的制造商是否为监狱企业：</w:t>
      </w:r>
      <w:r>
        <w:rPr>
          <w:rFonts w:hint="eastAsia" w:ascii="宋体" w:hAnsi="宋体" w:eastAsia="宋体" w:cs="宋体"/>
          <w:iCs/>
          <w:color w:val="auto"/>
          <w:sz w:val="24"/>
          <w:szCs w:val="24"/>
          <w:highlight w:val="none"/>
          <w:lang w:bidi="ar"/>
        </w:rPr>
        <w:t>□是      □否</w:t>
      </w:r>
    </w:p>
    <w:p w14:paraId="7D0E28A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（7）合同是否分包：</w:t>
      </w:r>
      <w:r>
        <w:rPr>
          <w:rFonts w:hint="eastAsia" w:ascii="宋体" w:hAnsi="宋体" w:eastAsia="宋体" w:cs="宋体"/>
          <w:iCs/>
          <w:color w:val="auto"/>
          <w:sz w:val="24"/>
          <w:szCs w:val="24"/>
          <w:highlight w:val="none"/>
          <w:lang w:bidi="ar"/>
        </w:rPr>
        <w:t>□是       ☑否</w:t>
      </w:r>
    </w:p>
    <w:p w14:paraId="2339974F">
      <w:pPr>
        <w:adjustRightInd w:val="0"/>
        <w:snapToGrid w:val="0"/>
        <w:spacing w:line="360" w:lineRule="auto"/>
        <w:ind w:firstLine="960" w:firstLineChars="4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bidi="ar"/>
        </w:rPr>
        <w:t>分包主要内容：</w:t>
      </w:r>
      <w:r>
        <w:rPr>
          <w:rFonts w:hint="eastAsia" w:ascii="宋体" w:hAnsi="宋体" w:eastAsia="宋体" w:cs="宋体"/>
          <w:color w:val="auto"/>
          <w:sz w:val="24"/>
          <w:szCs w:val="24"/>
          <w:highlight w:val="none"/>
          <w:u w:val="single"/>
          <w:lang w:bidi="ar"/>
        </w:rPr>
        <w:t xml:space="preserve">     /                                      </w:t>
      </w:r>
    </w:p>
    <w:p w14:paraId="736E7E0C">
      <w:pPr>
        <w:adjustRightInd w:val="0"/>
        <w:snapToGrid w:val="0"/>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分包供应商/制造商名称（如供应商和制造商不同，请分别填写）：</w:t>
      </w:r>
    </w:p>
    <w:p w14:paraId="70E69615">
      <w:pPr>
        <w:adjustRightInd w:val="0"/>
        <w:snapToGrid w:val="0"/>
        <w:spacing w:line="360" w:lineRule="auto"/>
        <w:ind w:firstLine="960" w:firstLineChars="4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lang w:bidi="ar"/>
        </w:rPr>
        <w:t xml:space="preserve">                /                                         </w:t>
      </w:r>
    </w:p>
    <w:p w14:paraId="59188A0E">
      <w:pPr>
        <w:adjustRightInd w:val="0"/>
        <w:snapToGrid w:val="0"/>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分包供应商/制造商类型（如果供应商和制造商不同，只填写制造商类型）：</w:t>
      </w:r>
    </w:p>
    <w:p w14:paraId="1D75209E">
      <w:pPr>
        <w:adjustRightInd w:val="0"/>
        <w:snapToGrid w:val="0"/>
        <w:spacing w:line="360" w:lineRule="auto"/>
        <w:ind w:firstLine="960" w:firstLineChars="400"/>
        <w:rPr>
          <w:rFonts w:hint="eastAsia" w:ascii="宋体" w:hAnsi="宋体" w:eastAsia="宋体" w:cs="宋体"/>
          <w:iCs/>
          <w:color w:val="auto"/>
          <w:sz w:val="24"/>
          <w:szCs w:val="24"/>
          <w:highlight w:val="none"/>
        </w:rPr>
      </w:pPr>
      <w:r>
        <w:rPr>
          <w:rFonts w:hint="eastAsia" w:ascii="宋体" w:hAnsi="宋体" w:eastAsia="宋体" w:cs="宋体"/>
          <w:iCs/>
          <w:color w:val="auto"/>
          <w:sz w:val="24"/>
          <w:szCs w:val="24"/>
          <w:highlight w:val="none"/>
          <w:lang w:bidi="ar"/>
        </w:rPr>
        <w:t xml:space="preserve">□大型企业  □中型企业  □小微型企业  </w:t>
      </w:r>
    </w:p>
    <w:p w14:paraId="31710599">
      <w:pPr>
        <w:adjustRightInd w:val="0"/>
        <w:snapToGrid w:val="0"/>
        <w:spacing w:line="360" w:lineRule="auto"/>
        <w:ind w:firstLine="960" w:firstLineChars="400"/>
        <w:rPr>
          <w:rFonts w:hint="eastAsia" w:ascii="宋体" w:hAnsi="宋体" w:eastAsia="宋体" w:cs="宋体"/>
          <w:color w:val="auto"/>
          <w:sz w:val="24"/>
          <w:szCs w:val="24"/>
          <w:highlight w:val="none"/>
          <w:lang w:bidi="ar"/>
        </w:rPr>
      </w:pPr>
      <w:r>
        <w:rPr>
          <w:rFonts w:hint="eastAsia" w:ascii="宋体" w:hAnsi="宋体" w:eastAsia="宋体" w:cs="宋体"/>
          <w:iCs/>
          <w:color w:val="auto"/>
          <w:sz w:val="24"/>
          <w:szCs w:val="24"/>
          <w:highlight w:val="none"/>
          <w:lang w:bidi="ar"/>
        </w:rPr>
        <w:t>□残疾人福利性单位 □监狱企业 □其他</w:t>
      </w:r>
    </w:p>
    <w:p w14:paraId="57F07AE6">
      <w:pPr>
        <w:adjustRightInd w:val="0"/>
        <w:snapToGrid w:val="0"/>
        <w:spacing w:line="360" w:lineRule="auto"/>
        <w:ind w:firstLine="480" w:firstLineChars="200"/>
        <w:rPr>
          <w:rFonts w:hint="eastAsia" w:ascii="宋体" w:hAnsi="宋体" w:eastAsia="宋体" w:cs="宋体"/>
          <w:iCs/>
          <w:color w:val="auto"/>
          <w:sz w:val="24"/>
          <w:szCs w:val="24"/>
          <w:highlight w:val="none"/>
        </w:rPr>
      </w:pPr>
      <w:r>
        <w:rPr>
          <w:rFonts w:hint="eastAsia" w:ascii="宋体" w:hAnsi="宋体" w:eastAsia="宋体" w:cs="宋体"/>
          <w:color w:val="auto"/>
          <w:sz w:val="24"/>
          <w:szCs w:val="24"/>
          <w:highlight w:val="none"/>
          <w:lang w:bidi="ar"/>
        </w:rPr>
        <w:t>（8）中标（成交）供应商是否为外商投资企业：</w:t>
      </w:r>
      <w:r>
        <w:rPr>
          <w:rFonts w:hint="eastAsia" w:ascii="宋体" w:hAnsi="宋体" w:eastAsia="宋体" w:cs="宋体"/>
          <w:iCs/>
          <w:color w:val="auto"/>
          <w:sz w:val="24"/>
          <w:szCs w:val="24"/>
          <w:highlight w:val="none"/>
          <w:lang w:bidi="ar"/>
        </w:rPr>
        <w:t>□是       □否</w:t>
      </w:r>
    </w:p>
    <w:p w14:paraId="3FA7ABDC">
      <w:pPr>
        <w:pStyle w:val="21"/>
        <w:widowControl/>
        <w:tabs>
          <w:tab w:val="left" w:pos="1340"/>
        </w:tabs>
        <w:autoSpaceDE w:val="0"/>
        <w:autoSpaceDN w:val="0"/>
        <w:adjustRightInd w:val="0"/>
        <w:spacing w:before="0" w:beforeAutospacing="0" w:after="0" w:afterAutospacing="0" w:line="360" w:lineRule="auto"/>
        <w:ind w:firstLine="480" w:firstLineChars="200"/>
        <w:rPr>
          <w:rFonts w:hint="eastAsia" w:ascii="宋体" w:hAnsi="宋体" w:eastAsia="宋体" w:cs="宋体"/>
          <w:color w:val="auto"/>
          <w:szCs w:val="24"/>
          <w:highlight w:val="none"/>
          <w:u w:val="single"/>
        </w:rPr>
      </w:pPr>
      <w:r>
        <w:rPr>
          <w:rFonts w:hint="eastAsia" w:ascii="宋体" w:hAnsi="宋体" w:eastAsia="宋体" w:cs="宋体"/>
          <w:color w:val="auto"/>
          <w:szCs w:val="24"/>
          <w:highlight w:val="none"/>
          <w:lang w:bidi="ar"/>
        </w:rPr>
        <w:t xml:space="preserve">    外商投资企业类型：</w:t>
      </w:r>
      <w:r>
        <w:rPr>
          <w:rFonts w:hint="eastAsia" w:ascii="宋体" w:hAnsi="宋体" w:eastAsia="宋体" w:cs="宋体"/>
          <w:iCs/>
          <w:color w:val="auto"/>
          <w:szCs w:val="24"/>
          <w:highlight w:val="none"/>
          <w:lang w:bidi="ar"/>
        </w:rPr>
        <w:t>□</w:t>
      </w:r>
      <w:r>
        <w:rPr>
          <w:rFonts w:hint="eastAsia" w:ascii="宋体" w:hAnsi="宋体" w:eastAsia="宋体" w:cs="宋体"/>
          <w:color w:val="auto"/>
          <w:szCs w:val="24"/>
          <w:highlight w:val="none"/>
          <w:lang w:bidi="ar"/>
        </w:rPr>
        <w:t xml:space="preserve">全部由外国投资者投资  </w:t>
      </w:r>
      <w:r>
        <w:rPr>
          <w:rFonts w:hint="eastAsia" w:ascii="宋体" w:hAnsi="宋体" w:eastAsia="宋体" w:cs="宋体"/>
          <w:iCs/>
          <w:color w:val="auto"/>
          <w:szCs w:val="24"/>
          <w:highlight w:val="none"/>
          <w:lang w:bidi="ar"/>
        </w:rPr>
        <w:t>□部分由外国投资者投资</w:t>
      </w:r>
    </w:p>
    <w:p w14:paraId="1E78FCC0">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（9）是否涉及进口产品：</w:t>
      </w:r>
    </w:p>
    <w:p w14:paraId="228525D2">
      <w:pPr>
        <w:adjustRightInd w:val="0"/>
        <w:snapToGrid w:val="0"/>
        <w:spacing w:line="360" w:lineRule="auto"/>
        <w:ind w:firstLine="960" w:firstLineChars="4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bidi="ar"/>
        </w:rPr>
        <w:t xml:space="preserve"> □是，《政府采购品目分类目录》底级品目名称：</w:t>
      </w:r>
      <w:r>
        <w:rPr>
          <w:rFonts w:hint="eastAsia" w:ascii="宋体" w:hAnsi="宋体" w:eastAsia="宋体" w:cs="宋体"/>
          <w:color w:val="auto"/>
          <w:sz w:val="24"/>
          <w:szCs w:val="24"/>
          <w:highlight w:val="none"/>
          <w:u w:val="single"/>
          <w:lang w:bidi="ar"/>
        </w:rPr>
        <w:t xml:space="preserve">   /  </w:t>
      </w:r>
      <w:r>
        <w:rPr>
          <w:rFonts w:hint="eastAsia" w:ascii="宋体" w:hAnsi="宋体" w:eastAsia="宋体" w:cs="宋体"/>
          <w:color w:val="auto"/>
          <w:sz w:val="24"/>
          <w:szCs w:val="24"/>
          <w:highlight w:val="none"/>
          <w:lang w:bidi="ar"/>
        </w:rPr>
        <w:t xml:space="preserve"> 金额：</w:t>
      </w:r>
      <w:r>
        <w:rPr>
          <w:rFonts w:hint="eastAsia" w:ascii="宋体" w:hAnsi="宋体" w:eastAsia="宋体" w:cs="宋体"/>
          <w:color w:val="auto"/>
          <w:sz w:val="24"/>
          <w:szCs w:val="24"/>
          <w:highlight w:val="none"/>
          <w:u w:val="single"/>
          <w:lang w:bidi="ar"/>
        </w:rPr>
        <w:t xml:space="preserve">  /     </w:t>
      </w:r>
    </w:p>
    <w:p w14:paraId="6908BB7C">
      <w:pPr>
        <w:adjustRightInd w:val="0"/>
        <w:snapToGrid w:val="0"/>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 xml:space="preserve">        国别：</w:t>
      </w:r>
      <w:r>
        <w:rPr>
          <w:rFonts w:hint="eastAsia" w:ascii="宋体" w:hAnsi="宋体" w:eastAsia="宋体" w:cs="宋体"/>
          <w:color w:val="auto"/>
          <w:sz w:val="24"/>
          <w:szCs w:val="24"/>
          <w:highlight w:val="none"/>
          <w:u w:val="single"/>
          <w:lang w:bidi="ar"/>
        </w:rPr>
        <w:t xml:space="preserve">    /  </w:t>
      </w:r>
      <w:r>
        <w:rPr>
          <w:rFonts w:hint="eastAsia" w:ascii="宋体" w:hAnsi="宋体" w:eastAsia="宋体" w:cs="宋体"/>
          <w:color w:val="auto"/>
          <w:sz w:val="24"/>
          <w:szCs w:val="24"/>
          <w:highlight w:val="none"/>
          <w:lang w:bidi="ar"/>
        </w:rPr>
        <w:t xml:space="preserve"> 品牌：</w:t>
      </w:r>
      <w:r>
        <w:rPr>
          <w:rFonts w:hint="eastAsia" w:ascii="宋体" w:hAnsi="宋体" w:eastAsia="宋体" w:cs="宋体"/>
          <w:color w:val="auto"/>
          <w:sz w:val="24"/>
          <w:szCs w:val="24"/>
          <w:highlight w:val="none"/>
          <w:u w:val="single"/>
          <w:lang w:bidi="ar"/>
        </w:rPr>
        <w:t xml:space="preserve">   /  </w:t>
      </w:r>
      <w:r>
        <w:rPr>
          <w:rFonts w:hint="eastAsia" w:ascii="宋体" w:hAnsi="宋体" w:eastAsia="宋体" w:cs="宋体"/>
          <w:color w:val="auto"/>
          <w:sz w:val="24"/>
          <w:szCs w:val="24"/>
          <w:highlight w:val="none"/>
          <w:lang w:bidi="ar"/>
        </w:rPr>
        <w:t xml:space="preserve"> 规格型号：</w:t>
      </w:r>
      <w:r>
        <w:rPr>
          <w:rFonts w:hint="eastAsia" w:ascii="宋体" w:hAnsi="宋体" w:eastAsia="宋体" w:cs="宋体"/>
          <w:color w:val="auto"/>
          <w:sz w:val="24"/>
          <w:szCs w:val="24"/>
          <w:highlight w:val="none"/>
          <w:u w:val="single"/>
          <w:lang w:bidi="ar"/>
        </w:rPr>
        <w:t xml:space="preserve">   /   </w:t>
      </w:r>
      <w:r>
        <w:rPr>
          <w:rFonts w:hint="eastAsia" w:ascii="宋体" w:hAnsi="宋体" w:eastAsia="宋体" w:cs="宋体"/>
          <w:color w:val="auto"/>
          <w:sz w:val="24"/>
          <w:szCs w:val="24"/>
          <w:highlight w:val="none"/>
          <w:lang w:bidi="ar"/>
        </w:rPr>
        <w:t xml:space="preserve">      </w:t>
      </w:r>
    </w:p>
    <w:p w14:paraId="0F0D67DB">
      <w:pPr>
        <w:adjustRightInd w:val="0"/>
        <w:snapToGrid w:val="0"/>
        <w:spacing w:line="360" w:lineRule="auto"/>
        <w:ind w:firstLine="960" w:firstLineChars="4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 xml:space="preserve"> ☑否</w:t>
      </w:r>
    </w:p>
    <w:p w14:paraId="1055EDF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（10）是否涉及节能产品：</w:t>
      </w:r>
    </w:p>
    <w:p w14:paraId="4B95DE90">
      <w:pPr>
        <w:tabs>
          <w:tab w:val="left" w:pos="740"/>
        </w:tabs>
        <w:adjustRightInd w:val="0"/>
        <w:snapToGrid w:val="0"/>
        <w:spacing w:line="360" w:lineRule="auto"/>
        <w:rPr>
          <w:rFonts w:hint="eastAsia" w:ascii="宋体" w:hAnsi="宋体" w:eastAsia="宋体" w:cs="宋体"/>
          <w:iCs/>
          <w:color w:val="auto"/>
          <w:sz w:val="24"/>
          <w:szCs w:val="24"/>
          <w:highlight w:val="none"/>
        </w:rPr>
      </w:pPr>
      <w:r>
        <w:rPr>
          <w:rFonts w:hint="eastAsia" w:ascii="宋体" w:hAnsi="宋体" w:eastAsia="宋体" w:cs="宋体"/>
          <w:color w:val="auto"/>
          <w:sz w:val="24"/>
          <w:szCs w:val="24"/>
          <w:highlight w:val="none"/>
          <w:lang w:bidi="ar"/>
        </w:rPr>
        <w:t xml:space="preserve">         □是，《节能产品政府采购品目清单》的底级品目名称：</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iCs/>
          <w:color w:val="auto"/>
          <w:sz w:val="24"/>
          <w:szCs w:val="24"/>
          <w:highlight w:val="none"/>
          <w:lang w:bidi="ar"/>
        </w:rPr>
        <w:t xml:space="preserve">     </w:t>
      </w:r>
    </w:p>
    <w:p w14:paraId="4F881400">
      <w:pPr>
        <w:tabs>
          <w:tab w:val="left" w:pos="740"/>
        </w:tabs>
        <w:adjustRightInd w:val="0"/>
        <w:snapToGrid w:val="0"/>
        <w:spacing w:line="360" w:lineRule="auto"/>
        <w:rPr>
          <w:rFonts w:hint="eastAsia" w:ascii="宋体" w:hAnsi="宋体" w:eastAsia="宋体" w:cs="宋体"/>
          <w:iCs/>
          <w:color w:val="auto"/>
          <w:sz w:val="24"/>
          <w:szCs w:val="24"/>
          <w:highlight w:val="none"/>
        </w:rPr>
      </w:pPr>
      <w:r>
        <w:rPr>
          <w:rFonts w:hint="eastAsia" w:ascii="宋体" w:hAnsi="宋体" w:eastAsia="宋体" w:cs="宋体"/>
          <w:iCs/>
          <w:color w:val="auto"/>
          <w:sz w:val="24"/>
          <w:szCs w:val="24"/>
          <w:highlight w:val="none"/>
          <w:lang w:bidi="ar"/>
        </w:rPr>
        <w:t xml:space="preserve">                □强制采购       □优先采购    </w:t>
      </w:r>
    </w:p>
    <w:p w14:paraId="32742E1A">
      <w:pPr>
        <w:tabs>
          <w:tab w:val="left" w:pos="740"/>
        </w:tabs>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iCs/>
          <w:color w:val="auto"/>
          <w:sz w:val="24"/>
          <w:szCs w:val="24"/>
          <w:highlight w:val="none"/>
          <w:lang w:bidi="ar"/>
        </w:rPr>
        <w:t xml:space="preserve">         </w:t>
      </w:r>
      <w:r>
        <w:rPr>
          <w:rFonts w:hint="eastAsia" w:ascii="宋体" w:hAnsi="宋体" w:eastAsia="宋体" w:cs="宋体"/>
          <w:color w:val="auto"/>
          <w:sz w:val="24"/>
          <w:szCs w:val="24"/>
          <w:highlight w:val="none"/>
          <w:lang w:bidi="ar"/>
        </w:rPr>
        <w:t>☑否</w:t>
      </w:r>
    </w:p>
    <w:p w14:paraId="2E1956B7">
      <w:pPr>
        <w:tabs>
          <w:tab w:val="left" w:pos="740"/>
        </w:tabs>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 xml:space="preserve">          是否涉及环境标志产品：</w:t>
      </w:r>
    </w:p>
    <w:p w14:paraId="1D2077F5">
      <w:pPr>
        <w:tabs>
          <w:tab w:val="left" w:pos="740"/>
        </w:tabs>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 xml:space="preserve">         □是，《环境标志产品政府采购品目清单》的底级品目名称：</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iCs/>
          <w:color w:val="auto"/>
          <w:sz w:val="24"/>
          <w:szCs w:val="24"/>
          <w:highlight w:val="none"/>
          <w:lang w:bidi="ar"/>
        </w:rPr>
        <w:t xml:space="preserve"> </w:t>
      </w:r>
    </w:p>
    <w:p w14:paraId="01A6C4CE">
      <w:pPr>
        <w:tabs>
          <w:tab w:val="left" w:pos="740"/>
        </w:tabs>
        <w:adjustRightInd w:val="0"/>
        <w:snapToGrid w:val="0"/>
        <w:spacing w:line="360" w:lineRule="auto"/>
        <w:rPr>
          <w:rFonts w:hint="eastAsia" w:ascii="宋体" w:hAnsi="宋体" w:eastAsia="宋体" w:cs="宋体"/>
          <w:iCs/>
          <w:color w:val="auto"/>
          <w:sz w:val="24"/>
          <w:szCs w:val="24"/>
          <w:highlight w:val="none"/>
        </w:rPr>
      </w:pPr>
      <w:r>
        <w:rPr>
          <w:rFonts w:hint="eastAsia" w:ascii="宋体" w:hAnsi="宋体" w:eastAsia="宋体" w:cs="宋体"/>
          <w:iCs/>
          <w:color w:val="auto"/>
          <w:sz w:val="24"/>
          <w:szCs w:val="24"/>
          <w:highlight w:val="none"/>
          <w:lang w:bidi="ar"/>
        </w:rPr>
        <w:t xml:space="preserve">                □强制采购       □优先采购    </w:t>
      </w:r>
    </w:p>
    <w:p w14:paraId="75D8BB4B">
      <w:pPr>
        <w:tabs>
          <w:tab w:val="left" w:pos="740"/>
        </w:tabs>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iCs/>
          <w:color w:val="auto"/>
          <w:sz w:val="24"/>
          <w:szCs w:val="24"/>
          <w:highlight w:val="none"/>
          <w:lang w:bidi="ar"/>
        </w:rPr>
        <w:t xml:space="preserve">         </w:t>
      </w:r>
      <w:r>
        <w:rPr>
          <w:rFonts w:hint="eastAsia" w:ascii="宋体" w:hAnsi="宋体" w:eastAsia="宋体" w:cs="宋体"/>
          <w:color w:val="auto"/>
          <w:sz w:val="24"/>
          <w:szCs w:val="24"/>
          <w:highlight w:val="none"/>
          <w:lang w:bidi="ar"/>
        </w:rPr>
        <w:t>□否</w:t>
      </w:r>
    </w:p>
    <w:p w14:paraId="16962FC0">
      <w:pPr>
        <w:pStyle w:val="21"/>
        <w:widowControl/>
        <w:autoSpaceDE w:val="0"/>
        <w:autoSpaceDN w:val="0"/>
        <w:adjustRightInd w:val="0"/>
        <w:snapToGrid w:val="0"/>
        <w:spacing w:before="0" w:beforeAutospacing="0" w:after="0" w:afterAutospacing="0" w:line="360" w:lineRule="auto"/>
        <w:ind w:firstLine="480" w:firstLineChars="200"/>
        <w:rPr>
          <w:rFonts w:hint="eastAsia" w:ascii="宋体" w:hAnsi="宋体" w:eastAsia="宋体" w:cs="宋体"/>
          <w:color w:val="auto"/>
          <w:kern w:val="2"/>
          <w:szCs w:val="24"/>
          <w:highlight w:val="none"/>
        </w:rPr>
      </w:pPr>
      <w:r>
        <w:rPr>
          <w:rFonts w:hint="eastAsia" w:ascii="宋体" w:hAnsi="宋体" w:eastAsia="宋体" w:cs="宋体"/>
          <w:color w:val="auto"/>
          <w:szCs w:val="24"/>
          <w:highlight w:val="none"/>
          <w:lang w:bidi="ar"/>
        </w:rPr>
        <w:t xml:space="preserve">          </w:t>
      </w:r>
      <w:r>
        <w:rPr>
          <w:rFonts w:hint="eastAsia" w:ascii="宋体" w:hAnsi="宋体" w:eastAsia="宋体" w:cs="宋体"/>
          <w:color w:val="auto"/>
          <w:kern w:val="2"/>
          <w:szCs w:val="24"/>
          <w:highlight w:val="none"/>
          <w:lang w:bidi="ar"/>
        </w:rPr>
        <w:t xml:space="preserve">是否涉及绿色产品： </w:t>
      </w:r>
    </w:p>
    <w:p w14:paraId="1AB28F60">
      <w:pPr>
        <w:pStyle w:val="21"/>
        <w:widowControl/>
        <w:autoSpaceDE w:val="0"/>
        <w:autoSpaceDN w:val="0"/>
        <w:adjustRightInd w:val="0"/>
        <w:spacing w:before="0" w:beforeAutospacing="0" w:after="0" w:afterAutospacing="0" w:line="360" w:lineRule="auto"/>
        <w:ind w:firstLine="420"/>
        <w:rPr>
          <w:rFonts w:hint="eastAsia" w:ascii="宋体" w:hAnsi="宋体" w:eastAsia="宋体" w:cs="宋体"/>
          <w:color w:val="auto"/>
          <w:szCs w:val="24"/>
          <w:highlight w:val="none"/>
          <w:u w:val="single"/>
        </w:rPr>
      </w:pPr>
      <w:r>
        <w:rPr>
          <w:rFonts w:hint="eastAsia" w:ascii="宋体" w:hAnsi="宋体" w:eastAsia="宋体" w:cs="宋体"/>
          <w:color w:val="auto"/>
          <w:kern w:val="2"/>
          <w:szCs w:val="24"/>
          <w:highlight w:val="none"/>
          <w:lang w:bidi="ar"/>
        </w:rPr>
        <w:t xml:space="preserve">     □是，绿色产品政府采购相关政策确定的底级品目名称：</w:t>
      </w:r>
      <w:r>
        <w:rPr>
          <w:rFonts w:hint="eastAsia" w:ascii="宋体" w:hAnsi="宋体" w:eastAsia="宋体" w:cs="宋体"/>
          <w:color w:val="auto"/>
          <w:szCs w:val="24"/>
          <w:highlight w:val="none"/>
          <w:u w:val="single"/>
          <w:lang w:bidi="ar"/>
        </w:rPr>
        <w:t xml:space="preserve">         </w:t>
      </w:r>
    </w:p>
    <w:p w14:paraId="4F33194F">
      <w:pPr>
        <w:tabs>
          <w:tab w:val="left" w:pos="740"/>
        </w:tabs>
        <w:adjustRightInd w:val="0"/>
        <w:snapToGrid w:val="0"/>
        <w:spacing w:line="360" w:lineRule="auto"/>
        <w:rPr>
          <w:rFonts w:hint="eastAsia" w:ascii="宋体" w:hAnsi="宋体" w:eastAsia="宋体" w:cs="宋体"/>
          <w:iCs/>
          <w:color w:val="auto"/>
          <w:sz w:val="24"/>
          <w:szCs w:val="24"/>
          <w:highlight w:val="none"/>
        </w:rPr>
      </w:pPr>
      <w:r>
        <w:rPr>
          <w:rFonts w:hint="eastAsia" w:ascii="宋体" w:hAnsi="宋体" w:eastAsia="宋体" w:cs="宋体"/>
          <w:iCs/>
          <w:color w:val="auto"/>
          <w:sz w:val="24"/>
          <w:szCs w:val="24"/>
          <w:highlight w:val="none"/>
          <w:lang w:bidi="ar"/>
        </w:rPr>
        <w:t xml:space="preserve">                □强制采购       □优先采购    </w:t>
      </w:r>
    </w:p>
    <w:p w14:paraId="765ED7D1">
      <w:pPr>
        <w:pStyle w:val="21"/>
        <w:widowControl/>
        <w:autoSpaceDE w:val="0"/>
        <w:autoSpaceDN w:val="0"/>
        <w:adjustRightInd w:val="0"/>
        <w:spacing w:before="0" w:beforeAutospacing="0" w:after="0" w:afterAutospacing="0" w:line="360" w:lineRule="auto"/>
        <w:ind w:firstLine="420"/>
        <w:rPr>
          <w:rFonts w:hint="eastAsia" w:ascii="宋体" w:hAnsi="宋体" w:eastAsia="宋体" w:cs="宋体"/>
          <w:color w:val="auto"/>
          <w:kern w:val="2"/>
          <w:szCs w:val="24"/>
          <w:highlight w:val="none"/>
          <w:lang w:bidi="ar"/>
        </w:rPr>
      </w:pPr>
      <w:r>
        <w:rPr>
          <w:rFonts w:hint="eastAsia" w:ascii="宋体" w:hAnsi="宋体" w:eastAsia="宋体" w:cs="宋体"/>
          <w:color w:val="auto"/>
          <w:kern w:val="2"/>
          <w:szCs w:val="24"/>
          <w:highlight w:val="none"/>
          <w:lang w:bidi="ar"/>
        </w:rPr>
        <w:t xml:space="preserve">     □否</w:t>
      </w:r>
    </w:p>
    <w:p w14:paraId="2F8A7140">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（11）涉及商品包装和快递包装的，是否参考《商品包装政府采购需求标准（试行）》、《快递包装政府采购需求标准（试行）》明确产品及相关快递服务的具体包装要求：</w:t>
      </w:r>
    </w:p>
    <w:p w14:paraId="6D2775B2">
      <w:pPr>
        <w:adjustRightInd w:val="0"/>
        <w:snapToGrid w:val="0"/>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☑是       □否      □不涉及</w:t>
      </w:r>
    </w:p>
    <w:p w14:paraId="1DDB1884">
      <w:pPr>
        <w:numPr>
          <w:ilvl w:val="0"/>
          <w:numId w:val="2"/>
        </w:numPr>
        <w:adjustRightInd w:val="0"/>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合同金额</w:t>
      </w:r>
    </w:p>
    <w:p w14:paraId="79483453">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（1）合同金额小写：</w:t>
      </w:r>
      <w:r>
        <w:rPr>
          <w:rFonts w:hint="eastAsia" w:ascii="宋体" w:hAnsi="宋体" w:eastAsia="宋体" w:cs="宋体"/>
          <w:color w:val="auto"/>
          <w:sz w:val="24"/>
          <w:szCs w:val="24"/>
          <w:highlight w:val="none"/>
          <w:u w:val="single"/>
          <w:lang w:bidi="ar"/>
        </w:rPr>
        <w:t xml:space="preserve">                           </w:t>
      </w:r>
    </w:p>
    <w:p w14:paraId="620C5314">
      <w:pPr>
        <w:adjustRightInd w:val="0"/>
        <w:snapToGrid w:val="0"/>
        <w:spacing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bidi="ar"/>
        </w:rPr>
        <w:t xml:space="preserve">                 大写：</w:t>
      </w:r>
      <w:r>
        <w:rPr>
          <w:rFonts w:hint="eastAsia" w:ascii="宋体" w:hAnsi="宋体" w:eastAsia="宋体" w:cs="宋体"/>
          <w:color w:val="auto"/>
          <w:sz w:val="24"/>
          <w:szCs w:val="24"/>
          <w:highlight w:val="none"/>
          <w:u w:val="single"/>
          <w:lang w:bidi="ar"/>
        </w:rPr>
        <w:t xml:space="preserve">                           </w:t>
      </w:r>
    </w:p>
    <w:p w14:paraId="0DDC1B15">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 xml:space="preserve">         分包金额（如有）小写：</w:t>
      </w:r>
      <w:r>
        <w:rPr>
          <w:rFonts w:hint="eastAsia" w:ascii="宋体" w:hAnsi="宋体" w:eastAsia="宋体" w:cs="宋体"/>
          <w:color w:val="auto"/>
          <w:sz w:val="24"/>
          <w:szCs w:val="24"/>
          <w:highlight w:val="none"/>
          <w:u w:val="single"/>
          <w:lang w:bidi="ar"/>
        </w:rPr>
        <w:t xml:space="preserve">    /              </w:t>
      </w:r>
    </w:p>
    <w:p w14:paraId="5007AEEC">
      <w:pPr>
        <w:adjustRightInd w:val="0"/>
        <w:snapToGrid w:val="0"/>
        <w:spacing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bidi="ar"/>
        </w:rPr>
        <w:t xml:space="preserve">                     大写：</w:t>
      </w:r>
      <w:r>
        <w:rPr>
          <w:rFonts w:hint="eastAsia" w:ascii="宋体" w:hAnsi="宋体" w:eastAsia="宋体" w:cs="宋体"/>
          <w:color w:val="auto"/>
          <w:sz w:val="24"/>
          <w:szCs w:val="24"/>
          <w:highlight w:val="none"/>
          <w:u w:val="single"/>
          <w:lang w:bidi="ar"/>
        </w:rPr>
        <w:t xml:space="preserve">       /               </w:t>
      </w:r>
    </w:p>
    <w:p w14:paraId="51CE79B6">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 xml:space="preserve">    （注：固定单价合同应填写单价和最高限价）</w:t>
      </w:r>
    </w:p>
    <w:p w14:paraId="79201D1F">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 xml:space="preserve">    （2）合同定价方式（采用组合定价方式的，可以勾选多项）：</w:t>
      </w:r>
    </w:p>
    <w:p w14:paraId="600A1E94">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iCs/>
          <w:color w:val="auto"/>
          <w:sz w:val="24"/>
          <w:szCs w:val="24"/>
          <w:highlight w:val="none"/>
          <w:lang w:bidi="ar"/>
        </w:rPr>
        <w:t>□固定总价 ☑固定单价 □固定费率 □成本补偿 □绩效激励 □其他</w:t>
      </w:r>
      <w:r>
        <w:rPr>
          <w:rFonts w:hint="eastAsia" w:ascii="宋体" w:hAnsi="宋体" w:eastAsia="宋体" w:cs="宋体"/>
          <w:color w:val="auto"/>
          <w:sz w:val="24"/>
          <w:szCs w:val="24"/>
          <w:highlight w:val="none"/>
          <w:u w:val="single"/>
          <w:lang w:bidi="ar"/>
        </w:rPr>
        <w:t xml:space="preserve">  /    </w:t>
      </w:r>
    </w:p>
    <w:p w14:paraId="7F43F864">
      <w:pPr>
        <w:pStyle w:val="21"/>
        <w:spacing w:before="0" w:beforeAutospacing="0" w:after="0" w:afterAutospacing="0" w:line="360" w:lineRule="auto"/>
        <w:ind w:firstLine="480" w:firstLineChars="200"/>
        <w:jc w:val="both"/>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lang w:bidi="ar"/>
        </w:rPr>
        <w:t>（3）付款方式（按项目实际勾选填写）：</w:t>
      </w:r>
    </w:p>
    <w:p w14:paraId="6D9D125B">
      <w:pPr>
        <w:adjustRightInd w:val="0"/>
        <w:snapToGrid w:val="0"/>
        <w:spacing w:line="360" w:lineRule="auto"/>
        <w:ind w:firstLine="720" w:firstLineChars="3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bidi="ar"/>
        </w:rPr>
        <w:t>□全额付款：</w:t>
      </w:r>
      <w:r>
        <w:rPr>
          <w:rFonts w:hint="eastAsia" w:ascii="宋体" w:hAnsi="宋体" w:eastAsia="宋体" w:cs="宋体"/>
          <w:color w:val="auto"/>
          <w:sz w:val="24"/>
          <w:szCs w:val="24"/>
          <w:highlight w:val="none"/>
          <w:u w:val="single"/>
          <w:lang w:bidi="ar"/>
        </w:rPr>
        <w:t xml:space="preserve">    /                    </w:t>
      </w:r>
    </w:p>
    <w:p w14:paraId="3DD61AFB">
      <w:pPr>
        <w:snapToGrid w:val="0"/>
        <w:spacing w:line="360" w:lineRule="auto"/>
        <w:ind w:firstLine="720" w:firstLineChars="3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bidi="ar"/>
        </w:rPr>
        <w:t>☑分期付款：</w:t>
      </w:r>
      <w:r>
        <w:rPr>
          <w:rFonts w:hint="eastAsia" w:ascii="宋体" w:hAnsi="宋体" w:eastAsia="宋体" w:cs="宋体"/>
          <w:color w:val="auto"/>
          <w:sz w:val="24"/>
          <w:szCs w:val="24"/>
          <w:highlight w:val="none"/>
          <w:u w:val="single"/>
          <w:lang w:bidi="ar"/>
        </w:rPr>
        <w:t xml:space="preserve">  合同签订且具备实施条件后，支付合同价的40%预付款（预付款支付前，中标人须提供同等金额的见索即付保函），全部供货安装调试完毕并经验收合格后，一次性支付至实际供货合同总价的100%。</w:t>
      </w:r>
    </w:p>
    <w:p w14:paraId="59D5D4A4">
      <w:pPr>
        <w:snapToGrid w:val="0"/>
        <w:spacing w:line="360" w:lineRule="auto"/>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其中涉及预付款的：</w:t>
      </w:r>
      <w:r>
        <w:rPr>
          <w:rFonts w:hint="eastAsia" w:ascii="宋体" w:hAnsi="宋体" w:eastAsia="宋体" w:cs="宋体"/>
          <w:color w:val="auto"/>
          <w:sz w:val="24"/>
          <w:szCs w:val="24"/>
          <w:highlight w:val="none"/>
          <w:u w:val="single"/>
          <w:lang w:bidi="ar"/>
        </w:rPr>
        <w:t xml:space="preserve"> 合同签订且具备实施条件后，支付合同价的40%预付款（预付款支付前，中标人须提供同等金额的见索即付保函）. </w:t>
      </w:r>
    </w:p>
    <w:p w14:paraId="7B4B8006">
      <w:pPr>
        <w:adjustRightInd w:val="0"/>
        <w:snapToGrid w:val="0"/>
        <w:spacing w:line="360" w:lineRule="auto"/>
        <w:ind w:firstLine="720" w:firstLineChars="3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bidi="ar"/>
        </w:rPr>
        <w:t>□成本补偿：</w:t>
      </w:r>
      <w:r>
        <w:rPr>
          <w:rFonts w:hint="eastAsia" w:ascii="宋体" w:hAnsi="宋体" w:eastAsia="宋体" w:cs="宋体"/>
          <w:color w:val="auto"/>
          <w:sz w:val="24"/>
          <w:szCs w:val="24"/>
          <w:highlight w:val="none"/>
          <w:u w:val="single"/>
          <w:lang w:bidi="ar"/>
        </w:rPr>
        <w:t xml:space="preserve">      /    </w:t>
      </w:r>
    </w:p>
    <w:p w14:paraId="1A7B6E54">
      <w:pPr>
        <w:adjustRightInd w:val="0"/>
        <w:snapToGrid w:val="0"/>
        <w:spacing w:line="360" w:lineRule="auto"/>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□绩效激励：</w:t>
      </w:r>
      <w:r>
        <w:rPr>
          <w:rFonts w:hint="eastAsia" w:ascii="宋体" w:hAnsi="宋体" w:eastAsia="宋体" w:cs="宋体"/>
          <w:color w:val="auto"/>
          <w:sz w:val="24"/>
          <w:szCs w:val="24"/>
          <w:highlight w:val="none"/>
          <w:u w:val="single"/>
          <w:lang w:bidi="ar"/>
        </w:rPr>
        <w:t xml:space="preserve">      /    </w:t>
      </w:r>
    </w:p>
    <w:p w14:paraId="0C4441A5">
      <w:pPr>
        <w:numPr>
          <w:ilvl w:val="0"/>
          <w:numId w:val="2"/>
        </w:numPr>
        <w:adjustRightInd w:val="0"/>
        <w:snapToGrid w:val="0"/>
        <w:spacing w:line="360" w:lineRule="auto"/>
        <w:ind w:firstLine="482" w:firstLineChars="200"/>
        <w:rPr>
          <w:rFonts w:hint="eastAsia" w:ascii="宋体" w:hAnsi="宋体" w:eastAsia="宋体" w:cs="宋体"/>
          <w:b/>
          <w:color w:val="auto"/>
          <w:sz w:val="24"/>
          <w:szCs w:val="24"/>
          <w:highlight w:val="none"/>
          <w:u w:val="single"/>
        </w:rPr>
      </w:pPr>
      <w:r>
        <w:rPr>
          <w:rFonts w:hint="eastAsia" w:ascii="宋体" w:hAnsi="宋体" w:eastAsia="宋体" w:cs="宋体"/>
          <w:b/>
          <w:color w:val="auto"/>
          <w:sz w:val="24"/>
          <w:szCs w:val="24"/>
          <w:highlight w:val="none"/>
          <w:lang w:bidi="ar"/>
        </w:rPr>
        <w:t>合同履行</w:t>
      </w:r>
    </w:p>
    <w:p w14:paraId="3197021A">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（1）起始日期：</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年</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月</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日，完成日期：</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年</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月</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日。</w:t>
      </w:r>
    </w:p>
    <w:p w14:paraId="09386AE7">
      <w:pPr>
        <w:adjustRightInd w:val="0"/>
        <w:snapToGri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bidi="ar"/>
        </w:rPr>
        <w:t>（2）履约地点</w:t>
      </w:r>
      <w:r>
        <w:rPr>
          <w:rFonts w:hint="eastAsia" w:ascii="宋体" w:hAnsi="宋体" w:eastAsia="宋体" w:cs="宋体"/>
          <w:bCs/>
          <w:color w:val="auto"/>
          <w:sz w:val="24"/>
          <w:szCs w:val="24"/>
          <w:highlight w:val="none"/>
          <w:lang w:bidi="ar"/>
        </w:rPr>
        <w:t>：</w:t>
      </w:r>
      <w:r>
        <w:rPr>
          <w:rFonts w:hint="eastAsia" w:ascii="宋体" w:hAnsi="宋体" w:eastAsia="宋体" w:cs="宋体"/>
          <w:color w:val="auto"/>
          <w:sz w:val="24"/>
          <w:szCs w:val="24"/>
          <w:highlight w:val="none"/>
          <w:u w:val="single"/>
          <w:lang w:bidi="ar"/>
        </w:rPr>
        <w:t xml:space="preserve">  采购人指定地点          </w:t>
      </w:r>
    </w:p>
    <w:p w14:paraId="5469D005">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bidi="ar"/>
        </w:rPr>
        <w:t>（3）履约担保：</w:t>
      </w:r>
      <w:r>
        <w:rPr>
          <w:rFonts w:hint="eastAsia" w:ascii="宋体" w:hAnsi="宋体" w:eastAsia="宋体" w:cs="宋体"/>
          <w:color w:val="auto"/>
          <w:sz w:val="24"/>
          <w:szCs w:val="24"/>
          <w:highlight w:val="none"/>
          <w:lang w:bidi="ar"/>
        </w:rPr>
        <w:t>是否收取履约保证金：☑是    □否</w:t>
      </w:r>
    </w:p>
    <w:p w14:paraId="7A5E412E">
      <w:pPr>
        <w:pStyle w:val="21"/>
        <w:widowControl/>
        <w:autoSpaceDE w:val="0"/>
        <w:autoSpaceDN w:val="0"/>
        <w:adjustRightInd w:val="0"/>
        <w:spacing w:before="0" w:beforeAutospacing="0" w:after="0" w:afterAutospacing="0"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bCs/>
          <w:color w:val="auto"/>
          <w:szCs w:val="24"/>
          <w:highlight w:val="none"/>
          <w:lang w:bidi="ar"/>
        </w:rPr>
        <w:t xml:space="preserve">  </w:t>
      </w:r>
      <w:r>
        <w:rPr>
          <w:rFonts w:hint="eastAsia" w:ascii="宋体" w:hAnsi="宋体" w:eastAsia="宋体" w:cs="宋体"/>
          <w:color w:val="auto"/>
          <w:szCs w:val="24"/>
          <w:highlight w:val="none"/>
          <w:lang w:bidi="ar"/>
        </w:rPr>
        <w:t xml:space="preserve">  收取履约保证金形式：</w:t>
      </w:r>
      <w:r>
        <w:rPr>
          <w:rFonts w:hint="eastAsia" w:ascii="宋体" w:hAnsi="宋体" w:eastAsia="宋体" w:cs="宋体"/>
          <w:bCs/>
          <w:color w:val="auto"/>
          <w:szCs w:val="24"/>
          <w:highlight w:val="none"/>
          <w:u w:val="single"/>
          <w:lang w:bidi="ar"/>
        </w:rPr>
        <w:t xml:space="preserve">                            </w:t>
      </w:r>
    </w:p>
    <w:p w14:paraId="0CF77B19">
      <w:pPr>
        <w:pStyle w:val="21"/>
        <w:widowControl/>
        <w:autoSpaceDE w:val="0"/>
        <w:autoSpaceDN w:val="0"/>
        <w:adjustRightInd w:val="0"/>
        <w:spacing w:before="0" w:beforeAutospacing="0" w:after="0" w:afterAutospacing="0"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lang w:bidi="ar"/>
        </w:rPr>
        <w:t xml:space="preserve">    收取履约保证金金额：</w:t>
      </w:r>
      <w:r>
        <w:rPr>
          <w:rFonts w:hint="eastAsia" w:ascii="宋体" w:hAnsi="宋体" w:eastAsia="宋体" w:cs="宋体"/>
          <w:bCs/>
          <w:color w:val="auto"/>
          <w:szCs w:val="24"/>
          <w:highlight w:val="none"/>
          <w:u w:val="single"/>
          <w:lang w:bidi="ar"/>
        </w:rPr>
        <w:t xml:space="preserve">                            </w:t>
      </w:r>
    </w:p>
    <w:p w14:paraId="0D3A2B7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bidi="ar"/>
        </w:rPr>
        <w:t xml:space="preserve">    履约担保期限：</w:t>
      </w:r>
      <w:r>
        <w:rPr>
          <w:rFonts w:hint="eastAsia" w:ascii="宋体" w:hAnsi="宋体" w:eastAsia="宋体" w:cs="宋体"/>
          <w:bCs/>
          <w:color w:val="auto"/>
          <w:sz w:val="24"/>
          <w:szCs w:val="24"/>
          <w:highlight w:val="none"/>
          <w:u w:val="single"/>
          <w:lang w:bidi="ar"/>
        </w:rPr>
        <w:t xml:space="preserve">                                  </w:t>
      </w:r>
    </w:p>
    <w:p w14:paraId="0BA1AB8E">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（4）分期履行要求：</w:t>
      </w:r>
      <w:r>
        <w:rPr>
          <w:rFonts w:hint="eastAsia" w:ascii="宋体" w:hAnsi="宋体" w:eastAsia="宋体" w:cs="宋体"/>
          <w:bCs/>
          <w:color w:val="auto"/>
          <w:sz w:val="24"/>
          <w:szCs w:val="24"/>
          <w:highlight w:val="none"/>
          <w:u w:val="single"/>
          <w:lang w:bidi="ar"/>
        </w:rPr>
        <w:t xml:space="preserve">   /                                                   </w:t>
      </w:r>
    </w:p>
    <w:p w14:paraId="543F12B8">
      <w:pPr>
        <w:adjustRightInd w:val="0"/>
        <w:snapToGri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bCs/>
          <w:color w:val="auto"/>
          <w:sz w:val="24"/>
          <w:szCs w:val="24"/>
          <w:highlight w:val="none"/>
          <w:lang w:bidi="ar"/>
        </w:rPr>
        <w:t>（5）风险处置措施和替代方案：</w:t>
      </w:r>
      <w:r>
        <w:rPr>
          <w:rFonts w:hint="eastAsia" w:ascii="宋体" w:hAnsi="宋体" w:eastAsia="宋体" w:cs="宋体"/>
          <w:color w:val="auto"/>
          <w:sz w:val="24"/>
          <w:szCs w:val="24"/>
          <w:highlight w:val="none"/>
          <w:u w:val="single"/>
          <w:lang w:bidi="ar"/>
        </w:rPr>
        <w:t xml:space="preserve">       /                                                      </w:t>
      </w:r>
    </w:p>
    <w:p w14:paraId="12BDF629">
      <w:pPr>
        <w:numPr>
          <w:ilvl w:val="0"/>
          <w:numId w:val="2"/>
        </w:numPr>
        <w:adjustRightInd w:val="0"/>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合同验收</w:t>
      </w:r>
    </w:p>
    <w:p w14:paraId="1C994A27">
      <w:pPr>
        <w:numPr>
          <w:ilvl w:val="0"/>
          <w:numId w:val="3"/>
        </w:num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验收组织方式：</w:t>
      </w:r>
      <w:r>
        <w:rPr>
          <w:rFonts w:hint="eastAsia" w:ascii="宋体" w:hAnsi="宋体" w:eastAsia="宋体" w:cs="宋体"/>
          <w:color w:val="auto"/>
          <w:sz w:val="24"/>
          <w:szCs w:val="24"/>
          <w:highlight w:val="none"/>
          <w:lang w:bidi="ar"/>
        </w:rPr>
        <w:t>☑</w:t>
      </w:r>
      <w:r>
        <w:rPr>
          <w:rFonts w:hint="eastAsia" w:ascii="宋体" w:hAnsi="宋体" w:eastAsia="宋体" w:cs="宋体"/>
          <w:bCs/>
          <w:color w:val="auto"/>
          <w:sz w:val="24"/>
          <w:szCs w:val="24"/>
          <w:highlight w:val="none"/>
          <w:lang w:bidi="ar"/>
        </w:rPr>
        <w:t xml:space="preserve">自行组织 </w:t>
      </w:r>
      <w:r>
        <w:rPr>
          <w:rFonts w:hint="eastAsia" w:ascii="宋体" w:hAnsi="宋体" w:eastAsia="宋体" w:cs="宋体"/>
          <w:color w:val="auto"/>
          <w:sz w:val="24"/>
          <w:szCs w:val="24"/>
          <w:highlight w:val="none"/>
          <w:lang w:bidi="ar"/>
        </w:rPr>
        <w:t>□</w:t>
      </w:r>
      <w:r>
        <w:rPr>
          <w:rFonts w:hint="eastAsia" w:ascii="宋体" w:hAnsi="宋体" w:eastAsia="宋体" w:cs="宋体"/>
          <w:bCs/>
          <w:color w:val="auto"/>
          <w:sz w:val="24"/>
          <w:szCs w:val="24"/>
          <w:highlight w:val="none"/>
          <w:lang w:bidi="ar"/>
        </w:rPr>
        <w:t>委托第三方组织</w:t>
      </w:r>
    </w:p>
    <w:p w14:paraId="3FBE8A0B">
      <w:pPr>
        <w:adjustRightInd w:val="0"/>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 xml:space="preserve">         验收主体：</w:t>
      </w:r>
      <w:r>
        <w:rPr>
          <w:rFonts w:hint="eastAsia" w:ascii="宋体" w:hAnsi="宋体" w:eastAsia="宋体" w:cs="宋体"/>
          <w:bCs/>
          <w:color w:val="auto"/>
          <w:sz w:val="24"/>
          <w:szCs w:val="24"/>
          <w:highlight w:val="none"/>
          <w:u w:val="single"/>
          <w:lang w:bidi="ar"/>
        </w:rPr>
        <w:t xml:space="preserve">   采购人        </w:t>
      </w:r>
    </w:p>
    <w:p w14:paraId="0BC2939A">
      <w:pPr>
        <w:adjustRightInd w:val="0"/>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 xml:space="preserve">        是否邀请本项目的其他供应商参加验收：</w:t>
      </w:r>
      <w:r>
        <w:rPr>
          <w:rFonts w:hint="eastAsia" w:ascii="宋体" w:hAnsi="宋体" w:eastAsia="宋体" w:cs="宋体"/>
          <w:color w:val="auto"/>
          <w:sz w:val="24"/>
          <w:szCs w:val="24"/>
          <w:highlight w:val="none"/>
          <w:lang w:bidi="ar"/>
        </w:rPr>
        <w:t>□</w:t>
      </w:r>
      <w:r>
        <w:rPr>
          <w:rFonts w:hint="eastAsia" w:ascii="宋体" w:hAnsi="宋体" w:eastAsia="宋体" w:cs="宋体"/>
          <w:bCs/>
          <w:color w:val="auto"/>
          <w:sz w:val="24"/>
          <w:szCs w:val="24"/>
          <w:highlight w:val="none"/>
          <w:lang w:bidi="ar"/>
        </w:rPr>
        <w:t xml:space="preserve">是  </w:t>
      </w:r>
      <w:r>
        <w:rPr>
          <w:rFonts w:hint="eastAsia" w:ascii="宋体" w:hAnsi="宋体" w:eastAsia="宋体" w:cs="宋体"/>
          <w:color w:val="auto"/>
          <w:sz w:val="24"/>
          <w:szCs w:val="24"/>
          <w:highlight w:val="none"/>
          <w:lang w:bidi="ar"/>
        </w:rPr>
        <w:t>□</w:t>
      </w:r>
      <w:r>
        <w:rPr>
          <w:rFonts w:hint="eastAsia" w:ascii="宋体" w:hAnsi="宋体" w:eastAsia="宋体" w:cs="宋体"/>
          <w:bCs/>
          <w:color w:val="auto"/>
          <w:sz w:val="24"/>
          <w:szCs w:val="24"/>
          <w:highlight w:val="none"/>
          <w:lang w:bidi="ar"/>
        </w:rPr>
        <w:t>否</w:t>
      </w:r>
    </w:p>
    <w:p w14:paraId="42A538FC">
      <w:pPr>
        <w:adjustRightInd w:val="0"/>
        <w:snapToGrid w:val="0"/>
        <w:spacing w:line="360" w:lineRule="auto"/>
        <w:ind w:firstLine="960" w:firstLineChars="4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是否邀请专家参加验收：</w:t>
      </w:r>
      <w:r>
        <w:rPr>
          <w:rFonts w:hint="eastAsia" w:ascii="宋体" w:hAnsi="宋体" w:eastAsia="宋体" w:cs="宋体"/>
          <w:color w:val="auto"/>
          <w:sz w:val="24"/>
          <w:szCs w:val="24"/>
          <w:highlight w:val="none"/>
          <w:lang w:bidi="ar"/>
        </w:rPr>
        <w:t>□</w:t>
      </w:r>
      <w:r>
        <w:rPr>
          <w:rFonts w:hint="eastAsia" w:ascii="宋体" w:hAnsi="宋体" w:eastAsia="宋体" w:cs="宋体"/>
          <w:bCs/>
          <w:color w:val="auto"/>
          <w:sz w:val="24"/>
          <w:szCs w:val="24"/>
          <w:highlight w:val="none"/>
          <w:lang w:bidi="ar"/>
        </w:rPr>
        <w:t xml:space="preserve">是  </w:t>
      </w:r>
      <w:r>
        <w:rPr>
          <w:rFonts w:hint="eastAsia" w:ascii="宋体" w:hAnsi="宋体" w:eastAsia="宋体" w:cs="宋体"/>
          <w:color w:val="auto"/>
          <w:sz w:val="24"/>
          <w:szCs w:val="24"/>
          <w:highlight w:val="none"/>
          <w:lang w:bidi="ar"/>
        </w:rPr>
        <w:t>□</w:t>
      </w:r>
      <w:r>
        <w:rPr>
          <w:rFonts w:hint="eastAsia" w:ascii="宋体" w:hAnsi="宋体" w:eastAsia="宋体" w:cs="宋体"/>
          <w:bCs/>
          <w:color w:val="auto"/>
          <w:sz w:val="24"/>
          <w:szCs w:val="24"/>
          <w:highlight w:val="none"/>
          <w:lang w:bidi="ar"/>
        </w:rPr>
        <w:t>否</w:t>
      </w:r>
    </w:p>
    <w:p w14:paraId="578804AC">
      <w:pPr>
        <w:adjustRightInd w:val="0"/>
        <w:snapToGrid w:val="0"/>
        <w:spacing w:line="360" w:lineRule="auto"/>
        <w:ind w:firstLine="960" w:firstLineChars="4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是否邀请服务对象参加验收：</w:t>
      </w:r>
      <w:r>
        <w:rPr>
          <w:rFonts w:hint="eastAsia" w:ascii="宋体" w:hAnsi="宋体" w:eastAsia="宋体" w:cs="宋体"/>
          <w:color w:val="auto"/>
          <w:sz w:val="24"/>
          <w:szCs w:val="24"/>
          <w:highlight w:val="none"/>
          <w:lang w:bidi="ar"/>
        </w:rPr>
        <w:t>□</w:t>
      </w:r>
      <w:r>
        <w:rPr>
          <w:rFonts w:hint="eastAsia" w:ascii="宋体" w:hAnsi="宋体" w:eastAsia="宋体" w:cs="宋体"/>
          <w:bCs/>
          <w:color w:val="auto"/>
          <w:sz w:val="24"/>
          <w:szCs w:val="24"/>
          <w:highlight w:val="none"/>
          <w:lang w:bidi="ar"/>
        </w:rPr>
        <w:t xml:space="preserve">是  </w:t>
      </w:r>
      <w:r>
        <w:rPr>
          <w:rFonts w:hint="eastAsia" w:ascii="宋体" w:hAnsi="宋体" w:eastAsia="宋体" w:cs="宋体"/>
          <w:color w:val="auto"/>
          <w:sz w:val="24"/>
          <w:szCs w:val="24"/>
          <w:highlight w:val="none"/>
          <w:lang w:bidi="ar"/>
        </w:rPr>
        <w:t>□</w:t>
      </w:r>
      <w:r>
        <w:rPr>
          <w:rFonts w:hint="eastAsia" w:ascii="宋体" w:hAnsi="宋体" w:eastAsia="宋体" w:cs="宋体"/>
          <w:bCs/>
          <w:color w:val="auto"/>
          <w:sz w:val="24"/>
          <w:szCs w:val="24"/>
          <w:highlight w:val="none"/>
          <w:lang w:bidi="ar"/>
        </w:rPr>
        <w:t>否</w:t>
      </w:r>
    </w:p>
    <w:p w14:paraId="18280E42">
      <w:pPr>
        <w:adjustRightInd w:val="0"/>
        <w:snapToGrid w:val="0"/>
        <w:spacing w:line="360" w:lineRule="auto"/>
        <w:ind w:firstLine="960" w:firstLineChars="4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是否邀请第三方检测机构参加验收：</w:t>
      </w:r>
      <w:r>
        <w:rPr>
          <w:rFonts w:hint="eastAsia" w:ascii="宋体" w:hAnsi="宋体" w:eastAsia="宋体" w:cs="宋体"/>
          <w:color w:val="auto"/>
          <w:sz w:val="24"/>
          <w:szCs w:val="24"/>
          <w:highlight w:val="none"/>
          <w:lang w:bidi="ar"/>
        </w:rPr>
        <w:t>□</w:t>
      </w:r>
      <w:r>
        <w:rPr>
          <w:rFonts w:hint="eastAsia" w:ascii="宋体" w:hAnsi="宋体" w:eastAsia="宋体" w:cs="宋体"/>
          <w:bCs/>
          <w:color w:val="auto"/>
          <w:sz w:val="24"/>
          <w:szCs w:val="24"/>
          <w:highlight w:val="none"/>
          <w:lang w:bidi="ar"/>
        </w:rPr>
        <w:t xml:space="preserve">是  </w:t>
      </w:r>
      <w:r>
        <w:rPr>
          <w:rFonts w:hint="eastAsia" w:ascii="宋体" w:hAnsi="宋体" w:eastAsia="宋体" w:cs="宋体"/>
          <w:color w:val="auto"/>
          <w:sz w:val="24"/>
          <w:szCs w:val="24"/>
          <w:highlight w:val="none"/>
          <w:lang w:bidi="ar"/>
        </w:rPr>
        <w:t>□</w:t>
      </w:r>
      <w:r>
        <w:rPr>
          <w:rFonts w:hint="eastAsia" w:ascii="宋体" w:hAnsi="宋体" w:eastAsia="宋体" w:cs="宋体"/>
          <w:bCs/>
          <w:color w:val="auto"/>
          <w:sz w:val="24"/>
          <w:szCs w:val="24"/>
          <w:highlight w:val="none"/>
          <w:lang w:bidi="ar"/>
        </w:rPr>
        <w:t>否</w:t>
      </w:r>
    </w:p>
    <w:p w14:paraId="53B7B04C">
      <w:pPr>
        <w:adjustRightInd w:val="0"/>
        <w:snapToGrid w:val="0"/>
        <w:spacing w:line="360" w:lineRule="auto"/>
        <w:ind w:firstLine="960" w:firstLineChars="4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是否进行抽查检测：</w:t>
      </w:r>
      <w:r>
        <w:rPr>
          <w:rFonts w:hint="eastAsia" w:ascii="宋体" w:hAnsi="宋体" w:eastAsia="宋体" w:cs="宋体"/>
          <w:color w:val="auto"/>
          <w:sz w:val="24"/>
          <w:szCs w:val="24"/>
          <w:highlight w:val="none"/>
          <w:lang w:bidi="ar"/>
        </w:rPr>
        <w:t>□</w:t>
      </w:r>
      <w:r>
        <w:rPr>
          <w:rFonts w:hint="eastAsia" w:ascii="宋体" w:hAnsi="宋体" w:eastAsia="宋体" w:cs="宋体"/>
          <w:bCs/>
          <w:color w:val="auto"/>
          <w:sz w:val="24"/>
          <w:szCs w:val="24"/>
          <w:highlight w:val="none"/>
          <w:lang w:bidi="ar"/>
        </w:rPr>
        <w:t>是，抽查比例：</w:t>
      </w:r>
      <w:r>
        <w:rPr>
          <w:rFonts w:hint="eastAsia" w:ascii="宋体" w:hAnsi="宋体" w:eastAsia="宋体" w:cs="宋体"/>
          <w:bCs/>
          <w:color w:val="auto"/>
          <w:sz w:val="24"/>
          <w:szCs w:val="24"/>
          <w:highlight w:val="none"/>
          <w:u w:val="single"/>
          <w:lang w:bidi="ar"/>
        </w:rPr>
        <w:t xml:space="preserve">        </w:t>
      </w:r>
      <w:r>
        <w:rPr>
          <w:rFonts w:hint="eastAsia" w:ascii="宋体" w:hAnsi="宋体" w:eastAsia="宋体" w:cs="宋体"/>
          <w:bCs/>
          <w:color w:val="auto"/>
          <w:sz w:val="24"/>
          <w:szCs w:val="24"/>
          <w:highlight w:val="none"/>
          <w:lang w:bidi="ar"/>
        </w:rPr>
        <w:t xml:space="preserve"> </w:t>
      </w:r>
      <w:r>
        <w:rPr>
          <w:rFonts w:hint="eastAsia" w:ascii="宋体" w:hAnsi="宋体" w:eastAsia="宋体" w:cs="宋体"/>
          <w:color w:val="auto"/>
          <w:sz w:val="24"/>
          <w:szCs w:val="24"/>
          <w:highlight w:val="none"/>
          <w:lang w:bidi="ar"/>
        </w:rPr>
        <w:t>□</w:t>
      </w:r>
      <w:r>
        <w:rPr>
          <w:rFonts w:hint="eastAsia" w:ascii="宋体" w:hAnsi="宋体" w:eastAsia="宋体" w:cs="宋体"/>
          <w:bCs/>
          <w:color w:val="auto"/>
          <w:sz w:val="24"/>
          <w:szCs w:val="24"/>
          <w:highlight w:val="none"/>
          <w:lang w:bidi="ar"/>
        </w:rPr>
        <w:t>否</w:t>
      </w:r>
    </w:p>
    <w:p w14:paraId="48F347E6">
      <w:pPr>
        <w:adjustRightInd w:val="0"/>
        <w:snapToGrid w:val="0"/>
        <w:spacing w:line="360" w:lineRule="auto"/>
        <w:ind w:firstLine="960" w:firstLineChars="4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lang w:bidi="ar"/>
        </w:rPr>
        <w:t>是否存在破坏性检测：</w:t>
      </w:r>
      <w:r>
        <w:rPr>
          <w:rFonts w:hint="eastAsia" w:ascii="宋体" w:hAnsi="宋体" w:eastAsia="宋体" w:cs="宋体"/>
          <w:color w:val="auto"/>
          <w:sz w:val="24"/>
          <w:szCs w:val="24"/>
          <w:highlight w:val="none"/>
          <w:lang w:bidi="ar"/>
        </w:rPr>
        <w:t>□</w:t>
      </w:r>
      <w:r>
        <w:rPr>
          <w:rFonts w:hint="eastAsia" w:ascii="宋体" w:hAnsi="宋体" w:eastAsia="宋体" w:cs="宋体"/>
          <w:bCs/>
          <w:color w:val="auto"/>
          <w:sz w:val="24"/>
          <w:szCs w:val="24"/>
          <w:highlight w:val="none"/>
          <w:lang w:bidi="ar"/>
        </w:rPr>
        <w:t>是，</w:t>
      </w:r>
      <w:r>
        <w:rPr>
          <w:rFonts w:hint="eastAsia" w:ascii="宋体" w:hAnsi="宋体" w:eastAsia="宋体" w:cs="宋体"/>
          <w:bCs/>
          <w:color w:val="auto"/>
          <w:sz w:val="24"/>
          <w:szCs w:val="24"/>
          <w:highlight w:val="none"/>
          <w:u w:val="single"/>
          <w:lang w:bidi="ar"/>
        </w:rPr>
        <w:t>（应明确对被破坏的检测产品的处理方式）</w:t>
      </w:r>
    </w:p>
    <w:p w14:paraId="381A18CC">
      <w:pPr>
        <w:adjustRightInd w:val="0"/>
        <w:snapToGrid w:val="0"/>
        <w:spacing w:line="360" w:lineRule="auto"/>
        <w:ind w:firstLine="960" w:firstLineChars="4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 xml:space="preserve">                    </w:t>
      </w:r>
      <w:r>
        <w:rPr>
          <w:rFonts w:hint="eastAsia" w:ascii="宋体" w:hAnsi="宋体" w:eastAsia="宋体" w:cs="宋体"/>
          <w:color w:val="auto"/>
          <w:sz w:val="24"/>
          <w:szCs w:val="24"/>
          <w:highlight w:val="none"/>
          <w:lang w:bidi="ar"/>
        </w:rPr>
        <w:t>□</w:t>
      </w:r>
      <w:r>
        <w:rPr>
          <w:rFonts w:hint="eastAsia" w:ascii="宋体" w:hAnsi="宋体" w:eastAsia="宋体" w:cs="宋体"/>
          <w:bCs/>
          <w:color w:val="auto"/>
          <w:sz w:val="24"/>
          <w:szCs w:val="24"/>
          <w:highlight w:val="none"/>
          <w:lang w:bidi="ar"/>
        </w:rPr>
        <w:t>否</w:t>
      </w:r>
    </w:p>
    <w:p w14:paraId="5C362692">
      <w:pPr>
        <w:adjustRightInd w:val="0"/>
        <w:snapToGrid w:val="0"/>
        <w:spacing w:line="360" w:lineRule="auto"/>
        <w:ind w:firstLine="960" w:firstLineChars="4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lang w:bidi="ar"/>
        </w:rPr>
        <w:t>验收组织的其他事项：</w:t>
      </w:r>
      <w:r>
        <w:rPr>
          <w:rFonts w:hint="eastAsia" w:ascii="宋体" w:hAnsi="宋体" w:eastAsia="宋体" w:cs="宋体"/>
          <w:bCs/>
          <w:color w:val="auto"/>
          <w:sz w:val="24"/>
          <w:szCs w:val="24"/>
          <w:highlight w:val="none"/>
          <w:u w:val="single"/>
          <w:lang w:bidi="ar"/>
        </w:rPr>
        <w:t xml:space="preserve">                </w:t>
      </w:r>
    </w:p>
    <w:p w14:paraId="24728E6D">
      <w:pPr>
        <w:adjustRightInd w:val="0"/>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lang w:bidi="ar"/>
        </w:rPr>
        <w:t>（2）履约验收时间：</w:t>
      </w:r>
      <w:r>
        <w:rPr>
          <w:rFonts w:hint="eastAsia" w:ascii="宋体" w:hAnsi="宋体" w:eastAsia="宋体" w:cs="宋体"/>
          <w:bCs/>
          <w:color w:val="auto"/>
          <w:sz w:val="24"/>
          <w:szCs w:val="24"/>
          <w:highlight w:val="none"/>
          <w:u w:val="single"/>
          <w:lang w:bidi="ar"/>
        </w:rPr>
        <w:t xml:space="preserve"> 供应商提出验收申请之日起5日内组织验收 </w:t>
      </w:r>
    </w:p>
    <w:p w14:paraId="59CEA7D7">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（3）履约验收方式：</w:t>
      </w:r>
      <w:r>
        <w:rPr>
          <w:rFonts w:hint="eastAsia" w:ascii="宋体" w:hAnsi="宋体" w:eastAsia="宋体" w:cs="宋体"/>
          <w:color w:val="auto"/>
          <w:sz w:val="24"/>
          <w:szCs w:val="24"/>
          <w:highlight w:val="none"/>
          <w:lang w:bidi="ar"/>
        </w:rPr>
        <w:t>☑</w:t>
      </w:r>
      <w:r>
        <w:rPr>
          <w:rFonts w:hint="eastAsia" w:ascii="宋体" w:hAnsi="宋体" w:eastAsia="宋体" w:cs="宋体"/>
          <w:bCs/>
          <w:color w:val="auto"/>
          <w:sz w:val="24"/>
          <w:szCs w:val="24"/>
          <w:highlight w:val="none"/>
          <w:lang w:bidi="ar"/>
        </w:rPr>
        <w:t xml:space="preserve">一次性验收         </w:t>
      </w:r>
    </w:p>
    <w:p w14:paraId="6809BE71">
      <w:pPr>
        <w:adjustRightInd w:val="0"/>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 xml:space="preserve">                       </w:t>
      </w:r>
      <w:r>
        <w:rPr>
          <w:rFonts w:hint="eastAsia" w:ascii="宋体" w:hAnsi="宋体" w:eastAsia="宋体" w:cs="宋体"/>
          <w:color w:val="auto"/>
          <w:sz w:val="24"/>
          <w:szCs w:val="24"/>
          <w:highlight w:val="none"/>
          <w:lang w:bidi="ar"/>
        </w:rPr>
        <w:t>□</w:t>
      </w:r>
      <w:r>
        <w:rPr>
          <w:rFonts w:hint="eastAsia" w:ascii="宋体" w:hAnsi="宋体" w:eastAsia="宋体" w:cs="宋体"/>
          <w:bCs/>
          <w:color w:val="auto"/>
          <w:sz w:val="24"/>
          <w:szCs w:val="24"/>
          <w:highlight w:val="none"/>
          <w:lang w:bidi="ar"/>
        </w:rPr>
        <w:t>分期/分项验收：</w:t>
      </w:r>
      <w:r>
        <w:rPr>
          <w:rFonts w:hint="eastAsia" w:ascii="宋体" w:hAnsi="宋体" w:eastAsia="宋体" w:cs="宋体"/>
          <w:bCs/>
          <w:color w:val="auto"/>
          <w:sz w:val="24"/>
          <w:szCs w:val="24"/>
          <w:highlight w:val="none"/>
          <w:u w:val="single"/>
          <w:lang w:bidi="ar"/>
        </w:rPr>
        <w:t xml:space="preserve"> /  </w:t>
      </w:r>
    </w:p>
    <w:p w14:paraId="58DBDF00">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（4）履约验收程序：</w:t>
      </w:r>
      <w:r>
        <w:rPr>
          <w:rFonts w:hint="eastAsia" w:ascii="宋体" w:hAnsi="宋体" w:eastAsia="宋体" w:cs="宋体"/>
          <w:bCs/>
          <w:color w:val="auto"/>
          <w:sz w:val="24"/>
          <w:szCs w:val="24"/>
          <w:highlight w:val="none"/>
          <w:u w:val="single"/>
          <w:lang w:bidi="ar"/>
        </w:rPr>
        <w:t xml:space="preserve">                                         </w:t>
      </w:r>
    </w:p>
    <w:p w14:paraId="0606D6B3">
      <w:pPr>
        <w:adjustRightInd w:val="0"/>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lang w:bidi="ar"/>
        </w:rPr>
        <w:t>（5）履约验收的内容：</w:t>
      </w:r>
      <w:r>
        <w:rPr>
          <w:rFonts w:hint="eastAsia" w:ascii="宋体" w:hAnsi="宋体" w:eastAsia="宋体" w:cs="宋体"/>
          <w:bCs/>
          <w:color w:val="auto"/>
          <w:sz w:val="24"/>
          <w:szCs w:val="24"/>
          <w:highlight w:val="none"/>
          <w:u w:val="single"/>
          <w:lang w:bidi="ar"/>
        </w:rPr>
        <w:t xml:space="preserve"> （应当包括每一项技术和商务要求的履约情况，特别是落实政府采购扶持中小企业，支持绿色发展和乡村振兴等政策情况）                                      </w:t>
      </w:r>
    </w:p>
    <w:p w14:paraId="4F674062">
      <w:pPr>
        <w:adjustRightInd w:val="0"/>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lang w:bidi="ar"/>
        </w:rPr>
        <w:t>（6）履约验收标准：</w:t>
      </w:r>
      <w:r>
        <w:rPr>
          <w:rFonts w:hint="eastAsia" w:ascii="宋体" w:hAnsi="宋体" w:eastAsia="宋体" w:cs="宋体"/>
          <w:bCs/>
          <w:color w:val="auto"/>
          <w:sz w:val="24"/>
          <w:szCs w:val="24"/>
          <w:highlight w:val="none"/>
          <w:u w:val="single"/>
          <w:lang w:bidi="ar"/>
        </w:rPr>
        <w:t xml:space="preserve">   符合国家标准                     </w:t>
      </w:r>
    </w:p>
    <w:p w14:paraId="471DC1A6">
      <w:pPr>
        <w:pStyle w:val="21"/>
        <w:widowControl/>
        <w:autoSpaceDE w:val="0"/>
        <w:autoSpaceDN w:val="0"/>
        <w:adjustRightInd w:val="0"/>
        <w:spacing w:before="0" w:beforeAutospacing="0" w:after="0" w:afterAutospacing="0"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bCs/>
          <w:color w:val="auto"/>
          <w:szCs w:val="24"/>
          <w:highlight w:val="none"/>
          <w:lang w:bidi="ar"/>
        </w:rPr>
        <w:t>（7）是否以采购活动中供应商提供的样品作为参考：</w:t>
      </w:r>
      <w:r>
        <w:rPr>
          <w:rFonts w:hint="eastAsia" w:ascii="宋体" w:hAnsi="宋体" w:eastAsia="宋体" w:cs="宋体"/>
          <w:color w:val="auto"/>
          <w:szCs w:val="24"/>
          <w:highlight w:val="none"/>
          <w:lang w:bidi="ar"/>
        </w:rPr>
        <w:t>□</w:t>
      </w:r>
      <w:r>
        <w:rPr>
          <w:rFonts w:hint="eastAsia" w:ascii="宋体" w:hAnsi="宋体" w:eastAsia="宋体" w:cs="宋体"/>
          <w:bCs/>
          <w:color w:val="auto"/>
          <w:szCs w:val="24"/>
          <w:highlight w:val="none"/>
          <w:lang w:bidi="ar"/>
        </w:rPr>
        <w:t xml:space="preserve">是  </w:t>
      </w:r>
      <w:r>
        <w:rPr>
          <w:rFonts w:hint="eastAsia" w:ascii="宋体" w:hAnsi="宋体" w:eastAsia="宋体" w:cs="宋体"/>
          <w:color w:val="auto"/>
          <w:szCs w:val="24"/>
          <w:highlight w:val="none"/>
          <w:lang w:bidi="ar"/>
        </w:rPr>
        <w:t>☑</w:t>
      </w:r>
      <w:r>
        <w:rPr>
          <w:rFonts w:hint="eastAsia" w:ascii="宋体" w:hAnsi="宋体" w:eastAsia="宋体" w:cs="宋体"/>
          <w:bCs/>
          <w:color w:val="auto"/>
          <w:szCs w:val="24"/>
          <w:highlight w:val="none"/>
          <w:lang w:bidi="ar"/>
        </w:rPr>
        <w:t>否</w:t>
      </w:r>
    </w:p>
    <w:p w14:paraId="5B9AD32C">
      <w:pPr>
        <w:adjustRightInd w:val="0"/>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lang w:bidi="ar"/>
        </w:rPr>
        <w:t>（8）履约验收其他事项：</w:t>
      </w:r>
      <w:r>
        <w:rPr>
          <w:rFonts w:hint="eastAsia" w:ascii="宋体" w:hAnsi="宋体" w:eastAsia="宋体" w:cs="宋体"/>
          <w:bCs/>
          <w:color w:val="auto"/>
          <w:sz w:val="24"/>
          <w:szCs w:val="24"/>
          <w:highlight w:val="none"/>
          <w:u w:val="single"/>
          <w:lang w:bidi="ar"/>
        </w:rPr>
        <w:t>1、乙方交付产品时，应提供《产品合格证明》（如有）、《质量检验报告》（如有）、《产品质量保证书》（如有）、《产品准用证》（如有），如果以上证明材料都没有，则需要提供同等证明材料符合招标文件技术要求，否则甲方有权拒绝接收产品。2、</w:t>
      </w:r>
      <w:r>
        <w:rPr>
          <w:rFonts w:ascii="宋体" w:hAnsi="宋体" w:eastAsia="宋体" w:cs="宋体"/>
          <w:bCs/>
          <w:color w:val="auto"/>
          <w:sz w:val="24"/>
          <w:szCs w:val="24"/>
          <w:highlight w:val="none"/>
          <w:u w:val="single"/>
          <w:lang w:bidi="ar"/>
        </w:rPr>
        <w:t>提供虚假检测报告、材料造假</w:t>
      </w:r>
      <w:r>
        <w:rPr>
          <w:rFonts w:hint="eastAsia" w:ascii="宋体" w:hAnsi="宋体" w:eastAsia="宋体" w:cs="宋体"/>
          <w:bCs/>
          <w:color w:val="auto"/>
          <w:sz w:val="24"/>
          <w:szCs w:val="24"/>
          <w:highlight w:val="none"/>
          <w:u w:val="single"/>
          <w:lang w:bidi="ar"/>
        </w:rPr>
        <w:t>的，采购人有权单方面解除合同；3、累计三次交货验收不合格的，采购人有权单方面解除合同；</w:t>
      </w:r>
    </w:p>
    <w:p w14:paraId="5DA41EF7">
      <w:pPr>
        <w:numPr>
          <w:ilvl w:val="0"/>
          <w:numId w:val="2"/>
        </w:numPr>
        <w:adjustRightInd w:val="0"/>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组成合同的文件</w:t>
      </w:r>
    </w:p>
    <w:p w14:paraId="7C44DDB7">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本协议书与下列文件一起构成合同文件，如下述文件之间有任何抵触、矛盾或歧义，应按以下顺序解释：</w:t>
      </w:r>
    </w:p>
    <w:p w14:paraId="78FABC93">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（1）政府采购合同协议书及其变更、补充协议</w:t>
      </w:r>
    </w:p>
    <w:p w14:paraId="4621406C">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（2）政府采购合同专用条款</w:t>
      </w:r>
    </w:p>
    <w:p w14:paraId="04B1542B">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（3）政府采购合同通用条款</w:t>
      </w:r>
    </w:p>
    <w:p w14:paraId="21F69C70">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（4）中标（成交）通知书</w:t>
      </w:r>
    </w:p>
    <w:p w14:paraId="0CDC2B9D">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（5）投标（响应）文件</w:t>
      </w:r>
    </w:p>
    <w:p w14:paraId="7581DEFA">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（6）采购文件</w:t>
      </w:r>
    </w:p>
    <w:p w14:paraId="12541ED3">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（7）有关技术文件，图纸</w:t>
      </w:r>
    </w:p>
    <w:p w14:paraId="402F3DD3">
      <w:pPr>
        <w:pStyle w:val="21"/>
        <w:widowControl/>
        <w:autoSpaceDE w:val="0"/>
        <w:autoSpaceDN w:val="0"/>
        <w:adjustRightInd w:val="0"/>
        <w:spacing w:before="0" w:beforeAutospacing="0" w:after="0" w:afterAutospacing="0" w:line="360" w:lineRule="auto"/>
        <w:ind w:firstLine="480" w:firstLineChars="200"/>
        <w:rPr>
          <w:rFonts w:hint="eastAsia" w:ascii="宋体" w:hAnsi="宋体" w:eastAsia="宋体" w:cs="宋体"/>
          <w:color w:val="auto"/>
          <w:kern w:val="2"/>
          <w:szCs w:val="24"/>
          <w:highlight w:val="none"/>
        </w:rPr>
      </w:pPr>
      <w:r>
        <w:rPr>
          <w:rFonts w:hint="eastAsia" w:ascii="宋体" w:hAnsi="宋体" w:eastAsia="宋体" w:cs="宋体"/>
          <w:color w:val="auto"/>
          <w:szCs w:val="24"/>
          <w:highlight w:val="none"/>
          <w:lang w:bidi="ar"/>
        </w:rPr>
        <w:t>（8）</w:t>
      </w:r>
      <w:r>
        <w:rPr>
          <w:rFonts w:hint="eastAsia" w:ascii="宋体" w:hAnsi="宋体" w:eastAsia="宋体" w:cs="宋体"/>
          <w:color w:val="auto"/>
          <w:kern w:val="2"/>
          <w:szCs w:val="24"/>
          <w:highlight w:val="none"/>
          <w:lang w:bidi="ar"/>
        </w:rPr>
        <w:t>国家法律、行政法规和规章制度规定或合同约定的作为合同组成部分的其他文件</w:t>
      </w:r>
    </w:p>
    <w:p w14:paraId="6F6391D4">
      <w:pPr>
        <w:numPr>
          <w:ilvl w:val="0"/>
          <w:numId w:val="2"/>
        </w:numPr>
        <w:adjustRightInd w:val="0"/>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合同生效</w:t>
      </w:r>
    </w:p>
    <w:p w14:paraId="59DE6B79">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本合同自</w:t>
      </w:r>
      <w:r>
        <w:rPr>
          <w:rFonts w:hint="eastAsia" w:ascii="宋体" w:hAnsi="宋体" w:eastAsia="宋体" w:cs="宋体"/>
          <w:color w:val="auto"/>
          <w:sz w:val="24"/>
          <w:szCs w:val="24"/>
          <w:highlight w:val="none"/>
          <w:u w:val="single"/>
          <w:lang w:bidi="ar"/>
        </w:rPr>
        <w:t xml:space="preserve">     双方加盖印章之后          </w:t>
      </w:r>
      <w:r>
        <w:rPr>
          <w:rFonts w:hint="eastAsia" w:ascii="宋体" w:hAnsi="宋体" w:eastAsia="宋体" w:cs="宋体"/>
          <w:color w:val="auto"/>
          <w:sz w:val="24"/>
          <w:szCs w:val="24"/>
          <w:highlight w:val="none"/>
          <w:lang w:bidi="ar"/>
        </w:rPr>
        <w:t>生效。</w:t>
      </w:r>
    </w:p>
    <w:p w14:paraId="44CDEBBB">
      <w:pPr>
        <w:numPr>
          <w:ilvl w:val="0"/>
          <w:numId w:val="2"/>
        </w:numPr>
        <w:adjustRightInd w:val="0"/>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合同份数</w:t>
      </w:r>
    </w:p>
    <w:p w14:paraId="2AD9388E">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本合同一式</w:t>
      </w:r>
      <w:r>
        <w:rPr>
          <w:rFonts w:hint="eastAsia" w:ascii="宋体" w:hAnsi="宋体" w:eastAsia="宋体" w:cs="宋体"/>
          <w:color w:val="auto"/>
          <w:sz w:val="24"/>
          <w:szCs w:val="24"/>
          <w:highlight w:val="none"/>
          <w:u w:val="single"/>
          <w:lang w:bidi="ar"/>
        </w:rPr>
        <w:t xml:space="preserve">  六 </w:t>
      </w:r>
      <w:r>
        <w:rPr>
          <w:rFonts w:hint="eastAsia" w:ascii="宋体" w:hAnsi="宋体" w:eastAsia="宋体" w:cs="宋体"/>
          <w:color w:val="auto"/>
          <w:sz w:val="24"/>
          <w:szCs w:val="24"/>
          <w:highlight w:val="none"/>
          <w:lang w:bidi="ar"/>
        </w:rPr>
        <w:t>份，甲方执</w:t>
      </w:r>
      <w:r>
        <w:rPr>
          <w:rFonts w:hint="eastAsia" w:ascii="宋体" w:hAnsi="宋体" w:eastAsia="宋体" w:cs="宋体"/>
          <w:color w:val="auto"/>
          <w:sz w:val="24"/>
          <w:szCs w:val="24"/>
          <w:highlight w:val="none"/>
          <w:u w:val="single"/>
          <w:lang w:bidi="ar"/>
        </w:rPr>
        <w:t xml:space="preserve"> 三 </w:t>
      </w:r>
      <w:r>
        <w:rPr>
          <w:rFonts w:hint="eastAsia" w:ascii="宋体" w:hAnsi="宋体" w:eastAsia="宋体" w:cs="宋体"/>
          <w:color w:val="auto"/>
          <w:sz w:val="24"/>
          <w:szCs w:val="24"/>
          <w:highlight w:val="none"/>
          <w:lang w:bidi="ar"/>
        </w:rPr>
        <w:t>份，乙方执</w:t>
      </w:r>
      <w:r>
        <w:rPr>
          <w:rFonts w:hint="eastAsia" w:ascii="宋体" w:hAnsi="宋体" w:eastAsia="宋体" w:cs="宋体"/>
          <w:color w:val="auto"/>
          <w:sz w:val="24"/>
          <w:szCs w:val="24"/>
          <w:highlight w:val="none"/>
          <w:u w:val="single"/>
          <w:lang w:bidi="ar"/>
        </w:rPr>
        <w:t xml:space="preserve"> 三 </w:t>
      </w:r>
      <w:r>
        <w:rPr>
          <w:rFonts w:hint="eastAsia" w:ascii="宋体" w:hAnsi="宋体" w:eastAsia="宋体" w:cs="宋体"/>
          <w:color w:val="auto"/>
          <w:sz w:val="24"/>
          <w:szCs w:val="24"/>
          <w:highlight w:val="none"/>
          <w:lang w:bidi="ar"/>
        </w:rPr>
        <w:t>份，均具有同等法律效力。</w:t>
      </w:r>
    </w:p>
    <w:p w14:paraId="6A5B6E55">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合同订立时间：</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年</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月</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日</w:t>
      </w:r>
    </w:p>
    <w:p w14:paraId="50A4AF69">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合同订立地点：</w:t>
      </w:r>
      <w:r>
        <w:rPr>
          <w:rFonts w:hint="eastAsia" w:ascii="宋体" w:hAnsi="宋体" w:eastAsia="宋体" w:cs="宋体"/>
          <w:color w:val="auto"/>
          <w:sz w:val="24"/>
          <w:szCs w:val="24"/>
          <w:highlight w:val="none"/>
          <w:u w:val="single"/>
          <w:lang w:bidi="ar"/>
        </w:rPr>
        <w:t xml:space="preserve">                          </w:t>
      </w:r>
    </w:p>
    <w:p w14:paraId="58EA24A3">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附件：具体标的及其技术要求和商务要求、联合协议、分包意向协议等。</w:t>
      </w:r>
    </w:p>
    <w:p w14:paraId="298C64B9">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br w:type="page"/>
      </w:r>
    </w:p>
    <w:p w14:paraId="0A00C914">
      <w:pPr>
        <w:pStyle w:val="21"/>
        <w:spacing w:before="0" w:beforeAutospacing="0" w:after="0" w:afterAutospacing="0" w:line="360" w:lineRule="auto"/>
        <w:ind w:firstLine="480" w:firstLineChars="200"/>
        <w:jc w:val="both"/>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lang w:bidi="ar"/>
        </w:rPr>
        <w:t xml:space="preserve"> </w:t>
      </w:r>
    </w:p>
    <w:tbl>
      <w:tblPr>
        <w:tblStyle w:val="27"/>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891"/>
        <w:gridCol w:w="2412"/>
        <w:gridCol w:w="1977"/>
        <w:gridCol w:w="2118"/>
      </w:tblGrid>
      <w:tr w14:paraId="1459CDB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top w:val="single" w:color="auto" w:sz="4" w:space="0"/>
              <w:left w:val="single" w:color="auto" w:sz="4" w:space="0"/>
              <w:bottom w:val="single" w:color="auto" w:sz="4" w:space="0"/>
              <w:right w:val="single" w:color="auto" w:sz="4" w:space="0"/>
            </w:tcBorders>
            <w:vAlign w:val="center"/>
          </w:tcPr>
          <w:p w14:paraId="5B2EBCC3">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甲方（采购人、受采购人委托签订合同的单位或采购文件约定的合同甲方）</w:t>
            </w:r>
          </w:p>
        </w:tc>
        <w:tc>
          <w:tcPr>
            <w:tcW w:w="2437" w:type="pct"/>
            <w:gridSpan w:val="2"/>
            <w:tcBorders>
              <w:top w:val="single" w:color="auto" w:sz="4" w:space="0"/>
              <w:left w:val="single" w:color="auto" w:sz="4" w:space="0"/>
              <w:bottom w:val="single" w:color="auto" w:sz="2" w:space="0"/>
              <w:right w:val="single" w:color="auto" w:sz="4" w:space="0"/>
            </w:tcBorders>
            <w:vAlign w:val="center"/>
          </w:tcPr>
          <w:p w14:paraId="2B0C5D08">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乙方（供应商）</w:t>
            </w:r>
          </w:p>
        </w:tc>
      </w:tr>
      <w:tr w14:paraId="319323D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4" w:space="0"/>
              <w:left w:val="single" w:color="auto" w:sz="4" w:space="0"/>
              <w:bottom w:val="single" w:color="auto" w:sz="4" w:space="0"/>
              <w:right w:val="single" w:color="auto" w:sz="4" w:space="0"/>
            </w:tcBorders>
            <w:vAlign w:val="center"/>
          </w:tcPr>
          <w:p w14:paraId="54363FE5">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单位名称（公章或合同章）</w:t>
            </w:r>
          </w:p>
        </w:tc>
        <w:tc>
          <w:tcPr>
            <w:tcW w:w="1436" w:type="pct"/>
            <w:tcBorders>
              <w:top w:val="single" w:color="auto" w:sz="4" w:space="0"/>
              <w:left w:val="single" w:color="auto" w:sz="4" w:space="0"/>
              <w:bottom w:val="single" w:color="auto" w:sz="4" w:space="0"/>
              <w:right w:val="single" w:color="auto" w:sz="4" w:space="0"/>
            </w:tcBorders>
            <w:vAlign w:val="center"/>
          </w:tcPr>
          <w:p w14:paraId="403E208A">
            <w:pPr>
              <w:adjustRightInd w:val="0"/>
              <w:snapToGrid w:val="0"/>
              <w:spacing w:line="360" w:lineRule="auto"/>
              <w:jc w:val="center"/>
              <w:rPr>
                <w:rFonts w:hint="eastAsia" w:ascii="宋体" w:hAnsi="宋体" w:eastAsia="宋体" w:cs="宋体"/>
                <w:color w:val="auto"/>
                <w:sz w:val="24"/>
                <w:szCs w:val="24"/>
                <w:highlight w:val="none"/>
              </w:rPr>
            </w:pPr>
          </w:p>
        </w:tc>
        <w:tc>
          <w:tcPr>
            <w:tcW w:w="1177" w:type="pct"/>
            <w:tcBorders>
              <w:top w:val="single" w:color="auto" w:sz="4" w:space="0"/>
              <w:left w:val="single" w:color="auto" w:sz="4" w:space="0"/>
              <w:bottom w:val="single" w:color="auto" w:sz="2" w:space="0"/>
              <w:right w:val="single" w:color="auto" w:sz="4" w:space="0"/>
            </w:tcBorders>
            <w:vAlign w:val="center"/>
          </w:tcPr>
          <w:p w14:paraId="2A731AA3">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单位名称（公章或合同章）</w:t>
            </w:r>
          </w:p>
        </w:tc>
        <w:tc>
          <w:tcPr>
            <w:tcW w:w="1259" w:type="pct"/>
            <w:tcBorders>
              <w:top w:val="single" w:color="auto" w:sz="2" w:space="0"/>
              <w:left w:val="single" w:color="auto" w:sz="4" w:space="0"/>
              <w:bottom w:val="single" w:color="auto" w:sz="2" w:space="0"/>
              <w:right w:val="single" w:color="auto" w:sz="4" w:space="0"/>
            </w:tcBorders>
            <w:vAlign w:val="center"/>
          </w:tcPr>
          <w:p w14:paraId="1CD1A427">
            <w:pPr>
              <w:adjustRightInd w:val="0"/>
              <w:snapToGrid w:val="0"/>
              <w:spacing w:line="360" w:lineRule="auto"/>
              <w:jc w:val="center"/>
              <w:rPr>
                <w:rFonts w:hint="eastAsia" w:ascii="宋体" w:hAnsi="宋体" w:eastAsia="宋体" w:cs="宋体"/>
                <w:color w:val="auto"/>
                <w:spacing w:val="20"/>
                <w:sz w:val="24"/>
                <w:szCs w:val="24"/>
                <w:highlight w:val="none"/>
              </w:rPr>
            </w:pPr>
          </w:p>
        </w:tc>
      </w:tr>
      <w:tr w14:paraId="03573BF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4" w:space="0"/>
              <w:left w:val="single" w:color="auto" w:sz="4" w:space="0"/>
              <w:bottom w:val="single" w:color="auto" w:sz="4" w:space="0"/>
              <w:right w:val="single" w:color="auto" w:sz="4" w:space="0"/>
            </w:tcBorders>
            <w:vAlign w:val="center"/>
          </w:tcPr>
          <w:p w14:paraId="74D2C75E">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法定代表人</w:t>
            </w:r>
          </w:p>
          <w:p w14:paraId="5537604D">
            <w:pPr>
              <w:adjustRightInd w:val="0"/>
              <w:snapToGrid w:val="0"/>
              <w:spacing w:line="360" w:lineRule="auto"/>
              <w:ind w:firstLine="115" w:firstLineChars="48"/>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或其委托代理人（签章）</w:t>
            </w:r>
          </w:p>
        </w:tc>
        <w:tc>
          <w:tcPr>
            <w:tcW w:w="1436" w:type="pct"/>
            <w:vMerge w:val="restart"/>
            <w:tcBorders>
              <w:top w:val="single" w:color="auto" w:sz="4" w:space="0"/>
              <w:left w:val="single" w:color="auto" w:sz="4" w:space="0"/>
              <w:bottom w:val="single" w:color="auto" w:sz="4" w:space="0"/>
              <w:right w:val="single" w:color="auto" w:sz="4" w:space="0"/>
            </w:tcBorders>
            <w:vAlign w:val="center"/>
          </w:tcPr>
          <w:p w14:paraId="48764D41">
            <w:pPr>
              <w:adjustRightInd w:val="0"/>
              <w:snapToGrid w:val="0"/>
              <w:spacing w:line="360" w:lineRule="auto"/>
              <w:jc w:val="center"/>
              <w:rPr>
                <w:rFonts w:hint="eastAsia" w:ascii="宋体" w:hAnsi="宋体" w:eastAsia="宋体" w:cs="宋体"/>
                <w:color w:val="auto"/>
                <w:sz w:val="24"/>
                <w:szCs w:val="24"/>
                <w:highlight w:val="none"/>
              </w:rPr>
            </w:pPr>
          </w:p>
        </w:tc>
        <w:tc>
          <w:tcPr>
            <w:tcW w:w="1177" w:type="pct"/>
            <w:tcBorders>
              <w:top w:val="single" w:color="auto" w:sz="2" w:space="0"/>
              <w:left w:val="single" w:color="auto" w:sz="4" w:space="0"/>
              <w:bottom w:val="single" w:color="auto" w:sz="4" w:space="0"/>
              <w:right w:val="single" w:color="auto" w:sz="4" w:space="0"/>
            </w:tcBorders>
            <w:vAlign w:val="center"/>
          </w:tcPr>
          <w:p w14:paraId="7D7E83F0">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法定代表人</w:t>
            </w:r>
          </w:p>
          <w:p w14:paraId="79987968">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或其委托代理人（签章）</w:t>
            </w:r>
          </w:p>
        </w:tc>
        <w:tc>
          <w:tcPr>
            <w:tcW w:w="1259" w:type="pct"/>
            <w:tcBorders>
              <w:top w:val="single" w:color="auto" w:sz="2" w:space="0"/>
              <w:left w:val="single" w:color="auto" w:sz="4" w:space="0"/>
              <w:bottom w:val="single" w:color="auto" w:sz="2" w:space="0"/>
              <w:right w:val="single" w:color="auto" w:sz="4" w:space="0"/>
            </w:tcBorders>
            <w:vAlign w:val="center"/>
          </w:tcPr>
          <w:p w14:paraId="69768849">
            <w:pPr>
              <w:adjustRightInd w:val="0"/>
              <w:snapToGrid w:val="0"/>
              <w:spacing w:line="360" w:lineRule="auto"/>
              <w:jc w:val="center"/>
              <w:rPr>
                <w:rFonts w:hint="eastAsia" w:ascii="宋体" w:hAnsi="宋体" w:eastAsia="宋体" w:cs="宋体"/>
                <w:color w:val="auto"/>
                <w:sz w:val="24"/>
                <w:szCs w:val="24"/>
                <w:highlight w:val="none"/>
              </w:rPr>
            </w:pPr>
          </w:p>
        </w:tc>
      </w:tr>
      <w:tr w14:paraId="47BA984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top w:val="single" w:color="auto" w:sz="4" w:space="0"/>
              <w:left w:val="single" w:color="auto" w:sz="4" w:space="0"/>
              <w:bottom w:val="single" w:color="auto" w:sz="4" w:space="0"/>
              <w:right w:val="single" w:color="auto" w:sz="4" w:space="0"/>
            </w:tcBorders>
            <w:vAlign w:val="center"/>
          </w:tcPr>
          <w:p w14:paraId="44A3B48A">
            <w:pPr>
              <w:rPr>
                <w:rFonts w:ascii="Times New Roman" w:hAnsi="Times New Roman" w:cs="Times New Roman"/>
                <w:color w:val="auto"/>
                <w:sz w:val="20"/>
                <w:highlight w:val="none"/>
              </w:rPr>
            </w:pPr>
          </w:p>
        </w:tc>
        <w:tc>
          <w:tcPr>
            <w:tcW w:w="1436" w:type="pct"/>
            <w:vMerge w:val="continue"/>
            <w:tcBorders>
              <w:top w:val="single" w:color="auto" w:sz="4" w:space="0"/>
              <w:left w:val="single" w:color="auto" w:sz="4" w:space="0"/>
              <w:bottom w:val="single" w:color="auto" w:sz="4" w:space="0"/>
              <w:right w:val="single" w:color="auto" w:sz="4" w:space="0"/>
            </w:tcBorders>
            <w:vAlign w:val="center"/>
          </w:tcPr>
          <w:p w14:paraId="5751F51D">
            <w:pPr>
              <w:rPr>
                <w:rFonts w:ascii="Times New Roman" w:hAnsi="Times New Roman" w:cs="Times New Roman"/>
                <w:color w:val="auto"/>
                <w:sz w:val="20"/>
                <w:highlight w:val="none"/>
              </w:rPr>
            </w:pPr>
          </w:p>
        </w:tc>
        <w:tc>
          <w:tcPr>
            <w:tcW w:w="1177" w:type="pct"/>
            <w:tcBorders>
              <w:top w:val="single" w:color="auto" w:sz="4" w:space="0"/>
              <w:left w:val="single" w:color="auto" w:sz="4" w:space="0"/>
              <w:bottom w:val="single" w:color="auto" w:sz="2" w:space="0"/>
              <w:right w:val="single" w:color="auto" w:sz="4" w:space="0"/>
            </w:tcBorders>
            <w:vAlign w:val="center"/>
          </w:tcPr>
          <w:p w14:paraId="7E353159">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拥有者性别</w:t>
            </w:r>
          </w:p>
        </w:tc>
        <w:tc>
          <w:tcPr>
            <w:tcW w:w="1259" w:type="pct"/>
            <w:tcBorders>
              <w:top w:val="single" w:color="auto" w:sz="2" w:space="0"/>
              <w:left w:val="single" w:color="auto" w:sz="4" w:space="0"/>
              <w:bottom w:val="single" w:color="auto" w:sz="2" w:space="0"/>
              <w:right w:val="single" w:color="auto" w:sz="4" w:space="0"/>
            </w:tcBorders>
            <w:vAlign w:val="center"/>
          </w:tcPr>
          <w:p w14:paraId="59B31F0A">
            <w:pPr>
              <w:adjustRightInd w:val="0"/>
              <w:snapToGrid w:val="0"/>
              <w:spacing w:line="360" w:lineRule="auto"/>
              <w:jc w:val="center"/>
              <w:rPr>
                <w:rFonts w:hint="eastAsia" w:ascii="宋体" w:hAnsi="宋体" w:eastAsia="宋体" w:cs="宋体"/>
                <w:color w:val="auto"/>
                <w:spacing w:val="20"/>
                <w:sz w:val="24"/>
                <w:szCs w:val="24"/>
                <w:highlight w:val="none"/>
              </w:rPr>
            </w:pPr>
          </w:p>
        </w:tc>
      </w:tr>
      <w:tr w14:paraId="0CE70A5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4" w:space="0"/>
              <w:left w:val="single" w:color="auto" w:sz="4" w:space="0"/>
              <w:bottom w:val="single" w:color="auto" w:sz="2" w:space="0"/>
              <w:right w:val="single" w:color="auto" w:sz="4" w:space="0"/>
            </w:tcBorders>
            <w:vAlign w:val="center"/>
          </w:tcPr>
          <w:p w14:paraId="5C70A6DF">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住  所</w:t>
            </w:r>
          </w:p>
        </w:tc>
        <w:tc>
          <w:tcPr>
            <w:tcW w:w="1436" w:type="pct"/>
            <w:tcBorders>
              <w:top w:val="single" w:color="auto" w:sz="4" w:space="0"/>
              <w:left w:val="single" w:color="auto" w:sz="4" w:space="0"/>
              <w:bottom w:val="single" w:color="auto" w:sz="2" w:space="0"/>
              <w:right w:val="single" w:color="auto" w:sz="4" w:space="0"/>
            </w:tcBorders>
            <w:vAlign w:val="center"/>
          </w:tcPr>
          <w:p w14:paraId="68BE9300">
            <w:pPr>
              <w:adjustRightInd w:val="0"/>
              <w:snapToGrid w:val="0"/>
              <w:spacing w:line="360" w:lineRule="auto"/>
              <w:jc w:val="center"/>
              <w:rPr>
                <w:rFonts w:hint="eastAsia" w:ascii="宋体" w:hAnsi="宋体" w:eastAsia="宋体" w:cs="宋体"/>
                <w:color w:val="auto"/>
                <w:sz w:val="24"/>
                <w:szCs w:val="24"/>
                <w:highlight w:val="none"/>
              </w:rPr>
            </w:pPr>
          </w:p>
        </w:tc>
        <w:tc>
          <w:tcPr>
            <w:tcW w:w="1177" w:type="pct"/>
            <w:tcBorders>
              <w:top w:val="single" w:color="auto" w:sz="2" w:space="0"/>
              <w:left w:val="single" w:color="auto" w:sz="4" w:space="0"/>
              <w:bottom w:val="single" w:color="auto" w:sz="2" w:space="0"/>
              <w:right w:val="single" w:color="auto" w:sz="4" w:space="0"/>
            </w:tcBorders>
            <w:vAlign w:val="center"/>
          </w:tcPr>
          <w:p w14:paraId="721A469B">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住  所</w:t>
            </w:r>
          </w:p>
        </w:tc>
        <w:tc>
          <w:tcPr>
            <w:tcW w:w="1259" w:type="pct"/>
            <w:tcBorders>
              <w:top w:val="single" w:color="auto" w:sz="2" w:space="0"/>
              <w:left w:val="single" w:color="auto" w:sz="4" w:space="0"/>
              <w:bottom w:val="single" w:color="auto" w:sz="2" w:space="0"/>
              <w:right w:val="single" w:color="auto" w:sz="4" w:space="0"/>
            </w:tcBorders>
            <w:vAlign w:val="center"/>
          </w:tcPr>
          <w:p w14:paraId="75139FD1">
            <w:pPr>
              <w:adjustRightInd w:val="0"/>
              <w:snapToGrid w:val="0"/>
              <w:spacing w:line="360" w:lineRule="auto"/>
              <w:jc w:val="center"/>
              <w:rPr>
                <w:rFonts w:hint="eastAsia" w:ascii="宋体" w:hAnsi="宋体" w:eastAsia="宋体" w:cs="宋体"/>
                <w:color w:val="auto"/>
                <w:spacing w:val="20"/>
                <w:sz w:val="24"/>
                <w:szCs w:val="24"/>
                <w:highlight w:val="none"/>
              </w:rPr>
            </w:pPr>
          </w:p>
        </w:tc>
      </w:tr>
      <w:tr w14:paraId="0D5AD54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left w:val="single" w:color="auto" w:sz="4" w:space="0"/>
              <w:bottom w:val="single" w:color="auto" w:sz="2" w:space="0"/>
              <w:right w:val="single" w:color="auto" w:sz="4" w:space="0"/>
            </w:tcBorders>
            <w:vAlign w:val="center"/>
          </w:tcPr>
          <w:p w14:paraId="1684775C">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联 系 人</w:t>
            </w:r>
          </w:p>
        </w:tc>
        <w:tc>
          <w:tcPr>
            <w:tcW w:w="1436" w:type="pct"/>
            <w:tcBorders>
              <w:top w:val="single" w:color="auto" w:sz="2" w:space="0"/>
              <w:left w:val="single" w:color="auto" w:sz="4" w:space="0"/>
              <w:bottom w:val="single" w:color="auto" w:sz="2" w:space="0"/>
              <w:right w:val="single" w:color="auto" w:sz="4" w:space="0"/>
            </w:tcBorders>
            <w:vAlign w:val="center"/>
          </w:tcPr>
          <w:p w14:paraId="72E3D065">
            <w:pPr>
              <w:adjustRightInd w:val="0"/>
              <w:snapToGrid w:val="0"/>
              <w:spacing w:line="360" w:lineRule="auto"/>
              <w:jc w:val="center"/>
              <w:rPr>
                <w:rFonts w:hint="eastAsia" w:ascii="宋体" w:hAnsi="宋体" w:eastAsia="宋体" w:cs="宋体"/>
                <w:color w:val="auto"/>
                <w:sz w:val="24"/>
                <w:szCs w:val="24"/>
                <w:highlight w:val="none"/>
              </w:rPr>
            </w:pPr>
          </w:p>
        </w:tc>
        <w:tc>
          <w:tcPr>
            <w:tcW w:w="1177" w:type="pct"/>
            <w:tcBorders>
              <w:top w:val="single" w:color="auto" w:sz="2" w:space="0"/>
              <w:left w:val="single" w:color="auto" w:sz="4" w:space="0"/>
              <w:bottom w:val="single" w:color="auto" w:sz="2" w:space="0"/>
              <w:right w:val="single" w:color="auto" w:sz="4" w:space="0"/>
            </w:tcBorders>
            <w:vAlign w:val="center"/>
          </w:tcPr>
          <w:p w14:paraId="28BEB9F0">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联 系 人</w:t>
            </w:r>
          </w:p>
        </w:tc>
        <w:tc>
          <w:tcPr>
            <w:tcW w:w="1259" w:type="pct"/>
            <w:tcBorders>
              <w:top w:val="single" w:color="auto" w:sz="2" w:space="0"/>
              <w:left w:val="single" w:color="auto" w:sz="4" w:space="0"/>
              <w:bottom w:val="single" w:color="auto" w:sz="2" w:space="0"/>
              <w:right w:val="single" w:color="auto" w:sz="4" w:space="0"/>
            </w:tcBorders>
            <w:vAlign w:val="center"/>
          </w:tcPr>
          <w:p w14:paraId="37F000C8">
            <w:pPr>
              <w:adjustRightInd w:val="0"/>
              <w:snapToGrid w:val="0"/>
              <w:spacing w:line="360" w:lineRule="auto"/>
              <w:jc w:val="center"/>
              <w:rPr>
                <w:rFonts w:hint="eastAsia" w:ascii="宋体" w:hAnsi="宋体" w:eastAsia="宋体" w:cs="宋体"/>
                <w:color w:val="auto"/>
                <w:spacing w:val="20"/>
                <w:sz w:val="24"/>
                <w:szCs w:val="24"/>
                <w:highlight w:val="none"/>
              </w:rPr>
            </w:pPr>
          </w:p>
        </w:tc>
      </w:tr>
      <w:tr w14:paraId="11AC980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left w:val="single" w:color="auto" w:sz="4" w:space="0"/>
              <w:bottom w:val="single" w:color="auto" w:sz="2" w:space="0"/>
              <w:right w:val="single" w:color="auto" w:sz="4" w:space="0"/>
            </w:tcBorders>
            <w:vAlign w:val="center"/>
          </w:tcPr>
          <w:p w14:paraId="70B47F05">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联系电话</w:t>
            </w:r>
          </w:p>
        </w:tc>
        <w:tc>
          <w:tcPr>
            <w:tcW w:w="1436" w:type="pct"/>
            <w:tcBorders>
              <w:top w:val="single" w:color="auto" w:sz="2" w:space="0"/>
              <w:left w:val="single" w:color="auto" w:sz="4" w:space="0"/>
              <w:bottom w:val="single" w:color="auto" w:sz="2" w:space="0"/>
              <w:right w:val="single" w:color="auto" w:sz="4" w:space="0"/>
            </w:tcBorders>
            <w:vAlign w:val="center"/>
          </w:tcPr>
          <w:p w14:paraId="5779E38B">
            <w:pPr>
              <w:adjustRightInd w:val="0"/>
              <w:snapToGrid w:val="0"/>
              <w:spacing w:line="360" w:lineRule="auto"/>
              <w:jc w:val="center"/>
              <w:rPr>
                <w:rFonts w:hint="eastAsia" w:ascii="宋体" w:hAnsi="宋体" w:eastAsia="宋体" w:cs="宋体"/>
                <w:color w:val="auto"/>
                <w:sz w:val="24"/>
                <w:szCs w:val="24"/>
                <w:highlight w:val="none"/>
              </w:rPr>
            </w:pPr>
          </w:p>
        </w:tc>
        <w:tc>
          <w:tcPr>
            <w:tcW w:w="1177" w:type="pct"/>
            <w:tcBorders>
              <w:top w:val="single" w:color="auto" w:sz="2" w:space="0"/>
              <w:left w:val="single" w:color="auto" w:sz="4" w:space="0"/>
              <w:bottom w:val="single" w:color="auto" w:sz="2" w:space="0"/>
              <w:right w:val="single" w:color="auto" w:sz="4" w:space="0"/>
            </w:tcBorders>
            <w:vAlign w:val="center"/>
          </w:tcPr>
          <w:p w14:paraId="7A1B27BB">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联系电话</w:t>
            </w:r>
          </w:p>
        </w:tc>
        <w:tc>
          <w:tcPr>
            <w:tcW w:w="1259" w:type="pct"/>
            <w:tcBorders>
              <w:top w:val="single" w:color="auto" w:sz="2" w:space="0"/>
              <w:left w:val="single" w:color="auto" w:sz="4" w:space="0"/>
              <w:bottom w:val="single" w:color="auto" w:sz="2" w:space="0"/>
              <w:right w:val="single" w:color="auto" w:sz="4" w:space="0"/>
            </w:tcBorders>
            <w:vAlign w:val="center"/>
          </w:tcPr>
          <w:p w14:paraId="7ED021C6">
            <w:pPr>
              <w:adjustRightInd w:val="0"/>
              <w:snapToGrid w:val="0"/>
              <w:spacing w:line="360" w:lineRule="auto"/>
              <w:jc w:val="center"/>
              <w:rPr>
                <w:rFonts w:hint="eastAsia" w:ascii="宋体" w:hAnsi="宋体" w:eastAsia="宋体" w:cs="宋体"/>
                <w:color w:val="auto"/>
                <w:spacing w:val="20"/>
                <w:sz w:val="24"/>
                <w:szCs w:val="24"/>
                <w:highlight w:val="none"/>
              </w:rPr>
            </w:pPr>
          </w:p>
        </w:tc>
      </w:tr>
      <w:tr w14:paraId="2912C22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left w:val="single" w:color="auto" w:sz="4" w:space="0"/>
              <w:bottom w:val="single" w:color="auto" w:sz="2" w:space="0"/>
              <w:right w:val="single" w:color="auto" w:sz="4" w:space="0"/>
            </w:tcBorders>
            <w:vAlign w:val="center"/>
          </w:tcPr>
          <w:p w14:paraId="2551EC96">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通信地址</w:t>
            </w:r>
          </w:p>
        </w:tc>
        <w:tc>
          <w:tcPr>
            <w:tcW w:w="1436" w:type="pct"/>
            <w:tcBorders>
              <w:top w:val="single" w:color="auto" w:sz="2" w:space="0"/>
              <w:left w:val="single" w:color="auto" w:sz="4" w:space="0"/>
              <w:bottom w:val="single" w:color="auto" w:sz="2" w:space="0"/>
              <w:right w:val="single" w:color="auto" w:sz="4" w:space="0"/>
            </w:tcBorders>
            <w:vAlign w:val="center"/>
          </w:tcPr>
          <w:p w14:paraId="52EE035E">
            <w:pPr>
              <w:adjustRightInd w:val="0"/>
              <w:snapToGrid w:val="0"/>
              <w:spacing w:line="360" w:lineRule="auto"/>
              <w:jc w:val="center"/>
              <w:rPr>
                <w:rFonts w:hint="eastAsia" w:ascii="宋体" w:hAnsi="宋体" w:eastAsia="宋体" w:cs="宋体"/>
                <w:color w:val="auto"/>
                <w:sz w:val="24"/>
                <w:szCs w:val="24"/>
                <w:highlight w:val="none"/>
              </w:rPr>
            </w:pPr>
          </w:p>
        </w:tc>
        <w:tc>
          <w:tcPr>
            <w:tcW w:w="1177" w:type="pct"/>
            <w:tcBorders>
              <w:top w:val="single" w:color="auto" w:sz="2" w:space="0"/>
              <w:left w:val="single" w:color="auto" w:sz="4" w:space="0"/>
              <w:bottom w:val="single" w:color="auto" w:sz="2" w:space="0"/>
              <w:right w:val="single" w:color="auto" w:sz="4" w:space="0"/>
            </w:tcBorders>
            <w:vAlign w:val="center"/>
          </w:tcPr>
          <w:p w14:paraId="100414ED">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通信地址</w:t>
            </w:r>
          </w:p>
        </w:tc>
        <w:tc>
          <w:tcPr>
            <w:tcW w:w="1259" w:type="pct"/>
            <w:tcBorders>
              <w:top w:val="single" w:color="auto" w:sz="2" w:space="0"/>
              <w:left w:val="single" w:color="auto" w:sz="4" w:space="0"/>
              <w:bottom w:val="single" w:color="auto" w:sz="2" w:space="0"/>
              <w:right w:val="single" w:color="auto" w:sz="4" w:space="0"/>
            </w:tcBorders>
            <w:vAlign w:val="center"/>
          </w:tcPr>
          <w:p w14:paraId="07A39188">
            <w:pPr>
              <w:adjustRightInd w:val="0"/>
              <w:snapToGrid w:val="0"/>
              <w:spacing w:line="360" w:lineRule="auto"/>
              <w:jc w:val="center"/>
              <w:rPr>
                <w:rFonts w:hint="eastAsia" w:ascii="宋体" w:hAnsi="宋体" w:eastAsia="宋体" w:cs="宋体"/>
                <w:color w:val="auto"/>
                <w:spacing w:val="20"/>
                <w:sz w:val="24"/>
                <w:szCs w:val="24"/>
                <w:highlight w:val="none"/>
              </w:rPr>
            </w:pPr>
          </w:p>
        </w:tc>
      </w:tr>
      <w:tr w14:paraId="755076D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left w:val="single" w:color="auto" w:sz="4" w:space="0"/>
              <w:bottom w:val="single" w:color="auto" w:sz="2" w:space="0"/>
              <w:right w:val="single" w:color="auto" w:sz="4" w:space="0"/>
            </w:tcBorders>
            <w:vAlign w:val="center"/>
          </w:tcPr>
          <w:p w14:paraId="4FB04C41">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邮政编码</w:t>
            </w:r>
          </w:p>
        </w:tc>
        <w:tc>
          <w:tcPr>
            <w:tcW w:w="1436" w:type="pct"/>
            <w:tcBorders>
              <w:top w:val="single" w:color="auto" w:sz="2" w:space="0"/>
              <w:left w:val="single" w:color="auto" w:sz="4" w:space="0"/>
              <w:bottom w:val="single" w:color="auto" w:sz="2" w:space="0"/>
              <w:right w:val="single" w:color="auto" w:sz="4" w:space="0"/>
            </w:tcBorders>
            <w:vAlign w:val="center"/>
          </w:tcPr>
          <w:p w14:paraId="396A48E2">
            <w:pPr>
              <w:adjustRightInd w:val="0"/>
              <w:snapToGrid w:val="0"/>
              <w:spacing w:line="360" w:lineRule="auto"/>
              <w:jc w:val="center"/>
              <w:rPr>
                <w:rFonts w:hint="eastAsia" w:ascii="宋体" w:hAnsi="宋体" w:eastAsia="宋体" w:cs="宋体"/>
                <w:color w:val="auto"/>
                <w:sz w:val="24"/>
                <w:szCs w:val="24"/>
                <w:highlight w:val="none"/>
              </w:rPr>
            </w:pPr>
          </w:p>
        </w:tc>
        <w:tc>
          <w:tcPr>
            <w:tcW w:w="1177" w:type="pct"/>
            <w:tcBorders>
              <w:top w:val="single" w:color="auto" w:sz="2" w:space="0"/>
              <w:left w:val="single" w:color="auto" w:sz="4" w:space="0"/>
              <w:bottom w:val="single" w:color="auto" w:sz="2" w:space="0"/>
              <w:right w:val="single" w:color="auto" w:sz="4" w:space="0"/>
            </w:tcBorders>
            <w:vAlign w:val="center"/>
          </w:tcPr>
          <w:p w14:paraId="3D7AD5D3">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邮政编码</w:t>
            </w:r>
          </w:p>
        </w:tc>
        <w:tc>
          <w:tcPr>
            <w:tcW w:w="1259" w:type="pct"/>
            <w:tcBorders>
              <w:top w:val="single" w:color="auto" w:sz="2" w:space="0"/>
              <w:left w:val="single" w:color="auto" w:sz="4" w:space="0"/>
              <w:bottom w:val="single" w:color="auto" w:sz="2" w:space="0"/>
              <w:right w:val="single" w:color="auto" w:sz="4" w:space="0"/>
            </w:tcBorders>
            <w:vAlign w:val="center"/>
          </w:tcPr>
          <w:p w14:paraId="2C69E3AF">
            <w:pPr>
              <w:adjustRightInd w:val="0"/>
              <w:snapToGrid w:val="0"/>
              <w:spacing w:line="360" w:lineRule="auto"/>
              <w:jc w:val="center"/>
              <w:rPr>
                <w:rFonts w:hint="eastAsia" w:ascii="宋体" w:hAnsi="宋体" w:eastAsia="宋体" w:cs="宋体"/>
                <w:color w:val="auto"/>
                <w:spacing w:val="20"/>
                <w:sz w:val="24"/>
                <w:szCs w:val="24"/>
                <w:highlight w:val="none"/>
              </w:rPr>
            </w:pPr>
          </w:p>
        </w:tc>
      </w:tr>
      <w:tr w14:paraId="4FA80AC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left w:val="single" w:color="auto" w:sz="4" w:space="0"/>
              <w:bottom w:val="single" w:color="auto" w:sz="2" w:space="0"/>
              <w:right w:val="single" w:color="auto" w:sz="4" w:space="0"/>
            </w:tcBorders>
            <w:vAlign w:val="center"/>
          </w:tcPr>
          <w:p w14:paraId="2AEC97EF">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电子邮箱</w:t>
            </w:r>
          </w:p>
        </w:tc>
        <w:tc>
          <w:tcPr>
            <w:tcW w:w="1436" w:type="pct"/>
            <w:tcBorders>
              <w:top w:val="single" w:color="auto" w:sz="2" w:space="0"/>
              <w:left w:val="single" w:color="auto" w:sz="4" w:space="0"/>
              <w:bottom w:val="single" w:color="auto" w:sz="2" w:space="0"/>
              <w:right w:val="single" w:color="auto" w:sz="4" w:space="0"/>
            </w:tcBorders>
            <w:vAlign w:val="center"/>
          </w:tcPr>
          <w:p w14:paraId="518D86B6">
            <w:pPr>
              <w:adjustRightInd w:val="0"/>
              <w:snapToGrid w:val="0"/>
              <w:spacing w:line="360" w:lineRule="auto"/>
              <w:jc w:val="center"/>
              <w:rPr>
                <w:rFonts w:hint="eastAsia" w:ascii="宋体" w:hAnsi="宋体" w:eastAsia="宋体" w:cs="宋体"/>
                <w:color w:val="auto"/>
                <w:sz w:val="24"/>
                <w:szCs w:val="24"/>
                <w:highlight w:val="none"/>
              </w:rPr>
            </w:pPr>
          </w:p>
        </w:tc>
        <w:tc>
          <w:tcPr>
            <w:tcW w:w="1177" w:type="pct"/>
            <w:tcBorders>
              <w:top w:val="single" w:color="auto" w:sz="2" w:space="0"/>
              <w:left w:val="single" w:color="auto" w:sz="4" w:space="0"/>
              <w:bottom w:val="single" w:color="auto" w:sz="2" w:space="0"/>
              <w:right w:val="single" w:color="auto" w:sz="4" w:space="0"/>
            </w:tcBorders>
            <w:vAlign w:val="center"/>
          </w:tcPr>
          <w:p w14:paraId="3D75DA9F">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电子邮箱</w:t>
            </w:r>
          </w:p>
        </w:tc>
        <w:tc>
          <w:tcPr>
            <w:tcW w:w="1259" w:type="pct"/>
            <w:tcBorders>
              <w:top w:val="single" w:color="auto" w:sz="2" w:space="0"/>
              <w:left w:val="single" w:color="auto" w:sz="4" w:space="0"/>
              <w:bottom w:val="single" w:color="auto" w:sz="2" w:space="0"/>
              <w:right w:val="single" w:color="auto" w:sz="4" w:space="0"/>
            </w:tcBorders>
            <w:vAlign w:val="center"/>
          </w:tcPr>
          <w:p w14:paraId="6D50CBD1">
            <w:pPr>
              <w:adjustRightInd w:val="0"/>
              <w:snapToGrid w:val="0"/>
              <w:spacing w:line="360" w:lineRule="auto"/>
              <w:jc w:val="center"/>
              <w:rPr>
                <w:rFonts w:hint="eastAsia" w:ascii="宋体" w:hAnsi="宋体" w:eastAsia="宋体" w:cs="宋体"/>
                <w:color w:val="auto"/>
                <w:spacing w:val="20"/>
                <w:sz w:val="24"/>
                <w:szCs w:val="24"/>
                <w:highlight w:val="none"/>
              </w:rPr>
            </w:pPr>
          </w:p>
        </w:tc>
      </w:tr>
      <w:tr w14:paraId="6DD0580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left w:val="single" w:color="auto" w:sz="4" w:space="0"/>
              <w:bottom w:val="single" w:color="auto" w:sz="2" w:space="0"/>
              <w:right w:val="single" w:color="auto" w:sz="4" w:space="0"/>
            </w:tcBorders>
            <w:vAlign w:val="center"/>
          </w:tcPr>
          <w:p w14:paraId="7CB19BCD">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统一社会信用代码</w:t>
            </w:r>
          </w:p>
        </w:tc>
        <w:tc>
          <w:tcPr>
            <w:tcW w:w="1436" w:type="pct"/>
            <w:tcBorders>
              <w:top w:val="single" w:color="auto" w:sz="2" w:space="0"/>
              <w:left w:val="single" w:color="auto" w:sz="4" w:space="0"/>
              <w:bottom w:val="single" w:color="auto" w:sz="2" w:space="0"/>
              <w:right w:val="single" w:color="auto" w:sz="4" w:space="0"/>
            </w:tcBorders>
            <w:vAlign w:val="center"/>
          </w:tcPr>
          <w:p w14:paraId="44B2F3D2">
            <w:pPr>
              <w:adjustRightInd w:val="0"/>
              <w:snapToGrid w:val="0"/>
              <w:spacing w:line="360" w:lineRule="auto"/>
              <w:jc w:val="center"/>
              <w:rPr>
                <w:rFonts w:hint="eastAsia" w:ascii="宋体" w:hAnsi="宋体" w:eastAsia="宋体" w:cs="宋体"/>
                <w:color w:val="auto"/>
                <w:sz w:val="24"/>
                <w:szCs w:val="24"/>
                <w:highlight w:val="none"/>
              </w:rPr>
            </w:pPr>
          </w:p>
        </w:tc>
        <w:tc>
          <w:tcPr>
            <w:tcW w:w="1177" w:type="pct"/>
            <w:tcBorders>
              <w:top w:val="single" w:color="auto" w:sz="2" w:space="0"/>
              <w:left w:val="single" w:color="auto" w:sz="4" w:space="0"/>
              <w:bottom w:val="single" w:color="auto" w:sz="2" w:space="0"/>
              <w:right w:val="single" w:color="auto" w:sz="4" w:space="0"/>
            </w:tcBorders>
            <w:vAlign w:val="center"/>
          </w:tcPr>
          <w:p w14:paraId="20408BF1">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统一社会信用代码</w:t>
            </w:r>
          </w:p>
        </w:tc>
        <w:tc>
          <w:tcPr>
            <w:tcW w:w="1259" w:type="pct"/>
            <w:tcBorders>
              <w:top w:val="single" w:color="auto" w:sz="2" w:space="0"/>
              <w:left w:val="single" w:color="auto" w:sz="4" w:space="0"/>
              <w:bottom w:val="single" w:color="auto" w:sz="2" w:space="0"/>
              <w:right w:val="single" w:color="auto" w:sz="4" w:space="0"/>
            </w:tcBorders>
            <w:vAlign w:val="center"/>
          </w:tcPr>
          <w:p w14:paraId="67456F6B">
            <w:pPr>
              <w:adjustRightInd w:val="0"/>
              <w:snapToGrid w:val="0"/>
              <w:spacing w:line="360" w:lineRule="auto"/>
              <w:jc w:val="center"/>
              <w:rPr>
                <w:rFonts w:hint="eastAsia" w:ascii="宋体" w:hAnsi="宋体" w:eastAsia="宋体" w:cs="宋体"/>
                <w:color w:val="auto"/>
                <w:spacing w:val="20"/>
                <w:sz w:val="24"/>
                <w:szCs w:val="24"/>
                <w:highlight w:val="none"/>
              </w:rPr>
            </w:pPr>
          </w:p>
        </w:tc>
      </w:tr>
      <w:tr w14:paraId="1B7D738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left w:val="single" w:color="auto" w:sz="4" w:space="0"/>
              <w:bottom w:val="single" w:color="auto" w:sz="2" w:space="0"/>
              <w:right w:val="single" w:color="auto" w:sz="4" w:space="0"/>
            </w:tcBorders>
            <w:vAlign w:val="center"/>
          </w:tcPr>
          <w:p w14:paraId="6CCDDD8E">
            <w:pPr>
              <w:adjustRightInd w:val="0"/>
              <w:snapToGrid w:val="0"/>
              <w:spacing w:line="360" w:lineRule="auto"/>
              <w:jc w:val="center"/>
              <w:rPr>
                <w:rFonts w:hint="eastAsia" w:ascii="宋体" w:hAnsi="宋体" w:eastAsia="宋体" w:cs="宋体"/>
                <w:color w:val="auto"/>
                <w:sz w:val="24"/>
                <w:szCs w:val="24"/>
                <w:highlight w:val="none"/>
              </w:rPr>
            </w:pPr>
          </w:p>
        </w:tc>
        <w:tc>
          <w:tcPr>
            <w:tcW w:w="1436" w:type="pct"/>
            <w:tcBorders>
              <w:top w:val="single" w:color="auto" w:sz="2" w:space="0"/>
              <w:left w:val="single" w:color="auto" w:sz="4" w:space="0"/>
              <w:bottom w:val="single" w:color="auto" w:sz="2" w:space="0"/>
              <w:right w:val="single" w:color="auto" w:sz="4" w:space="0"/>
            </w:tcBorders>
            <w:vAlign w:val="center"/>
          </w:tcPr>
          <w:p w14:paraId="30B988B2">
            <w:pPr>
              <w:adjustRightInd w:val="0"/>
              <w:snapToGrid w:val="0"/>
              <w:spacing w:line="360" w:lineRule="auto"/>
              <w:jc w:val="center"/>
              <w:rPr>
                <w:rFonts w:hint="eastAsia" w:ascii="宋体" w:hAnsi="宋体" w:eastAsia="宋体" w:cs="宋体"/>
                <w:color w:val="auto"/>
                <w:sz w:val="24"/>
                <w:szCs w:val="24"/>
                <w:highlight w:val="none"/>
              </w:rPr>
            </w:pPr>
          </w:p>
        </w:tc>
        <w:tc>
          <w:tcPr>
            <w:tcW w:w="1177" w:type="pct"/>
            <w:tcBorders>
              <w:top w:val="single" w:color="auto" w:sz="2" w:space="0"/>
              <w:left w:val="single" w:color="auto" w:sz="4" w:space="0"/>
              <w:bottom w:val="single" w:color="auto" w:sz="2" w:space="0"/>
              <w:right w:val="single" w:color="auto" w:sz="4" w:space="0"/>
            </w:tcBorders>
            <w:vAlign w:val="center"/>
          </w:tcPr>
          <w:p w14:paraId="58BDF518">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开户名称</w:t>
            </w:r>
          </w:p>
        </w:tc>
        <w:tc>
          <w:tcPr>
            <w:tcW w:w="1259" w:type="pct"/>
            <w:tcBorders>
              <w:top w:val="single" w:color="auto" w:sz="2" w:space="0"/>
              <w:left w:val="single" w:color="auto" w:sz="4" w:space="0"/>
              <w:bottom w:val="single" w:color="auto" w:sz="2" w:space="0"/>
              <w:right w:val="single" w:color="auto" w:sz="4" w:space="0"/>
            </w:tcBorders>
            <w:vAlign w:val="center"/>
          </w:tcPr>
          <w:p w14:paraId="0A709128">
            <w:pPr>
              <w:adjustRightInd w:val="0"/>
              <w:snapToGrid w:val="0"/>
              <w:spacing w:line="360" w:lineRule="auto"/>
              <w:jc w:val="center"/>
              <w:rPr>
                <w:rFonts w:hint="eastAsia" w:ascii="宋体" w:hAnsi="宋体" w:eastAsia="宋体" w:cs="宋体"/>
                <w:color w:val="auto"/>
                <w:spacing w:val="20"/>
                <w:sz w:val="24"/>
                <w:szCs w:val="24"/>
                <w:highlight w:val="none"/>
              </w:rPr>
            </w:pPr>
          </w:p>
        </w:tc>
      </w:tr>
      <w:tr w14:paraId="7507BDF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left w:val="single" w:color="auto" w:sz="4" w:space="0"/>
              <w:bottom w:val="single" w:color="auto" w:sz="2" w:space="0"/>
              <w:right w:val="single" w:color="auto" w:sz="4" w:space="0"/>
            </w:tcBorders>
            <w:vAlign w:val="center"/>
          </w:tcPr>
          <w:p w14:paraId="36C63DF7">
            <w:pPr>
              <w:adjustRightInd w:val="0"/>
              <w:snapToGrid w:val="0"/>
              <w:spacing w:line="360" w:lineRule="auto"/>
              <w:jc w:val="center"/>
              <w:rPr>
                <w:rFonts w:hint="eastAsia" w:ascii="宋体" w:hAnsi="宋体" w:eastAsia="宋体" w:cs="宋体"/>
                <w:color w:val="auto"/>
                <w:sz w:val="24"/>
                <w:szCs w:val="24"/>
                <w:highlight w:val="none"/>
              </w:rPr>
            </w:pPr>
          </w:p>
        </w:tc>
        <w:tc>
          <w:tcPr>
            <w:tcW w:w="1436" w:type="pct"/>
            <w:tcBorders>
              <w:top w:val="single" w:color="auto" w:sz="2" w:space="0"/>
              <w:left w:val="single" w:color="auto" w:sz="4" w:space="0"/>
              <w:bottom w:val="single" w:color="auto" w:sz="2" w:space="0"/>
              <w:right w:val="single" w:color="auto" w:sz="4" w:space="0"/>
            </w:tcBorders>
            <w:vAlign w:val="center"/>
          </w:tcPr>
          <w:p w14:paraId="6E43F57C">
            <w:pPr>
              <w:adjustRightInd w:val="0"/>
              <w:snapToGrid w:val="0"/>
              <w:spacing w:line="360" w:lineRule="auto"/>
              <w:jc w:val="center"/>
              <w:rPr>
                <w:rFonts w:hint="eastAsia" w:ascii="宋体" w:hAnsi="宋体" w:eastAsia="宋体" w:cs="宋体"/>
                <w:color w:val="auto"/>
                <w:sz w:val="24"/>
                <w:szCs w:val="24"/>
                <w:highlight w:val="none"/>
              </w:rPr>
            </w:pPr>
          </w:p>
        </w:tc>
        <w:tc>
          <w:tcPr>
            <w:tcW w:w="1177" w:type="pct"/>
            <w:tcBorders>
              <w:top w:val="single" w:color="auto" w:sz="2" w:space="0"/>
              <w:left w:val="single" w:color="auto" w:sz="4" w:space="0"/>
              <w:bottom w:val="single" w:color="auto" w:sz="2" w:space="0"/>
              <w:right w:val="single" w:color="auto" w:sz="4" w:space="0"/>
            </w:tcBorders>
            <w:vAlign w:val="center"/>
          </w:tcPr>
          <w:p w14:paraId="402D7E33">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开户银行</w:t>
            </w:r>
          </w:p>
        </w:tc>
        <w:tc>
          <w:tcPr>
            <w:tcW w:w="1259" w:type="pct"/>
            <w:tcBorders>
              <w:top w:val="single" w:color="auto" w:sz="2" w:space="0"/>
              <w:left w:val="single" w:color="auto" w:sz="4" w:space="0"/>
              <w:bottom w:val="single" w:color="auto" w:sz="2" w:space="0"/>
              <w:right w:val="single" w:color="auto" w:sz="4" w:space="0"/>
            </w:tcBorders>
            <w:vAlign w:val="center"/>
          </w:tcPr>
          <w:p w14:paraId="2C4F3096">
            <w:pPr>
              <w:adjustRightInd w:val="0"/>
              <w:snapToGrid w:val="0"/>
              <w:spacing w:line="360" w:lineRule="auto"/>
              <w:jc w:val="center"/>
              <w:rPr>
                <w:rFonts w:hint="eastAsia" w:ascii="宋体" w:hAnsi="宋体" w:eastAsia="宋体" w:cs="宋体"/>
                <w:color w:val="auto"/>
                <w:spacing w:val="20"/>
                <w:sz w:val="24"/>
                <w:szCs w:val="24"/>
                <w:highlight w:val="none"/>
              </w:rPr>
            </w:pPr>
          </w:p>
        </w:tc>
      </w:tr>
      <w:tr w14:paraId="69D93CD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left w:val="single" w:color="auto" w:sz="4" w:space="0"/>
              <w:bottom w:val="single" w:color="auto" w:sz="2" w:space="0"/>
              <w:right w:val="single" w:color="auto" w:sz="4" w:space="0"/>
            </w:tcBorders>
            <w:vAlign w:val="center"/>
          </w:tcPr>
          <w:p w14:paraId="450F6D8B">
            <w:pPr>
              <w:adjustRightInd w:val="0"/>
              <w:snapToGrid w:val="0"/>
              <w:spacing w:line="360" w:lineRule="auto"/>
              <w:jc w:val="center"/>
              <w:rPr>
                <w:rFonts w:hint="eastAsia" w:ascii="宋体" w:hAnsi="宋体" w:eastAsia="宋体" w:cs="宋体"/>
                <w:color w:val="auto"/>
                <w:sz w:val="24"/>
                <w:szCs w:val="24"/>
                <w:highlight w:val="none"/>
              </w:rPr>
            </w:pPr>
          </w:p>
        </w:tc>
        <w:tc>
          <w:tcPr>
            <w:tcW w:w="1436" w:type="pct"/>
            <w:tcBorders>
              <w:top w:val="single" w:color="auto" w:sz="2" w:space="0"/>
              <w:left w:val="single" w:color="auto" w:sz="4" w:space="0"/>
              <w:bottom w:val="single" w:color="auto" w:sz="4" w:space="0"/>
              <w:right w:val="single" w:color="auto" w:sz="4" w:space="0"/>
            </w:tcBorders>
            <w:vAlign w:val="center"/>
          </w:tcPr>
          <w:p w14:paraId="7BEA4BFA">
            <w:pPr>
              <w:adjustRightInd w:val="0"/>
              <w:snapToGrid w:val="0"/>
              <w:spacing w:line="360" w:lineRule="auto"/>
              <w:jc w:val="center"/>
              <w:rPr>
                <w:rFonts w:hint="eastAsia" w:ascii="宋体" w:hAnsi="宋体" w:eastAsia="宋体" w:cs="宋体"/>
                <w:color w:val="auto"/>
                <w:sz w:val="24"/>
                <w:szCs w:val="24"/>
                <w:highlight w:val="none"/>
              </w:rPr>
            </w:pPr>
          </w:p>
        </w:tc>
        <w:tc>
          <w:tcPr>
            <w:tcW w:w="1177" w:type="pct"/>
            <w:tcBorders>
              <w:top w:val="single" w:color="auto" w:sz="2" w:space="0"/>
              <w:left w:val="single" w:color="auto" w:sz="4" w:space="0"/>
              <w:bottom w:val="single" w:color="auto" w:sz="4" w:space="0"/>
              <w:right w:val="single" w:color="auto" w:sz="4" w:space="0"/>
            </w:tcBorders>
            <w:vAlign w:val="center"/>
          </w:tcPr>
          <w:p w14:paraId="6671B7E5">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银行账号</w:t>
            </w:r>
          </w:p>
        </w:tc>
        <w:tc>
          <w:tcPr>
            <w:tcW w:w="1259" w:type="pct"/>
            <w:tcBorders>
              <w:top w:val="single" w:color="auto" w:sz="2" w:space="0"/>
              <w:left w:val="single" w:color="auto" w:sz="4" w:space="0"/>
              <w:bottom w:val="single" w:color="auto" w:sz="2" w:space="0"/>
              <w:right w:val="single" w:color="auto" w:sz="4" w:space="0"/>
            </w:tcBorders>
            <w:vAlign w:val="center"/>
          </w:tcPr>
          <w:p w14:paraId="33A8B29F">
            <w:pPr>
              <w:adjustRightInd w:val="0"/>
              <w:snapToGrid w:val="0"/>
              <w:spacing w:line="360" w:lineRule="auto"/>
              <w:jc w:val="center"/>
              <w:rPr>
                <w:rFonts w:hint="eastAsia" w:ascii="宋体" w:hAnsi="宋体" w:eastAsia="宋体" w:cs="宋体"/>
                <w:color w:val="auto"/>
                <w:spacing w:val="20"/>
                <w:sz w:val="24"/>
                <w:szCs w:val="24"/>
                <w:highlight w:val="none"/>
              </w:rPr>
            </w:pPr>
          </w:p>
        </w:tc>
      </w:tr>
      <w:tr w14:paraId="7CDB5BD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left w:val="single" w:color="auto" w:sz="4" w:space="0"/>
              <w:bottom w:val="single" w:color="auto" w:sz="4" w:space="0"/>
              <w:right w:val="single" w:color="auto" w:sz="4" w:space="0"/>
            </w:tcBorders>
            <w:vAlign w:val="center"/>
          </w:tcPr>
          <w:p w14:paraId="4E004EC9">
            <w:pPr>
              <w:pStyle w:val="21"/>
              <w:adjustRightInd w:val="0"/>
              <w:snapToGrid w:val="0"/>
              <w:spacing w:before="156" w:beforeLines="50" w:beforeAutospacing="0" w:after="0" w:afterAutospacing="0" w:line="360" w:lineRule="auto"/>
              <w:rPr>
                <w:rFonts w:hint="eastAsia" w:ascii="宋体" w:hAnsi="宋体" w:eastAsia="宋体" w:cs="宋体"/>
                <w:color w:val="auto"/>
                <w:spacing w:val="20"/>
                <w:kern w:val="2"/>
                <w:szCs w:val="24"/>
                <w:highlight w:val="none"/>
              </w:rPr>
            </w:pPr>
            <w:r>
              <w:rPr>
                <w:rFonts w:hint="eastAsia" w:ascii="宋体" w:hAnsi="宋体" w:eastAsia="宋体" w:cs="宋体"/>
                <w:color w:val="auto"/>
                <w:kern w:val="2"/>
                <w:szCs w:val="24"/>
                <w:highlight w:val="none"/>
                <w:lang w:bidi="ar"/>
              </w:rPr>
              <w:t>注：涉及联合体或其他合同主体的信息应按上表格式加列。</w:t>
            </w:r>
          </w:p>
        </w:tc>
      </w:tr>
    </w:tbl>
    <w:p w14:paraId="065E6939">
      <w:pPr>
        <w:pStyle w:val="2"/>
        <w:rPr>
          <w:rFonts w:hint="eastAsia"/>
          <w:color w:val="auto"/>
          <w:highlight w:val="none"/>
        </w:rPr>
      </w:pPr>
      <w:r>
        <w:rPr>
          <w:rFonts w:hint="eastAsia"/>
          <w:color w:val="auto"/>
          <w:highlight w:val="none"/>
          <w:u w:val="single"/>
        </w:rPr>
        <w:br w:type="page"/>
      </w:r>
      <w:r>
        <w:rPr>
          <w:rFonts w:hint="eastAsia"/>
          <w:color w:val="auto"/>
          <w:highlight w:val="none"/>
        </w:rPr>
        <w:t>第二节</w:t>
      </w:r>
      <w:r>
        <w:rPr>
          <w:rFonts w:hint="eastAsia" w:cs="@仿宋_GB2312"/>
          <w:color w:val="auto"/>
          <w:highlight w:val="none"/>
        </w:rPr>
        <w:t xml:space="preserve"> </w:t>
      </w:r>
      <w:r>
        <w:rPr>
          <w:rFonts w:hint="eastAsia"/>
          <w:color w:val="auto"/>
          <w:highlight w:val="none"/>
        </w:rPr>
        <w:t>政府采购合同通用条款</w:t>
      </w:r>
    </w:p>
    <w:p w14:paraId="6EF772C4">
      <w:pPr>
        <w:tabs>
          <w:tab w:val="left" w:pos="8820"/>
          <w:tab w:val="left" w:pos="9345"/>
          <w:tab w:val="left" w:pos="9765"/>
        </w:tabs>
        <w:adjustRightInd w:val="0"/>
        <w:snapToGrid w:val="0"/>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lang w:bidi="ar"/>
        </w:rPr>
        <w:t xml:space="preserve">1. </w:t>
      </w:r>
      <w:r>
        <w:rPr>
          <w:rFonts w:hint="eastAsia" w:ascii="宋体" w:hAnsi="宋体" w:eastAsia="宋体" w:cs="宋体"/>
          <w:b/>
          <w:bCs/>
          <w:color w:val="auto"/>
          <w:sz w:val="24"/>
          <w:szCs w:val="24"/>
          <w:highlight w:val="none"/>
          <w:lang w:bidi="ar"/>
        </w:rPr>
        <w:t>定义</w:t>
      </w:r>
    </w:p>
    <w:p w14:paraId="25FAB8D9">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1.1合同当事人</w:t>
      </w:r>
    </w:p>
    <w:p w14:paraId="1E922930">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（1）采购人（以下称甲方）是指使用财政性资金，通过政府采购方式向供应商购买货物及其相关服务的国家机关、事业单位、团体组织。</w:t>
      </w:r>
    </w:p>
    <w:p w14:paraId="6842CD6F">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（2）供应商（以下称乙方）是指参加政府采购活动并且中标（成交），向采购人提供合同约定的货物及其相关服务的法人、非法人组织或者自然人。</w:t>
      </w:r>
    </w:p>
    <w:p w14:paraId="65D00199">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（3）其他合同主体是指除采购人和供应商以外，</w:t>
      </w:r>
      <w:r>
        <w:rPr>
          <w:rFonts w:hint="eastAsia" w:ascii="宋体" w:hAnsi="宋体" w:eastAsia="宋体" w:cs="宋体"/>
          <w:bCs/>
          <w:color w:val="auto"/>
          <w:sz w:val="24"/>
          <w:szCs w:val="24"/>
          <w:highlight w:val="none"/>
          <w:lang w:bidi="ar"/>
        </w:rPr>
        <w:t>依法参与合同缔结或履行，享有权利、承担义务的合同当事人</w:t>
      </w:r>
      <w:r>
        <w:rPr>
          <w:rFonts w:hint="eastAsia" w:ascii="宋体" w:hAnsi="宋体" w:eastAsia="宋体" w:cs="宋体"/>
          <w:color w:val="auto"/>
          <w:sz w:val="24"/>
          <w:szCs w:val="24"/>
          <w:highlight w:val="none"/>
          <w:lang w:bidi="ar"/>
        </w:rPr>
        <w:t>。</w:t>
      </w:r>
    </w:p>
    <w:p w14:paraId="77DA4875">
      <w:pPr>
        <w:tabs>
          <w:tab w:val="left" w:pos="570"/>
          <w:tab w:val="left" w:pos="9240"/>
          <w:tab w:val="left" w:pos="9555"/>
        </w:tabs>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1.2本合同下列术语应解释为：</w:t>
      </w:r>
    </w:p>
    <w:p w14:paraId="0C1AB6B4">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（1）“合同”系指</w:t>
      </w:r>
      <w:r>
        <w:rPr>
          <w:rFonts w:hint="eastAsia" w:ascii="宋体" w:hAnsi="宋体" w:eastAsia="宋体" w:cs="宋体"/>
          <w:bCs/>
          <w:color w:val="auto"/>
          <w:sz w:val="24"/>
          <w:szCs w:val="24"/>
          <w:highlight w:val="none"/>
          <w:lang w:bidi="ar"/>
        </w:rPr>
        <w:t>合同当事人意思表示达成一致的任何协议，包括签署的</w:t>
      </w:r>
      <w:r>
        <w:rPr>
          <w:rFonts w:hint="eastAsia" w:ascii="宋体" w:hAnsi="宋体" w:eastAsia="宋体" w:cs="宋体"/>
          <w:color w:val="auto"/>
          <w:sz w:val="24"/>
          <w:szCs w:val="24"/>
          <w:highlight w:val="none"/>
          <w:lang w:bidi="ar"/>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77DFD727">
      <w:pPr>
        <w:tabs>
          <w:tab w:val="left" w:pos="570"/>
          <w:tab w:val="left" w:pos="9240"/>
          <w:tab w:val="left" w:pos="9555"/>
        </w:tabs>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（2）“合同价款”系指根据本合同规定乙方在全面履行合同义务后甲方应支付给乙方的价款。</w:t>
      </w:r>
    </w:p>
    <w:p w14:paraId="614DE31C">
      <w:pPr>
        <w:tabs>
          <w:tab w:val="left" w:pos="570"/>
          <w:tab w:val="left" w:pos="9240"/>
          <w:tab w:val="left" w:pos="9555"/>
        </w:tabs>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（3）“货物”系指乙方根据本合同规定须向甲方提供的各种形态和种类的物品，包括原材料、设备、产品（包括软件）及相关的其备品备件、工具、手册及其他技术资料和材料等。</w:t>
      </w:r>
    </w:p>
    <w:p w14:paraId="040E9167">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4）“相关服务”系指根据合同规定，乙方应提供的与货物有关的技术、管理和其他服务，包括但不限于：管理和质量保证、运输、保险、检验、现场准备、安装、集成、调试、培训、维修、废弃处置、技术支持等以及合同中规定乙方应承担的其他义务。</w:t>
      </w:r>
    </w:p>
    <w:p w14:paraId="3DECC2EE">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（5）“分包”系指中标（成交）供应商按采购文件、投标（响应）文件的规定，根据分包意向协议，将中标（成交）项目中的部分履约内容，分给具有相应资质条件的供应商履行合同的行为。</w:t>
      </w:r>
    </w:p>
    <w:p w14:paraId="3EFF0C3D">
      <w:pPr>
        <w:tabs>
          <w:tab w:val="left" w:pos="570"/>
          <w:tab w:val="left" w:pos="9240"/>
          <w:tab w:val="left" w:pos="9555"/>
        </w:tabs>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eastAsia="宋体" w:cs="宋体"/>
          <w:b/>
          <w:bCs/>
          <w:color w:val="auto"/>
          <w:sz w:val="24"/>
          <w:szCs w:val="24"/>
          <w:highlight w:val="none"/>
          <w:lang w:bidi="ar"/>
        </w:rPr>
        <w:t>政府采购合同专用条款</w:t>
      </w:r>
      <w:r>
        <w:rPr>
          <w:rFonts w:hint="eastAsia" w:ascii="宋体" w:hAnsi="宋体" w:eastAsia="宋体" w:cs="宋体"/>
          <w:color w:val="auto"/>
          <w:sz w:val="24"/>
          <w:szCs w:val="24"/>
          <w:highlight w:val="none"/>
          <w:lang w:bidi="ar"/>
        </w:rPr>
        <w:t>】。</w:t>
      </w:r>
    </w:p>
    <w:p w14:paraId="59854997">
      <w:pPr>
        <w:tabs>
          <w:tab w:val="left" w:pos="570"/>
          <w:tab w:val="left" w:pos="9240"/>
          <w:tab w:val="left" w:pos="9555"/>
        </w:tabs>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（7）其他术语解释，见【</w:t>
      </w:r>
      <w:r>
        <w:rPr>
          <w:rFonts w:hint="eastAsia" w:ascii="宋体" w:hAnsi="宋体" w:eastAsia="宋体" w:cs="宋体"/>
          <w:b/>
          <w:bCs/>
          <w:color w:val="auto"/>
          <w:sz w:val="24"/>
          <w:szCs w:val="24"/>
          <w:highlight w:val="none"/>
          <w:lang w:bidi="ar"/>
        </w:rPr>
        <w:t>政府采购合同专用条款</w:t>
      </w:r>
      <w:r>
        <w:rPr>
          <w:rFonts w:hint="eastAsia" w:ascii="宋体" w:hAnsi="宋体" w:eastAsia="宋体" w:cs="宋体"/>
          <w:color w:val="auto"/>
          <w:sz w:val="24"/>
          <w:szCs w:val="24"/>
          <w:highlight w:val="none"/>
          <w:lang w:bidi="ar"/>
        </w:rPr>
        <w:t>】。</w:t>
      </w:r>
    </w:p>
    <w:p w14:paraId="6964FFFE">
      <w:pPr>
        <w:numPr>
          <w:ilvl w:val="0"/>
          <w:numId w:val="4"/>
        </w:numPr>
        <w:autoSpaceDE w:val="0"/>
        <w:autoSpaceDN w:val="0"/>
        <w:adjustRightInd w:val="0"/>
        <w:snapToGrid w:val="0"/>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lang w:bidi="ar"/>
        </w:rPr>
        <w:t>合同标的及金额</w:t>
      </w:r>
    </w:p>
    <w:p w14:paraId="62BDA0D1">
      <w:pPr>
        <w:autoSpaceDE w:val="0"/>
        <w:autoSpaceDN w:val="0"/>
        <w:adjustRightInd w:val="0"/>
        <w:snapToGrid w:val="0"/>
        <w:spacing w:line="360" w:lineRule="auto"/>
        <w:ind w:firstLine="480" w:firstLineChars="200"/>
        <w:jc w:val="left"/>
        <w:rPr>
          <w:rFonts w:hint="eastAsia" w:ascii="宋体" w:hAnsi="宋体" w:eastAsia="宋体" w:cs="宋体"/>
          <w:b/>
          <w:bCs/>
          <w:i/>
          <w:iCs/>
          <w:color w:val="auto"/>
          <w:sz w:val="24"/>
          <w:szCs w:val="24"/>
          <w:highlight w:val="none"/>
        </w:rPr>
      </w:pPr>
      <w:r>
        <w:rPr>
          <w:rFonts w:hint="eastAsia" w:ascii="宋体" w:hAnsi="宋体" w:eastAsia="宋体" w:cs="宋体"/>
          <w:color w:val="auto"/>
          <w:sz w:val="24"/>
          <w:szCs w:val="24"/>
          <w:highlight w:val="none"/>
          <w:lang w:bidi="ar"/>
        </w:rPr>
        <w:t>2.1 合同标的及金额应与中标（成交）结果一致。乙方为履行本合同而发生的所有费用均应包含在合同价款中，甲方不再另行支付其他任何费用。</w:t>
      </w:r>
    </w:p>
    <w:p w14:paraId="1FCF6132">
      <w:pPr>
        <w:adjustRightInd w:val="0"/>
        <w:snapToGrid w:val="0"/>
        <w:spacing w:line="360" w:lineRule="auto"/>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3. 履行合同的时间、地点和方式</w:t>
      </w:r>
    </w:p>
    <w:p w14:paraId="71D08AE3">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3.1 乙方应当在约定的时间、地点，按照约定方式履行合同。</w:t>
      </w:r>
    </w:p>
    <w:p w14:paraId="686D0A7E">
      <w:pPr>
        <w:autoSpaceDE w:val="0"/>
        <w:autoSpaceDN w:val="0"/>
        <w:adjustRightInd w:val="0"/>
        <w:snapToGrid w:val="0"/>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4. 甲方的权利和义务</w:t>
      </w:r>
    </w:p>
    <w:p w14:paraId="3A38707F">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4.1 签署合同后，甲方应确定项目负责人（或项目联系人），负责与本合同有关的事务。甲方有权对乙方的履约行为进行检查，并及时确认乙方提交的事项。甲方应当配合乙方完成相关项目实施工作。</w:t>
      </w:r>
    </w:p>
    <w:p w14:paraId="2240811E">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4.2 甲方有权要求乙方按时提交各阶段有关安排计划，并有权定期核对乙方提供货物数量、规格、质量等内容。甲方有权督促乙方工作并要求乙方更换不符合要求的货物。</w:t>
      </w:r>
    </w:p>
    <w:p w14:paraId="1FA63298">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4.3 甲方有权要求乙方对缺陷部分予以修复，并按合同约定享有货物保修及其他合同约定的权利。</w:t>
      </w:r>
    </w:p>
    <w:p w14:paraId="45EFAAC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4.4 甲方应当按照合同约定及时对交付的货物进行验收，未在</w:t>
      </w:r>
      <w:r>
        <w:rPr>
          <w:rFonts w:hint="eastAsia" w:ascii="宋体" w:hAnsi="宋体" w:eastAsia="宋体" w:cs="宋体"/>
          <w:b/>
          <w:bCs/>
          <w:color w:val="auto"/>
          <w:sz w:val="24"/>
          <w:szCs w:val="24"/>
          <w:highlight w:val="none"/>
          <w:lang w:bidi="ar"/>
        </w:rPr>
        <w:t>【政府采购合同专用条款】</w:t>
      </w:r>
      <w:r>
        <w:rPr>
          <w:rFonts w:hint="eastAsia" w:ascii="宋体" w:hAnsi="宋体" w:eastAsia="宋体" w:cs="宋体"/>
          <w:color w:val="auto"/>
          <w:sz w:val="24"/>
          <w:szCs w:val="24"/>
          <w:highlight w:val="none"/>
          <w:lang w:bidi="ar"/>
        </w:rPr>
        <w:t>约定的期限内对乙方履约提出任何异议或者向乙方作出任何说明的，视为验收通过。</w:t>
      </w:r>
    </w:p>
    <w:p w14:paraId="1676E7DD">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4.5 甲方应当根据合同约定及时向乙方支付合同价款，不得以内部人员变更、履行内部付款流程等为由，拒绝或迟延支付。</w:t>
      </w:r>
    </w:p>
    <w:p w14:paraId="6AA9C7C6">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4.6 国家法律法规规定及</w:t>
      </w:r>
      <w:r>
        <w:rPr>
          <w:rFonts w:hint="eastAsia" w:ascii="宋体" w:hAnsi="宋体" w:eastAsia="宋体" w:cs="宋体"/>
          <w:b/>
          <w:bCs/>
          <w:color w:val="auto"/>
          <w:sz w:val="24"/>
          <w:szCs w:val="24"/>
          <w:highlight w:val="none"/>
          <w:lang w:bidi="ar"/>
        </w:rPr>
        <w:t>【政府采购合同专用条款】</w:t>
      </w:r>
      <w:r>
        <w:rPr>
          <w:rFonts w:hint="eastAsia" w:ascii="宋体" w:hAnsi="宋体" w:eastAsia="宋体" w:cs="宋体"/>
          <w:color w:val="auto"/>
          <w:sz w:val="24"/>
          <w:szCs w:val="24"/>
          <w:highlight w:val="none"/>
          <w:lang w:bidi="ar"/>
        </w:rPr>
        <w:t>约定应由甲方承担的其他义务和责任。</w:t>
      </w:r>
    </w:p>
    <w:p w14:paraId="0E61E381">
      <w:pPr>
        <w:autoSpaceDE w:val="0"/>
        <w:autoSpaceDN w:val="0"/>
        <w:adjustRightInd w:val="0"/>
        <w:snapToGrid w:val="0"/>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5. 乙方的权利和义务</w:t>
      </w:r>
    </w:p>
    <w:p w14:paraId="5C6186E8">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5.1 签署合同后，乙方应确定项目负责人（或项目联系人），负责与本合同有关的事务。</w:t>
      </w:r>
    </w:p>
    <w:p w14:paraId="24815138">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10158A25">
      <w:pPr>
        <w:pStyle w:val="21"/>
        <w:spacing w:before="0" w:after="0" w:afterAutospacing="0" w:line="360" w:lineRule="auto"/>
        <w:ind w:firstLine="422" w:firstLineChars="176"/>
        <w:jc w:val="both"/>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lang w:bidi="ar"/>
        </w:rPr>
        <w:t>5.3乙方有权根据合同约定向甲方收取合同价款。</w:t>
      </w:r>
    </w:p>
    <w:p w14:paraId="256154C8">
      <w:pPr>
        <w:pStyle w:val="21"/>
        <w:spacing w:before="0" w:after="0" w:afterAutospacing="0" w:line="360" w:lineRule="auto"/>
        <w:ind w:firstLine="422" w:firstLineChars="176"/>
        <w:jc w:val="both"/>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lang w:bidi="ar"/>
        </w:rPr>
        <w:t>5.4国家法律法规规定及</w:t>
      </w:r>
      <w:r>
        <w:rPr>
          <w:rFonts w:hint="eastAsia" w:ascii="宋体" w:hAnsi="宋体" w:eastAsia="宋体" w:cs="宋体"/>
          <w:b/>
          <w:bCs/>
          <w:color w:val="auto"/>
          <w:kern w:val="2"/>
          <w:szCs w:val="24"/>
          <w:highlight w:val="none"/>
          <w:lang w:bidi="ar"/>
        </w:rPr>
        <w:t>【政府采购合同专用条款】</w:t>
      </w:r>
      <w:r>
        <w:rPr>
          <w:rFonts w:hint="eastAsia" w:ascii="宋体" w:hAnsi="宋体" w:eastAsia="宋体" w:cs="宋体"/>
          <w:color w:val="auto"/>
          <w:kern w:val="2"/>
          <w:szCs w:val="24"/>
          <w:highlight w:val="none"/>
          <w:lang w:bidi="ar"/>
        </w:rPr>
        <w:t>约定应由乙方承担的其他义务和责任。</w:t>
      </w:r>
    </w:p>
    <w:p w14:paraId="21FE3DFF">
      <w:pPr>
        <w:numPr>
          <w:ilvl w:val="0"/>
          <w:numId w:val="5"/>
        </w:numPr>
        <w:autoSpaceDE w:val="0"/>
        <w:autoSpaceDN w:val="0"/>
        <w:adjustRightInd w:val="0"/>
        <w:snapToGrid w:val="0"/>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合同履行</w:t>
      </w:r>
    </w:p>
    <w:p w14:paraId="319D2219">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6.1 甲乙双方应当按照</w:t>
      </w:r>
      <w:r>
        <w:rPr>
          <w:rFonts w:hint="eastAsia" w:ascii="宋体" w:hAnsi="宋体" w:eastAsia="宋体" w:cs="宋体"/>
          <w:b/>
          <w:bCs/>
          <w:color w:val="auto"/>
          <w:sz w:val="24"/>
          <w:szCs w:val="24"/>
          <w:highlight w:val="none"/>
          <w:lang w:bidi="ar"/>
        </w:rPr>
        <w:t>【政府采购合同专用条款】</w:t>
      </w:r>
      <w:r>
        <w:rPr>
          <w:rFonts w:hint="eastAsia" w:ascii="宋体" w:hAnsi="宋体" w:eastAsia="宋体" w:cs="宋体"/>
          <w:color w:val="auto"/>
          <w:sz w:val="24"/>
          <w:szCs w:val="24"/>
          <w:highlight w:val="none"/>
          <w:lang w:bidi="ar"/>
        </w:rPr>
        <w:t>约定顺序履行合同义务；如果没有先后顺序的，应当同时履行。</w:t>
      </w:r>
    </w:p>
    <w:p w14:paraId="7431F757">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6.2 甲乙双方按照合同约定顺序履行合同义务时，应当先履行一方未履行的，后履行一方有权拒绝其履行请求。先履行一方履行不符合约定的，后履行一方有权拒绝其相应的履行请求。</w:t>
      </w:r>
    </w:p>
    <w:p w14:paraId="3BEAB1C7">
      <w:pPr>
        <w:adjustRightInd w:val="0"/>
        <w:snapToGrid w:val="0"/>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7. 货物包装、运输、保险和交付要求</w:t>
      </w:r>
    </w:p>
    <w:p w14:paraId="35B2EBCC">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7.1 本合同</w:t>
      </w:r>
      <w:r>
        <w:rPr>
          <w:rFonts w:hint="eastAsia" w:ascii="宋体" w:hAnsi="宋体" w:eastAsia="宋体" w:cs="宋体"/>
          <w:bCs/>
          <w:color w:val="auto"/>
          <w:sz w:val="24"/>
          <w:szCs w:val="24"/>
          <w:highlight w:val="none"/>
          <w:lang w:bidi="ar"/>
        </w:rPr>
        <w:t>涉及商品包装、快递包装的，</w:t>
      </w:r>
      <w:r>
        <w:rPr>
          <w:rFonts w:hint="eastAsia" w:ascii="宋体" w:hAnsi="宋体" w:eastAsia="宋体" w:cs="宋体"/>
          <w:color w:val="auto"/>
          <w:sz w:val="24"/>
          <w:szCs w:val="24"/>
          <w:highlight w:val="none"/>
          <w:lang w:bidi="ar"/>
        </w:rPr>
        <w:t>除</w:t>
      </w:r>
      <w:r>
        <w:rPr>
          <w:rFonts w:hint="eastAsia" w:ascii="宋体" w:hAnsi="宋体" w:eastAsia="宋体" w:cs="宋体"/>
          <w:b/>
          <w:color w:val="auto"/>
          <w:sz w:val="24"/>
          <w:szCs w:val="24"/>
          <w:highlight w:val="none"/>
          <w:lang w:bidi="ar"/>
        </w:rPr>
        <w:t>【政府采购合同专用条款】</w:t>
      </w:r>
      <w:r>
        <w:rPr>
          <w:rFonts w:hint="eastAsia" w:ascii="宋体" w:hAnsi="宋体" w:eastAsia="宋体" w:cs="宋体"/>
          <w:bCs/>
          <w:color w:val="auto"/>
          <w:sz w:val="24"/>
          <w:szCs w:val="24"/>
          <w:highlight w:val="none"/>
          <w:lang w:bidi="ar"/>
        </w:rPr>
        <w:t>另有约定外，</w:t>
      </w:r>
      <w:r>
        <w:rPr>
          <w:rFonts w:hint="eastAsia" w:ascii="宋体" w:hAnsi="宋体" w:eastAsia="宋体" w:cs="宋体"/>
          <w:color w:val="auto"/>
          <w:sz w:val="24"/>
          <w:szCs w:val="24"/>
          <w:highlight w:val="none"/>
          <w:lang w:bidi="ar"/>
        </w:rPr>
        <w:t>包装应适应远距离运输、防潮、防震、防锈和防野蛮装卸等要求，确保货物安全无损地运抵</w:t>
      </w:r>
      <w:r>
        <w:rPr>
          <w:rFonts w:hint="eastAsia" w:ascii="宋体" w:hAnsi="宋体" w:eastAsia="宋体" w:cs="宋体"/>
          <w:b/>
          <w:color w:val="auto"/>
          <w:sz w:val="24"/>
          <w:szCs w:val="24"/>
          <w:highlight w:val="none"/>
          <w:lang w:bidi="ar"/>
        </w:rPr>
        <w:t>【政府采购合同专用条款】</w:t>
      </w:r>
      <w:r>
        <w:rPr>
          <w:rFonts w:hint="eastAsia" w:ascii="宋体" w:hAnsi="宋体" w:eastAsia="宋体" w:cs="宋体"/>
          <w:bCs/>
          <w:color w:val="auto"/>
          <w:sz w:val="24"/>
          <w:szCs w:val="24"/>
          <w:highlight w:val="none"/>
          <w:lang w:bidi="ar"/>
        </w:rPr>
        <w:t>约定的</w:t>
      </w:r>
      <w:r>
        <w:rPr>
          <w:rFonts w:hint="eastAsia" w:ascii="宋体" w:hAnsi="宋体" w:eastAsia="宋体" w:cs="宋体"/>
          <w:color w:val="auto"/>
          <w:sz w:val="24"/>
          <w:szCs w:val="24"/>
          <w:highlight w:val="none"/>
          <w:lang w:bidi="ar"/>
        </w:rPr>
        <w:t>指定现场。</w:t>
      </w:r>
    </w:p>
    <w:p w14:paraId="2C0CB60C">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7.2 除</w:t>
      </w:r>
      <w:r>
        <w:rPr>
          <w:rFonts w:hint="eastAsia" w:ascii="宋体" w:hAnsi="宋体" w:eastAsia="宋体" w:cs="宋体"/>
          <w:b/>
          <w:color w:val="auto"/>
          <w:sz w:val="24"/>
          <w:szCs w:val="24"/>
          <w:highlight w:val="none"/>
          <w:lang w:bidi="ar"/>
        </w:rPr>
        <w:t>【政府采购合同专用条款】</w:t>
      </w:r>
      <w:r>
        <w:rPr>
          <w:rFonts w:hint="eastAsia" w:ascii="宋体" w:hAnsi="宋体" w:eastAsia="宋体" w:cs="宋体"/>
          <w:bCs/>
          <w:color w:val="auto"/>
          <w:sz w:val="24"/>
          <w:szCs w:val="24"/>
          <w:highlight w:val="none"/>
          <w:lang w:bidi="ar"/>
        </w:rPr>
        <w:t>另有约定外，</w:t>
      </w:r>
      <w:r>
        <w:rPr>
          <w:rFonts w:hint="eastAsia" w:ascii="宋体" w:hAnsi="宋体" w:eastAsia="宋体" w:cs="宋体"/>
          <w:color w:val="auto"/>
          <w:sz w:val="24"/>
          <w:szCs w:val="24"/>
          <w:highlight w:val="none"/>
          <w:lang w:bidi="ar"/>
        </w:rPr>
        <w:t>乙方负责办理将货物运抵本合同规定的交货地点，并装卸、交付至甲方的一切运输事项，相关费用应包含在合同价款中。</w:t>
      </w:r>
    </w:p>
    <w:p w14:paraId="7EB0A207">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7.3 货物保险要求按</w:t>
      </w:r>
      <w:r>
        <w:rPr>
          <w:rFonts w:hint="eastAsia" w:ascii="宋体" w:hAnsi="宋体" w:eastAsia="宋体" w:cs="宋体"/>
          <w:b/>
          <w:color w:val="auto"/>
          <w:sz w:val="24"/>
          <w:szCs w:val="24"/>
          <w:highlight w:val="none"/>
          <w:lang w:bidi="ar"/>
        </w:rPr>
        <w:t>【政府采购合同专用条款】</w:t>
      </w:r>
      <w:r>
        <w:rPr>
          <w:rFonts w:hint="eastAsia" w:ascii="宋体" w:hAnsi="宋体" w:eastAsia="宋体" w:cs="宋体"/>
          <w:bCs/>
          <w:color w:val="auto"/>
          <w:sz w:val="24"/>
          <w:szCs w:val="24"/>
          <w:highlight w:val="none"/>
          <w:lang w:bidi="ar"/>
        </w:rPr>
        <w:t>规定执行</w:t>
      </w:r>
      <w:r>
        <w:rPr>
          <w:rFonts w:hint="eastAsia" w:ascii="宋体" w:hAnsi="宋体" w:eastAsia="宋体" w:cs="宋体"/>
          <w:color w:val="auto"/>
          <w:sz w:val="24"/>
          <w:szCs w:val="24"/>
          <w:highlight w:val="none"/>
          <w:lang w:bidi="ar"/>
        </w:rPr>
        <w:t>。</w:t>
      </w:r>
    </w:p>
    <w:p w14:paraId="5944E52C">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4318A1ED">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7.5 乙方在运输到达之前应提前通知甲方，并提示货物运输装卸的注意事项，甲方配合乙方做好货物的接收工作。</w:t>
      </w:r>
    </w:p>
    <w:p w14:paraId="2308CBE1">
      <w:pPr>
        <w:pStyle w:val="21"/>
        <w:widowControl/>
        <w:autoSpaceDE w:val="0"/>
        <w:autoSpaceDN w:val="0"/>
        <w:adjustRightInd w:val="0"/>
        <w:spacing w:before="0" w:beforeAutospacing="0" w:after="0" w:afterAutospacing="0"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kern w:val="2"/>
          <w:szCs w:val="24"/>
          <w:highlight w:val="none"/>
          <w:lang w:bidi="ar"/>
        </w:rPr>
        <w:t>7.6 如因包装、运输问题导致货物损毁、丢失或者品质下降，甲方有权要求降价、换货、拒收部分或整批货物，由此产生的费用和损失，均由乙方承担。</w:t>
      </w:r>
    </w:p>
    <w:p w14:paraId="238234DB">
      <w:pPr>
        <w:adjustRightInd w:val="0"/>
        <w:snapToGrid w:val="0"/>
        <w:spacing w:line="360" w:lineRule="auto"/>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8. 质量标准和保证</w:t>
      </w:r>
    </w:p>
    <w:p w14:paraId="55327F49">
      <w:pPr>
        <w:pStyle w:val="21"/>
        <w:adjustRightInd w:val="0"/>
        <w:snapToGrid w:val="0"/>
        <w:spacing w:before="0" w:beforeAutospacing="0" w:after="0" w:afterAutospacing="0" w:line="360" w:lineRule="auto"/>
        <w:ind w:firstLine="480" w:firstLineChars="200"/>
        <w:rPr>
          <w:rFonts w:hint="eastAsia" w:ascii="宋体" w:hAnsi="宋体" w:eastAsia="宋体" w:cs="宋体"/>
          <w:b/>
          <w:color w:val="auto"/>
          <w:kern w:val="2"/>
          <w:szCs w:val="24"/>
          <w:highlight w:val="none"/>
        </w:rPr>
      </w:pPr>
      <w:r>
        <w:rPr>
          <w:rFonts w:hint="eastAsia" w:ascii="宋体" w:hAnsi="宋体" w:eastAsia="宋体" w:cs="宋体"/>
          <w:color w:val="auto"/>
          <w:kern w:val="2"/>
          <w:szCs w:val="24"/>
          <w:highlight w:val="none"/>
          <w:lang w:bidi="ar"/>
        </w:rPr>
        <w:t>8.1 质量标准</w:t>
      </w:r>
    </w:p>
    <w:p w14:paraId="0D4A0989">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6C5C8377">
      <w:pPr>
        <w:pStyle w:val="21"/>
        <w:adjustRightInd w:val="0"/>
        <w:snapToGrid w:val="0"/>
        <w:spacing w:before="0" w:beforeAutospacing="0" w:after="0" w:afterAutospacing="0" w:line="360" w:lineRule="auto"/>
        <w:ind w:firstLine="480" w:firstLineChars="200"/>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lang w:bidi="ar"/>
        </w:rPr>
        <w:t>（2）采用中华人民共和国法定计量单位。</w:t>
      </w:r>
    </w:p>
    <w:p w14:paraId="342C5D00">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（3）乙方所提供的货物应符合国家有关安全、环保、卫生的规定。</w:t>
      </w:r>
    </w:p>
    <w:p w14:paraId="24F88AB7">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（4）乙方应向甲方提交所提供货物的技术文件，包括相应的中文技术文件，如：产品目录、图纸、操作手册、使用说明、维护手册或服务指南等。上述文件应包装好随货物一同发运。</w:t>
      </w:r>
    </w:p>
    <w:p w14:paraId="6DEE4D6B">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8.2 保证</w:t>
      </w:r>
    </w:p>
    <w:p w14:paraId="6A1CF1E3">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宋体" w:hAnsi="宋体" w:eastAsia="宋体" w:cs="宋体"/>
          <w:b/>
          <w:color w:val="auto"/>
          <w:sz w:val="24"/>
          <w:szCs w:val="24"/>
          <w:highlight w:val="none"/>
          <w:lang w:bidi="ar"/>
        </w:rPr>
        <w:t>【政府采购合同专用条款】</w:t>
      </w:r>
      <w:r>
        <w:rPr>
          <w:rFonts w:hint="eastAsia" w:ascii="宋体" w:hAnsi="宋体" w:eastAsia="宋体" w:cs="宋体"/>
          <w:color w:val="auto"/>
          <w:sz w:val="24"/>
          <w:szCs w:val="24"/>
          <w:highlight w:val="none"/>
          <w:lang w:bidi="ar"/>
        </w:rPr>
        <w:t>规定或乙方书面承诺（两者以较长的为准）的质量保证期内，本保证保持有效。</w:t>
      </w:r>
    </w:p>
    <w:p w14:paraId="73788095">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（2）在质量保证期内所发现的缺陷，甲方应尽快以书面形式通知乙方。</w:t>
      </w:r>
    </w:p>
    <w:p w14:paraId="70E9BC47">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（3）乙方收到通知后，应在</w:t>
      </w:r>
      <w:r>
        <w:rPr>
          <w:rFonts w:hint="eastAsia" w:ascii="宋体" w:hAnsi="宋体" w:eastAsia="宋体" w:cs="宋体"/>
          <w:b/>
          <w:color w:val="auto"/>
          <w:sz w:val="24"/>
          <w:szCs w:val="24"/>
          <w:highlight w:val="none"/>
          <w:lang w:bidi="ar"/>
        </w:rPr>
        <w:t>【政府采购合同专用条款】</w:t>
      </w:r>
      <w:r>
        <w:rPr>
          <w:rFonts w:hint="eastAsia" w:ascii="宋体" w:hAnsi="宋体" w:eastAsia="宋体" w:cs="宋体"/>
          <w:color w:val="auto"/>
          <w:sz w:val="24"/>
          <w:szCs w:val="24"/>
          <w:highlight w:val="none"/>
          <w:lang w:bidi="ar"/>
        </w:rPr>
        <w:t>规定的响应时间内以合理的速度免费维修或更换有缺陷的货物或部件。</w:t>
      </w:r>
    </w:p>
    <w:p w14:paraId="51E8DC37">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（4）在质量保证期内，如果货物的质量或规格与合同不符，或证实货物是有缺陷的，包括潜在的缺陷或使用不符合要求的材料等，甲方可以根据本合同第15.1条规定以书面形式追究乙方的违约责任。</w:t>
      </w:r>
    </w:p>
    <w:p w14:paraId="6D54FD86">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（5）乙方在约定的时间内未能弥补缺陷，甲方可采取必要的补救措施，但其风险和费用将由乙方承担，甲方根据合同约定对乙方行使的其他权利不受影响。</w:t>
      </w:r>
    </w:p>
    <w:p w14:paraId="708EEBD2">
      <w:pPr>
        <w:adjustRightInd w:val="0"/>
        <w:snapToGrid w:val="0"/>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9. 权利瑕疵担保</w:t>
      </w:r>
    </w:p>
    <w:p w14:paraId="35F9D817">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9.1 乙方保证对其出售的货物享有合法的权利。</w:t>
      </w:r>
    </w:p>
    <w:p w14:paraId="4CE3CD7C">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9.2 乙方保证在交付的货物上不存在抵押权等担保物权。</w:t>
      </w:r>
    </w:p>
    <w:p w14:paraId="5A4EF3CC">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9.3 如甲方使用上述货物构成对第三人侵权的，则由乙方承担全部责任。</w:t>
      </w:r>
    </w:p>
    <w:p w14:paraId="21EBCC93">
      <w:pPr>
        <w:autoSpaceDE w:val="0"/>
        <w:autoSpaceDN w:val="0"/>
        <w:adjustRightInd w:val="0"/>
        <w:snapToGrid w:val="0"/>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10. 知识产权保护</w:t>
      </w:r>
    </w:p>
    <w:p w14:paraId="6E13F9B8">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10.1 乙方对其所销售的货物应当享有知识产权或经权利人合法授权，保证没有侵犯任何第三人的知识产权等权利。因违反前述约定对第三人构成侵权的，应当由乙方向第三人承担法律责任；甲方依法向第三人赔偿后，有权向乙方追偿。甲方有其他损失的，乙方应当赔偿。</w:t>
      </w:r>
    </w:p>
    <w:p w14:paraId="0F5FEB47">
      <w:pPr>
        <w:autoSpaceDE w:val="0"/>
        <w:autoSpaceDN w:val="0"/>
        <w:adjustRightInd w:val="0"/>
        <w:snapToGrid w:val="0"/>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11. 保密义务</w:t>
      </w:r>
    </w:p>
    <w:p w14:paraId="6DD1B7C4">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eastAsia="宋体" w:cs="宋体"/>
          <w:b/>
          <w:bCs/>
          <w:color w:val="auto"/>
          <w:sz w:val="24"/>
          <w:szCs w:val="24"/>
          <w:highlight w:val="none"/>
          <w:lang w:bidi="ar"/>
        </w:rPr>
        <w:t>【政府采购合同专用条款】</w:t>
      </w:r>
      <w:r>
        <w:rPr>
          <w:rFonts w:hint="eastAsia" w:ascii="宋体" w:hAnsi="宋体" w:eastAsia="宋体" w:cs="宋体"/>
          <w:color w:val="auto"/>
          <w:sz w:val="24"/>
          <w:szCs w:val="24"/>
          <w:highlight w:val="none"/>
          <w:lang w:bidi="ar"/>
        </w:rPr>
        <w:t>中约定。</w:t>
      </w:r>
    </w:p>
    <w:p w14:paraId="2183C427">
      <w:pPr>
        <w:autoSpaceDE w:val="0"/>
        <w:autoSpaceDN w:val="0"/>
        <w:adjustRightInd w:val="0"/>
        <w:snapToGrid w:val="0"/>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12. 合同价款支付</w:t>
      </w:r>
    </w:p>
    <w:p w14:paraId="5708E003">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12.1 合同价款支付按照国库集中支付制度及财政管理相关规定执行。</w:t>
      </w:r>
    </w:p>
    <w:p w14:paraId="0A86B6C0">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12.2 对于满足合同约定支付条件的，甲方原则上应当自收到发票后7个工作日内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宋体"/>
          <w:b/>
          <w:bCs/>
          <w:color w:val="auto"/>
          <w:sz w:val="24"/>
          <w:szCs w:val="24"/>
          <w:highlight w:val="none"/>
          <w:lang w:bidi="ar"/>
        </w:rPr>
        <w:t>政府采购合同专用条款</w:t>
      </w:r>
      <w:r>
        <w:rPr>
          <w:rFonts w:hint="eastAsia" w:ascii="宋体" w:hAnsi="宋体" w:eastAsia="宋体" w:cs="宋体"/>
          <w:color w:val="auto"/>
          <w:sz w:val="24"/>
          <w:szCs w:val="24"/>
          <w:highlight w:val="none"/>
          <w:lang w:bidi="ar"/>
        </w:rPr>
        <w:t>】中约定。</w:t>
      </w:r>
    </w:p>
    <w:p w14:paraId="6D1D8730">
      <w:pPr>
        <w:pStyle w:val="21"/>
        <w:spacing w:before="0" w:after="0" w:afterAutospacing="0" w:line="360" w:lineRule="auto"/>
        <w:jc w:val="both"/>
        <w:rPr>
          <w:rFonts w:hint="eastAsia" w:ascii="宋体" w:hAnsi="宋体" w:eastAsia="宋体" w:cs="宋体"/>
          <w:b/>
          <w:bCs/>
          <w:color w:val="auto"/>
          <w:kern w:val="2"/>
          <w:szCs w:val="24"/>
          <w:highlight w:val="none"/>
        </w:rPr>
      </w:pPr>
      <w:r>
        <w:rPr>
          <w:rFonts w:hint="eastAsia" w:ascii="宋体" w:hAnsi="宋体" w:eastAsia="宋体" w:cs="宋体"/>
          <w:b/>
          <w:bCs/>
          <w:color w:val="auto"/>
          <w:kern w:val="2"/>
          <w:szCs w:val="24"/>
          <w:highlight w:val="none"/>
          <w:lang w:bidi="ar"/>
        </w:rPr>
        <w:t>13. 履约保证金</w:t>
      </w:r>
    </w:p>
    <w:p w14:paraId="20D8396C">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13.1 乙方应当以支票、汇票、本票或者金融机构、担保机构出具的保函等非现金形式提交。</w:t>
      </w:r>
    </w:p>
    <w:p w14:paraId="221F96D0">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13.2 如果乙方出现</w:t>
      </w:r>
      <w:r>
        <w:rPr>
          <w:rFonts w:hint="eastAsia" w:ascii="宋体" w:hAnsi="宋体" w:eastAsia="宋体" w:cs="宋体"/>
          <w:b/>
          <w:bCs/>
          <w:color w:val="auto"/>
          <w:sz w:val="24"/>
          <w:szCs w:val="24"/>
          <w:highlight w:val="none"/>
          <w:lang w:bidi="ar"/>
        </w:rPr>
        <w:t>【政府采购合同专用条款】</w:t>
      </w:r>
      <w:r>
        <w:rPr>
          <w:rFonts w:hint="eastAsia" w:ascii="宋体" w:hAnsi="宋体" w:eastAsia="宋体" w:cs="宋体"/>
          <w:color w:val="auto"/>
          <w:sz w:val="24"/>
          <w:szCs w:val="24"/>
          <w:highlight w:val="none"/>
          <w:lang w:bidi="ar"/>
        </w:rPr>
        <w:t>约定情形的，履约保证金不予退还；如果乙方未能按合同约定全面履行义务，甲方有权从履约保证金中取得补偿或赔偿，且不影响甲方要求乙方承担合同约定的超过履约保证金的违约责任的权利。</w:t>
      </w:r>
    </w:p>
    <w:p w14:paraId="30E97458">
      <w:pPr>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13.3 甲方在项目通过验收后按照</w:t>
      </w:r>
      <w:r>
        <w:rPr>
          <w:rFonts w:hint="eastAsia" w:ascii="宋体" w:hAnsi="宋体" w:eastAsia="宋体" w:cs="宋体"/>
          <w:b/>
          <w:color w:val="auto"/>
          <w:sz w:val="24"/>
          <w:szCs w:val="24"/>
          <w:highlight w:val="none"/>
          <w:lang w:bidi="ar"/>
        </w:rPr>
        <w:t>【政府采购合同专用条款】</w:t>
      </w:r>
      <w:r>
        <w:rPr>
          <w:rFonts w:hint="eastAsia" w:ascii="宋体" w:hAnsi="宋体" w:eastAsia="宋体" w:cs="宋体"/>
          <w:color w:val="auto"/>
          <w:sz w:val="24"/>
          <w:szCs w:val="24"/>
          <w:highlight w:val="none"/>
          <w:lang w:bidi="ar"/>
        </w:rPr>
        <w:t>规定的时间内将履约保证金退还乙方；逾期退还的，乙方可要求甲方支付违约金，违约金按照</w:t>
      </w:r>
      <w:r>
        <w:rPr>
          <w:rFonts w:hint="eastAsia" w:ascii="宋体" w:hAnsi="宋体" w:eastAsia="宋体" w:cs="宋体"/>
          <w:b/>
          <w:color w:val="auto"/>
          <w:sz w:val="24"/>
          <w:szCs w:val="24"/>
          <w:highlight w:val="none"/>
          <w:lang w:bidi="ar"/>
        </w:rPr>
        <w:t>【政府采购合同专用条款】</w:t>
      </w:r>
      <w:r>
        <w:rPr>
          <w:rFonts w:hint="eastAsia" w:ascii="宋体" w:hAnsi="宋体" w:eastAsia="宋体" w:cs="宋体"/>
          <w:color w:val="auto"/>
          <w:sz w:val="24"/>
          <w:szCs w:val="24"/>
          <w:highlight w:val="none"/>
          <w:lang w:bidi="ar"/>
        </w:rPr>
        <w:t>规定支付。</w:t>
      </w:r>
    </w:p>
    <w:p w14:paraId="07211217">
      <w:pPr>
        <w:autoSpaceDE w:val="0"/>
        <w:autoSpaceDN w:val="0"/>
        <w:adjustRightInd w:val="0"/>
        <w:snapToGrid w:val="0"/>
        <w:spacing w:line="360" w:lineRule="auto"/>
        <w:jc w:val="left"/>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lang w:bidi="ar"/>
        </w:rPr>
        <w:t xml:space="preserve">14. </w:t>
      </w:r>
      <w:r>
        <w:rPr>
          <w:rFonts w:hint="eastAsia" w:ascii="宋体" w:hAnsi="宋体" w:eastAsia="宋体" w:cs="宋体"/>
          <w:b/>
          <w:color w:val="auto"/>
          <w:sz w:val="24"/>
          <w:szCs w:val="24"/>
          <w:highlight w:val="none"/>
          <w:lang w:bidi="ar"/>
        </w:rPr>
        <w:t>售后服务</w:t>
      </w:r>
    </w:p>
    <w:p w14:paraId="1ABF9FB9">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14.1 除项目不涉及或采购活动中明确约定无须承担外，乙方还应提供下列服务：</w:t>
      </w:r>
    </w:p>
    <w:p w14:paraId="445F4BDB">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（1）货物的现场移动、安装、调试、启动监督及技术支持；</w:t>
      </w:r>
    </w:p>
    <w:p w14:paraId="16EDED9F">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（2）提供货物组装和维修所需的专用工具和辅助材料；</w:t>
      </w:r>
    </w:p>
    <w:p w14:paraId="40C1B72A">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（3）在</w:t>
      </w:r>
      <w:r>
        <w:rPr>
          <w:rFonts w:hint="eastAsia" w:ascii="宋体" w:hAnsi="宋体" w:eastAsia="宋体" w:cs="宋体"/>
          <w:b/>
          <w:bCs/>
          <w:color w:val="auto"/>
          <w:sz w:val="24"/>
          <w:szCs w:val="24"/>
          <w:highlight w:val="none"/>
          <w:lang w:bidi="ar"/>
        </w:rPr>
        <w:t>【政府采购合同专用条款】</w:t>
      </w:r>
      <w:r>
        <w:rPr>
          <w:rFonts w:hint="eastAsia" w:ascii="宋体" w:hAnsi="宋体" w:eastAsia="宋体" w:cs="宋体"/>
          <w:color w:val="auto"/>
          <w:sz w:val="24"/>
          <w:szCs w:val="24"/>
          <w:highlight w:val="none"/>
          <w:lang w:bidi="ar"/>
        </w:rPr>
        <w:t>约定的期限内对所有的货物实施运行监督、维修，但前提条件是该服务并不能免除乙方在质量保证期内所承担的义务；</w:t>
      </w:r>
    </w:p>
    <w:p w14:paraId="629CAE42">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（4）在制造商所在地或指定现场就货物的安装、启动、运营、维护、废弃处置等对甲方操作人员进行培训；</w:t>
      </w:r>
    </w:p>
    <w:p w14:paraId="2FD5F850">
      <w:pPr>
        <w:pStyle w:val="21"/>
        <w:widowControl/>
        <w:autoSpaceDE w:val="0"/>
        <w:autoSpaceDN w:val="0"/>
        <w:adjustRightInd w:val="0"/>
        <w:spacing w:before="0" w:beforeAutospacing="0" w:after="0" w:afterAutospacing="0"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lang w:bidi="ar"/>
        </w:rPr>
        <w:t>（5）依照法律、行政法规的规定或者按照</w:t>
      </w:r>
      <w:r>
        <w:rPr>
          <w:rFonts w:hint="eastAsia" w:ascii="宋体" w:hAnsi="宋体" w:eastAsia="宋体" w:cs="宋体"/>
          <w:b/>
          <w:bCs/>
          <w:color w:val="auto"/>
          <w:szCs w:val="24"/>
          <w:highlight w:val="none"/>
          <w:lang w:bidi="ar"/>
        </w:rPr>
        <w:t>【政府采购合同专用条款】</w:t>
      </w:r>
      <w:r>
        <w:rPr>
          <w:rFonts w:hint="eastAsia" w:ascii="宋体" w:hAnsi="宋体" w:eastAsia="宋体" w:cs="宋体"/>
          <w:color w:val="auto"/>
          <w:szCs w:val="24"/>
          <w:highlight w:val="none"/>
          <w:lang w:bidi="ar"/>
        </w:rPr>
        <w:t>约定，货物在有效使用年限届满后应予回收的，乙方负有自行或者委托第三人对货物予以回收的义务；</w:t>
      </w:r>
    </w:p>
    <w:p w14:paraId="3EA3E2D7">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（6）</w:t>
      </w:r>
      <w:r>
        <w:rPr>
          <w:rFonts w:hint="eastAsia" w:ascii="宋体" w:hAnsi="宋体" w:eastAsia="宋体" w:cs="宋体"/>
          <w:b/>
          <w:color w:val="auto"/>
          <w:sz w:val="24"/>
          <w:szCs w:val="24"/>
          <w:highlight w:val="none"/>
          <w:lang w:bidi="ar"/>
        </w:rPr>
        <w:t>【政府采购合同专用条款】</w:t>
      </w:r>
      <w:r>
        <w:rPr>
          <w:rFonts w:hint="eastAsia" w:ascii="宋体" w:hAnsi="宋体" w:eastAsia="宋体" w:cs="宋体"/>
          <w:color w:val="auto"/>
          <w:sz w:val="24"/>
          <w:szCs w:val="24"/>
          <w:highlight w:val="none"/>
          <w:lang w:bidi="ar"/>
        </w:rPr>
        <w:t>规定由乙方提供的其他服务。</w:t>
      </w:r>
    </w:p>
    <w:p w14:paraId="30421A6A">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14.2 乙方提供的售后服务的费用已包含在合同价款中，甲方不再另行支付。</w:t>
      </w:r>
    </w:p>
    <w:p w14:paraId="72FC12D8">
      <w:pPr>
        <w:adjustRightInd w:val="0"/>
        <w:snapToGrid w:val="0"/>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15. 违约责任</w:t>
      </w:r>
    </w:p>
    <w:p w14:paraId="4B6BED77">
      <w:pPr>
        <w:adjustRightInd w:val="0"/>
        <w:snapToGrid w:val="0"/>
        <w:spacing w:line="360" w:lineRule="auto"/>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15.1质量瑕疵的违约责任</w:t>
      </w:r>
    </w:p>
    <w:p w14:paraId="0681D7F5">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乙方提供的产品不符合合同约定的质量标准或存在产品质量缺陷，甲方有权要求乙方根据</w:t>
      </w:r>
      <w:r>
        <w:rPr>
          <w:rFonts w:hint="eastAsia" w:ascii="宋体" w:hAnsi="宋体" w:eastAsia="宋体" w:cs="宋体"/>
          <w:b/>
          <w:color w:val="auto"/>
          <w:sz w:val="24"/>
          <w:szCs w:val="24"/>
          <w:highlight w:val="none"/>
          <w:lang w:bidi="ar"/>
        </w:rPr>
        <w:t>【政府采购合同专用条款】</w:t>
      </w:r>
      <w:r>
        <w:rPr>
          <w:rFonts w:hint="eastAsia" w:ascii="宋体" w:hAnsi="宋体" w:eastAsia="宋体" w:cs="宋体"/>
          <w:bCs/>
          <w:color w:val="auto"/>
          <w:sz w:val="24"/>
          <w:szCs w:val="24"/>
          <w:highlight w:val="none"/>
          <w:lang w:bidi="ar"/>
        </w:rPr>
        <w:t>要求</w:t>
      </w:r>
      <w:r>
        <w:rPr>
          <w:rFonts w:hint="eastAsia" w:ascii="宋体" w:hAnsi="宋体" w:eastAsia="宋体" w:cs="宋体"/>
          <w:color w:val="auto"/>
          <w:sz w:val="24"/>
          <w:szCs w:val="24"/>
          <w:highlight w:val="none"/>
          <w:lang w:bidi="ar"/>
        </w:rPr>
        <w:t>及时修理、重作、更换，并承担由此给甲方造成的损失。</w:t>
      </w:r>
    </w:p>
    <w:p w14:paraId="3E4690CB">
      <w:pPr>
        <w:autoSpaceDE w:val="0"/>
        <w:autoSpaceDN w:val="0"/>
        <w:adjustRightInd w:val="0"/>
        <w:snapToGrid w:val="0"/>
        <w:spacing w:line="360" w:lineRule="auto"/>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15.2 迟延交货的违约责任</w:t>
      </w:r>
    </w:p>
    <w:p w14:paraId="342D9DD4">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550C9EF0">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（2）如果乙方没有按照合同规定的时间交货和提供相关服务，甲方有权从货款中扣除误期赔偿费而不影响合同项下的其他补救方法，赔偿费按</w:t>
      </w:r>
      <w:r>
        <w:rPr>
          <w:rFonts w:hint="eastAsia" w:ascii="宋体" w:hAnsi="宋体" w:eastAsia="宋体" w:cs="宋体"/>
          <w:b/>
          <w:color w:val="auto"/>
          <w:sz w:val="24"/>
          <w:szCs w:val="24"/>
          <w:highlight w:val="none"/>
          <w:lang w:bidi="ar"/>
        </w:rPr>
        <w:t>【政府采购合同专用条款】</w:t>
      </w:r>
      <w:r>
        <w:rPr>
          <w:rFonts w:hint="eastAsia" w:ascii="宋体" w:hAnsi="宋体" w:eastAsia="宋体" w:cs="宋体"/>
          <w:color w:val="auto"/>
          <w:sz w:val="24"/>
          <w:szCs w:val="24"/>
          <w:highlight w:val="none"/>
          <w:lang w:bidi="ar"/>
        </w:rPr>
        <w:t>规定执行。如果涉及公共利益，且赔偿金额无法弥补公共利益损失，甲方可要求继续履行或者采取其他补救措施。</w:t>
      </w:r>
    </w:p>
    <w:p w14:paraId="603A3D9E">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15.3 迟延支付的违约责任</w:t>
      </w:r>
    </w:p>
    <w:p w14:paraId="355ACDD6">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甲方存在迟延支付乙方合同款项的，应当承担</w:t>
      </w:r>
      <w:r>
        <w:rPr>
          <w:rFonts w:hint="eastAsia" w:ascii="宋体" w:hAnsi="宋体" w:eastAsia="宋体" w:cs="宋体"/>
          <w:b/>
          <w:bCs/>
          <w:color w:val="auto"/>
          <w:sz w:val="24"/>
          <w:szCs w:val="24"/>
          <w:highlight w:val="none"/>
          <w:lang w:bidi="ar"/>
        </w:rPr>
        <w:t>【政府采购合同专用条款】</w:t>
      </w:r>
      <w:r>
        <w:rPr>
          <w:rFonts w:hint="eastAsia" w:ascii="宋体" w:hAnsi="宋体" w:eastAsia="宋体" w:cs="宋体"/>
          <w:color w:val="auto"/>
          <w:sz w:val="24"/>
          <w:szCs w:val="24"/>
          <w:highlight w:val="none"/>
          <w:lang w:bidi="ar"/>
        </w:rPr>
        <w:t>规定的逾期付款利息。</w:t>
      </w:r>
    </w:p>
    <w:p w14:paraId="779752BF">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bidi="ar"/>
        </w:rPr>
        <w:t>15.4其他违约责任根据项目实际需要按</w:t>
      </w:r>
      <w:r>
        <w:rPr>
          <w:rFonts w:hint="eastAsia" w:ascii="宋体" w:hAnsi="宋体" w:eastAsia="宋体" w:cs="宋体"/>
          <w:b/>
          <w:bCs/>
          <w:color w:val="auto"/>
          <w:sz w:val="24"/>
          <w:szCs w:val="24"/>
          <w:highlight w:val="none"/>
          <w:lang w:bidi="ar"/>
        </w:rPr>
        <w:t>【政府采购合同专用条款】</w:t>
      </w:r>
      <w:r>
        <w:rPr>
          <w:rFonts w:hint="eastAsia" w:ascii="宋体" w:hAnsi="宋体" w:eastAsia="宋体" w:cs="宋体"/>
          <w:color w:val="auto"/>
          <w:sz w:val="24"/>
          <w:szCs w:val="24"/>
          <w:highlight w:val="none"/>
          <w:lang w:bidi="ar"/>
        </w:rPr>
        <w:t>规定执行。</w:t>
      </w:r>
    </w:p>
    <w:p w14:paraId="034E5896">
      <w:pPr>
        <w:numPr>
          <w:ilvl w:val="0"/>
          <w:numId w:val="6"/>
        </w:numPr>
        <w:autoSpaceDE w:val="0"/>
        <w:autoSpaceDN w:val="0"/>
        <w:adjustRightInd w:val="0"/>
        <w:snapToGrid w:val="0"/>
        <w:spacing w:line="360" w:lineRule="auto"/>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合同变更、中止与终止</w:t>
      </w:r>
    </w:p>
    <w:p w14:paraId="6FA914E2">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 xml:space="preserve">    16.1合同的变更</w:t>
      </w:r>
    </w:p>
    <w:p w14:paraId="44930A41">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政府采购合同履行中，在不改变合同其他条款的前提下，甲方可以在合同价款10%的范围内追加与合同标的相同的货物，并就此与乙方协商一致后签订补充协议。</w:t>
      </w:r>
    </w:p>
    <w:p w14:paraId="57FD3C99">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16.2合同的中止</w:t>
      </w:r>
    </w:p>
    <w:p w14:paraId="290AA362">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（1）合同履行过程中因供应商就采购文件、采购过程或结果提起投诉的，甲方认为有必要的，可以中止合同的履行。</w:t>
      </w:r>
    </w:p>
    <w:p w14:paraId="182AAC5D">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38232362">
      <w:pPr>
        <w:pStyle w:val="21"/>
        <w:widowControl/>
        <w:autoSpaceDE w:val="0"/>
        <w:autoSpaceDN w:val="0"/>
        <w:adjustRightInd w:val="0"/>
        <w:spacing w:before="0" w:beforeAutospacing="0" w:after="0" w:afterAutospacing="0" w:line="360" w:lineRule="auto"/>
        <w:ind w:firstLine="480" w:firstLineChars="200"/>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lang w:bidi="ar"/>
        </w:rPr>
        <w:t>（3）乙方分立、合并或者变更住所的，应当及时以书面形式告知甲方。乙方没有及时告知甲方，致使合同履行发生困难的，甲方可以中止合同履行并要求乙方承担由此给甲方造成的损失。</w:t>
      </w:r>
    </w:p>
    <w:p w14:paraId="371137E6">
      <w:pPr>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（4）甲方不得以行政区划调整、政府换届、机构或者职能调整以及相关责任人更替为由中止合同。</w:t>
      </w:r>
    </w:p>
    <w:p w14:paraId="2A9A4F78">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16.3合同的终止</w:t>
      </w:r>
    </w:p>
    <w:p w14:paraId="7CE76B0F">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（1）合同因有效期限届满而终止；</w:t>
      </w:r>
    </w:p>
    <w:p w14:paraId="55030EB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（2）乙方未按合同约定履行，构成根本性违约的，甲方有权终止合同，并追究乙方的违约责任。</w:t>
      </w:r>
    </w:p>
    <w:p w14:paraId="71577A09">
      <w:pPr>
        <w:pStyle w:val="21"/>
        <w:widowControl/>
        <w:autoSpaceDE w:val="0"/>
        <w:autoSpaceDN w:val="0"/>
        <w:adjustRightInd w:val="0"/>
        <w:spacing w:before="0" w:beforeAutospacing="0" w:after="0" w:afterAutospacing="0"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lang w:bidi="ar"/>
        </w:rPr>
        <w:t xml:space="preserve">16.4 </w:t>
      </w:r>
      <w:r>
        <w:rPr>
          <w:rFonts w:hint="eastAsia" w:ascii="宋体" w:hAnsi="宋体" w:eastAsia="宋体" w:cs="宋体"/>
          <w:color w:val="auto"/>
          <w:kern w:val="2"/>
          <w:szCs w:val="24"/>
          <w:highlight w:val="none"/>
          <w:lang w:bidi="ar"/>
        </w:rPr>
        <w:t>涉及国家利益、社会公共利益的情形</w:t>
      </w:r>
    </w:p>
    <w:p w14:paraId="43F18E06">
      <w:pPr>
        <w:pStyle w:val="21"/>
        <w:widowControl/>
        <w:autoSpaceDE w:val="0"/>
        <w:autoSpaceDN w:val="0"/>
        <w:adjustRightInd w:val="0"/>
        <w:spacing w:before="0" w:beforeAutospacing="0" w:after="0" w:afterAutospacing="0" w:line="360" w:lineRule="auto"/>
        <w:ind w:firstLine="480" w:firstLineChars="200"/>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lang w:bidi="ar"/>
        </w:rPr>
        <w:t>政府采购合同继续履行将损害国家利益和社会公共利益的，双方当事人应当变更、中止或者终止合同。有过错的一方应当承担赔偿责任，双方都有过错的，各自承担相应的责任。</w:t>
      </w:r>
    </w:p>
    <w:p w14:paraId="24E2659B">
      <w:pPr>
        <w:autoSpaceDE w:val="0"/>
        <w:autoSpaceDN w:val="0"/>
        <w:adjustRightInd w:val="0"/>
        <w:snapToGrid w:val="0"/>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17. 合同分包</w:t>
      </w:r>
    </w:p>
    <w:p w14:paraId="1C60B497">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17.1 乙方不得将合同转包给其他供应商。涉及合同分包的，乙方应根据采购文件和投标（响应）文件规定进行合同分包。</w:t>
      </w:r>
    </w:p>
    <w:p w14:paraId="44FCD10F">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17.2 乙方执行政府采购政策向中小企业依法分包的，乙方应当按采购文件和投标（响应）文件签订分包意向协议，分包意向协议属于本合同组成部分。</w:t>
      </w:r>
    </w:p>
    <w:p w14:paraId="31ECFBE0">
      <w:pPr>
        <w:autoSpaceDE w:val="0"/>
        <w:autoSpaceDN w:val="0"/>
        <w:adjustRightInd w:val="0"/>
        <w:snapToGrid w:val="0"/>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18. 不可抗力</w:t>
      </w:r>
    </w:p>
    <w:p w14:paraId="6B878887">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18.1 不可抗力是指合同双方不能预见、不能避免且不能克服的客观情况。</w:t>
      </w:r>
    </w:p>
    <w:p w14:paraId="498DA02C">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18.2 任何一方对由于不可抗力造成的部分或全部不能履行合同不承担违约责任。但迟延履行后发生不可抗力的，不能免除责任。</w:t>
      </w:r>
    </w:p>
    <w:p w14:paraId="59469F02">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054F0691">
      <w:pPr>
        <w:autoSpaceDE w:val="0"/>
        <w:autoSpaceDN w:val="0"/>
        <w:adjustRightInd w:val="0"/>
        <w:snapToGrid w:val="0"/>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19. 解决争议的方法</w:t>
      </w:r>
    </w:p>
    <w:p w14:paraId="43BB9F4C">
      <w:pPr>
        <w:pStyle w:val="21"/>
        <w:widowControl/>
        <w:autoSpaceDE w:val="0"/>
        <w:autoSpaceDN w:val="0"/>
        <w:adjustRightInd w:val="0"/>
        <w:spacing w:before="0" w:beforeAutospacing="0" w:after="0" w:afterAutospacing="0" w:line="360" w:lineRule="auto"/>
        <w:ind w:firstLine="480" w:firstLineChars="200"/>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lang w:bidi="ar"/>
        </w:rPr>
        <w:t>19.1 因本合同及合同有关事项发生的争议，由甲乙双方友好协商解决。协商不成时，可以向有关组织申请调解。合同一方或双方不愿调解或调解不成的，可以通过仲裁或诉讼的方式解决争议。</w:t>
      </w:r>
    </w:p>
    <w:p w14:paraId="0FDB1069">
      <w:pPr>
        <w:pStyle w:val="21"/>
        <w:widowControl/>
        <w:autoSpaceDE w:val="0"/>
        <w:autoSpaceDN w:val="0"/>
        <w:adjustRightInd w:val="0"/>
        <w:spacing w:before="0" w:beforeAutospacing="0" w:after="0" w:afterAutospacing="0" w:line="360" w:lineRule="auto"/>
        <w:ind w:firstLine="480" w:firstLineChars="200"/>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lang w:bidi="ar"/>
        </w:rPr>
        <w:t>19.2 选择仲裁的，应在</w:t>
      </w:r>
      <w:r>
        <w:rPr>
          <w:rFonts w:hint="eastAsia" w:ascii="宋体" w:hAnsi="宋体" w:eastAsia="宋体" w:cs="宋体"/>
          <w:b/>
          <w:bCs/>
          <w:color w:val="auto"/>
          <w:szCs w:val="24"/>
          <w:highlight w:val="none"/>
          <w:lang w:bidi="ar"/>
        </w:rPr>
        <w:t>【政府采购合同专用条款】</w:t>
      </w:r>
      <w:r>
        <w:rPr>
          <w:rFonts w:hint="eastAsia" w:ascii="宋体" w:hAnsi="宋体" w:eastAsia="宋体" w:cs="宋体"/>
          <w:color w:val="auto"/>
          <w:szCs w:val="24"/>
          <w:highlight w:val="none"/>
          <w:lang w:bidi="ar"/>
        </w:rPr>
        <w:t>中明确仲裁机构及仲裁地；通过诉讼方式解决的，可以在</w:t>
      </w:r>
      <w:r>
        <w:rPr>
          <w:rFonts w:hint="eastAsia" w:ascii="宋体" w:hAnsi="宋体" w:eastAsia="宋体" w:cs="宋体"/>
          <w:b/>
          <w:bCs/>
          <w:color w:val="auto"/>
          <w:szCs w:val="24"/>
          <w:highlight w:val="none"/>
          <w:lang w:bidi="ar"/>
        </w:rPr>
        <w:t>【政府采购合同专用条款】</w:t>
      </w:r>
      <w:r>
        <w:rPr>
          <w:rFonts w:hint="eastAsia" w:ascii="宋体" w:hAnsi="宋体" w:eastAsia="宋体" w:cs="宋体"/>
          <w:color w:val="auto"/>
          <w:szCs w:val="24"/>
          <w:highlight w:val="none"/>
          <w:lang w:bidi="ar"/>
        </w:rPr>
        <w:t>中进一步约定选择与争议有实际联系的地点的人民法院管辖，但管辖法院的约定不得违反级别管辖和专属管辖的规定。</w:t>
      </w:r>
    </w:p>
    <w:p w14:paraId="621151E7">
      <w:pPr>
        <w:pStyle w:val="21"/>
        <w:widowControl/>
        <w:autoSpaceDE w:val="0"/>
        <w:autoSpaceDN w:val="0"/>
        <w:adjustRightInd w:val="0"/>
        <w:spacing w:before="0" w:beforeAutospacing="0" w:after="0" w:afterAutospacing="0" w:line="360" w:lineRule="auto"/>
        <w:ind w:firstLine="480" w:firstLineChars="200"/>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lang w:bidi="ar"/>
        </w:rPr>
        <w:t>19.3 如甲乙双方有争议的事项不影响合同其他部分的履行，在争议解决期间，合同其他部分应当继续履行。</w:t>
      </w:r>
    </w:p>
    <w:p w14:paraId="4D7FE8E1">
      <w:pPr>
        <w:autoSpaceDE w:val="0"/>
        <w:autoSpaceDN w:val="0"/>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lang w:bidi="ar"/>
        </w:rPr>
        <w:t>20. 政府采购政策</w:t>
      </w:r>
    </w:p>
    <w:p w14:paraId="3F15D109">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20.1 本合同应当按照规定执行政府采购政策。</w:t>
      </w:r>
    </w:p>
    <w:p w14:paraId="4301232E">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20.2 本合同依法执行政府采购政策的方式和内容，属于合同履约验收的范围。甲乙双方未按规定要求执行政府采购政策造成损失的，有过错的一方应当承担赔偿责任，双方都有过错的，各自承担相应的责任。</w:t>
      </w:r>
    </w:p>
    <w:p w14:paraId="1DAF7E8B">
      <w:pPr>
        <w:pStyle w:val="21"/>
        <w:spacing w:before="0" w:after="0" w:afterAutospacing="0" w:line="360" w:lineRule="auto"/>
        <w:ind w:firstLine="480" w:firstLineChars="200"/>
        <w:jc w:val="both"/>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lang w:bidi="ar"/>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7096645F">
      <w:pPr>
        <w:autoSpaceDE w:val="0"/>
        <w:autoSpaceDN w:val="0"/>
        <w:adjustRightInd w:val="0"/>
        <w:snapToGrid w:val="0"/>
        <w:spacing w:line="360" w:lineRule="auto"/>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21. 法律适用</w:t>
      </w:r>
    </w:p>
    <w:p w14:paraId="54959476">
      <w:pPr>
        <w:pStyle w:val="21"/>
        <w:widowControl/>
        <w:autoSpaceDE w:val="0"/>
        <w:autoSpaceDN w:val="0"/>
        <w:adjustRightInd w:val="0"/>
        <w:spacing w:before="0" w:beforeAutospacing="0" w:after="0" w:afterAutospacing="0" w:line="360" w:lineRule="auto"/>
        <w:ind w:firstLine="480" w:firstLineChars="200"/>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lang w:bidi="ar"/>
        </w:rPr>
        <w:t>21.1 本合同的订立、生效、解释、履行及与本合同有关的争议解决，均适用法律、行政法规。</w:t>
      </w:r>
    </w:p>
    <w:p w14:paraId="096D47C4">
      <w:pPr>
        <w:pStyle w:val="21"/>
        <w:widowControl/>
        <w:autoSpaceDE w:val="0"/>
        <w:autoSpaceDN w:val="0"/>
        <w:adjustRightInd w:val="0"/>
        <w:spacing w:before="0" w:beforeAutospacing="0" w:after="0" w:afterAutospacing="0" w:line="360" w:lineRule="auto"/>
        <w:ind w:firstLine="480" w:firstLineChars="200"/>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lang w:bidi="ar"/>
        </w:rPr>
        <w:t>21.2 本合同条款与法律、行政法规的强制性规定不一致的，双方当事人应按照法律、行政法规的强制性规定修改本合同的相关条款。</w:t>
      </w:r>
    </w:p>
    <w:p w14:paraId="4066D5F6">
      <w:pPr>
        <w:autoSpaceDE w:val="0"/>
        <w:autoSpaceDN w:val="0"/>
        <w:adjustRightInd w:val="0"/>
        <w:snapToGrid w:val="0"/>
        <w:spacing w:line="360" w:lineRule="auto"/>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22. 通知</w:t>
      </w:r>
    </w:p>
    <w:p w14:paraId="442B1B34">
      <w:pPr>
        <w:pStyle w:val="21"/>
        <w:widowControl/>
        <w:autoSpaceDE w:val="0"/>
        <w:autoSpaceDN w:val="0"/>
        <w:adjustRightInd w:val="0"/>
        <w:spacing w:before="0" w:beforeAutospacing="0" w:after="0" w:afterAutospacing="0" w:line="360" w:lineRule="auto"/>
        <w:ind w:firstLine="480" w:firstLineChars="200"/>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lang w:bidi="ar"/>
        </w:rPr>
        <w:t>22.1 本合同任何一方向对方发出的通知、信件、数据电文等，应当发送至本合同第一部分《政府采购合同协议书》所约定的通讯地址、联系人、联系电话或电子邮箱。</w:t>
      </w:r>
    </w:p>
    <w:p w14:paraId="44BF75C1">
      <w:pPr>
        <w:pStyle w:val="21"/>
        <w:widowControl/>
        <w:autoSpaceDE w:val="0"/>
        <w:autoSpaceDN w:val="0"/>
        <w:adjustRightInd w:val="0"/>
        <w:spacing w:before="0" w:beforeAutospacing="0" w:after="0" w:afterAutospacing="0" w:line="360" w:lineRule="auto"/>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lang w:bidi="ar"/>
        </w:rPr>
        <w:t xml:space="preserve">    22.2 一方当事人变更名称、住所、联系人、联系电话或电子邮箱等信息的，应当在变更后3日内及时书面通知对方，对方实际收到变更通知前的送达仍为有效送达。</w:t>
      </w:r>
    </w:p>
    <w:p w14:paraId="00153B1E">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22.3本合同一方给另一方的通知均应采用书面形式，传真或快递送到本合同中规定的对方的地址和办理签收手续。</w:t>
      </w:r>
    </w:p>
    <w:p w14:paraId="4989A4BF">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22.4通知以送达之日或通知书中规定的生效之日起生效，两者中以较迟之日为准。</w:t>
      </w:r>
    </w:p>
    <w:p w14:paraId="40820BBB">
      <w:pPr>
        <w:numPr>
          <w:ilvl w:val="0"/>
          <w:numId w:val="7"/>
        </w:numPr>
        <w:adjustRightInd w:val="0"/>
        <w:snapToGrid w:val="0"/>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合同未尽事项</w:t>
      </w:r>
    </w:p>
    <w:p w14:paraId="5808CBF7">
      <w:pPr>
        <w:adjustRightInd w:val="0"/>
        <w:snapToGrid w:val="0"/>
        <w:spacing w:line="360" w:lineRule="auto"/>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23.1合同未尽事项见</w:t>
      </w:r>
      <w:r>
        <w:rPr>
          <w:rFonts w:hint="eastAsia" w:ascii="宋体" w:hAnsi="宋体" w:eastAsia="宋体" w:cs="宋体"/>
          <w:b/>
          <w:color w:val="auto"/>
          <w:sz w:val="24"/>
          <w:szCs w:val="24"/>
          <w:highlight w:val="none"/>
          <w:lang w:bidi="ar"/>
        </w:rPr>
        <w:t>【政府采购合同专用条款】</w:t>
      </w:r>
      <w:r>
        <w:rPr>
          <w:rFonts w:hint="eastAsia" w:ascii="宋体" w:hAnsi="宋体" w:eastAsia="宋体" w:cs="宋体"/>
          <w:bCs/>
          <w:color w:val="auto"/>
          <w:sz w:val="24"/>
          <w:szCs w:val="24"/>
          <w:highlight w:val="none"/>
          <w:lang w:bidi="ar"/>
        </w:rPr>
        <w:t>。</w:t>
      </w:r>
    </w:p>
    <w:p w14:paraId="6485A40F">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bidi="ar"/>
        </w:rPr>
        <w:t xml:space="preserve">    23.2 合同附件与合同正文具有同等的法律效力。</w:t>
      </w:r>
    </w:p>
    <w:p w14:paraId="75F3D1C6">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br w:type="page"/>
      </w:r>
    </w:p>
    <w:p w14:paraId="25C3A293">
      <w:pPr>
        <w:pStyle w:val="2"/>
        <w:rPr>
          <w:rFonts w:hint="eastAsia" w:cs="@仿宋_GB2312"/>
          <w:color w:val="auto"/>
          <w:highlight w:val="none"/>
        </w:rPr>
      </w:pPr>
      <w:r>
        <w:rPr>
          <w:rFonts w:hint="eastAsia"/>
          <w:color w:val="auto"/>
          <w:highlight w:val="none"/>
        </w:rPr>
        <w:t>第三节</w:t>
      </w:r>
      <w:r>
        <w:rPr>
          <w:rFonts w:hint="eastAsia" w:cs="@仿宋_GB2312"/>
          <w:color w:val="auto"/>
          <w:highlight w:val="none"/>
        </w:rPr>
        <w:t xml:space="preserve"> </w:t>
      </w:r>
      <w:r>
        <w:rPr>
          <w:rFonts w:hint="eastAsia"/>
          <w:color w:val="auto"/>
          <w:highlight w:val="none"/>
        </w:rPr>
        <w:t>政府采购合同专用条款</w:t>
      </w:r>
    </w:p>
    <w:tbl>
      <w:tblPr>
        <w:tblStyle w:val="27"/>
        <w:tblW w:w="8519" w:type="dxa"/>
        <w:tblInd w:w="108" w:type="dxa"/>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57F77710">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tcBorders>
              <w:top w:val="double" w:color="auto" w:sz="2" w:space="0"/>
              <w:left w:val="double" w:color="auto" w:sz="2" w:space="0"/>
              <w:bottom w:val="single" w:color="auto" w:sz="6" w:space="0"/>
              <w:right w:val="single" w:color="auto" w:sz="6" w:space="0"/>
            </w:tcBorders>
            <w:vAlign w:val="center"/>
          </w:tcPr>
          <w:p w14:paraId="5D40AECD">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第二节</w:t>
            </w:r>
          </w:p>
          <w:p w14:paraId="157EE0AB">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第1.2（6）项</w:t>
            </w:r>
          </w:p>
        </w:tc>
        <w:tc>
          <w:tcPr>
            <w:tcW w:w="1742" w:type="dxa"/>
            <w:tcBorders>
              <w:top w:val="double" w:color="auto" w:sz="2" w:space="0"/>
              <w:left w:val="single" w:color="auto" w:sz="6" w:space="0"/>
              <w:bottom w:val="single" w:color="auto" w:sz="6" w:space="0"/>
              <w:right w:val="single" w:color="auto" w:sz="6" w:space="0"/>
            </w:tcBorders>
            <w:vAlign w:val="center"/>
          </w:tcPr>
          <w:p w14:paraId="3F7DACB4">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联合体具体要求</w:t>
            </w:r>
          </w:p>
        </w:tc>
        <w:tc>
          <w:tcPr>
            <w:tcW w:w="5170" w:type="dxa"/>
            <w:tcBorders>
              <w:top w:val="double" w:color="auto" w:sz="2" w:space="0"/>
              <w:left w:val="single" w:color="auto" w:sz="6" w:space="0"/>
              <w:bottom w:val="single" w:color="auto" w:sz="6" w:space="0"/>
              <w:right w:val="double" w:color="auto" w:sz="2" w:space="0"/>
            </w:tcBorders>
            <w:vAlign w:val="center"/>
          </w:tcPr>
          <w:p w14:paraId="53575227">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不接受联合体投标</w:t>
            </w:r>
          </w:p>
        </w:tc>
      </w:tr>
      <w:tr w14:paraId="2D89FB08">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tcBorders>
              <w:top w:val="single" w:color="auto" w:sz="6" w:space="0"/>
              <w:left w:val="double" w:color="auto" w:sz="2" w:space="0"/>
              <w:bottom w:val="single" w:color="auto" w:sz="6" w:space="0"/>
              <w:right w:val="single" w:color="auto" w:sz="6" w:space="0"/>
            </w:tcBorders>
            <w:vAlign w:val="center"/>
          </w:tcPr>
          <w:p w14:paraId="4B9F72EF">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第二节</w:t>
            </w:r>
          </w:p>
          <w:p w14:paraId="3F0917A9">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第1.2（7）项</w:t>
            </w:r>
          </w:p>
        </w:tc>
        <w:tc>
          <w:tcPr>
            <w:tcW w:w="1742" w:type="dxa"/>
            <w:tcBorders>
              <w:top w:val="single" w:color="auto" w:sz="6" w:space="0"/>
              <w:left w:val="single" w:color="auto" w:sz="6" w:space="0"/>
              <w:bottom w:val="single" w:color="auto" w:sz="6" w:space="0"/>
              <w:right w:val="single" w:color="auto" w:sz="6" w:space="0"/>
            </w:tcBorders>
            <w:vAlign w:val="center"/>
          </w:tcPr>
          <w:p w14:paraId="5ADD8A41">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其他术语解释</w:t>
            </w:r>
          </w:p>
        </w:tc>
        <w:tc>
          <w:tcPr>
            <w:tcW w:w="5170" w:type="dxa"/>
            <w:tcBorders>
              <w:top w:val="single" w:color="auto" w:sz="6" w:space="0"/>
              <w:left w:val="single" w:color="auto" w:sz="6" w:space="0"/>
              <w:bottom w:val="single" w:color="auto" w:sz="6" w:space="0"/>
              <w:right w:val="double" w:color="auto" w:sz="2" w:space="0"/>
            </w:tcBorders>
            <w:vAlign w:val="center"/>
          </w:tcPr>
          <w:p w14:paraId="000DD3FB">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w:t>
            </w:r>
          </w:p>
        </w:tc>
      </w:tr>
      <w:tr w14:paraId="280F2028">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tcBorders>
              <w:top w:val="single" w:color="auto" w:sz="6" w:space="0"/>
              <w:left w:val="double" w:color="auto" w:sz="2" w:space="0"/>
              <w:bottom w:val="single" w:color="auto" w:sz="6" w:space="0"/>
              <w:right w:val="single" w:color="auto" w:sz="6" w:space="0"/>
            </w:tcBorders>
            <w:vAlign w:val="center"/>
          </w:tcPr>
          <w:p w14:paraId="21703A40">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第二节</w:t>
            </w:r>
          </w:p>
          <w:p w14:paraId="69777048">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第4.4款</w:t>
            </w:r>
          </w:p>
        </w:tc>
        <w:tc>
          <w:tcPr>
            <w:tcW w:w="1742" w:type="dxa"/>
            <w:tcBorders>
              <w:top w:val="single" w:color="auto" w:sz="6" w:space="0"/>
              <w:left w:val="single" w:color="auto" w:sz="6" w:space="0"/>
              <w:bottom w:val="single" w:color="auto" w:sz="6" w:space="0"/>
              <w:right w:val="single" w:color="auto" w:sz="6" w:space="0"/>
            </w:tcBorders>
            <w:vAlign w:val="center"/>
          </w:tcPr>
          <w:p w14:paraId="261B5B7D">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履约验收中甲方提出异议或作出说明的期限</w:t>
            </w:r>
          </w:p>
        </w:tc>
        <w:tc>
          <w:tcPr>
            <w:tcW w:w="5170" w:type="dxa"/>
            <w:tcBorders>
              <w:top w:val="single" w:color="auto" w:sz="6" w:space="0"/>
              <w:left w:val="single" w:color="auto" w:sz="6" w:space="0"/>
              <w:bottom w:val="single" w:color="auto" w:sz="6" w:space="0"/>
              <w:right w:val="double" w:color="auto" w:sz="2" w:space="0"/>
            </w:tcBorders>
            <w:vAlign w:val="center"/>
          </w:tcPr>
          <w:p w14:paraId="0291A261">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5个工作日</w:t>
            </w:r>
          </w:p>
        </w:tc>
      </w:tr>
      <w:tr w14:paraId="3A08DC02">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tcBorders>
              <w:top w:val="single" w:color="auto" w:sz="6" w:space="0"/>
              <w:left w:val="double" w:color="auto" w:sz="2" w:space="0"/>
              <w:bottom w:val="single" w:color="auto" w:sz="6" w:space="0"/>
              <w:right w:val="single" w:color="auto" w:sz="6" w:space="0"/>
            </w:tcBorders>
            <w:vAlign w:val="center"/>
          </w:tcPr>
          <w:p w14:paraId="67516BDC">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第二节</w:t>
            </w:r>
          </w:p>
          <w:p w14:paraId="39A3B2C9">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第4.6款</w:t>
            </w:r>
          </w:p>
        </w:tc>
        <w:tc>
          <w:tcPr>
            <w:tcW w:w="1742" w:type="dxa"/>
            <w:tcBorders>
              <w:top w:val="single" w:color="auto" w:sz="6" w:space="0"/>
              <w:left w:val="single" w:color="auto" w:sz="6" w:space="0"/>
              <w:bottom w:val="single" w:color="auto" w:sz="6" w:space="0"/>
              <w:right w:val="single" w:color="auto" w:sz="6" w:space="0"/>
            </w:tcBorders>
            <w:vAlign w:val="center"/>
          </w:tcPr>
          <w:p w14:paraId="580E9705">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约定甲方承担的其他义务和责任</w:t>
            </w:r>
          </w:p>
        </w:tc>
        <w:tc>
          <w:tcPr>
            <w:tcW w:w="5170" w:type="dxa"/>
            <w:tcBorders>
              <w:top w:val="single" w:color="auto" w:sz="6" w:space="0"/>
              <w:left w:val="single" w:color="auto" w:sz="6" w:space="0"/>
              <w:bottom w:val="single" w:color="auto" w:sz="6" w:space="0"/>
              <w:right w:val="double" w:color="auto" w:sz="2" w:space="0"/>
            </w:tcBorders>
            <w:vAlign w:val="center"/>
          </w:tcPr>
          <w:p w14:paraId="42C47807">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(1)在合同生效后，非因产品质量问题，买方要求退货的，应向卖方偿付合同总价款的5%，作为违约金，违约金不足以补偿损失的，卖方有权要求甲方补足。</w:t>
            </w:r>
          </w:p>
          <w:p w14:paraId="063D7CE3">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(2)买方逾期付款的应按照逾期付款金额的每天万分之四支付逾期付款违约金。</w:t>
            </w:r>
          </w:p>
          <w:p w14:paraId="7FECC9DB">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(3)买方违反合同规定，无正当理由拒绝接收卖方交付的符合招标文件要求的合格标的物，应当承担卖方由此造成的损失。</w:t>
            </w:r>
          </w:p>
        </w:tc>
      </w:tr>
      <w:tr w14:paraId="77ECE35A">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tcBorders>
              <w:top w:val="single" w:color="auto" w:sz="6" w:space="0"/>
              <w:left w:val="double" w:color="auto" w:sz="2" w:space="0"/>
              <w:bottom w:val="single" w:color="auto" w:sz="6" w:space="0"/>
              <w:right w:val="single" w:color="auto" w:sz="6" w:space="0"/>
            </w:tcBorders>
            <w:vAlign w:val="center"/>
          </w:tcPr>
          <w:p w14:paraId="00ECFF8A">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第二节</w:t>
            </w:r>
          </w:p>
          <w:p w14:paraId="1F13F733">
            <w:pPr>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第5.4款</w:t>
            </w:r>
          </w:p>
        </w:tc>
        <w:tc>
          <w:tcPr>
            <w:tcW w:w="1742" w:type="dxa"/>
            <w:tcBorders>
              <w:top w:val="single" w:color="auto" w:sz="6" w:space="0"/>
              <w:left w:val="single" w:color="auto" w:sz="6" w:space="0"/>
              <w:bottom w:val="single" w:color="auto" w:sz="6" w:space="0"/>
              <w:right w:val="single" w:color="auto" w:sz="6" w:space="0"/>
            </w:tcBorders>
            <w:vAlign w:val="center"/>
          </w:tcPr>
          <w:p w14:paraId="5BFF1D7E">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约定乙方承担的其他义务和责任</w:t>
            </w:r>
          </w:p>
        </w:tc>
        <w:tc>
          <w:tcPr>
            <w:tcW w:w="5170" w:type="dxa"/>
            <w:tcBorders>
              <w:top w:val="single" w:color="auto" w:sz="6" w:space="0"/>
              <w:left w:val="single" w:color="auto" w:sz="6" w:space="0"/>
              <w:bottom w:val="single" w:color="auto" w:sz="6" w:space="0"/>
              <w:right w:val="double" w:color="auto" w:sz="2" w:space="0"/>
            </w:tcBorders>
            <w:vAlign w:val="center"/>
          </w:tcPr>
          <w:p w14:paraId="651B586E">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乙方不能交货（逾期超过五天视为不能交货），或交货不合格从而影响甲方按期正常使用的，应向甲方偿付合同总价款5%的违约金，违约金不足以补偿损失的，甲方有权要求乙方补足。此外，若乙方无正当理由逾期交货超过十五个自然日，甲方有权单方面解除本合同。</w:t>
            </w:r>
          </w:p>
          <w:p w14:paraId="651C5A76">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(2)乙方逾期交货的，应在发货前与甲方和政府采购管理部门协商，甲方仍需求的，乙方应立即发货并应按照逾期交货部分货款的每天万分之四支付逾期交货违约金，同时承担甲方因此遭致的损失费用。</w:t>
            </w:r>
          </w:p>
          <w:p w14:paraId="0BC74D4B">
            <w:pPr>
              <w:adjustRightInd w:val="0"/>
              <w:snapToGrid w:val="0"/>
              <w:spacing w:line="360" w:lineRule="auto"/>
              <w:jc w:val="left"/>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3）乙方在收到甲方提出的产品维保或者伴随服务要求之日起24小时内未提供相应的维保或者伴随服务，乙方应按照合同总价款的每天万分之四支付违约金。乙方如不按时提供相应的维保或者伴随服务，甲方有权自行委托第三方进行维保或者提供相应服务，产生的费用应由乙方承担，如乙方不支付该费用，甲方有权向乙方追偿。</w:t>
            </w:r>
          </w:p>
        </w:tc>
      </w:tr>
      <w:tr w14:paraId="2D6A4A81">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tcBorders>
              <w:top w:val="single" w:color="auto" w:sz="6" w:space="0"/>
              <w:left w:val="double" w:color="auto" w:sz="2" w:space="0"/>
              <w:bottom w:val="single" w:color="auto" w:sz="6" w:space="0"/>
              <w:right w:val="single" w:color="auto" w:sz="6" w:space="0"/>
            </w:tcBorders>
            <w:vAlign w:val="center"/>
          </w:tcPr>
          <w:p w14:paraId="55DADADF">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第二节</w:t>
            </w:r>
          </w:p>
          <w:p w14:paraId="480B7B7F">
            <w:pPr>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第6.1款</w:t>
            </w:r>
          </w:p>
        </w:tc>
        <w:tc>
          <w:tcPr>
            <w:tcW w:w="1742" w:type="dxa"/>
            <w:tcBorders>
              <w:top w:val="single" w:color="auto" w:sz="6" w:space="0"/>
              <w:left w:val="single" w:color="auto" w:sz="6" w:space="0"/>
              <w:bottom w:val="single" w:color="auto" w:sz="6" w:space="0"/>
              <w:right w:val="single" w:color="auto" w:sz="6" w:space="0"/>
            </w:tcBorders>
            <w:vAlign w:val="center"/>
          </w:tcPr>
          <w:p w14:paraId="7B8D92D8">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履行合同义务的顺序</w:t>
            </w:r>
          </w:p>
        </w:tc>
        <w:tc>
          <w:tcPr>
            <w:tcW w:w="5170" w:type="dxa"/>
            <w:tcBorders>
              <w:top w:val="single" w:color="auto" w:sz="6" w:space="0"/>
              <w:left w:val="single" w:color="auto" w:sz="6" w:space="0"/>
              <w:bottom w:val="single" w:color="auto" w:sz="6" w:space="0"/>
              <w:right w:val="double" w:color="auto" w:sz="2" w:space="0"/>
            </w:tcBorders>
            <w:vAlign w:val="center"/>
          </w:tcPr>
          <w:p w14:paraId="01477543">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乙方按规定履行合同义务后，甲方再履行合同义务。</w:t>
            </w:r>
          </w:p>
        </w:tc>
      </w:tr>
      <w:tr w14:paraId="419DA9F8">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tcBorders>
              <w:top w:val="single" w:color="auto" w:sz="6" w:space="0"/>
              <w:left w:val="double" w:color="auto" w:sz="2" w:space="0"/>
              <w:bottom w:val="single" w:color="auto" w:sz="6" w:space="0"/>
              <w:right w:val="single" w:color="auto" w:sz="6" w:space="0"/>
            </w:tcBorders>
            <w:vAlign w:val="center"/>
          </w:tcPr>
          <w:p w14:paraId="61B9156C">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第二节</w:t>
            </w:r>
          </w:p>
          <w:p w14:paraId="1477BE6B">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第7.1款</w:t>
            </w:r>
          </w:p>
        </w:tc>
        <w:tc>
          <w:tcPr>
            <w:tcW w:w="1742" w:type="dxa"/>
            <w:tcBorders>
              <w:top w:val="single" w:color="auto" w:sz="6" w:space="0"/>
              <w:left w:val="single" w:color="auto" w:sz="6" w:space="0"/>
              <w:bottom w:val="single" w:color="auto" w:sz="6" w:space="0"/>
              <w:right w:val="single" w:color="auto" w:sz="6" w:space="0"/>
            </w:tcBorders>
            <w:vAlign w:val="center"/>
          </w:tcPr>
          <w:p w14:paraId="50D0D980">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包装特殊要求</w:t>
            </w:r>
          </w:p>
        </w:tc>
        <w:tc>
          <w:tcPr>
            <w:tcW w:w="5170" w:type="dxa"/>
            <w:tcBorders>
              <w:top w:val="single" w:color="auto" w:sz="6" w:space="0"/>
              <w:left w:val="single" w:color="auto" w:sz="6" w:space="0"/>
              <w:bottom w:val="single" w:color="auto" w:sz="6" w:space="0"/>
              <w:right w:val="double" w:color="auto" w:sz="2" w:space="0"/>
            </w:tcBorders>
            <w:vAlign w:val="center"/>
          </w:tcPr>
          <w:p w14:paraId="7734DA0A">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w:t>
            </w:r>
          </w:p>
        </w:tc>
      </w:tr>
      <w:tr w14:paraId="28FFE312">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tcBorders>
              <w:top w:val="single" w:color="auto" w:sz="6" w:space="0"/>
              <w:left w:val="double" w:color="auto" w:sz="2" w:space="0"/>
              <w:bottom w:val="single" w:color="auto" w:sz="6" w:space="0"/>
              <w:right w:val="single" w:color="auto" w:sz="6" w:space="0"/>
            </w:tcBorders>
            <w:vAlign w:val="center"/>
          </w:tcPr>
          <w:p w14:paraId="588E5E24">
            <w:pPr>
              <w:rPr>
                <w:rFonts w:ascii="Times New Roman" w:hAnsi="Times New Roman" w:cs="Times New Roman"/>
                <w:color w:val="auto"/>
                <w:sz w:val="20"/>
                <w:highlight w:val="none"/>
              </w:rPr>
            </w:pPr>
          </w:p>
        </w:tc>
        <w:tc>
          <w:tcPr>
            <w:tcW w:w="1742" w:type="dxa"/>
            <w:tcBorders>
              <w:top w:val="single" w:color="auto" w:sz="6" w:space="0"/>
              <w:left w:val="single" w:color="auto" w:sz="6" w:space="0"/>
              <w:bottom w:val="single" w:color="auto" w:sz="6" w:space="0"/>
              <w:right w:val="single" w:color="auto" w:sz="6" w:space="0"/>
            </w:tcBorders>
            <w:vAlign w:val="center"/>
          </w:tcPr>
          <w:p w14:paraId="68BE7D1E">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指定现场</w:t>
            </w:r>
          </w:p>
        </w:tc>
        <w:tc>
          <w:tcPr>
            <w:tcW w:w="5170" w:type="dxa"/>
            <w:tcBorders>
              <w:top w:val="single" w:color="auto" w:sz="6" w:space="0"/>
              <w:left w:val="single" w:color="auto" w:sz="6" w:space="0"/>
              <w:bottom w:val="single" w:color="auto" w:sz="6" w:space="0"/>
              <w:right w:val="double" w:color="auto" w:sz="2" w:space="0"/>
            </w:tcBorders>
            <w:vAlign w:val="center"/>
          </w:tcPr>
          <w:p w14:paraId="6ED2D345">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甲方指定地点</w:t>
            </w:r>
          </w:p>
        </w:tc>
      </w:tr>
      <w:tr w14:paraId="5C86FBA0">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tcBorders>
              <w:top w:val="single" w:color="auto" w:sz="6" w:space="0"/>
              <w:left w:val="double" w:color="auto" w:sz="2" w:space="0"/>
              <w:bottom w:val="single" w:color="auto" w:sz="6" w:space="0"/>
              <w:right w:val="single" w:color="auto" w:sz="6" w:space="0"/>
            </w:tcBorders>
            <w:vAlign w:val="center"/>
          </w:tcPr>
          <w:p w14:paraId="7BB6FDAE">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第二节</w:t>
            </w:r>
          </w:p>
          <w:p w14:paraId="362EFBBD">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第7.2款</w:t>
            </w:r>
          </w:p>
        </w:tc>
        <w:tc>
          <w:tcPr>
            <w:tcW w:w="1742" w:type="dxa"/>
            <w:tcBorders>
              <w:top w:val="single" w:color="auto" w:sz="6" w:space="0"/>
              <w:left w:val="single" w:color="auto" w:sz="6" w:space="0"/>
              <w:bottom w:val="single" w:color="auto" w:sz="6" w:space="0"/>
              <w:right w:val="single" w:color="auto" w:sz="6" w:space="0"/>
            </w:tcBorders>
            <w:vAlign w:val="center"/>
          </w:tcPr>
          <w:p w14:paraId="437C617E">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运输特殊要求</w:t>
            </w:r>
          </w:p>
        </w:tc>
        <w:tc>
          <w:tcPr>
            <w:tcW w:w="5170" w:type="dxa"/>
            <w:tcBorders>
              <w:top w:val="single" w:color="auto" w:sz="6" w:space="0"/>
              <w:left w:val="single" w:color="auto" w:sz="6" w:space="0"/>
              <w:bottom w:val="single" w:color="auto" w:sz="6" w:space="0"/>
              <w:right w:val="double" w:color="auto" w:sz="2" w:space="0"/>
            </w:tcBorders>
            <w:vAlign w:val="center"/>
          </w:tcPr>
          <w:p w14:paraId="15B504D4">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w:t>
            </w:r>
          </w:p>
        </w:tc>
      </w:tr>
      <w:tr w14:paraId="784638D3">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tcBorders>
              <w:top w:val="single" w:color="auto" w:sz="6" w:space="0"/>
              <w:left w:val="double" w:color="auto" w:sz="2" w:space="0"/>
              <w:bottom w:val="single" w:color="auto" w:sz="6" w:space="0"/>
              <w:right w:val="single" w:color="auto" w:sz="6" w:space="0"/>
            </w:tcBorders>
            <w:vAlign w:val="center"/>
          </w:tcPr>
          <w:p w14:paraId="41701552">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第二节</w:t>
            </w:r>
          </w:p>
          <w:p w14:paraId="03EECFB9">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第7.3款</w:t>
            </w:r>
          </w:p>
        </w:tc>
        <w:tc>
          <w:tcPr>
            <w:tcW w:w="1742" w:type="dxa"/>
            <w:tcBorders>
              <w:top w:val="single" w:color="auto" w:sz="6" w:space="0"/>
              <w:left w:val="single" w:color="auto" w:sz="6" w:space="0"/>
              <w:bottom w:val="single" w:color="auto" w:sz="6" w:space="0"/>
              <w:right w:val="single" w:color="auto" w:sz="6" w:space="0"/>
            </w:tcBorders>
            <w:vAlign w:val="center"/>
          </w:tcPr>
          <w:p w14:paraId="7BA39304">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保险要求</w:t>
            </w:r>
          </w:p>
        </w:tc>
        <w:tc>
          <w:tcPr>
            <w:tcW w:w="5170" w:type="dxa"/>
            <w:tcBorders>
              <w:top w:val="single" w:color="auto" w:sz="6" w:space="0"/>
              <w:left w:val="single" w:color="auto" w:sz="6" w:space="0"/>
              <w:bottom w:val="single" w:color="auto" w:sz="6" w:space="0"/>
              <w:right w:val="double" w:color="auto" w:sz="2" w:space="0"/>
            </w:tcBorders>
            <w:vAlign w:val="center"/>
          </w:tcPr>
          <w:p w14:paraId="4D4C041A">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按规定购买保险</w:t>
            </w:r>
          </w:p>
        </w:tc>
      </w:tr>
      <w:tr w14:paraId="163062AB">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tcBorders>
              <w:top w:val="single" w:color="auto" w:sz="6" w:space="0"/>
              <w:left w:val="double" w:color="auto" w:sz="2" w:space="0"/>
              <w:bottom w:val="single" w:color="auto" w:sz="6" w:space="0"/>
              <w:right w:val="single" w:color="auto" w:sz="6" w:space="0"/>
            </w:tcBorders>
            <w:vAlign w:val="center"/>
          </w:tcPr>
          <w:p w14:paraId="38FEFF9F">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第二节</w:t>
            </w:r>
          </w:p>
          <w:p w14:paraId="29A1521A">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第8.2（1）项</w:t>
            </w:r>
          </w:p>
        </w:tc>
        <w:tc>
          <w:tcPr>
            <w:tcW w:w="1742" w:type="dxa"/>
            <w:tcBorders>
              <w:top w:val="single" w:color="auto" w:sz="6" w:space="0"/>
              <w:left w:val="single" w:color="auto" w:sz="6" w:space="0"/>
              <w:bottom w:val="single" w:color="auto" w:sz="6" w:space="0"/>
              <w:right w:val="single" w:color="auto" w:sz="6" w:space="0"/>
            </w:tcBorders>
            <w:vAlign w:val="center"/>
          </w:tcPr>
          <w:p w14:paraId="2CD77308">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质量保证期</w:t>
            </w:r>
          </w:p>
        </w:tc>
        <w:tc>
          <w:tcPr>
            <w:tcW w:w="5170" w:type="dxa"/>
            <w:tcBorders>
              <w:top w:val="single" w:color="auto" w:sz="6" w:space="0"/>
              <w:left w:val="single" w:color="auto" w:sz="6" w:space="0"/>
              <w:bottom w:val="single" w:color="auto" w:sz="6" w:space="0"/>
              <w:right w:val="double" w:color="auto" w:sz="2" w:space="0"/>
            </w:tcBorders>
            <w:vAlign w:val="center"/>
          </w:tcPr>
          <w:p w14:paraId="6064CD99">
            <w:pPr>
              <w:autoSpaceDE w:val="0"/>
              <w:autoSpaceDN w:val="0"/>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乙方书面承诺的期限</w:t>
            </w:r>
          </w:p>
        </w:tc>
      </w:tr>
      <w:tr w14:paraId="4B081961">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tcBorders>
              <w:top w:val="single" w:color="auto" w:sz="6" w:space="0"/>
              <w:left w:val="double" w:color="auto" w:sz="2" w:space="0"/>
              <w:bottom w:val="single" w:color="auto" w:sz="6" w:space="0"/>
              <w:right w:val="single" w:color="auto" w:sz="6" w:space="0"/>
            </w:tcBorders>
            <w:vAlign w:val="center"/>
          </w:tcPr>
          <w:p w14:paraId="5945E5CE">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第二节</w:t>
            </w:r>
          </w:p>
          <w:p w14:paraId="698DE5B4">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第8.2（3）项</w:t>
            </w:r>
          </w:p>
        </w:tc>
        <w:tc>
          <w:tcPr>
            <w:tcW w:w="1742" w:type="dxa"/>
            <w:tcBorders>
              <w:top w:val="single" w:color="auto" w:sz="6" w:space="0"/>
              <w:left w:val="single" w:color="auto" w:sz="6" w:space="0"/>
              <w:bottom w:val="single" w:color="auto" w:sz="6" w:space="0"/>
              <w:right w:val="single" w:color="auto" w:sz="6" w:space="0"/>
            </w:tcBorders>
            <w:vAlign w:val="center"/>
          </w:tcPr>
          <w:p w14:paraId="03B20A61">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货物质量缺陷</w:t>
            </w:r>
          </w:p>
          <w:p w14:paraId="6044D280">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响应时间</w:t>
            </w:r>
          </w:p>
        </w:tc>
        <w:tc>
          <w:tcPr>
            <w:tcW w:w="5170" w:type="dxa"/>
            <w:tcBorders>
              <w:top w:val="single" w:color="auto" w:sz="6" w:space="0"/>
              <w:left w:val="single" w:color="auto" w:sz="6" w:space="0"/>
              <w:bottom w:val="single" w:color="auto" w:sz="6" w:space="0"/>
              <w:right w:val="double" w:color="auto" w:sz="2" w:space="0"/>
            </w:tcBorders>
            <w:vAlign w:val="center"/>
          </w:tcPr>
          <w:p w14:paraId="4B4C593B">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如货物出现故障，电话响应无法解决，卖方必须在接报修电话24小时内到现场并解决问题。</w:t>
            </w:r>
          </w:p>
        </w:tc>
      </w:tr>
      <w:tr w14:paraId="5FD5D0F3">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tcBorders>
              <w:top w:val="single" w:color="auto" w:sz="6" w:space="0"/>
              <w:left w:val="double" w:color="auto" w:sz="2" w:space="0"/>
              <w:bottom w:val="single" w:color="auto" w:sz="6" w:space="0"/>
              <w:right w:val="single" w:color="auto" w:sz="6" w:space="0"/>
            </w:tcBorders>
            <w:vAlign w:val="center"/>
          </w:tcPr>
          <w:p w14:paraId="10C27C20">
            <w:pPr>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第二节</w:t>
            </w:r>
          </w:p>
          <w:p w14:paraId="1020A1F5">
            <w:pPr>
              <w:pStyle w:val="21"/>
              <w:widowControl/>
              <w:autoSpaceDE w:val="0"/>
              <w:autoSpaceDN w:val="0"/>
              <w:adjustRightInd w:val="0"/>
              <w:spacing w:before="0" w:beforeAutospacing="0" w:after="0" w:afterAutospacing="0" w:line="360" w:lineRule="auto"/>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lang w:bidi="ar"/>
              </w:rPr>
              <w:t>第11.1款</w:t>
            </w:r>
          </w:p>
        </w:tc>
        <w:tc>
          <w:tcPr>
            <w:tcW w:w="1742" w:type="dxa"/>
            <w:tcBorders>
              <w:top w:val="single" w:color="auto" w:sz="6" w:space="0"/>
              <w:left w:val="single" w:color="auto" w:sz="6" w:space="0"/>
              <w:bottom w:val="single" w:color="auto" w:sz="6" w:space="0"/>
              <w:right w:val="single" w:color="auto" w:sz="6" w:space="0"/>
            </w:tcBorders>
            <w:vAlign w:val="center"/>
          </w:tcPr>
          <w:p w14:paraId="4EF1EEAC">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其他应当保密的信息</w:t>
            </w:r>
          </w:p>
        </w:tc>
        <w:tc>
          <w:tcPr>
            <w:tcW w:w="5170" w:type="dxa"/>
            <w:tcBorders>
              <w:top w:val="single" w:color="auto" w:sz="6" w:space="0"/>
              <w:left w:val="single" w:color="auto" w:sz="6" w:space="0"/>
              <w:bottom w:val="single" w:color="auto" w:sz="6" w:space="0"/>
              <w:right w:val="double" w:color="auto" w:sz="2" w:space="0"/>
            </w:tcBorders>
            <w:vAlign w:val="center"/>
          </w:tcPr>
          <w:p w14:paraId="325E1EF1">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w:t>
            </w:r>
          </w:p>
        </w:tc>
      </w:tr>
      <w:tr w14:paraId="1097F81E">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tcBorders>
              <w:top w:val="single" w:color="auto" w:sz="6" w:space="0"/>
              <w:left w:val="double" w:color="auto" w:sz="2" w:space="0"/>
              <w:bottom w:val="single" w:color="auto" w:sz="6" w:space="0"/>
              <w:right w:val="single" w:color="auto" w:sz="6" w:space="0"/>
            </w:tcBorders>
            <w:vAlign w:val="center"/>
          </w:tcPr>
          <w:p w14:paraId="28BDEC78">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第二节</w:t>
            </w:r>
          </w:p>
          <w:p w14:paraId="19258A8B">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第12.2款</w:t>
            </w:r>
          </w:p>
        </w:tc>
        <w:tc>
          <w:tcPr>
            <w:tcW w:w="1742" w:type="dxa"/>
            <w:tcBorders>
              <w:top w:val="single" w:color="auto" w:sz="6" w:space="0"/>
              <w:left w:val="single" w:color="auto" w:sz="6" w:space="0"/>
              <w:bottom w:val="single" w:color="auto" w:sz="6" w:space="0"/>
              <w:right w:val="single" w:color="auto" w:sz="6" w:space="0"/>
            </w:tcBorders>
            <w:vAlign w:val="center"/>
          </w:tcPr>
          <w:p w14:paraId="5040ACE5">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合同价款支付时间</w:t>
            </w:r>
          </w:p>
        </w:tc>
        <w:tc>
          <w:tcPr>
            <w:tcW w:w="5170" w:type="dxa"/>
            <w:tcBorders>
              <w:top w:val="single" w:color="auto" w:sz="6" w:space="0"/>
              <w:left w:val="single" w:color="auto" w:sz="6" w:space="0"/>
              <w:bottom w:val="single" w:color="auto" w:sz="6" w:space="0"/>
              <w:right w:val="double" w:color="auto" w:sz="2" w:space="0"/>
            </w:tcBorders>
            <w:vAlign w:val="center"/>
          </w:tcPr>
          <w:p w14:paraId="5C35A215">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按第一节政府采购合同协议书相关内容执行</w:t>
            </w:r>
          </w:p>
        </w:tc>
      </w:tr>
      <w:tr w14:paraId="30954DD5">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tcBorders>
              <w:top w:val="single" w:color="auto" w:sz="6" w:space="0"/>
              <w:left w:val="double" w:color="auto" w:sz="2" w:space="0"/>
              <w:bottom w:val="single" w:color="auto" w:sz="6" w:space="0"/>
              <w:right w:val="single" w:color="auto" w:sz="6" w:space="0"/>
            </w:tcBorders>
            <w:vAlign w:val="center"/>
          </w:tcPr>
          <w:p w14:paraId="31164D5F">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第二节</w:t>
            </w:r>
          </w:p>
          <w:p w14:paraId="3FA31160">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第13.2款</w:t>
            </w:r>
          </w:p>
        </w:tc>
        <w:tc>
          <w:tcPr>
            <w:tcW w:w="1742" w:type="dxa"/>
            <w:tcBorders>
              <w:top w:val="single" w:color="auto" w:sz="6" w:space="0"/>
              <w:left w:val="single" w:color="auto" w:sz="6" w:space="0"/>
              <w:bottom w:val="single" w:color="auto" w:sz="6" w:space="0"/>
              <w:right w:val="single" w:color="auto" w:sz="6" w:space="0"/>
            </w:tcBorders>
            <w:vAlign w:val="center"/>
          </w:tcPr>
          <w:p w14:paraId="6DDE5DDF">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履约保证金不予退还的情形</w:t>
            </w:r>
          </w:p>
        </w:tc>
        <w:tc>
          <w:tcPr>
            <w:tcW w:w="5170" w:type="dxa"/>
            <w:tcBorders>
              <w:top w:val="single" w:color="auto" w:sz="6" w:space="0"/>
              <w:left w:val="single" w:color="auto" w:sz="6" w:space="0"/>
              <w:bottom w:val="single" w:color="auto" w:sz="6" w:space="0"/>
              <w:right w:val="double" w:color="auto" w:sz="2" w:space="0"/>
            </w:tcBorders>
            <w:vAlign w:val="center"/>
          </w:tcPr>
          <w:p w14:paraId="06C43797">
            <w:pPr>
              <w:adjustRightInd w:val="0"/>
              <w:snapToGrid w:val="0"/>
              <w:spacing w:line="360" w:lineRule="auto"/>
              <w:jc w:val="left"/>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bidi="ar"/>
              </w:rPr>
              <w:t>因乙方原因导致合同终止的</w:t>
            </w:r>
          </w:p>
        </w:tc>
      </w:tr>
      <w:tr w14:paraId="44EAE254">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tcBorders>
              <w:top w:val="single" w:color="auto" w:sz="6" w:space="0"/>
              <w:left w:val="double" w:color="auto" w:sz="2" w:space="0"/>
              <w:bottom w:val="single" w:color="auto" w:sz="6" w:space="0"/>
              <w:right w:val="single" w:color="auto" w:sz="6" w:space="0"/>
            </w:tcBorders>
            <w:vAlign w:val="center"/>
          </w:tcPr>
          <w:p w14:paraId="6AD7C423">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第二节</w:t>
            </w:r>
          </w:p>
          <w:p w14:paraId="728C51CC">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第13.3款</w:t>
            </w:r>
          </w:p>
        </w:tc>
        <w:tc>
          <w:tcPr>
            <w:tcW w:w="1742" w:type="dxa"/>
            <w:tcBorders>
              <w:top w:val="single" w:color="auto" w:sz="6" w:space="0"/>
              <w:left w:val="single" w:color="auto" w:sz="6" w:space="0"/>
              <w:bottom w:val="single" w:color="auto" w:sz="6" w:space="0"/>
              <w:right w:val="single" w:color="auto" w:sz="6" w:space="0"/>
            </w:tcBorders>
            <w:vAlign w:val="center"/>
          </w:tcPr>
          <w:p w14:paraId="0C2AEC49">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履约保证金退还时间及逾期退还的违约金</w:t>
            </w:r>
          </w:p>
        </w:tc>
        <w:tc>
          <w:tcPr>
            <w:tcW w:w="5170" w:type="dxa"/>
            <w:tcBorders>
              <w:top w:val="single" w:color="auto" w:sz="6" w:space="0"/>
              <w:left w:val="single" w:color="auto" w:sz="6" w:space="0"/>
              <w:bottom w:val="single" w:color="auto" w:sz="6" w:space="0"/>
              <w:right w:val="double" w:color="auto" w:sz="2" w:space="0"/>
            </w:tcBorders>
            <w:vAlign w:val="center"/>
          </w:tcPr>
          <w:p w14:paraId="65B752A8">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按招标文件相关内容执行</w:t>
            </w:r>
          </w:p>
        </w:tc>
      </w:tr>
      <w:tr w14:paraId="1B3A74F4">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tcBorders>
              <w:top w:val="single" w:color="auto" w:sz="6" w:space="0"/>
              <w:left w:val="double" w:color="auto" w:sz="2" w:space="0"/>
              <w:bottom w:val="single" w:color="auto" w:sz="6" w:space="0"/>
              <w:right w:val="single" w:color="auto" w:sz="6" w:space="0"/>
            </w:tcBorders>
            <w:vAlign w:val="center"/>
          </w:tcPr>
          <w:p w14:paraId="01F98E8E">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第二节</w:t>
            </w:r>
          </w:p>
          <w:p w14:paraId="5DDE8F7D">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第14.1（3）项</w:t>
            </w:r>
          </w:p>
        </w:tc>
        <w:tc>
          <w:tcPr>
            <w:tcW w:w="1742" w:type="dxa"/>
            <w:tcBorders>
              <w:top w:val="single" w:color="auto" w:sz="6" w:space="0"/>
              <w:left w:val="single" w:color="auto" w:sz="6" w:space="0"/>
              <w:bottom w:val="single" w:color="auto" w:sz="6" w:space="0"/>
              <w:right w:val="single" w:color="auto" w:sz="6" w:space="0"/>
            </w:tcBorders>
            <w:vAlign w:val="center"/>
          </w:tcPr>
          <w:p w14:paraId="3E338734">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运行监督、维修期限</w:t>
            </w:r>
          </w:p>
        </w:tc>
        <w:tc>
          <w:tcPr>
            <w:tcW w:w="5170" w:type="dxa"/>
            <w:tcBorders>
              <w:top w:val="single" w:color="auto" w:sz="6" w:space="0"/>
              <w:left w:val="single" w:color="auto" w:sz="6" w:space="0"/>
              <w:bottom w:val="single" w:color="auto" w:sz="6" w:space="0"/>
              <w:right w:val="double" w:color="auto" w:sz="2" w:space="0"/>
            </w:tcBorders>
            <w:vAlign w:val="center"/>
          </w:tcPr>
          <w:p w14:paraId="59D6A9BC">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乙方书面承诺的质保期内</w:t>
            </w:r>
          </w:p>
        </w:tc>
      </w:tr>
      <w:tr w14:paraId="3A3D1527">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tcBorders>
              <w:top w:val="single" w:color="auto" w:sz="6" w:space="0"/>
              <w:left w:val="double" w:color="auto" w:sz="2" w:space="0"/>
              <w:bottom w:val="single" w:color="auto" w:sz="6" w:space="0"/>
              <w:right w:val="single" w:color="auto" w:sz="6" w:space="0"/>
            </w:tcBorders>
            <w:vAlign w:val="center"/>
          </w:tcPr>
          <w:p w14:paraId="2CA57E72">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第二节</w:t>
            </w:r>
          </w:p>
          <w:p w14:paraId="63F0B208">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第14.1（5）项</w:t>
            </w:r>
          </w:p>
        </w:tc>
        <w:tc>
          <w:tcPr>
            <w:tcW w:w="1742" w:type="dxa"/>
            <w:tcBorders>
              <w:top w:val="single" w:color="auto" w:sz="6" w:space="0"/>
              <w:left w:val="single" w:color="auto" w:sz="6" w:space="0"/>
              <w:bottom w:val="single" w:color="auto" w:sz="6" w:space="0"/>
              <w:right w:val="single" w:color="auto" w:sz="6" w:space="0"/>
            </w:tcBorders>
            <w:vAlign w:val="center"/>
          </w:tcPr>
          <w:p w14:paraId="23EAB5D9">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货物回收的约定</w:t>
            </w:r>
          </w:p>
        </w:tc>
        <w:tc>
          <w:tcPr>
            <w:tcW w:w="5170" w:type="dxa"/>
            <w:tcBorders>
              <w:top w:val="single" w:color="auto" w:sz="6" w:space="0"/>
              <w:left w:val="single" w:color="auto" w:sz="6" w:space="0"/>
              <w:bottom w:val="single" w:color="auto" w:sz="6" w:space="0"/>
              <w:right w:val="double" w:color="auto" w:sz="2" w:space="0"/>
            </w:tcBorders>
            <w:vAlign w:val="center"/>
          </w:tcPr>
          <w:p w14:paraId="7E4F109B">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由乙方在规定时间内自行组织回收，相关费用自行承担，甲方不另行支付相关费用。</w:t>
            </w:r>
          </w:p>
        </w:tc>
      </w:tr>
      <w:tr w14:paraId="32FAD85E">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tcBorders>
              <w:top w:val="single" w:color="auto" w:sz="6" w:space="0"/>
              <w:left w:val="double" w:color="auto" w:sz="2" w:space="0"/>
              <w:bottom w:val="single" w:color="auto" w:sz="6" w:space="0"/>
              <w:right w:val="single" w:color="auto" w:sz="6" w:space="0"/>
            </w:tcBorders>
            <w:vAlign w:val="center"/>
          </w:tcPr>
          <w:p w14:paraId="546142F9">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第二节</w:t>
            </w:r>
          </w:p>
          <w:p w14:paraId="32532113">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第14.1（6）项</w:t>
            </w:r>
          </w:p>
        </w:tc>
        <w:tc>
          <w:tcPr>
            <w:tcW w:w="1742" w:type="dxa"/>
            <w:tcBorders>
              <w:top w:val="single" w:color="auto" w:sz="6" w:space="0"/>
              <w:left w:val="single" w:color="auto" w:sz="6" w:space="0"/>
              <w:bottom w:val="single" w:color="auto" w:sz="6" w:space="0"/>
              <w:right w:val="single" w:color="auto" w:sz="6" w:space="0"/>
            </w:tcBorders>
            <w:vAlign w:val="center"/>
          </w:tcPr>
          <w:p w14:paraId="3A28AED8">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乙方提供的其他服务</w:t>
            </w:r>
          </w:p>
        </w:tc>
        <w:tc>
          <w:tcPr>
            <w:tcW w:w="5170" w:type="dxa"/>
            <w:tcBorders>
              <w:top w:val="single" w:color="auto" w:sz="6" w:space="0"/>
              <w:left w:val="single" w:color="auto" w:sz="6" w:space="0"/>
              <w:bottom w:val="single" w:color="auto" w:sz="6" w:space="0"/>
              <w:right w:val="double" w:color="auto" w:sz="2" w:space="0"/>
            </w:tcBorders>
            <w:vAlign w:val="center"/>
          </w:tcPr>
          <w:p w14:paraId="45C85F3F">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按甲方要求须提供的其他相关服务</w:t>
            </w:r>
          </w:p>
        </w:tc>
      </w:tr>
      <w:tr w14:paraId="75C61EE9">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tcBorders>
              <w:top w:val="single" w:color="auto" w:sz="6" w:space="0"/>
              <w:left w:val="double" w:color="auto" w:sz="2" w:space="0"/>
              <w:bottom w:val="single" w:color="auto" w:sz="6" w:space="0"/>
              <w:right w:val="single" w:color="auto" w:sz="6" w:space="0"/>
            </w:tcBorders>
            <w:vAlign w:val="center"/>
          </w:tcPr>
          <w:p w14:paraId="5C4B57E0">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第二节</w:t>
            </w:r>
          </w:p>
          <w:p w14:paraId="51772263">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第15.1款</w:t>
            </w:r>
          </w:p>
        </w:tc>
        <w:tc>
          <w:tcPr>
            <w:tcW w:w="1742" w:type="dxa"/>
            <w:tcBorders>
              <w:top w:val="single" w:color="auto" w:sz="6" w:space="0"/>
              <w:left w:val="single" w:color="auto" w:sz="6" w:space="0"/>
              <w:bottom w:val="single" w:color="auto" w:sz="6" w:space="0"/>
              <w:right w:val="single" w:color="auto" w:sz="6" w:space="0"/>
            </w:tcBorders>
            <w:vAlign w:val="center"/>
          </w:tcPr>
          <w:p w14:paraId="626F0D06">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修理、重作、更换相关具体规定</w:t>
            </w:r>
          </w:p>
        </w:tc>
        <w:tc>
          <w:tcPr>
            <w:tcW w:w="5170" w:type="dxa"/>
            <w:tcBorders>
              <w:top w:val="single" w:color="auto" w:sz="6" w:space="0"/>
              <w:left w:val="single" w:color="auto" w:sz="6" w:space="0"/>
              <w:bottom w:val="single" w:color="auto" w:sz="6" w:space="0"/>
              <w:right w:val="double" w:color="auto" w:sz="2" w:space="0"/>
            </w:tcBorders>
            <w:vAlign w:val="center"/>
          </w:tcPr>
          <w:p w14:paraId="59538FF2">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保修期内两次修理仍不能正常使用的的必须更换新设备</w:t>
            </w:r>
          </w:p>
        </w:tc>
      </w:tr>
      <w:tr w14:paraId="7EFF2FA7">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tcBorders>
              <w:top w:val="single" w:color="auto" w:sz="6" w:space="0"/>
              <w:left w:val="double" w:color="auto" w:sz="2" w:space="0"/>
              <w:bottom w:val="single" w:color="auto" w:sz="6" w:space="0"/>
              <w:right w:val="single" w:color="auto" w:sz="6" w:space="0"/>
            </w:tcBorders>
            <w:vAlign w:val="center"/>
          </w:tcPr>
          <w:p w14:paraId="4C9CD558">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第二节</w:t>
            </w:r>
          </w:p>
          <w:p w14:paraId="37B15ED2">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第15.2（2）项</w:t>
            </w:r>
          </w:p>
        </w:tc>
        <w:tc>
          <w:tcPr>
            <w:tcW w:w="1742" w:type="dxa"/>
            <w:tcBorders>
              <w:top w:val="single" w:color="auto" w:sz="6" w:space="0"/>
              <w:left w:val="single" w:color="auto" w:sz="6" w:space="0"/>
              <w:bottom w:val="single" w:color="auto" w:sz="6" w:space="0"/>
              <w:right w:val="single" w:color="auto" w:sz="6" w:space="0"/>
            </w:tcBorders>
            <w:vAlign w:val="center"/>
          </w:tcPr>
          <w:p w14:paraId="2A8F6D91">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迟延交货赔偿费</w:t>
            </w:r>
          </w:p>
        </w:tc>
        <w:tc>
          <w:tcPr>
            <w:tcW w:w="5170" w:type="dxa"/>
            <w:tcBorders>
              <w:top w:val="single" w:color="auto" w:sz="6" w:space="0"/>
              <w:left w:val="single" w:color="auto" w:sz="6" w:space="0"/>
              <w:bottom w:val="single" w:color="auto" w:sz="6" w:space="0"/>
              <w:right w:val="double" w:color="auto" w:sz="2" w:space="0"/>
            </w:tcBorders>
            <w:vAlign w:val="center"/>
          </w:tcPr>
          <w:p w14:paraId="5B6B0DE5">
            <w:pPr>
              <w:adjustRightInd w:val="0"/>
              <w:snapToGrid w:val="0"/>
              <w:spacing w:line="360" w:lineRule="auto"/>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lang w:bidi="ar"/>
              </w:rPr>
              <w:t>(1)乙方不能交货（逾期超过五天视为不能交货），或交货不合格从而影响甲方按期正常使用的，应向甲方偿付合同总价款5%的违约金，违约金不足以补偿损失的，甲方有权要求乙方补足。</w:t>
            </w:r>
          </w:p>
          <w:p w14:paraId="3500E934">
            <w:pPr>
              <w:adjustRightInd w:val="0"/>
              <w:snapToGrid w:val="0"/>
              <w:spacing w:line="360" w:lineRule="auto"/>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lang w:bidi="ar"/>
              </w:rPr>
              <w:t>(2)乙方逾期交货的，应在发货前与甲方和政府采购管理部门协商，甲方仍需求的，乙方应立即发货并应按照逾期交货部分货款的每天万分之四支付逾期交货违约金，同时承担甲方因此遭致的损失费用。</w:t>
            </w:r>
          </w:p>
        </w:tc>
      </w:tr>
      <w:tr w14:paraId="1D883818">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tcBorders>
              <w:top w:val="single" w:color="auto" w:sz="6" w:space="0"/>
              <w:left w:val="double" w:color="auto" w:sz="2" w:space="0"/>
              <w:bottom w:val="single" w:color="auto" w:sz="6" w:space="0"/>
              <w:right w:val="single" w:color="auto" w:sz="6" w:space="0"/>
            </w:tcBorders>
            <w:vAlign w:val="center"/>
          </w:tcPr>
          <w:p w14:paraId="1ED4099D">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第二节</w:t>
            </w:r>
          </w:p>
          <w:p w14:paraId="47818DE6">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第15.3款</w:t>
            </w:r>
          </w:p>
        </w:tc>
        <w:tc>
          <w:tcPr>
            <w:tcW w:w="1742" w:type="dxa"/>
            <w:tcBorders>
              <w:top w:val="single" w:color="auto" w:sz="6" w:space="0"/>
              <w:left w:val="single" w:color="auto" w:sz="6" w:space="0"/>
              <w:bottom w:val="single" w:color="auto" w:sz="4" w:space="0"/>
              <w:right w:val="single" w:color="auto" w:sz="6" w:space="0"/>
            </w:tcBorders>
            <w:vAlign w:val="center"/>
          </w:tcPr>
          <w:p w14:paraId="502D7D6E">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逾期付款利息</w:t>
            </w:r>
          </w:p>
        </w:tc>
        <w:tc>
          <w:tcPr>
            <w:tcW w:w="5170" w:type="dxa"/>
            <w:tcBorders>
              <w:top w:val="single" w:color="auto" w:sz="6" w:space="0"/>
              <w:left w:val="single" w:color="auto" w:sz="6" w:space="0"/>
              <w:bottom w:val="single" w:color="auto" w:sz="6" w:space="0"/>
              <w:right w:val="double" w:color="auto" w:sz="2" w:space="0"/>
            </w:tcBorders>
            <w:vAlign w:val="center"/>
          </w:tcPr>
          <w:p w14:paraId="7C31CCBC">
            <w:pPr>
              <w:adjustRightInd w:val="0"/>
              <w:snapToGrid w:val="0"/>
              <w:spacing w:line="360" w:lineRule="auto"/>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lang w:bidi="ar"/>
              </w:rPr>
              <w:t>/</w:t>
            </w:r>
          </w:p>
        </w:tc>
      </w:tr>
      <w:tr w14:paraId="2149D6FF">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top w:val="single" w:color="auto" w:sz="6" w:space="0"/>
              <w:left w:val="double" w:color="auto" w:sz="2" w:space="0"/>
              <w:bottom w:val="single" w:color="auto" w:sz="2" w:space="0"/>
              <w:right w:val="single" w:color="auto" w:sz="4" w:space="0"/>
            </w:tcBorders>
            <w:vAlign w:val="center"/>
          </w:tcPr>
          <w:p w14:paraId="0DDCA47F">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第二节</w:t>
            </w:r>
          </w:p>
          <w:p w14:paraId="649F6351">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第15.4款</w:t>
            </w:r>
          </w:p>
        </w:tc>
        <w:tc>
          <w:tcPr>
            <w:tcW w:w="1742" w:type="dxa"/>
            <w:tcBorders>
              <w:top w:val="single" w:color="auto" w:sz="4" w:space="0"/>
              <w:left w:val="single" w:color="auto" w:sz="4" w:space="0"/>
              <w:bottom w:val="single" w:color="auto" w:sz="2" w:space="0"/>
              <w:right w:val="single" w:color="auto" w:sz="4" w:space="0"/>
            </w:tcBorders>
            <w:vAlign w:val="center"/>
          </w:tcPr>
          <w:p w14:paraId="51B209B2">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其他违约责任</w:t>
            </w:r>
          </w:p>
        </w:tc>
        <w:tc>
          <w:tcPr>
            <w:tcW w:w="5170" w:type="dxa"/>
            <w:tcBorders>
              <w:top w:val="single" w:color="auto" w:sz="6" w:space="0"/>
              <w:left w:val="single" w:color="auto" w:sz="4" w:space="0"/>
              <w:bottom w:val="single" w:color="auto" w:sz="2" w:space="0"/>
              <w:right w:val="double" w:color="auto" w:sz="2" w:space="0"/>
            </w:tcBorders>
            <w:vAlign w:val="center"/>
          </w:tcPr>
          <w:p w14:paraId="362AC164">
            <w:pPr>
              <w:adjustRightInd w:val="0"/>
              <w:snapToGrid w:val="0"/>
              <w:spacing w:line="360" w:lineRule="auto"/>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lang w:bidi="ar"/>
              </w:rPr>
              <w:t>合同一方不履行合同义务或者履行合同义务不符合约定的，应当承担继续履行、采取补救措施或者赔偿损失等违约责任。</w:t>
            </w:r>
          </w:p>
        </w:tc>
      </w:tr>
      <w:tr w14:paraId="208569D9">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left w:val="double" w:color="auto" w:sz="2" w:space="0"/>
              <w:bottom w:val="single" w:color="auto" w:sz="6" w:space="0"/>
              <w:right w:val="single" w:color="auto" w:sz="4" w:space="0"/>
            </w:tcBorders>
            <w:vAlign w:val="center"/>
          </w:tcPr>
          <w:p w14:paraId="28C9BAEC">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第二节</w:t>
            </w:r>
          </w:p>
          <w:p w14:paraId="5E14B1BF">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第19.2款</w:t>
            </w:r>
          </w:p>
        </w:tc>
        <w:tc>
          <w:tcPr>
            <w:tcW w:w="1742" w:type="dxa"/>
            <w:tcBorders>
              <w:top w:val="single" w:color="auto" w:sz="2" w:space="0"/>
              <w:left w:val="single" w:color="auto" w:sz="4" w:space="0"/>
              <w:bottom w:val="single" w:color="auto" w:sz="4" w:space="0"/>
              <w:right w:val="single" w:color="auto" w:sz="4" w:space="0"/>
            </w:tcBorders>
            <w:vAlign w:val="center"/>
          </w:tcPr>
          <w:p w14:paraId="5AF3C733">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解决争议的方法</w:t>
            </w:r>
          </w:p>
        </w:tc>
        <w:tc>
          <w:tcPr>
            <w:tcW w:w="5170" w:type="dxa"/>
            <w:tcBorders>
              <w:top w:val="single" w:color="auto" w:sz="2" w:space="0"/>
              <w:left w:val="single" w:color="auto" w:sz="4" w:space="0"/>
              <w:bottom w:val="single" w:color="auto" w:sz="6" w:space="0"/>
              <w:right w:val="double" w:color="auto" w:sz="2" w:space="0"/>
            </w:tcBorders>
            <w:vAlign w:val="center"/>
          </w:tcPr>
          <w:p w14:paraId="552DCF0F">
            <w:pPr>
              <w:autoSpaceDE w:val="0"/>
              <w:autoSpaceDN w:val="0"/>
              <w:adjustRightInd w:val="0"/>
              <w:snapToGrid w:val="0"/>
              <w:spacing w:line="360" w:lineRule="auto"/>
              <w:jc w:val="left"/>
              <w:rPr>
                <w:rFonts w:hint="eastAsia" w:ascii="宋体" w:hAnsi="宋体" w:eastAsia="宋体" w:cs="宋体"/>
                <w:iCs/>
                <w:color w:val="auto"/>
                <w:sz w:val="24"/>
                <w:szCs w:val="24"/>
                <w:highlight w:val="none"/>
              </w:rPr>
            </w:pPr>
            <w:r>
              <w:rPr>
                <w:rFonts w:hint="eastAsia" w:ascii="宋体" w:hAnsi="宋体" w:eastAsia="宋体" w:cs="宋体"/>
                <w:iCs/>
                <w:color w:val="auto"/>
                <w:sz w:val="24"/>
                <w:szCs w:val="24"/>
                <w:highlight w:val="none"/>
                <w:lang w:bidi="ar"/>
              </w:rPr>
              <w:t>因本合同及合同有关事项发生的争议，按下列第</w:t>
            </w:r>
            <w:r>
              <w:rPr>
                <w:rFonts w:hint="eastAsia" w:ascii="宋体" w:hAnsi="宋体" w:eastAsia="宋体" w:cs="宋体"/>
                <w:iCs/>
                <w:color w:val="auto"/>
                <w:sz w:val="24"/>
                <w:szCs w:val="24"/>
                <w:highlight w:val="none"/>
                <w:u w:val="single"/>
                <w:lang w:bidi="ar"/>
              </w:rPr>
              <w:t xml:space="preserve"> （1） </w:t>
            </w:r>
            <w:r>
              <w:rPr>
                <w:rFonts w:hint="eastAsia" w:ascii="宋体" w:hAnsi="宋体" w:eastAsia="宋体" w:cs="宋体"/>
                <w:iCs/>
                <w:color w:val="auto"/>
                <w:sz w:val="24"/>
                <w:szCs w:val="24"/>
                <w:highlight w:val="none"/>
                <w:lang w:bidi="ar"/>
              </w:rPr>
              <w:t>种方式解决：</w:t>
            </w:r>
          </w:p>
          <w:p w14:paraId="596D62FE">
            <w:pPr>
              <w:autoSpaceDE w:val="0"/>
              <w:autoSpaceDN w:val="0"/>
              <w:adjustRightInd w:val="0"/>
              <w:snapToGrid w:val="0"/>
              <w:spacing w:line="360" w:lineRule="auto"/>
              <w:jc w:val="left"/>
              <w:rPr>
                <w:rFonts w:hint="eastAsia" w:ascii="宋体" w:hAnsi="宋体" w:eastAsia="宋体" w:cs="宋体"/>
                <w:iCs/>
                <w:color w:val="auto"/>
                <w:sz w:val="24"/>
                <w:szCs w:val="24"/>
                <w:highlight w:val="none"/>
              </w:rPr>
            </w:pPr>
            <w:r>
              <w:rPr>
                <w:rFonts w:hint="eastAsia" w:ascii="宋体" w:hAnsi="宋体" w:eastAsia="宋体" w:cs="宋体"/>
                <w:iCs/>
                <w:color w:val="auto"/>
                <w:sz w:val="24"/>
                <w:szCs w:val="24"/>
                <w:highlight w:val="none"/>
                <w:lang w:bidi="ar"/>
              </w:rPr>
              <w:t>（1）向</w:t>
            </w:r>
            <w:r>
              <w:rPr>
                <w:rFonts w:hint="eastAsia" w:ascii="宋体" w:hAnsi="宋体" w:eastAsia="宋体" w:cs="宋体"/>
                <w:iCs/>
                <w:color w:val="auto"/>
                <w:sz w:val="24"/>
                <w:szCs w:val="24"/>
                <w:highlight w:val="none"/>
                <w:u w:val="single"/>
                <w:lang w:bidi="ar"/>
              </w:rPr>
              <w:t xml:space="preserve"> 滁州 </w:t>
            </w:r>
            <w:r>
              <w:rPr>
                <w:rFonts w:hint="eastAsia" w:ascii="宋体" w:hAnsi="宋体" w:eastAsia="宋体" w:cs="宋体"/>
                <w:iCs/>
                <w:color w:val="auto"/>
                <w:sz w:val="24"/>
                <w:szCs w:val="24"/>
                <w:highlight w:val="none"/>
                <w:lang w:bidi="ar"/>
              </w:rPr>
              <w:t>仲裁委员会申请仲裁，仲裁地点为</w:t>
            </w:r>
            <w:r>
              <w:rPr>
                <w:rFonts w:hint="eastAsia" w:ascii="宋体" w:hAnsi="宋体" w:eastAsia="宋体" w:cs="宋体"/>
                <w:iCs/>
                <w:color w:val="auto"/>
                <w:sz w:val="24"/>
                <w:szCs w:val="24"/>
                <w:highlight w:val="none"/>
                <w:u w:val="single"/>
                <w:lang w:bidi="ar"/>
              </w:rPr>
              <w:t xml:space="preserve">  滁州市 </w:t>
            </w:r>
            <w:r>
              <w:rPr>
                <w:rFonts w:hint="eastAsia" w:ascii="宋体" w:hAnsi="宋体" w:eastAsia="宋体" w:cs="宋体"/>
                <w:iCs/>
                <w:color w:val="auto"/>
                <w:sz w:val="24"/>
                <w:szCs w:val="24"/>
                <w:highlight w:val="none"/>
                <w:lang w:bidi="ar"/>
              </w:rPr>
              <w:t>；</w:t>
            </w:r>
          </w:p>
          <w:p w14:paraId="547B7D5E">
            <w:pPr>
              <w:adjustRightInd w:val="0"/>
              <w:snapToGrid w:val="0"/>
              <w:spacing w:line="360" w:lineRule="auto"/>
              <w:jc w:val="left"/>
              <w:rPr>
                <w:rFonts w:hint="eastAsia" w:ascii="宋体" w:hAnsi="宋体" w:eastAsia="宋体" w:cs="宋体"/>
                <w:color w:val="auto"/>
                <w:sz w:val="24"/>
                <w:szCs w:val="24"/>
                <w:highlight w:val="none"/>
                <w:u w:val="single"/>
              </w:rPr>
            </w:pPr>
            <w:r>
              <w:rPr>
                <w:rFonts w:hint="eastAsia" w:ascii="宋体" w:hAnsi="宋体" w:eastAsia="宋体" w:cs="宋体"/>
                <w:iCs/>
                <w:color w:val="auto"/>
                <w:sz w:val="24"/>
                <w:szCs w:val="24"/>
                <w:highlight w:val="none"/>
                <w:lang w:bidi="ar"/>
              </w:rPr>
              <w:t>（2）向</w:t>
            </w:r>
            <w:r>
              <w:rPr>
                <w:rFonts w:hint="eastAsia" w:ascii="宋体" w:hAnsi="宋体" w:eastAsia="宋体" w:cs="宋体"/>
                <w:iCs/>
                <w:color w:val="auto"/>
                <w:sz w:val="24"/>
                <w:szCs w:val="24"/>
                <w:highlight w:val="none"/>
                <w:u w:val="single"/>
                <w:lang w:bidi="ar"/>
              </w:rPr>
              <w:t xml:space="preserve">  项目所在地  </w:t>
            </w:r>
            <w:r>
              <w:rPr>
                <w:rFonts w:hint="eastAsia" w:ascii="宋体" w:hAnsi="宋体" w:eastAsia="宋体" w:cs="宋体"/>
                <w:iCs/>
                <w:color w:val="auto"/>
                <w:sz w:val="24"/>
                <w:szCs w:val="24"/>
                <w:highlight w:val="none"/>
                <w:lang w:bidi="ar"/>
              </w:rPr>
              <w:t>人民法院起诉。</w:t>
            </w:r>
          </w:p>
        </w:tc>
      </w:tr>
      <w:tr w14:paraId="40FFF12D">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tcBorders>
              <w:top w:val="single" w:color="auto" w:sz="6" w:space="0"/>
              <w:left w:val="double" w:color="auto" w:sz="2" w:space="0"/>
              <w:bottom w:val="double" w:color="auto" w:sz="2" w:space="0"/>
              <w:right w:val="single" w:color="auto" w:sz="6" w:space="0"/>
            </w:tcBorders>
            <w:vAlign w:val="center"/>
          </w:tcPr>
          <w:p w14:paraId="393A767C">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第二节</w:t>
            </w:r>
          </w:p>
          <w:p w14:paraId="12E045EC">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第23.1款</w:t>
            </w:r>
          </w:p>
        </w:tc>
        <w:tc>
          <w:tcPr>
            <w:tcW w:w="1742" w:type="dxa"/>
            <w:tcBorders>
              <w:top w:val="single" w:color="auto" w:sz="4" w:space="0"/>
              <w:left w:val="single" w:color="auto" w:sz="6" w:space="0"/>
              <w:bottom w:val="double" w:color="auto" w:sz="2" w:space="0"/>
              <w:right w:val="single" w:color="auto" w:sz="6" w:space="0"/>
            </w:tcBorders>
            <w:vAlign w:val="center"/>
          </w:tcPr>
          <w:p w14:paraId="40E71E2A">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bidi="ar"/>
              </w:rPr>
              <w:t>其他专用条款</w:t>
            </w:r>
          </w:p>
        </w:tc>
        <w:tc>
          <w:tcPr>
            <w:tcW w:w="5170" w:type="dxa"/>
            <w:tcBorders>
              <w:top w:val="single" w:color="auto" w:sz="6" w:space="0"/>
              <w:left w:val="single" w:color="auto" w:sz="6" w:space="0"/>
              <w:bottom w:val="double" w:color="auto" w:sz="2" w:space="0"/>
              <w:right w:val="double" w:color="auto" w:sz="2" w:space="0"/>
            </w:tcBorders>
            <w:vAlign w:val="center"/>
          </w:tcPr>
          <w:p w14:paraId="7D7D0A45">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本合同未尽事宜应按《中华人民共和国政府采购法》、《中华人民共和国民法典》、《中华人民共和国产品质量法》之规定解释或签订合同时补充</w:t>
            </w:r>
          </w:p>
        </w:tc>
      </w:tr>
    </w:tbl>
    <w:p w14:paraId="35D42BC8">
      <w:pPr>
        <w:rPr>
          <w:rFonts w:hint="eastAsia" w:ascii="宋体" w:hAnsi="宋体" w:eastAsia="宋体" w:cs="宋体"/>
          <w:color w:val="auto"/>
          <w:sz w:val="24"/>
          <w:szCs w:val="24"/>
          <w:highlight w:val="none"/>
        </w:rPr>
      </w:pPr>
    </w:p>
    <w:p w14:paraId="27A068BB">
      <w:pPr>
        <w:spacing w:line="420" w:lineRule="exact"/>
        <w:ind w:firstLine="664" w:firstLineChars="277"/>
        <w:rPr>
          <w:rFonts w:hint="eastAsia" w:ascii="宋体" w:hAnsi="宋体" w:eastAsia="宋体" w:cs="宋体"/>
          <w:color w:val="auto"/>
          <w:sz w:val="24"/>
          <w:szCs w:val="24"/>
          <w:highlight w:val="none"/>
          <w:lang w:bidi="ar"/>
        </w:rPr>
      </w:pPr>
    </w:p>
    <w:p w14:paraId="4FDE95F0">
      <w:pPr>
        <w:rPr>
          <w:rFonts w:hint="eastAsia" w:ascii="宋体" w:hAnsi="宋体" w:eastAsia="宋体" w:cs="宋体"/>
          <w:b/>
          <w:color w:val="auto"/>
          <w:sz w:val="28"/>
          <w:highlight w:val="none"/>
        </w:rPr>
      </w:pPr>
      <w:r>
        <w:rPr>
          <w:rFonts w:hint="eastAsia" w:ascii="宋体" w:hAnsi="宋体" w:eastAsia="宋体" w:cs="宋体"/>
          <w:b/>
          <w:color w:val="auto"/>
          <w:sz w:val="28"/>
          <w:highlight w:val="none"/>
        </w:rPr>
        <w:br w:type="page"/>
      </w:r>
    </w:p>
    <w:p w14:paraId="292B0762">
      <w:pPr>
        <w:spacing w:line="360" w:lineRule="auto"/>
        <w:jc w:val="center"/>
        <w:outlineLvl w:val="0"/>
        <w:rPr>
          <w:rFonts w:hint="eastAsia" w:ascii="宋体" w:hAnsi="宋体" w:eastAsia="宋体" w:cs="宋体"/>
          <w:b/>
          <w:color w:val="auto"/>
          <w:sz w:val="28"/>
          <w:highlight w:val="none"/>
        </w:rPr>
      </w:pPr>
      <w:bookmarkStart w:id="40" w:name="_Toc29705"/>
      <w:r>
        <w:rPr>
          <w:rFonts w:hint="eastAsia" w:ascii="宋体" w:hAnsi="宋体" w:eastAsia="宋体" w:cs="宋体"/>
          <w:b/>
          <w:color w:val="auto"/>
          <w:sz w:val="28"/>
          <w:highlight w:val="none"/>
        </w:rPr>
        <w:t>第六章  投标文件格式</w:t>
      </w:r>
      <w:bookmarkEnd w:id="39"/>
      <w:bookmarkEnd w:id="40"/>
    </w:p>
    <w:p w14:paraId="72C7035B">
      <w:pPr>
        <w:spacing w:line="900" w:lineRule="exact"/>
        <w:jc w:val="center"/>
        <w:rPr>
          <w:rFonts w:hint="eastAsia" w:ascii="宋体" w:hAnsi="宋体" w:eastAsia="宋体" w:cs="宋体"/>
          <w:b/>
          <w:color w:val="auto"/>
          <w:sz w:val="72"/>
          <w:highlight w:val="none"/>
        </w:rPr>
      </w:pPr>
    </w:p>
    <w:p w14:paraId="57D8A235">
      <w:pPr>
        <w:spacing w:line="900" w:lineRule="exact"/>
        <w:jc w:val="center"/>
        <w:outlineLvl w:val="1"/>
        <w:rPr>
          <w:rFonts w:hint="eastAsia" w:ascii="宋体" w:hAnsi="宋体" w:eastAsia="宋体" w:cs="宋体"/>
          <w:b/>
          <w:color w:val="auto"/>
          <w:sz w:val="72"/>
          <w:highlight w:val="none"/>
        </w:rPr>
      </w:pPr>
      <w:bookmarkStart w:id="41" w:name="_Toc651"/>
      <w:r>
        <w:rPr>
          <w:rFonts w:hint="eastAsia" w:ascii="宋体" w:hAnsi="宋体" w:eastAsia="宋体" w:cs="宋体"/>
          <w:b/>
          <w:color w:val="auto"/>
          <w:sz w:val="72"/>
          <w:highlight w:val="none"/>
        </w:rPr>
        <w:t>投</w:t>
      </w:r>
      <w:bookmarkEnd w:id="41"/>
    </w:p>
    <w:p w14:paraId="2CD3B7AD">
      <w:pPr>
        <w:spacing w:line="900" w:lineRule="exact"/>
        <w:jc w:val="center"/>
        <w:rPr>
          <w:rFonts w:hint="eastAsia" w:ascii="宋体" w:hAnsi="宋体" w:eastAsia="宋体" w:cs="宋体"/>
          <w:b/>
          <w:color w:val="auto"/>
          <w:sz w:val="72"/>
          <w:highlight w:val="none"/>
        </w:rPr>
      </w:pPr>
    </w:p>
    <w:p w14:paraId="513A3B51">
      <w:pPr>
        <w:spacing w:line="900" w:lineRule="exact"/>
        <w:jc w:val="center"/>
        <w:outlineLvl w:val="1"/>
        <w:rPr>
          <w:rFonts w:hint="eastAsia" w:ascii="宋体" w:hAnsi="宋体" w:eastAsia="宋体" w:cs="宋体"/>
          <w:b/>
          <w:color w:val="auto"/>
          <w:sz w:val="72"/>
          <w:highlight w:val="none"/>
        </w:rPr>
      </w:pPr>
      <w:bookmarkStart w:id="42" w:name="_Toc6148"/>
      <w:r>
        <w:rPr>
          <w:rFonts w:hint="eastAsia" w:ascii="宋体" w:hAnsi="宋体" w:eastAsia="宋体" w:cs="宋体"/>
          <w:b/>
          <w:color w:val="auto"/>
          <w:sz w:val="72"/>
          <w:highlight w:val="none"/>
        </w:rPr>
        <w:t>标</w:t>
      </w:r>
      <w:bookmarkEnd w:id="42"/>
    </w:p>
    <w:p w14:paraId="4202799A">
      <w:pPr>
        <w:spacing w:line="900" w:lineRule="exact"/>
        <w:jc w:val="center"/>
        <w:rPr>
          <w:rFonts w:hint="eastAsia" w:ascii="宋体" w:hAnsi="宋体" w:eastAsia="宋体" w:cs="宋体"/>
          <w:b/>
          <w:color w:val="auto"/>
          <w:sz w:val="72"/>
          <w:highlight w:val="none"/>
        </w:rPr>
      </w:pPr>
    </w:p>
    <w:p w14:paraId="73FFE75A">
      <w:pPr>
        <w:spacing w:line="900" w:lineRule="exact"/>
        <w:jc w:val="center"/>
        <w:outlineLvl w:val="1"/>
        <w:rPr>
          <w:rFonts w:hint="eastAsia" w:ascii="宋体" w:hAnsi="宋体" w:eastAsia="宋体" w:cs="宋体"/>
          <w:b/>
          <w:color w:val="auto"/>
          <w:sz w:val="72"/>
          <w:highlight w:val="none"/>
        </w:rPr>
      </w:pPr>
      <w:bookmarkStart w:id="43" w:name="_Toc1338"/>
      <w:r>
        <w:rPr>
          <w:rFonts w:hint="eastAsia" w:ascii="宋体" w:hAnsi="宋体" w:eastAsia="宋体" w:cs="宋体"/>
          <w:b/>
          <w:color w:val="auto"/>
          <w:sz w:val="72"/>
          <w:highlight w:val="none"/>
        </w:rPr>
        <w:t>文</w:t>
      </w:r>
      <w:bookmarkEnd w:id="43"/>
    </w:p>
    <w:p w14:paraId="3B5B62CE">
      <w:pPr>
        <w:spacing w:line="900" w:lineRule="exact"/>
        <w:jc w:val="center"/>
        <w:rPr>
          <w:rFonts w:hint="eastAsia" w:ascii="宋体" w:hAnsi="宋体" w:eastAsia="宋体" w:cs="宋体"/>
          <w:b/>
          <w:color w:val="auto"/>
          <w:sz w:val="72"/>
          <w:highlight w:val="none"/>
        </w:rPr>
      </w:pPr>
    </w:p>
    <w:p w14:paraId="3BEA3D19">
      <w:pPr>
        <w:jc w:val="center"/>
        <w:outlineLvl w:val="1"/>
        <w:rPr>
          <w:rFonts w:hint="eastAsia" w:ascii="宋体" w:hAnsi="宋体" w:eastAsia="宋体" w:cs="宋体"/>
          <w:b/>
          <w:color w:val="auto"/>
          <w:sz w:val="72"/>
          <w:highlight w:val="none"/>
        </w:rPr>
      </w:pPr>
      <w:bookmarkStart w:id="44" w:name="_Toc10796"/>
      <w:r>
        <w:rPr>
          <w:rFonts w:hint="eastAsia" w:ascii="宋体" w:hAnsi="宋体" w:eastAsia="宋体" w:cs="宋体"/>
          <w:b/>
          <w:color w:val="auto"/>
          <w:sz w:val="72"/>
          <w:highlight w:val="none"/>
        </w:rPr>
        <w:t>件</w:t>
      </w:r>
      <w:bookmarkEnd w:id="44"/>
    </w:p>
    <w:p w14:paraId="2436ADC4">
      <w:pPr>
        <w:spacing w:after="156" w:afterLines="50"/>
        <w:jc w:val="center"/>
        <w:rPr>
          <w:rFonts w:hint="eastAsia" w:ascii="宋体" w:hAnsi="宋体" w:eastAsia="宋体" w:cs="宋体"/>
          <w:b/>
          <w:color w:val="auto"/>
          <w:sz w:val="72"/>
          <w:highlight w:val="none"/>
        </w:rPr>
      </w:pPr>
    </w:p>
    <w:p w14:paraId="60B50F31">
      <w:pPr>
        <w:pStyle w:val="9"/>
        <w:spacing w:after="0" w:line="360" w:lineRule="auto"/>
        <w:ind w:firstLine="480" w:firstLineChars="200"/>
        <w:jc w:val="center"/>
        <w:outlineLvl w:val="1"/>
        <w:rPr>
          <w:rFonts w:hint="eastAsia" w:ascii="宋体" w:hAnsi="宋体" w:eastAsia="宋体" w:cs="宋体"/>
          <w:color w:val="auto"/>
          <w:sz w:val="24"/>
          <w:szCs w:val="18"/>
          <w:highlight w:val="none"/>
          <w:lang w:val="en-US"/>
        </w:rPr>
      </w:pPr>
    </w:p>
    <w:p w14:paraId="1D14C696">
      <w:pPr>
        <w:spacing w:before="156" w:beforeLines="50" w:after="156" w:afterLines="50"/>
        <w:jc w:val="center"/>
        <w:rPr>
          <w:rFonts w:hint="eastAsia" w:ascii="宋体" w:hAnsi="宋体" w:eastAsia="宋体" w:cs="宋体"/>
          <w:b/>
          <w:color w:val="auto"/>
          <w:sz w:val="32"/>
          <w:szCs w:val="32"/>
          <w:highlight w:val="none"/>
        </w:rPr>
      </w:pPr>
    </w:p>
    <w:p w14:paraId="41131EAA">
      <w:pPr>
        <w:spacing w:after="156" w:afterLines="50" w:line="500" w:lineRule="exact"/>
        <w:jc w:val="center"/>
        <w:rPr>
          <w:rFonts w:hint="eastAsia" w:ascii="宋体" w:hAnsi="宋体" w:eastAsia="宋体" w:cs="宋体"/>
          <w:b/>
          <w:color w:val="auto"/>
          <w:sz w:val="28"/>
          <w:szCs w:val="28"/>
          <w:highlight w:val="none"/>
        </w:rPr>
      </w:pPr>
    </w:p>
    <w:p w14:paraId="158C461D">
      <w:pPr>
        <w:tabs>
          <w:tab w:val="left" w:pos="2410"/>
        </w:tabs>
        <w:autoSpaceDE w:val="0"/>
        <w:autoSpaceDN w:val="0"/>
        <w:adjustRightInd w:val="0"/>
        <w:snapToGrid w:val="0"/>
        <w:spacing w:line="360" w:lineRule="auto"/>
        <w:ind w:firstLine="643" w:firstLineChars="200"/>
        <w:rPr>
          <w:rFonts w:hint="eastAsia" w:ascii="宋体" w:hAnsi="宋体" w:eastAsia="宋体" w:cs="宋体"/>
          <w:b/>
          <w:color w:val="auto"/>
          <w:spacing w:val="20"/>
          <w:kern w:val="0"/>
          <w:sz w:val="32"/>
          <w:szCs w:val="32"/>
          <w:highlight w:val="none"/>
        </w:rPr>
      </w:pPr>
      <w:r>
        <w:rPr>
          <w:rFonts w:hint="eastAsia" w:ascii="宋体" w:hAnsi="宋体" w:eastAsia="宋体" w:cs="宋体"/>
          <w:b/>
          <w:color w:val="auto"/>
          <w:sz w:val="32"/>
          <w:highlight w:val="none"/>
        </w:rPr>
        <w:t>项目名称：</w:t>
      </w:r>
      <w:r>
        <w:rPr>
          <w:rFonts w:hint="eastAsia" w:ascii="宋体" w:hAnsi="宋体" w:eastAsia="宋体" w:cs="宋体"/>
          <w:b/>
          <w:color w:val="auto"/>
          <w:sz w:val="32"/>
          <w:highlight w:val="none"/>
          <w:u w:val="single"/>
        </w:rPr>
        <w:t xml:space="preserve">                  </w:t>
      </w:r>
    </w:p>
    <w:p w14:paraId="416A7EA8">
      <w:pPr>
        <w:tabs>
          <w:tab w:val="left" w:pos="2410"/>
        </w:tabs>
        <w:autoSpaceDE w:val="0"/>
        <w:autoSpaceDN w:val="0"/>
        <w:adjustRightInd w:val="0"/>
        <w:snapToGrid w:val="0"/>
        <w:spacing w:line="360" w:lineRule="auto"/>
        <w:ind w:firstLine="643" w:firstLineChars="200"/>
        <w:rPr>
          <w:rFonts w:hint="eastAsia" w:ascii="宋体" w:hAnsi="宋体" w:eastAsia="宋体" w:cs="宋体"/>
          <w:b/>
          <w:color w:val="auto"/>
          <w:sz w:val="32"/>
          <w:highlight w:val="none"/>
          <w:u w:val="single"/>
        </w:rPr>
      </w:pPr>
      <w:r>
        <w:rPr>
          <w:rFonts w:hint="eastAsia" w:ascii="宋体" w:hAnsi="宋体" w:eastAsia="宋体" w:cs="宋体"/>
          <w:b/>
          <w:color w:val="auto"/>
          <w:sz w:val="32"/>
          <w:highlight w:val="none"/>
        </w:rPr>
        <w:t>项目编号：</w:t>
      </w:r>
      <w:r>
        <w:rPr>
          <w:rFonts w:hint="eastAsia" w:ascii="宋体" w:hAnsi="宋体" w:eastAsia="宋体" w:cs="宋体"/>
          <w:b/>
          <w:color w:val="auto"/>
          <w:sz w:val="32"/>
          <w:highlight w:val="none"/>
          <w:u w:val="single"/>
        </w:rPr>
        <w:t xml:space="preserve">                  </w:t>
      </w:r>
    </w:p>
    <w:p w14:paraId="2D89CEBF">
      <w:pPr>
        <w:tabs>
          <w:tab w:val="left" w:pos="2410"/>
        </w:tabs>
        <w:autoSpaceDE w:val="0"/>
        <w:autoSpaceDN w:val="0"/>
        <w:adjustRightInd w:val="0"/>
        <w:snapToGrid w:val="0"/>
        <w:spacing w:line="360" w:lineRule="auto"/>
        <w:ind w:firstLine="643" w:firstLineChars="200"/>
        <w:rPr>
          <w:rFonts w:hint="eastAsia" w:ascii="宋体" w:hAnsi="宋体" w:eastAsia="宋体" w:cs="宋体"/>
          <w:b/>
          <w:color w:val="auto"/>
          <w:sz w:val="32"/>
          <w:highlight w:val="none"/>
          <w:u w:val="single"/>
        </w:rPr>
      </w:pPr>
      <w:r>
        <w:rPr>
          <w:rFonts w:hint="eastAsia" w:ascii="宋体" w:hAnsi="宋体" w:eastAsia="宋体" w:cs="宋体"/>
          <w:b/>
          <w:color w:val="auto"/>
          <w:sz w:val="32"/>
          <w:highlight w:val="none"/>
        </w:rPr>
        <w:t>投 标 人：</w:t>
      </w:r>
      <w:r>
        <w:rPr>
          <w:rFonts w:hint="eastAsia" w:ascii="宋体" w:hAnsi="宋体" w:eastAsia="宋体" w:cs="宋体"/>
          <w:b/>
          <w:color w:val="auto"/>
          <w:sz w:val="32"/>
          <w:highlight w:val="none"/>
          <w:u w:val="single"/>
        </w:rPr>
        <w:t xml:space="preserve">                  </w:t>
      </w:r>
    </w:p>
    <w:p w14:paraId="1ACD3574">
      <w:pPr>
        <w:spacing w:after="156" w:afterLines="50" w:line="500" w:lineRule="exact"/>
        <w:jc w:val="center"/>
        <w:outlineLvl w:val="1"/>
        <w:rPr>
          <w:rFonts w:hint="eastAsia" w:ascii="宋体" w:hAnsi="宋体" w:eastAsia="宋体" w:cs="宋体"/>
          <w:b/>
          <w:color w:val="auto"/>
          <w:sz w:val="32"/>
          <w:highlight w:val="none"/>
        </w:rPr>
      </w:pPr>
      <w:r>
        <w:rPr>
          <w:rFonts w:hint="eastAsia" w:ascii="宋体" w:hAnsi="宋体" w:eastAsia="宋体" w:cs="宋体"/>
          <w:b/>
          <w:color w:val="auto"/>
          <w:sz w:val="32"/>
          <w:highlight w:val="none"/>
          <w:u w:val="single"/>
        </w:rPr>
        <w:t xml:space="preserve">  </w:t>
      </w:r>
      <w:bookmarkStart w:id="45" w:name="_Toc9994"/>
      <w:bookmarkStart w:id="46" w:name="_Toc8037"/>
      <w:r>
        <w:rPr>
          <w:rFonts w:hint="eastAsia" w:ascii="宋体" w:hAnsi="宋体" w:eastAsia="宋体" w:cs="宋体"/>
          <w:b/>
          <w:color w:val="auto"/>
          <w:sz w:val="32"/>
          <w:highlight w:val="none"/>
        </w:rPr>
        <w:t>年</w:t>
      </w:r>
      <w:r>
        <w:rPr>
          <w:rFonts w:hint="eastAsia" w:ascii="宋体" w:hAnsi="宋体" w:eastAsia="宋体" w:cs="宋体"/>
          <w:b/>
          <w:color w:val="auto"/>
          <w:sz w:val="32"/>
          <w:highlight w:val="none"/>
          <w:u w:val="single"/>
        </w:rPr>
        <w:t xml:space="preserve">  </w:t>
      </w:r>
      <w:r>
        <w:rPr>
          <w:rFonts w:hint="eastAsia" w:ascii="宋体" w:hAnsi="宋体" w:eastAsia="宋体" w:cs="宋体"/>
          <w:b/>
          <w:color w:val="auto"/>
          <w:sz w:val="32"/>
          <w:highlight w:val="none"/>
        </w:rPr>
        <w:t>月</w:t>
      </w:r>
      <w:r>
        <w:rPr>
          <w:rFonts w:hint="eastAsia" w:ascii="宋体" w:hAnsi="宋体" w:eastAsia="宋体" w:cs="宋体"/>
          <w:b/>
          <w:color w:val="auto"/>
          <w:sz w:val="32"/>
          <w:highlight w:val="none"/>
          <w:u w:val="single"/>
        </w:rPr>
        <w:t xml:space="preserve">  </w:t>
      </w:r>
      <w:r>
        <w:rPr>
          <w:rFonts w:hint="eastAsia" w:ascii="宋体" w:hAnsi="宋体" w:eastAsia="宋体" w:cs="宋体"/>
          <w:b/>
          <w:color w:val="auto"/>
          <w:sz w:val="32"/>
          <w:highlight w:val="none"/>
        </w:rPr>
        <w:t>日</w:t>
      </w:r>
      <w:bookmarkEnd w:id="45"/>
      <w:bookmarkEnd w:id="46"/>
    </w:p>
    <w:p w14:paraId="4D88623B">
      <w:pPr>
        <w:widowControl/>
        <w:jc w:val="left"/>
        <w:rPr>
          <w:rFonts w:hint="eastAsia" w:ascii="宋体" w:hAnsi="宋体" w:eastAsia="宋体" w:cs="宋体"/>
          <w:b/>
          <w:color w:val="auto"/>
          <w:sz w:val="28"/>
          <w:highlight w:val="none"/>
        </w:rPr>
      </w:pPr>
      <w:r>
        <w:rPr>
          <w:rFonts w:hint="eastAsia" w:ascii="宋体" w:hAnsi="宋体" w:eastAsia="宋体" w:cs="宋体"/>
          <w:b/>
          <w:color w:val="auto"/>
          <w:sz w:val="28"/>
          <w:highlight w:val="none"/>
        </w:rPr>
        <w:br w:type="page"/>
      </w:r>
    </w:p>
    <w:p w14:paraId="042D4907">
      <w:pP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bidi="ar"/>
        </w:rPr>
        <w:t>一、资信证明格式文件</w:t>
      </w:r>
    </w:p>
    <w:p w14:paraId="585751FB">
      <w:pPr>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lang w:bidi="ar"/>
        </w:rPr>
        <w:t xml:space="preserve"> </w:t>
      </w:r>
    </w:p>
    <w:p w14:paraId="28F0EC1E">
      <w:pPr>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lang w:bidi="ar"/>
        </w:rPr>
        <w:t xml:space="preserve"> </w:t>
      </w:r>
    </w:p>
    <w:p w14:paraId="3D9EFDE3">
      <w:pPr>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lang w:bidi="ar"/>
        </w:rPr>
        <w:t xml:space="preserve"> </w:t>
      </w:r>
    </w:p>
    <w:p w14:paraId="177EAFC7">
      <w:pPr>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lang w:bidi="ar"/>
        </w:rPr>
        <w:t>资信证明文件</w:t>
      </w:r>
    </w:p>
    <w:p w14:paraId="722A359D">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lang w:bidi="ar"/>
        </w:rPr>
        <w:t xml:space="preserve"> </w:t>
      </w:r>
    </w:p>
    <w:p w14:paraId="5857BD72">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lang w:bidi="ar"/>
        </w:rPr>
        <w:t>（投标文件一）</w:t>
      </w:r>
    </w:p>
    <w:p w14:paraId="390BB088">
      <w:pPr>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lang w:bidi="ar"/>
        </w:rPr>
        <w:t xml:space="preserve"> </w:t>
      </w:r>
    </w:p>
    <w:p w14:paraId="10801D63">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u w:val="single"/>
          <w:lang w:bidi="ar"/>
        </w:rPr>
        <w:t xml:space="preserve">        </w:t>
      </w:r>
      <w:r>
        <w:rPr>
          <w:rFonts w:hint="eastAsia" w:ascii="宋体" w:hAnsi="宋体" w:eastAsia="宋体" w:cs="宋体"/>
          <w:color w:val="auto"/>
          <w:sz w:val="32"/>
          <w:szCs w:val="32"/>
          <w:highlight w:val="none"/>
          <w:lang w:bidi="ar"/>
        </w:rPr>
        <w:t>项目</w:t>
      </w:r>
    </w:p>
    <w:p w14:paraId="1DF4197C">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 xml:space="preserve"> </w:t>
      </w:r>
    </w:p>
    <w:p w14:paraId="38827E91">
      <w:pPr>
        <w:jc w:val="center"/>
        <w:rPr>
          <w:rFonts w:hint="eastAsia" w:ascii="宋体" w:hAnsi="宋体" w:eastAsia="宋体" w:cs="宋体"/>
          <w:color w:val="auto"/>
          <w:sz w:val="44"/>
          <w:szCs w:val="44"/>
          <w:highlight w:val="none"/>
        </w:rPr>
      </w:pPr>
      <w:r>
        <w:rPr>
          <w:rFonts w:hint="eastAsia" w:ascii="宋体" w:hAnsi="宋体" w:eastAsia="宋体" w:cs="宋体"/>
          <w:color w:val="auto"/>
          <w:sz w:val="28"/>
          <w:szCs w:val="28"/>
          <w:highlight w:val="none"/>
          <w:lang w:bidi="ar"/>
        </w:rPr>
        <w:t>项目编号：</w:t>
      </w:r>
      <w:r>
        <w:rPr>
          <w:rFonts w:hint="eastAsia" w:ascii="宋体" w:hAnsi="宋体" w:eastAsia="宋体" w:cs="宋体"/>
          <w:color w:val="auto"/>
          <w:sz w:val="28"/>
          <w:szCs w:val="28"/>
          <w:highlight w:val="none"/>
          <w:u w:val="single"/>
          <w:lang w:bidi="ar"/>
        </w:rPr>
        <w:t xml:space="preserve">     </w:t>
      </w:r>
    </w:p>
    <w:p w14:paraId="013E5653">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 xml:space="preserve"> </w:t>
      </w:r>
    </w:p>
    <w:p w14:paraId="4F8252DE">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 xml:space="preserve"> </w:t>
      </w:r>
    </w:p>
    <w:p w14:paraId="55B1E8A3">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 xml:space="preserve"> </w:t>
      </w:r>
    </w:p>
    <w:p w14:paraId="2536A04A">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 xml:space="preserve"> </w:t>
      </w:r>
    </w:p>
    <w:p w14:paraId="3BB00003">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 xml:space="preserve"> </w:t>
      </w:r>
    </w:p>
    <w:p w14:paraId="69FD57B7">
      <w:pPr>
        <w:autoSpaceDE w:val="0"/>
        <w:spacing w:line="360" w:lineRule="auto"/>
        <w:jc w:val="center"/>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lang w:bidi="ar"/>
        </w:rPr>
        <w:t>投标人：</w:t>
      </w:r>
      <w:r>
        <w:rPr>
          <w:rFonts w:hint="eastAsia" w:ascii="宋体" w:hAnsi="宋体" w:eastAsia="宋体" w:cs="宋体"/>
          <w:color w:val="auto"/>
          <w:sz w:val="28"/>
          <w:szCs w:val="28"/>
          <w:highlight w:val="none"/>
          <w:u w:val="single"/>
          <w:lang w:bidi="ar"/>
        </w:rPr>
        <w:t xml:space="preserve">                           </w:t>
      </w:r>
      <w:r>
        <w:rPr>
          <w:rFonts w:hint="eastAsia" w:ascii="宋体" w:hAnsi="宋体" w:eastAsia="宋体" w:cs="宋体"/>
          <w:color w:val="auto"/>
          <w:sz w:val="28"/>
          <w:szCs w:val="28"/>
          <w:highlight w:val="none"/>
          <w:lang w:bidi="ar"/>
        </w:rPr>
        <w:t>（签章）</w:t>
      </w:r>
    </w:p>
    <w:p w14:paraId="371B0583">
      <w:pPr>
        <w:autoSpaceDE w:val="0"/>
        <w:spacing w:line="360" w:lineRule="auto"/>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法定代表人：</w:t>
      </w:r>
      <w:r>
        <w:rPr>
          <w:rFonts w:hint="eastAsia" w:ascii="宋体" w:hAnsi="宋体" w:eastAsia="宋体" w:cs="宋体"/>
          <w:color w:val="auto"/>
          <w:sz w:val="28"/>
          <w:szCs w:val="28"/>
          <w:highlight w:val="none"/>
          <w:u w:val="single"/>
          <w:lang w:bidi="ar"/>
        </w:rPr>
        <w:t xml:space="preserve">                       </w:t>
      </w:r>
      <w:r>
        <w:rPr>
          <w:rFonts w:hint="eastAsia" w:ascii="宋体" w:hAnsi="宋体" w:eastAsia="宋体" w:cs="宋体"/>
          <w:color w:val="auto"/>
          <w:sz w:val="28"/>
          <w:szCs w:val="28"/>
          <w:highlight w:val="none"/>
          <w:lang w:bidi="ar"/>
        </w:rPr>
        <w:t>（签章）</w:t>
      </w:r>
    </w:p>
    <w:p w14:paraId="22AF3A00">
      <w:pPr>
        <w:autoSpaceDE w:val="0"/>
        <w:spacing w:line="360" w:lineRule="auto"/>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u w:val="single"/>
          <w:lang w:bidi="ar"/>
        </w:rPr>
        <w:t xml:space="preserve">        </w:t>
      </w:r>
      <w:r>
        <w:rPr>
          <w:rFonts w:hint="eastAsia" w:ascii="宋体" w:hAnsi="宋体" w:eastAsia="宋体" w:cs="宋体"/>
          <w:color w:val="auto"/>
          <w:sz w:val="28"/>
          <w:szCs w:val="28"/>
          <w:highlight w:val="none"/>
          <w:lang w:bidi="ar"/>
        </w:rPr>
        <w:t>年</w:t>
      </w:r>
      <w:r>
        <w:rPr>
          <w:rFonts w:hint="eastAsia" w:ascii="宋体" w:hAnsi="宋体" w:eastAsia="宋体" w:cs="宋体"/>
          <w:color w:val="auto"/>
          <w:sz w:val="28"/>
          <w:szCs w:val="28"/>
          <w:highlight w:val="none"/>
          <w:u w:val="single"/>
          <w:lang w:bidi="ar"/>
        </w:rPr>
        <w:t xml:space="preserve">        </w:t>
      </w:r>
      <w:r>
        <w:rPr>
          <w:rFonts w:hint="eastAsia" w:ascii="宋体" w:hAnsi="宋体" w:eastAsia="宋体" w:cs="宋体"/>
          <w:color w:val="auto"/>
          <w:sz w:val="28"/>
          <w:szCs w:val="28"/>
          <w:highlight w:val="none"/>
          <w:lang w:bidi="ar"/>
        </w:rPr>
        <w:t>月</w:t>
      </w:r>
      <w:r>
        <w:rPr>
          <w:rFonts w:hint="eastAsia" w:ascii="宋体" w:hAnsi="宋体" w:eastAsia="宋体" w:cs="宋体"/>
          <w:color w:val="auto"/>
          <w:sz w:val="28"/>
          <w:szCs w:val="28"/>
          <w:highlight w:val="none"/>
          <w:u w:val="single"/>
          <w:lang w:bidi="ar"/>
        </w:rPr>
        <w:t xml:space="preserve">        </w:t>
      </w:r>
      <w:r>
        <w:rPr>
          <w:rFonts w:hint="eastAsia" w:ascii="宋体" w:hAnsi="宋体" w:eastAsia="宋体" w:cs="宋体"/>
          <w:color w:val="auto"/>
          <w:sz w:val="28"/>
          <w:szCs w:val="28"/>
          <w:highlight w:val="none"/>
          <w:lang w:bidi="ar"/>
        </w:rPr>
        <w:t>日</w:t>
      </w:r>
    </w:p>
    <w:p w14:paraId="3750C973">
      <w:pPr>
        <w:spacing w:line="400" w:lineRule="exact"/>
        <w:ind w:firstLine="4130" w:firstLineChars="935"/>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lang w:bidi="ar"/>
        </w:rPr>
        <w:t xml:space="preserve"> </w:t>
      </w:r>
    </w:p>
    <w:p w14:paraId="314D0424">
      <w:pP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lang w:bidi="ar"/>
        </w:rPr>
        <w:br w:type="page"/>
      </w:r>
    </w:p>
    <w:p w14:paraId="72A497DE">
      <w:pPr>
        <w:jc w:val="center"/>
        <w:rPr>
          <w:rFonts w:hint="eastAsia" w:ascii="宋体" w:hAnsi="宋体" w:eastAsia="宋体" w:cs="宋体"/>
          <w:b/>
          <w:color w:val="auto"/>
          <w:sz w:val="44"/>
          <w:szCs w:val="44"/>
          <w:highlight w:val="none"/>
        </w:rPr>
      </w:pPr>
      <w:r>
        <w:rPr>
          <w:rFonts w:hint="eastAsia" w:ascii="宋体" w:hAnsi="宋体" w:eastAsia="宋体" w:cs="宋体"/>
          <w:b/>
          <w:color w:val="auto"/>
          <w:sz w:val="36"/>
          <w:szCs w:val="36"/>
          <w:highlight w:val="none"/>
          <w:lang w:bidi="ar"/>
        </w:rPr>
        <w:t>目   录</w:t>
      </w:r>
    </w:p>
    <w:p w14:paraId="2F6301BB">
      <w:pPr>
        <w:spacing w:line="400" w:lineRule="exact"/>
        <w:ind w:firstLine="562" w:firstLineChars="20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bidi="ar"/>
        </w:rPr>
        <w:t xml:space="preserve"> </w:t>
      </w:r>
    </w:p>
    <w:p w14:paraId="044633E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（1）投标人资格声明书（格式见附件）；</w:t>
      </w:r>
    </w:p>
    <w:p w14:paraId="144318D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 xml:space="preserve">（2）授权书（格式见附件）；   </w:t>
      </w:r>
    </w:p>
    <w:p w14:paraId="6D1DA33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（3）投标人为企业（包括合伙企业）的，应提供有效的“营业执照”；</w:t>
      </w:r>
    </w:p>
    <w:p w14:paraId="250C238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投标人为事业单位的，应提供有效的“事业单位法人证书”；</w:t>
      </w:r>
    </w:p>
    <w:p w14:paraId="5DBC50F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投标人是非企业机构的，应提供有效的“执业许可证”、“登记证书”等证明文件；</w:t>
      </w:r>
    </w:p>
    <w:p w14:paraId="1C7A891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投标人是个体工商户的，应提供有效的“个体工商户营业执照”；</w:t>
      </w:r>
    </w:p>
    <w:p w14:paraId="23EA192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投标人是自然人的，应提供有效的自然人身份证明；</w:t>
      </w:r>
    </w:p>
    <w:p w14:paraId="66D32F2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（4）诚信投标承诺书（格式见附件）；</w:t>
      </w:r>
    </w:p>
    <w:p w14:paraId="4EC3CF8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（5）中小企业声明函，残疾人福利性企业（格式见附件）</w:t>
      </w:r>
      <w:r>
        <w:rPr>
          <w:rFonts w:hint="eastAsia" w:ascii="宋体" w:hAnsi="宋体" w:eastAsia="宋体" w:cs="宋体"/>
          <w:b/>
          <w:color w:val="auto"/>
          <w:szCs w:val="21"/>
          <w:highlight w:val="none"/>
          <w:lang w:bidi="ar"/>
        </w:rPr>
        <w:t>；</w:t>
      </w:r>
    </w:p>
    <w:p w14:paraId="48FDD71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（6）省级以上监狱管理局、戒毒管理局（含新疆生产建设兵团）出具的属于监狱企业的证明</w:t>
      </w:r>
      <w:r>
        <w:rPr>
          <w:rFonts w:hint="eastAsia" w:ascii="宋体" w:hAnsi="宋体" w:eastAsia="宋体" w:cs="宋体"/>
          <w:b/>
          <w:color w:val="auto"/>
          <w:szCs w:val="21"/>
          <w:highlight w:val="none"/>
          <w:lang w:bidi="ar"/>
        </w:rPr>
        <w:t>（如是）</w:t>
      </w:r>
      <w:r>
        <w:rPr>
          <w:rFonts w:hint="eastAsia" w:ascii="宋体" w:hAnsi="宋体" w:eastAsia="宋体" w:cs="宋体"/>
          <w:color w:val="auto"/>
          <w:szCs w:val="21"/>
          <w:highlight w:val="none"/>
          <w:lang w:bidi="ar"/>
        </w:rPr>
        <w:t>；</w:t>
      </w:r>
    </w:p>
    <w:p w14:paraId="4D30A3A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（7）招标文件中要求的资信评审和资信评分的支持资料；</w:t>
      </w:r>
    </w:p>
    <w:p w14:paraId="5E024C6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（8）投标人认为需要提供的其他资信证明材料；</w:t>
      </w:r>
    </w:p>
    <w:p w14:paraId="1938E68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（9）其他（如有）。</w:t>
      </w:r>
    </w:p>
    <w:p w14:paraId="36EF9E5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 xml:space="preserve"> </w:t>
      </w:r>
    </w:p>
    <w:p w14:paraId="219AEB7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 xml:space="preserve"> </w:t>
      </w:r>
    </w:p>
    <w:p w14:paraId="4F47147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 xml:space="preserve"> </w:t>
      </w:r>
    </w:p>
    <w:p w14:paraId="74E9A8FE">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br w:type="page"/>
      </w:r>
    </w:p>
    <w:p w14:paraId="43051135">
      <w:pPr>
        <w:spacing w:line="360" w:lineRule="auto"/>
        <w:jc w:val="center"/>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（1）投标人资格声明书</w:t>
      </w:r>
    </w:p>
    <w:p w14:paraId="3471FEB0">
      <w:pPr>
        <w:pStyle w:val="21"/>
        <w:spacing w:before="0" w:beforeAutospacing="0" w:after="0" w:afterAutospacing="0" w:line="360" w:lineRule="auto"/>
        <w:jc w:val="both"/>
        <w:rPr>
          <w:rFonts w:hint="eastAsia" w:ascii="宋体" w:hAnsi="宋体" w:eastAsia="宋体" w:cs="宋体"/>
          <w:b/>
          <w:color w:val="auto"/>
          <w:kern w:val="2"/>
          <w:szCs w:val="24"/>
          <w:highlight w:val="none"/>
        </w:rPr>
      </w:pPr>
      <w:r>
        <w:rPr>
          <w:rFonts w:hint="eastAsia" w:ascii="宋体" w:hAnsi="宋体" w:eastAsia="宋体" w:cs="宋体"/>
          <w:b/>
          <w:color w:val="auto"/>
          <w:kern w:val="2"/>
          <w:szCs w:val="24"/>
          <w:highlight w:val="none"/>
          <w:lang w:bidi="ar"/>
        </w:rPr>
        <w:t>致：</w:t>
      </w:r>
      <w:r>
        <w:rPr>
          <w:rFonts w:hint="eastAsia" w:ascii="宋体" w:hAnsi="宋体" w:eastAsia="宋体" w:cs="宋体"/>
          <w:b/>
          <w:color w:val="auto"/>
          <w:kern w:val="2"/>
          <w:szCs w:val="24"/>
          <w:highlight w:val="none"/>
          <w:u w:val="single"/>
          <w:lang w:bidi="ar"/>
        </w:rPr>
        <w:t>采购人</w:t>
      </w:r>
    </w:p>
    <w:p w14:paraId="14447703">
      <w:pPr>
        <w:widowControl/>
        <w:autoSpaceDE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在参与本次项目投标中，我单位承诺：</w:t>
      </w:r>
    </w:p>
    <w:p w14:paraId="21967619">
      <w:pPr>
        <w:widowControl/>
        <w:autoSpaceDE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（一）具有良好的商业信誉和健全的财务会计制度；</w:t>
      </w:r>
    </w:p>
    <w:p w14:paraId="243D65EA">
      <w:pPr>
        <w:widowControl/>
        <w:autoSpaceDE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（二）具有履行合同所必需的设备和专业技术能力；</w:t>
      </w:r>
    </w:p>
    <w:p w14:paraId="627B8AC3">
      <w:pPr>
        <w:widowControl/>
        <w:autoSpaceDE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（三）有依法缴纳税收和社会保障资金的良好记录；</w:t>
      </w:r>
    </w:p>
    <w:p w14:paraId="388742FE">
      <w:pPr>
        <w:widowControl/>
        <w:autoSpaceDE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3821D02F">
      <w:pPr>
        <w:widowControl/>
        <w:autoSpaceDE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（五）我单位不存在为采购项目提供整体设计、规范编制或者项目管理、监理、检测等服务后，再参加该采购项目的其他采购活动的情形（单一来源采购项目除外）；</w:t>
      </w:r>
    </w:p>
    <w:p w14:paraId="043C609D">
      <w:pPr>
        <w:widowControl/>
        <w:autoSpaceDE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bidi="ar"/>
        </w:rPr>
        <w:t>（六）与我单位存在单位负责人为同一人或者存在直接控股、管理关系的其他法人单位信息如下（如有，不论其是否参加同一合同项下的政府采购活动均须填写）：</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66B5E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single" w:color="auto" w:sz="4" w:space="0"/>
              <w:left w:val="single" w:color="auto" w:sz="4" w:space="0"/>
              <w:bottom w:val="single" w:color="auto" w:sz="4" w:space="0"/>
              <w:right w:val="single" w:color="auto" w:sz="4" w:space="0"/>
            </w:tcBorders>
          </w:tcPr>
          <w:p w14:paraId="1B5309BB">
            <w:pPr>
              <w:widowControl/>
              <w:autoSpaceDE w:val="0"/>
              <w:spacing w:before="156" w:beforeLines="50" w:after="1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bidi="ar"/>
              </w:rPr>
              <w:t>序号</w:t>
            </w:r>
          </w:p>
        </w:tc>
        <w:tc>
          <w:tcPr>
            <w:tcW w:w="2841" w:type="dxa"/>
            <w:tcBorders>
              <w:top w:val="single" w:color="auto" w:sz="4" w:space="0"/>
              <w:left w:val="nil"/>
              <w:bottom w:val="single" w:color="auto" w:sz="4" w:space="0"/>
              <w:right w:val="single" w:color="auto" w:sz="4" w:space="0"/>
            </w:tcBorders>
          </w:tcPr>
          <w:p w14:paraId="5BA9023B">
            <w:pPr>
              <w:pStyle w:val="21"/>
              <w:autoSpaceDE w:val="0"/>
              <w:spacing w:before="156" w:beforeLines="50" w:beforeAutospacing="0" w:after="10" w:afterAutospacing="0"/>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lang w:bidi="ar"/>
              </w:rPr>
              <w:t>单位名称</w:t>
            </w:r>
          </w:p>
        </w:tc>
        <w:tc>
          <w:tcPr>
            <w:tcW w:w="2841" w:type="dxa"/>
            <w:tcBorders>
              <w:top w:val="single" w:color="auto" w:sz="4" w:space="0"/>
              <w:left w:val="nil"/>
              <w:bottom w:val="single" w:color="auto" w:sz="4" w:space="0"/>
              <w:right w:val="single" w:color="auto" w:sz="4" w:space="0"/>
            </w:tcBorders>
          </w:tcPr>
          <w:p w14:paraId="7DC76D38">
            <w:pPr>
              <w:pStyle w:val="21"/>
              <w:autoSpaceDE w:val="0"/>
              <w:spacing w:before="156" w:beforeLines="50" w:beforeAutospacing="0" w:after="10" w:afterAutospacing="0"/>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lang w:bidi="ar"/>
              </w:rPr>
              <w:t>相互关系</w:t>
            </w:r>
          </w:p>
        </w:tc>
      </w:tr>
      <w:tr w14:paraId="4BBE3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single" w:color="auto" w:sz="4" w:space="0"/>
              <w:left w:val="single" w:color="auto" w:sz="4" w:space="0"/>
              <w:bottom w:val="single" w:color="auto" w:sz="4" w:space="0"/>
              <w:right w:val="single" w:color="auto" w:sz="4" w:space="0"/>
            </w:tcBorders>
          </w:tcPr>
          <w:p w14:paraId="6BFB35FD">
            <w:pPr>
              <w:pStyle w:val="21"/>
              <w:autoSpaceDE w:val="0"/>
              <w:spacing w:before="156" w:beforeLines="50" w:beforeAutospacing="0" w:after="10" w:afterAutospacing="0"/>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lang w:bidi="ar"/>
              </w:rPr>
              <w:t>1</w:t>
            </w:r>
          </w:p>
        </w:tc>
        <w:tc>
          <w:tcPr>
            <w:tcW w:w="2841" w:type="dxa"/>
            <w:tcBorders>
              <w:top w:val="single" w:color="auto" w:sz="4" w:space="0"/>
              <w:left w:val="nil"/>
              <w:bottom w:val="single" w:color="auto" w:sz="4" w:space="0"/>
              <w:right w:val="single" w:color="auto" w:sz="4" w:space="0"/>
            </w:tcBorders>
          </w:tcPr>
          <w:p w14:paraId="1F53293E">
            <w:pPr>
              <w:pStyle w:val="21"/>
              <w:autoSpaceDE w:val="0"/>
              <w:spacing w:before="156" w:beforeLines="50" w:beforeAutospacing="0" w:after="10" w:afterAutospacing="0"/>
              <w:jc w:val="center"/>
              <w:rPr>
                <w:rFonts w:hint="eastAsia" w:ascii="宋体" w:hAnsi="宋体" w:eastAsia="宋体" w:cs="宋体"/>
                <w:color w:val="auto"/>
                <w:szCs w:val="24"/>
                <w:highlight w:val="none"/>
              </w:rPr>
            </w:pPr>
          </w:p>
        </w:tc>
        <w:tc>
          <w:tcPr>
            <w:tcW w:w="2841" w:type="dxa"/>
            <w:tcBorders>
              <w:top w:val="single" w:color="auto" w:sz="4" w:space="0"/>
              <w:left w:val="nil"/>
              <w:bottom w:val="single" w:color="auto" w:sz="4" w:space="0"/>
              <w:right w:val="single" w:color="auto" w:sz="4" w:space="0"/>
            </w:tcBorders>
          </w:tcPr>
          <w:p w14:paraId="5461EC97">
            <w:pPr>
              <w:pStyle w:val="21"/>
              <w:autoSpaceDE w:val="0"/>
              <w:spacing w:before="156" w:beforeLines="50" w:beforeAutospacing="0" w:after="10" w:afterAutospacing="0"/>
              <w:jc w:val="center"/>
              <w:rPr>
                <w:rFonts w:hint="eastAsia" w:ascii="宋体" w:hAnsi="宋体" w:eastAsia="宋体" w:cs="宋体"/>
                <w:color w:val="auto"/>
                <w:szCs w:val="24"/>
                <w:highlight w:val="none"/>
              </w:rPr>
            </w:pPr>
          </w:p>
        </w:tc>
      </w:tr>
      <w:tr w14:paraId="5BD09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single" w:color="auto" w:sz="4" w:space="0"/>
              <w:left w:val="single" w:color="auto" w:sz="4" w:space="0"/>
              <w:bottom w:val="single" w:color="auto" w:sz="4" w:space="0"/>
              <w:right w:val="single" w:color="auto" w:sz="4" w:space="0"/>
            </w:tcBorders>
          </w:tcPr>
          <w:p w14:paraId="5B7BB9E1">
            <w:pPr>
              <w:pStyle w:val="21"/>
              <w:autoSpaceDE w:val="0"/>
              <w:spacing w:before="156" w:beforeLines="50" w:beforeAutospacing="0" w:after="10" w:afterAutospacing="0"/>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lang w:bidi="ar"/>
              </w:rPr>
              <w:t>2</w:t>
            </w:r>
          </w:p>
        </w:tc>
        <w:tc>
          <w:tcPr>
            <w:tcW w:w="2841" w:type="dxa"/>
            <w:tcBorders>
              <w:top w:val="single" w:color="auto" w:sz="4" w:space="0"/>
              <w:left w:val="nil"/>
              <w:bottom w:val="single" w:color="auto" w:sz="4" w:space="0"/>
              <w:right w:val="single" w:color="auto" w:sz="4" w:space="0"/>
            </w:tcBorders>
          </w:tcPr>
          <w:p w14:paraId="3496C48E">
            <w:pPr>
              <w:pStyle w:val="21"/>
              <w:autoSpaceDE w:val="0"/>
              <w:spacing w:before="156" w:beforeLines="50" w:beforeAutospacing="0" w:after="10" w:afterAutospacing="0"/>
              <w:jc w:val="center"/>
              <w:rPr>
                <w:rFonts w:hint="eastAsia" w:ascii="宋体" w:hAnsi="宋体" w:eastAsia="宋体" w:cs="宋体"/>
                <w:color w:val="auto"/>
                <w:szCs w:val="24"/>
                <w:highlight w:val="none"/>
              </w:rPr>
            </w:pPr>
          </w:p>
        </w:tc>
        <w:tc>
          <w:tcPr>
            <w:tcW w:w="2841" w:type="dxa"/>
            <w:tcBorders>
              <w:top w:val="single" w:color="auto" w:sz="4" w:space="0"/>
              <w:left w:val="nil"/>
              <w:bottom w:val="single" w:color="auto" w:sz="4" w:space="0"/>
              <w:right w:val="single" w:color="auto" w:sz="4" w:space="0"/>
            </w:tcBorders>
          </w:tcPr>
          <w:p w14:paraId="16FF50EF">
            <w:pPr>
              <w:pStyle w:val="21"/>
              <w:autoSpaceDE w:val="0"/>
              <w:spacing w:before="156" w:beforeLines="50" w:beforeAutospacing="0" w:after="10" w:afterAutospacing="0"/>
              <w:jc w:val="center"/>
              <w:rPr>
                <w:rFonts w:hint="eastAsia" w:ascii="宋体" w:hAnsi="宋体" w:eastAsia="宋体" w:cs="宋体"/>
                <w:color w:val="auto"/>
                <w:szCs w:val="24"/>
                <w:highlight w:val="none"/>
              </w:rPr>
            </w:pPr>
          </w:p>
        </w:tc>
      </w:tr>
    </w:tbl>
    <w:p w14:paraId="6B324704">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本单位对上述声明的真实性负责。如有虚假，将依法承担相应责任。</w:t>
      </w:r>
    </w:p>
    <w:p w14:paraId="02DB4291">
      <w:pPr>
        <w:spacing w:line="360" w:lineRule="auto"/>
        <w:ind w:firstLine="4800" w:firstLineChars="20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bidi="ar"/>
        </w:rPr>
        <w:t>投标人电子签章：</w:t>
      </w:r>
      <w:r>
        <w:rPr>
          <w:rFonts w:hint="eastAsia" w:ascii="宋体" w:hAnsi="宋体" w:eastAsia="宋体" w:cs="宋体"/>
          <w:color w:val="auto"/>
          <w:sz w:val="24"/>
          <w:szCs w:val="24"/>
          <w:highlight w:val="none"/>
          <w:u w:val="single"/>
          <w:lang w:bidi="ar"/>
        </w:rPr>
        <w:t xml:space="preserve">             </w:t>
      </w:r>
    </w:p>
    <w:p w14:paraId="30956D8C">
      <w:pPr>
        <w:spacing w:line="360" w:lineRule="auto"/>
        <w:ind w:firstLine="4800" w:firstLineChars="20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bidi="ar"/>
        </w:rPr>
        <w:t>日          期：</w:t>
      </w:r>
      <w:r>
        <w:rPr>
          <w:rFonts w:hint="eastAsia" w:ascii="宋体" w:hAnsi="宋体" w:eastAsia="宋体" w:cs="宋体"/>
          <w:color w:val="auto"/>
          <w:sz w:val="24"/>
          <w:szCs w:val="24"/>
          <w:highlight w:val="none"/>
          <w:u w:val="single"/>
          <w:lang w:bidi="ar"/>
        </w:rPr>
        <w:t xml:space="preserve">             </w:t>
      </w:r>
    </w:p>
    <w:p w14:paraId="6F986887">
      <w:pPr>
        <w:pStyle w:val="21"/>
        <w:spacing w:before="0" w:after="120" w:afterAutospacing="0"/>
        <w:jc w:val="both"/>
        <w:rPr>
          <w:rFonts w:hint="eastAsia" w:ascii="宋体" w:hAnsi="宋体" w:eastAsia="宋体" w:cs="宋体"/>
          <w:color w:val="auto"/>
          <w:szCs w:val="24"/>
          <w:highlight w:val="none"/>
        </w:rPr>
      </w:pPr>
    </w:p>
    <w:p w14:paraId="44EEFDA0">
      <w:pPr>
        <w:spacing w:line="360" w:lineRule="auto"/>
        <w:jc w:val="center"/>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 xml:space="preserve"> </w:t>
      </w:r>
    </w:p>
    <w:p w14:paraId="1F84C343">
      <w:pPr>
        <w:spacing w:line="360" w:lineRule="auto"/>
        <w:jc w:val="center"/>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 xml:space="preserve"> </w:t>
      </w:r>
    </w:p>
    <w:p w14:paraId="4343968A">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br w:type="page"/>
      </w:r>
    </w:p>
    <w:p w14:paraId="12F304A0">
      <w:pPr>
        <w:spacing w:line="360" w:lineRule="auto"/>
        <w:jc w:val="center"/>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（2）授权书</w:t>
      </w:r>
    </w:p>
    <w:p w14:paraId="10053576">
      <w:pPr>
        <w:pStyle w:val="21"/>
        <w:snapToGrid w:val="0"/>
        <w:spacing w:before="0" w:beforeAutospacing="0" w:after="0" w:afterAutospacing="0" w:line="360" w:lineRule="auto"/>
        <w:ind w:firstLine="480" w:firstLineChars="200"/>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lang w:bidi="ar"/>
        </w:rPr>
        <w:t xml:space="preserve"> </w:t>
      </w:r>
    </w:p>
    <w:p w14:paraId="32E0A059">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本授权书声明：</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（投标人名称）授权</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（投标人授权代表姓名）代表我方参加本项目</w:t>
      </w:r>
      <w:r>
        <w:rPr>
          <w:rFonts w:hint="eastAsia" w:ascii="宋体" w:hAnsi="宋体" w:eastAsia="宋体" w:cs="宋体"/>
          <w:bCs/>
          <w:color w:val="auto"/>
          <w:sz w:val="24"/>
          <w:szCs w:val="24"/>
          <w:highlight w:val="none"/>
          <w:lang w:bidi="ar"/>
        </w:rPr>
        <w:t>采购活动</w:t>
      </w:r>
      <w:r>
        <w:rPr>
          <w:rFonts w:hint="eastAsia" w:ascii="宋体" w:hAnsi="宋体" w:eastAsia="宋体" w:cs="宋体"/>
          <w:color w:val="auto"/>
          <w:sz w:val="24"/>
          <w:szCs w:val="24"/>
          <w:highlight w:val="none"/>
          <w:lang w:bidi="ar"/>
        </w:rPr>
        <w:t>，全权代表我方处理投标过程的一切事宜，包括但不限于：投标、参与开标、谈判、签约等。投标人授权代表在投标过程中所签署的一切文件和处理与之有关的一切事务，我方均予以认可并对此承担责任。投标人授权代表无转委托权。特此授权。</w:t>
      </w:r>
    </w:p>
    <w:p w14:paraId="6E743DD0">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本授权书自出具之日起生效。</w:t>
      </w:r>
    </w:p>
    <w:p w14:paraId="7C743956">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授权代表身份证明扫描件：</w:t>
      </w:r>
    </w:p>
    <w:p w14:paraId="11C8A449">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 xml:space="preserve"> </w:t>
      </w:r>
    </w:p>
    <w:p w14:paraId="59534ABA">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 xml:space="preserve"> </w:t>
      </w:r>
    </w:p>
    <w:p w14:paraId="6B66A2FA">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 xml:space="preserve"> </w:t>
      </w:r>
    </w:p>
    <w:p w14:paraId="5B872FC1">
      <w:pPr>
        <w:spacing w:line="360" w:lineRule="auto"/>
        <w:ind w:firstLine="435"/>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bidi="ar"/>
        </w:rPr>
        <w:t>授权代表联系方式：</w:t>
      </w:r>
      <w:r>
        <w:rPr>
          <w:rFonts w:hint="eastAsia" w:ascii="宋体" w:hAnsi="宋体" w:eastAsia="宋体" w:cs="宋体"/>
          <w:color w:val="auto"/>
          <w:sz w:val="24"/>
          <w:szCs w:val="24"/>
          <w:highlight w:val="none"/>
          <w:u w:val="single"/>
          <w:lang w:bidi="ar"/>
        </w:rPr>
        <w:t xml:space="preserve">          （请填写手机号码）</w:t>
      </w:r>
    </w:p>
    <w:p w14:paraId="6C3FDE58">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 xml:space="preserve"> </w:t>
      </w:r>
    </w:p>
    <w:p w14:paraId="6941D100">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特此声明。</w:t>
      </w:r>
    </w:p>
    <w:p w14:paraId="1CFBD0BB">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 xml:space="preserve"> </w:t>
      </w:r>
    </w:p>
    <w:p w14:paraId="038366B6">
      <w:pPr>
        <w:spacing w:line="360" w:lineRule="auto"/>
        <w:ind w:firstLine="435"/>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 xml:space="preserve">                            投标人电子签章：</w:t>
      </w:r>
      <w:r>
        <w:rPr>
          <w:rFonts w:hint="eastAsia" w:ascii="宋体" w:hAnsi="宋体" w:eastAsia="宋体" w:cs="宋体"/>
          <w:bCs/>
          <w:color w:val="auto"/>
          <w:sz w:val="24"/>
          <w:szCs w:val="24"/>
          <w:highlight w:val="none"/>
          <w:u w:val="single"/>
          <w:lang w:bidi="ar"/>
        </w:rPr>
        <w:t xml:space="preserve">                    </w:t>
      </w:r>
    </w:p>
    <w:p w14:paraId="63080040">
      <w:pPr>
        <w:spacing w:line="360" w:lineRule="auto"/>
        <w:ind w:firstLine="435"/>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 xml:space="preserve">                            日          期：</w:t>
      </w:r>
      <w:r>
        <w:rPr>
          <w:rFonts w:hint="eastAsia" w:ascii="宋体" w:hAnsi="宋体" w:eastAsia="宋体" w:cs="宋体"/>
          <w:b/>
          <w:bCs/>
          <w:color w:val="auto"/>
          <w:sz w:val="24"/>
          <w:szCs w:val="24"/>
          <w:highlight w:val="none"/>
          <w:u w:val="single"/>
          <w:lang w:bidi="ar"/>
        </w:rPr>
        <w:t xml:space="preserve">                    </w:t>
      </w:r>
    </w:p>
    <w:p w14:paraId="44FE7091">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 xml:space="preserve"> </w:t>
      </w:r>
    </w:p>
    <w:p w14:paraId="703131EE">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 xml:space="preserve"> </w:t>
      </w:r>
    </w:p>
    <w:p w14:paraId="2A556DB3">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注：</w:t>
      </w:r>
    </w:p>
    <w:p w14:paraId="2A5E37C8">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1.本项目只允许有唯一的投标人授权代表，提供身份证明扫描件；</w:t>
      </w:r>
    </w:p>
    <w:p w14:paraId="7B8EBFA1">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2.法定代表人参加投标的无需提供授权书，提供身份证明扫描件。</w:t>
      </w:r>
    </w:p>
    <w:p w14:paraId="2E5A8ABC">
      <w:pPr>
        <w:spacing w:line="360" w:lineRule="auto"/>
        <w:jc w:val="center"/>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 xml:space="preserve"> </w:t>
      </w:r>
    </w:p>
    <w:p w14:paraId="628922E4">
      <w:pPr>
        <w:spacing w:line="360" w:lineRule="auto"/>
        <w:jc w:val="center"/>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 xml:space="preserve"> </w:t>
      </w:r>
    </w:p>
    <w:p w14:paraId="420C6171">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br w:type="page"/>
      </w:r>
    </w:p>
    <w:p w14:paraId="7002F301">
      <w:pPr>
        <w:spacing w:line="360" w:lineRule="auto"/>
        <w:jc w:val="center"/>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（3）诚信投标承诺书</w:t>
      </w:r>
    </w:p>
    <w:p w14:paraId="3C316E17">
      <w:pPr>
        <w:spacing w:line="5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本人以企业法定代表人的身份郑重承诺：</w:t>
      </w:r>
    </w:p>
    <w:p w14:paraId="4F594497">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一、将遵循公开、公正和诚实信用的原则自愿参加</w:t>
      </w:r>
      <w:r>
        <w:rPr>
          <w:rFonts w:hint="eastAsia" w:ascii="宋体" w:hAnsi="宋体" w:eastAsia="宋体" w:cs="宋体"/>
          <w:color w:val="auto"/>
          <w:szCs w:val="21"/>
          <w:highlight w:val="none"/>
          <w:u w:val="single"/>
          <w:lang w:bidi="ar"/>
        </w:rPr>
        <w:t xml:space="preserve">                   </w:t>
      </w:r>
      <w:r>
        <w:rPr>
          <w:rFonts w:hint="eastAsia" w:ascii="宋体" w:hAnsi="宋体" w:eastAsia="宋体" w:cs="宋体"/>
          <w:color w:val="auto"/>
          <w:szCs w:val="21"/>
          <w:highlight w:val="none"/>
          <w:lang w:bidi="ar"/>
        </w:rPr>
        <w:t>项目的投标，所提供的一切材料都是真实、有效、合法的；</w:t>
      </w:r>
    </w:p>
    <w:p w14:paraId="2EA945B3">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二、本单位郑重声明，根据《中华人民共和国政府采购法》及《中华人民共和国政府采购法实施条例》的规定，我公司具有良好的商业信誉和健全的财务会计制度，具有履行合同所必需的设备和专业技术能力，有依法缴纳税收和社会保障资金的良好记录；参加政府采购活动前三年内，本单位在经营活动中没有重大违法记录，没有因违法经营受到刑事处罚或者责令停产停业、吊销许可证或者执照、较大数额罚款等行政处罚。</w:t>
      </w:r>
    </w:p>
    <w:p w14:paraId="2EE3ACA2">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三、不出借、转让资质证书，不让他人挂靠投标，不以他人名义投标或者以其他方式弄虚作假，骗取中标；</w:t>
      </w:r>
    </w:p>
    <w:p w14:paraId="6F629D10">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四、不与其他投标人相互串通投标报价，不排挤其他投标人的公平竞争、损害招标人的合法权益；</w:t>
      </w:r>
    </w:p>
    <w:p w14:paraId="35306354">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五、不与招标人、招标代理机构或其他投标人串通投标，损害国家利益、社会公共利益或者他人的合法权益；</w:t>
      </w:r>
    </w:p>
    <w:p w14:paraId="1C5F5261">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六、</w:t>
      </w:r>
      <w:r>
        <w:rPr>
          <w:rFonts w:hint="eastAsia" w:ascii="宋体" w:hAnsi="宋体" w:eastAsia="宋体" w:cs="宋体"/>
          <w:color w:val="auto"/>
          <w:szCs w:val="21"/>
          <w:highlight w:val="none"/>
          <w:u w:val="single"/>
          <w:lang w:bidi="ar"/>
        </w:rPr>
        <w:t xml:space="preserve">       （企业名称）</w:t>
      </w:r>
      <w:r>
        <w:rPr>
          <w:rFonts w:hint="eastAsia" w:ascii="宋体" w:hAnsi="宋体" w:eastAsia="宋体" w:cs="宋体"/>
          <w:color w:val="auto"/>
          <w:szCs w:val="21"/>
          <w:highlight w:val="none"/>
          <w:lang w:bidi="ar"/>
        </w:rPr>
        <w:t>或</w:t>
      </w:r>
      <w:r>
        <w:rPr>
          <w:rFonts w:hint="eastAsia" w:ascii="宋体" w:hAnsi="宋体" w:eastAsia="宋体" w:cs="宋体"/>
          <w:color w:val="auto"/>
          <w:szCs w:val="21"/>
          <w:highlight w:val="none"/>
          <w:u w:val="single"/>
          <w:lang w:bidi="ar"/>
        </w:rPr>
        <w:t xml:space="preserve">       （企业名称）</w:t>
      </w:r>
      <w:r>
        <w:rPr>
          <w:rFonts w:hint="eastAsia" w:ascii="宋体" w:hAnsi="宋体" w:eastAsia="宋体" w:cs="宋体"/>
          <w:color w:val="auto"/>
          <w:szCs w:val="21"/>
          <w:highlight w:val="none"/>
          <w:lang w:bidi="ar"/>
        </w:rPr>
        <w:t>法定代表人或拟派项目经理（负责人）没有下列情形：①被列入“信用中国”网站“失信被执行人”的；②被列入“信用中国”网站“重大税收违法失信主体”的；③被列入“信用中国”网站 “严重失信主体名单”的；④在“信用中国”网站上披露的仍在公示期的严重失信行为(具体行为类别及判定依据见“信用中国”查询的严重失信行为类别及判定依据)的。⑤被列入国家企业信用信息公示系统网站“经营异常名录”或者“严重违法失信名单”的。⑥被列入中国政府采购网站“政府采购严重违法失信行为信息记录”的。⑦前三年有行贿犯罪行为的单位和个人。（若采购文件对投标人所属分公司、办事处等分支机构有上述1-7项信誉要求，在此一并承诺我公司所属分公司、办事处等分支机构没有上述1-7项情形）</w:t>
      </w:r>
    </w:p>
    <w:p w14:paraId="0FE803F2">
      <w:pPr>
        <w:spacing w:line="500" w:lineRule="exact"/>
        <w:ind w:firstLine="420" w:firstLineChars="200"/>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七、严格遵守开标现场纪律，服从监管人员管理；</w:t>
      </w:r>
    </w:p>
    <w:p w14:paraId="52EC10F0">
      <w:pPr>
        <w:spacing w:line="500" w:lineRule="exact"/>
        <w:ind w:firstLine="420" w:firstLineChars="200"/>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八、保证中标后不转包，若有分包征得招标人同意；</w:t>
      </w:r>
    </w:p>
    <w:p w14:paraId="45529F9A">
      <w:pPr>
        <w:spacing w:line="500" w:lineRule="exact"/>
        <w:ind w:firstLine="420" w:firstLineChars="200"/>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九、保证中标之后，按照投标文件要求提供相关后续服务；</w:t>
      </w:r>
    </w:p>
    <w:p w14:paraId="0DC1BDAD">
      <w:pPr>
        <w:spacing w:line="500" w:lineRule="exact"/>
        <w:ind w:firstLine="420" w:firstLineChars="200"/>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十、保证企业及所属相关人员在本次投标中无行贿等犯罪行为；</w:t>
      </w:r>
    </w:p>
    <w:p w14:paraId="5C964A72">
      <w:pPr>
        <w:spacing w:line="500" w:lineRule="exact"/>
        <w:ind w:firstLine="420" w:firstLineChars="200"/>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十一、如在投标过程和公示期间发生投诉行为，保证按照相关规定要求进行。投诉内容符合要求，投诉材料加盖企业公章或由法定代表人授权委托人签字，并附有关身份证明复印件。不恶意投诉，对本公司提供的投诉线索的真实性负责，否则愿接受有关部门的处罚。</w:t>
      </w:r>
    </w:p>
    <w:p w14:paraId="0CB2E4E3">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以上内容我已仔细阅读，本公司若有违反承诺内容的行为，自愿接受取消投标或者中标（成交）资格、中标（成交）无效、记入不良行为记录等有关处理，愿意承担法律责任，给招标人造成损失的，依法承担赔偿责任。</w:t>
      </w:r>
    </w:p>
    <w:p w14:paraId="46039A67">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 xml:space="preserve"> </w:t>
      </w:r>
    </w:p>
    <w:p w14:paraId="13473544">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开户银行：                      基本账户：</w:t>
      </w:r>
    </w:p>
    <w:p w14:paraId="2DD32EFF">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投标单位（签章）：               法定代表人（签章）：</w:t>
      </w:r>
    </w:p>
    <w:p w14:paraId="19BEB672">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 xml:space="preserve"> </w:t>
      </w:r>
    </w:p>
    <w:p w14:paraId="4469E3AB">
      <w:pPr>
        <w:spacing w:line="560" w:lineRule="exact"/>
        <w:jc w:val="right"/>
        <w:rPr>
          <w:rFonts w:hint="eastAsia" w:ascii="宋体" w:hAnsi="宋体" w:eastAsia="宋体" w:cs="宋体"/>
          <w:color w:val="auto"/>
          <w:sz w:val="32"/>
          <w:szCs w:val="32"/>
          <w:highlight w:val="none"/>
        </w:rPr>
      </w:pPr>
      <w:r>
        <w:rPr>
          <w:rFonts w:hint="eastAsia" w:ascii="宋体" w:hAnsi="宋体" w:eastAsia="宋体" w:cs="宋体"/>
          <w:color w:val="auto"/>
          <w:szCs w:val="21"/>
          <w:highlight w:val="none"/>
          <w:lang w:bidi="ar"/>
        </w:rPr>
        <w:t>日期：</w:t>
      </w:r>
      <w:r>
        <w:rPr>
          <w:rFonts w:hint="eastAsia" w:ascii="宋体" w:hAnsi="宋体" w:eastAsia="宋体" w:cs="宋体"/>
          <w:color w:val="auto"/>
          <w:szCs w:val="21"/>
          <w:highlight w:val="none"/>
          <w:u w:val="single"/>
          <w:lang w:bidi="ar"/>
        </w:rPr>
        <w:t xml:space="preserve">         </w:t>
      </w:r>
      <w:r>
        <w:rPr>
          <w:rFonts w:hint="eastAsia" w:ascii="宋体" w:hAnsi="宋体" w:eastAsia="宋体" w:cs="宋体"/>
          <w:color w:val="auto"/>
          <w:szCs w:val="21"/>
          <w:highlight w:val="none"/>
          <w:lang w:bidi="ar"/>
        </w:rPr>
        <w:t xml:space="preserve">年 </w:t>
      </w:r>
      <w:r>
        <w:rPr>
          <w:rFonts w:hint="eastAsia" w:ascii="宋体" w:hAnsi="宋体" w:eastAsia="宋体" w:cs="宋体"/>
          <w:color w:val="auto"/>
          <w:szCs w:val="21"/>
          <w:highlight w:val="none"/>
          <w:u w:val="single"/>
          <w:lang w:bidi="ar"/>
        </w:rPr>
        <w:t xml:space="preserve">         </w:t>
      </w:r>
      <w:r>
        <w:rPr>
          <w:rFonts w:hint="eastAsia" w:ascii="宋体" w:hAnsi="宋体" w:eastAsia="宋体" w:cs="宋体"/>
          <w:color w:val="auto"/>
          <w:szCs w:val="21"/>
          <w:highlight w:val="none"/>
          <w:lang w:bidi="ar"/>
        </w:rPr>
        <w:t xml:space="preserve">月 </w:t>
      </w:r>
      <w:r>
        <w:rPr>
          <w:rFonts w:hint="eastAsia" w:ascii="宋体" w:hAnsi="宋体" w:eastAsia="宋体" w:cs="宋体"/>
          <w:color w:val="auto"/>
          <w:szCs w:val="21"/>
          <w:highlight w:val="none"/>
          <w:u w:val="single"/>
          <w:lang w:bidi="ar"/>
        </w:rPr>
        <w:t xml:space="preserve">         </w:t>
      </w:r>
      <w:r>
        <w:rPr>
          <w:rFonts w:hint="eastAsia" w:ascii="宋体" w:hAnsi="宋体" w:eastAsia="宋体" w:cs="宋体"/>
          <w:color w:val="auto"/>
          <w:szCs w:val="21"/>
          <w:highlight w:val="none"/>
          <w:lang w:bidi="ar"/>
        </w:rPr>
        <w:t>日</w:t>
      </w:r>
    </w:p>
    <w:p w14:paraId="2D4FF010">
      <w:pPr>
        <w:spacing w:line="360" w:lineRule="auto"/>
        <w:jc w:val="center"/>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 xml:space="preserve"> </w:t>
      </w:r>
    </w:p>
    <w:p w14:paraId="6EB96097">
      <w:pPr>
        <w:spacing w:line="360" w:lineRule="auto"/>
        <w:jc w:val="center"/>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 xml:space="preserve"> </w:t>
      </w:r>
    </w:p>
    <w:p w14:paraId="58BB6555">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br w:type="page"/>
      </w:r>
    </w:p>
    <w:p w14:paraId="282B5E0C">
      <w:pPr>
        <w:spacing w:line="360" w:lineRule="auto"/>
        <w:jc w:val="center"/>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（4）中小企业声明函</w:t>
      </w:r>
    </w:p>
    <w:p w14:paraId="22C3C8FB">
      <w:p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本公司（联合体）郑重声明，根据《政府采购促进中小企业发展管理办法》（财库﹝2020﹞46号）的规定，本公司（联合体）参加（</w:t>
      </w:r>
      <w:r>
        <w:rPr>
          <w:rFonts w:hint="eastAsia" w:ascii="宋体" w:hAnsi="宋体" w:eastAsia="宋体" w:cs="宋体"/>
          <w:color w:val="auto"/>
          <w:sz w:val="24"/>
          <w:szCs w:val="24"/>
          <w:highlight w:val="none"/>
          <w:u w:val="single"/>
          <w:lang w:bidi="ar"/>
        </w:rPr>
        <w:t>单位名称</w:t>
      </w:r>
      <w:r>
        <w:rPr>
          <w:rFonts w:hint="eastAsia" w:ascii="宋体" w:hAnsi="宋体" w:eastAsia="宋体" w:cs="宋体"/>
          <w:color w:val="auto"/>
          <w:sz w:val="24"/>
          <w:szCs w:val="24"/>
          <w:highlight w:val="none"/>
          <w:lang w:bidi="ar"/>
        </w:rPr>
        <w:t>）的（</w:t>
      </w:r>
      <w:r>
        <w:rPr>
          <w:rFonts w:hint="eastAsia" w:ascii="宋体" w:hAnsi="宋体" w:eastAsia="宋体" w:cs="宋体"/>
          <w:color w:val="auto"/>
          <w:sz w:val="24"/>
          <w:szCs w:val="24"/>
          <w:highlight w:val="none"/>
          <w:u w:val="single"/>
          <w:lang w:bidi="ar"/>
        </w:rPr>
        <w:t>项目名称</w:t>
      </w:r>
      <w:r>
        <w:rPr>
          <w:rFonts w:hint="eastAsia" w:ascii="宋体" w:hAnsi="宋体" w:eastAsia="宋体" w:cs="宋体"/>
          <w:color w:val="auto"/>
          <w:sz w:val="24"/>
          <w:szCs w:val="24"/>
          <w:highlight w:val="none"/>
          <w:lang w:bidi="ar"/>
        </w:rPr>
        <w:t xml:space="preserve">）采购活动，提供的货物全部由符合政策要求的中小企业制造。相关企业（含联合体中的中小企业、签订分包意向协议的中小企业）的具体情况如下： </w:t>
      </w:r>
    </w:p>
    <w:p w14:paraId="4C01F7C3">
      <w:pPr>
        <w:ind w:firstLine="43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w:t>
      </w:r>
      <w:r>
        <w:rPr>
          <w:rFonts w:hint="eastAsia" w:ascii="宋体" w:hAnsi="宋体" w:eastAsia="宋体" w:cs="宋体"/>
          <w:color w:val="auto"/>
          <w:sz w:val="24"/>
          <w:szCs w:val="24"/>
          <w:highlight w:val="none"/>
          <w:u w:val="single"/>
          <w:lang w:bidi="ar"/>
        </w:rPr>
        <w:t xml:space="preserve"> （标的名称） </w:t>
      </w:r>
      <w:r>
        <w:rPr>
          <w:rFonts w:hint="eastAsia" w:ascii="宋体" w:hAnsi="宋体" w:eastAsia="宋体" w:cs="宋体"/>
          <w:color w:val="auto"/>
          <w:sz w:val="24"/>
          <w:szCs w:val="24"/>
          <w:highlight w:val="none"/>
          <w:lang w:bidi="ar"/>
        </w:rPr>
        <w:t>，属于</w:t>
      </w:r>
      <w:r>
        <w:rPr>
          <w:rFonts w:hint="eastAsia" w:ascii="宋体" w:hAnsi="宋体" w:eastAsia="宋体" w:cs="宋体"/>
          <w:color w:val="auto"/>
          <w:sz w:val="24"/>
          <w:szCs w:val="24"/>
          <w:highlight w:val="none"/>
          <w:u w:val="single"/>
          <w:lang w:bidi="ar"/>
        </w:rPr>
        <w:t>（采购文件中明确的所属行业）</w:t>
      </w:r>
      <w:r>
        <w:rPr>
          <w:rFonts w:hint="eastAsia" w:ascii="宋体" w:hAnsi="宋体" w:eastAsia="宋体" w:cs="宋体"/>
          <w:color w:val="auto"/>
          <w:sz w:val="24"/>
          <w:szCs w:val="24"/>
          <w:highlight w:val="none"/>
          <w:lang w:bidi="ar"/>
        </w:rPr>
        <w:t>行业；制造商为</w:t>
      </w:r>
      <w:r>
        <w:rPr>
          <w:rFonts w:hint="eastAsia" w:ascii="宋体" w:hAnsi="宋体" w:eastAsia="宋体" w:cs="宋体"/>
          <w:color w:val="auto"/>
          <w:sz w:val="24"/>
          <w:szCs w:val="24"/>
          <w:highlight w:val="none"/>
          <w:u w:val="single"/>
          <w:lang w:bidi="ar"/>
        </w:rPr>
        <w:t>（企业名称）</w:t>
      </w:r>
      <w:r>
        <w:rPr>
          <w:rFonts w:hint="eastAsia" w:ascii="宋体" w:hAnsi="宋体" w:eastAsia="宋体" w:cs="宋体"/>
          <w:color w:val="auto"/>
          <w:sz w:val="24"/>
          <w:szCs w:val="24"/>
          <w:highlight w:val="none"/>
          <w:lang w:bidi="ar"/>
        </w:rPr>
        <w:t>，从业人员</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人，营业收入为</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万元，资产总额为</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万元，属于</w:t>
      </w:r>
      <w:r>
        <w:rPr>
          <w:rFonts w:hint="eastAsia" w:ascii="宋体" w:hAnsi="宋体" w:eastAsia="宋体" w:cs="宋体"/>
          <w:color w:val="auto"/>
          <w:sz w:val="24"/>
          <w:szCs w:val="24"/>
          <w:highlight w:val="none"/>
          <w:u w:val="single"/>
          <w:lang w:bidi="ar"/>
        </w:rPr>
        <w:t>（中型企业、小型企业、微型企业）</w:t>
      </w:r>
      <w:r>
        <w:rPr>
          <w:rFonts w:hint="eastAsia" w:ascii="宋体" w:hAnsi="宋体" w:eastAsia="宋体" w:cs="宋体"/>
          <w:color w:val="auto"/>
          <w:sz w:val="24"/>
          <w:szCs w:val="24"/>
          <w:highlight w:val="none"/>
          <w:lang w:bidi="ar"/>
        </w:rPr>
        <w:t xml:space="preserve">； </w:t>
      </w:r>
    </w:p>
    <w:p w14:paraId="028ABE9F">
      <w:pPr>
        <w:ind w:firstLine="43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w:t>
      </w:r>
      <w:r>
        <w:rPr>
          <w:rFonts w:hint="eastAsia" w:ascii="宋体" w:hAnsi="宋体" w:eastAsia="宋体" w:cs="宋体"/>
          <w:color w:val="auto"/>
          <w:sz w:val="24"/>
          <w:szCs w:val="24"/>
          <w:highlight w:val="none"/>
          <w:u w:val="single"/>
          <w:lang w:bidi="ar"/>
        </w:rPr>
        <w:t xml:space="preserve"> （标的名称） </w:t>
      </w:r>
      <w:r>
        <w:rPr>
          <w:rFonts w:hint="eastAsia" w:ascii="宋体" w:hAnsi="宋体" w:eastAsia="宋体" w:cs="宋体"/>
          <w:color w:val="auto"/>
          <w:sz w:val="24"/>
          <w:szCs w:val="24"/>
          <w:highlight w:val="none"/>
          <w:lang w:bidi="ar"/>
        </w:rPr>
        <w:t>，属于</w:t>
      </w:r>
      <w:r>
        <w:rPr>
          <w:rFonts w:hint="eastAsia" w:ascii="宋体" w:hAnsi="宋体" w:eastAsia="宋体" w:cs="宋体"/>
          <w:color w:val="auto"/>
          <w:sz w:val="24"/>
          <w:szCs w:val="24"/>
          <w:highlight w:val="none"/>
          <w:u w:val="single"/>
          <w:lang w:bidi="ar"/>
        </w:rPr>
        <w:t>（采购文件中明确的所属行业）</w:t>
      </w:r>
      <w:r>
        <w:rPr>
          <w:rFonts w:hint="eastAsia" w:ascii="宋体" w:hAnsi="宋体" w:eastAsia="宋体" w:cs="宋体"/>
          <w:color w:val="auto"/>
          <w:sz w:val="24"/>
          <w:szCs w:val="24"/>
          <w:highlight w:val="none"/>
          <w:lang w:bidi="ar"/>
        </w:rPr>
        <w:t>行业；制造商为</w:t>
      </w:r>
      <w:r>
        <w:rPr>
          <w:rFonts w:hint="eastAsia" w:ascii="宋体" w:hAnsi="宋体" w:eastAsia="宋体" w:cs="宋体"/>
          <w:color w:val="auto"/>
          <w:sz w:val="24"/>
          <w:szCs w:val="24"/>
          <w:highlight w:val="none"/>
          <w:u w:val="single"/>
          <w:lang w:bidi="ar"/>
        </w:rPr>
        <w:t>（企业名称）</w:t>
      </w:r>
      <w:r>
        <w:rPr>
          <w:rFonts w:hint="eastAsia" w:ascii="宋体" w:hAnsi="宋体" w:eastAsia="宋体" w:cs="宋体"/>
          <w:color w:val="auto"/>
          <w:sz w:val="24"/>
          <w:szCs w:val="24"/>
          <w:highlight w:val="none"/>
          <w:lang w:bidi="ar"/>
        </w:rPr>
        <w:t>，从业人员</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人，营业收入为</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万元，资产总额为</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万元，属于</w:t>
      </w:r>
      <w:r>
        <w:rPr>
          <w:rFonts w:hint="eastAsia" w:ascii="宋体" w:hAnsi="宋体" w:eastAsia="宋体" w:cs="宋体"/>
          <w:color w:val="auto"/>
          <w:sz w:val="24"/>
          <w:szCs w:val="24"/>
          <w:highlight w:val="none"/>
          <w:u w:val="single"/>
          <w:lang w:bidi="ar"/>
        </w:rPr>
        <w:t>（中型企业、小型企业、微型企业）</w:t>
      </w:r>
      <w:r>
        <w:rPr>
          <w:rFonts w:hint="eastAsia" w:ascii="宋体" w:hAnsi="宋体" w:eastAsia="宋体" w:cs="宋体"/>
          <w:color w:val="auto"/>
          <w:sz w:val="24"/>
          <w:szCs w:val="24"/>
          <w:highlight w:val="none"/>
          <w:lang w:bidi="ar"/>
        </w:rPr>
        <w:t xml:space="preserve">； </w:t>
      </w:r>
    </w:p>
    <w:p w14:paraId="1FBF97E1">
      <w:pPr>
        <w:ind w:firstLine="43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w:t>
      </w:r>
    </w:p>
    <w:p w14:paraId="14325C79">
      <w:pPr>
        <w:ind w:firstLine="43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以上企业，不属于大企业的分支机构，不存在控股股东为大企业的情形，也不存在与大企业的负责人为同一人的情形。</w:t>
      </w:r>
    </w:p>
    <w:p w14:paraId="6B124E3E">
      <w:pPr>
        <w:ind w:firstLine="43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 xml:space="preserve">本企业对上述声明内容的真实性负责。如有虚假，将依法承担相应责任。 </w:t>
      </w:r>
    </w:p>
    <w:p w14:paraId="38509AE2">
      <w:pPr>
        <w:spacing w:line="360" w:lineRule="auto"/>
        <w:ind w:firstLine="435"/>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bidi="ar"/>
        </w:rPr>
        <w:t xml:space="preserve">                                投标人电子签章：</w:t>
      </w:r>
      <w:r>
        <w:rPr>
          <w:rFonts w:hint="eastAsia" w:ascii="宋体" w:hAnsi="宋体" w:eastAsia="宋体" w:cs="宋体"/>
          <w:color w:val="auto"/>
          <w:sz w:val="24"/>
          <w:szCs w:val="24"/>
          <w:highlight w:val="none"/>
          <w:u w:val="single"/>
          <w:lang w:bidi="ar"/>
        </w:rPr>
        <w:t xml:space="preserve">             </w:t>
      </w:r>
    </w:p>
    <w:p w14:paraId="07529B69">
      <w:pPr>
        <w:spacing w:line="360" w:lineRule="auto"/>
        <w:ind w:firstLine="4252" w:firstLineChars="1772"/>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bidi="ar"/>
        </w:rPr>
        <w:t>日          期：</w:t>
      </w:r>
      <w:r>
        <w:rPr>
          <w:rFonts w:hint="eastAsia" w:ascii="宋体" w:hAnsi="宋体" w:eastAsia="宋体" w:cs="宋体"/>
          <w:color w:val="auto"/>
          <w:sz w:val="24"/>
          <w:szCs w:val="24"/>
          <w:highlight w:val="none"/>
          <w:u w:val="single"/>
          <w:lang w:bidi="ar"/>
        </w:rPr>
        <w:t xml:space="preserve">             </w:t>
      </w:r>
    </w:p>
    <w:p w14:paraId="0720AD51">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 xml:space="preserve"> </w:t>
      </w:r>
    </w:p>
    <w:p w14:paraId="0BA5A950">
      <w:pPr>
        <w:spacing w:line="360" w:lineRule="auto"/>
        <w:jc w:val="left"/>
        <w:rPr>
          <w:rFonts w:hint="eastAsia" w:ascii="宋体" w:hAnsi="宋体" w:eastAsia="宋体" w:cs="宋体"/>
          <w:b/>
          <w:color w:val="auto"/>
          <w:szCs w:val="21"/>
          <w:highlight w:val="none"/>
        </w:rPr>
      </w:pPr>
      <w:r>
        <w:rPr>
          <w:rFonts w:hint="eastAsia" w:ascii="宋体" w:hAnsi="宋体" w:eastAsia="宋体" w:cs="宋体"/>
          <w:color w:val="auto"/>
          <w:sz w:val="24"/>
          <w:szCs w:val="24"/>
          <w:highlight w:val="none"/>
          <w:lang w:bidi="ar"/>
        </w:rPr>
        <w:t xml:space="preserve"> </w:t>
      </w:r>
      <w:r>
        <w:rPr>
          <w:rFonts w:hint="eastAsia" w:ascii="宋体" w:hAnsi="宋体" w:eastAsia="宋体" w:cs="宋体"/>
          <w:b/>
          <w:color w:val="auto"/>
          <w:szCs w:val="21"/>
          <w:highlight w:val="none"/>
          <w:lang w:bidi="ar"/>
        </w:rPr>
        <w:t>注：</w:t>
      </w:r>
    </w:p>
    <w:p w14:paraId="6D5D0DF8">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1.从业人员、营业收入、资产总额填报上一年数据，无上一年数据的新成立企业可不填报。</w:t>
      </w:r>
    </w:p>
    <w:p w14:paraId="25EDCDDE">
      <w:pPr>
        <w:wordWrap w:val="0"/>
        <w:autoSpaceDE w:val="0"/>
        <w:spacing w:line="360" w:lineRule="auto"/>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
        </w:rPr>
        <w:t>2.投标人应根据《政府采购促进中小企业发展管理办法》（财库﹝2020﹞46号）和《关于印发中小企业划型标准规定的通知》(工信部联企业〔2011〕300号)相关规定，如实填写中小企业声明函。如有虚假，将依法承担相应责任。投标人自行登录工业和信息化部官网进行中小企业规模类型自测（查询网址https://www.miit.gov.cn/）。</w:t>
      </w:r>
    </w:p>
    <w:p w14:paraId="2EFF9158">
      <w:pPr>
        <w:wordWrap w:val="0"/>
        <w:autoSpaceDE w:val="0"/>
        <w:spacing w:line="360" w:lineRule="auto"/>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
        </w:rPr>
        <w:t>3.上述“</w:t>
      </w:r>
      <w:r>
        <w:rPr>
          <w:rFonts w:hint="eastAsia" w:ascii="宋体" w:hAnsi="宋体" w:eastAsia="宋体" w:cs="宋体"/>
          <w:b/>
          <w:bCs/>
          <w:color w:val="auto"/>
          <w:szCs w:val="21"/>
          <w:highlight w:val="none"/>
          <w:u w:val="single"/>
          <w:lang w:bidi="ar"/>
        </w:rPr>
        <w:t>标的名称</w:t>
      </w:r>
      <w:r>
        <w:rPr>
          <w:rFonts w:hint="eastAsia" w:ascii="宋体" w:hAnsi="宋体" w:eastAsia="宋体" w:cs="宋体"/>
          <w:b/>
          <w:bCs/>
          <w:color w:val="auto"/>
          <w:szCs w:val="21"/>
          <w:highlight w:val="none"/>
          <w:lang w:bidi="ar"/>
        </w:rPr>
        <w:t>”，详见第三章采购需求中明确的“货物名称”。</w:t>
      </w:r>
    </w:p>
    <w:p w14:paraId="1D77B2B0">
      <w:pPr>
        <w:wordWrap w:val="0"/>
        <w:autoSpaceDE w:val="0"/>
        <w:spacing w:line="360" w:lineRule="auto"/>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
        </w:rPr>
        <w:t>4.上述“</w:t>
      </w:r>
      <w:r>
        <w:rPr>
          <w:rFonts w:hint="eastAsia" w:ascii="宋体" w:hAnsi="宋体" w:eastAsia="宋体" w:cs="宋体"/>
          <w:b/>
          <w:bCs/>
          <w:color w:val="auto"/>
          <w:szCs w:val="21"/>
          <w:highlight w:val="none"/>
          <w:u w:val="single"/>
          <w:lang w:bidi="ar"/>
        </w:rPr>
        <w:t>采购文件中明确的所属行业</w:t>
      </w:r>
      <w:r>
        <w:rPr>
          <w:rFonts w:hint="eastAsia" w:ascii="宋体" w:hAnsi="宋体" w:eastAsia="宋体" w:cs="宋体"/>
          <w:b/>
          <w:bCs/>
          <w:color w:val="auto"/>
          <w:szCs w:val="21"/>
          <w:highlight w:val="none"/>
          <w:lang w:bidi="ar"/>
        </w:rPr>
        <w:t>”，详见第三章采购需求中明确的“所属行业”。</w:t>
      </w:r>
    </w:p>
    <w:p w14:paraId="140EDBFD">
      <w:pPr>
        <w:wordWrap w:val="0"/>
        <w:autoSpaceDE w:val="0"/>
        <w:spacing w:line="360" w:lineRule="auto"/>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
        </w:rPr>
        <w:t>5．填写示例：</w:t>
      </w:r>
      <w:r>
        <w:rPr>
          <w:rFonts w:hint="eastAsia" w:ascii="宋体" w:hAnsi="宋体" w:eastAsia="宋体" w:cs="宋体"/>
          <w:b/>
          <w:bCs/>
          <w:color w:val="auto"/>
          <w:szCs w:val="21"/>
          <w:highlight w:val="none"/>
          <w:u w:val="single"/>
          <w:lang w:bidi="ar"/>
        </w:rPr>
        <w:t>某设备</w:t>
      </w:r>
      <w:r>
        <w:rPr>
          <w:rFonts w:hint="eastAsia" w:ascii="宋体" w:hAnsi="宋体" w:eastAsia="宋体" w:cs="宋体"/>
          <w:b/>
          <w:bCs/>
          <w:color w:val="auto"/>
          <w:szCs w:val="21"/>
          <w:highlight w:val="none"/>
          <w:lang w:bidi="ar"/>
        </w:rPr>
        <w:t>，属于</w:t>
      </w:r>
      <w:r>
        <w:rPr>
          <w:rFonts w:hint="eastAsia" w:ascii="宋体" w:hAnsi="宋体" w:eastAsia="宋体" w:cs="宋体"/>
          <w:b/>
          <w:bCs/>
          <w:color w:val="auto"/>
          <w:szCs w:val="21"/>
          <w:highlight w:val="none"/>
          <w:u w:val="single"/>
          <w:lang w:bidi="ar"/>
        </w:rPr>
        <w:t>（填写第三章采购需求中对应货物的“所属行业”，如工业）</w:t>
      </w:r>
      <w:r>
        <w:rPr>
          <w:rFonts w:hint="eastAsia" w:ascii="宋体" w:hAnsi="宋体" w:eastAsia="宋体" w:cs="宋体"/>
          <w:b/>
          <w:bCs/>
          <w:color w:val="auto"/>
          <w:szCs w:val="21"/>
          <w:highlight w:val="none"/>
          <w:lang w:bidi="ar"/>
        </w:rPr>
        <w:t>行业；承接企业为</w:t>
      </w:r>
      <w:r>
        <w:rPr>
          <w:rFonts w:hint="eastAsia" w:ascii="宋体" w:hAnsi="宋体" w:eastAsia="宋体" w:cs="宋体"/>
          <w:b/>
          <w:bCs/>
          <w:color w:val="auto"/>
          <w:szCs w:val="21"/>
          <w:highlight w:val="none"/>
          <w:u w:val="single"/>
          <w:lang w:bidi="ar"/>
        </w:rPr>
        <w:t>某企业</w:t>
      </w:r>
      <w:r>
        <w:rPr>
          <w:rFonts w:hint="eastAsia" w:ascii="宋体" w:hAnsi="宋体" w:eastAsia="宋体" w:cs="宋体"/>
          <w:b/>
          <w:bCs/>
          <w:color w:val="auto"/>
          <w:szCs w:val="21"/>
          <w:highlight w:val="none"/>
          <w:lang w:bidi="ar"/>
        </w:rPr>
        <w:t>，从业人员</w:t>
      </w:r>
      <w:r>
        <w:rPr>
          <w:rFonts w:hint="eastAsia" w:ascii="宋体" w:hAnsi="宋体" w:eastAsia="宋体" w:cs="宋体"/>
          <w:b/>
          <w:bCs/>
          <w:color w:val="auto"/>
          <w:szCs w:val="21"/>
          <w:highlight w:val="none"/>
          <w:u w:val="single"/>
          <w:lang w:bidi="ar"/>
        </w:rPr>
        <w:t>100</w:t>
      </w:r>
      <w:r>
        <w:rPr>
          <w:rFonts w:hint="eastAsia" w:ascii="宋体" w:hAnsi="宋体" w:eastAsia="宋体" w:cs="宋体"/>
          <w:b/>
          <w:bCs/>
          <w:color w:val="auto"/>
          <w:szCs w:val="21"/>
          <w:highlight w:val="none"/>
          <w:lang w:bidi="ar"/>
        </w:rPr>
        <w:t>人，营业收入为</w:t>
      </w:r>
      <w:r>
        <w:rPr>
          <w:rFonts w:hint="eastAsia" w:ascii="宋体" w:hAnsi="宋体" w:eastAsia="宋体" w:cs="宋体"/>
          <w:b/>
          <w:bCs/>
          <w:color w:val="auto"/>
          <w:szCs w:val="21"/>
          <w:highlight w:val="none"/>
          <w:u w:val="single"/>
          <w:lang w:bidi="ar"/>
        </w:rPr>
        <w:t>10000</w:t>
      </w:r>
      <w:r>
        <w:rPr>
          <w:rFonts w:hint="eastAsia" w:ascii="宋体" w:hAnsi="宋体" w:eastAsia="宋体" w:cs="宋体"/>
          <w:b/>
          <w:bCs/>
          <w:color w:val="auto"/>
          <w:szCs w:val="21"/>
          <w:highlight w:val="none"/>
          <w:lang w:bidi="ar"/>
        </w:rPr>
        <w:t>万元，资产总额为</w:t>
      </w:r>
      <w:r>
        <w:rPr>
          <w:rFonts w:hint="eastAsia" w:ascii="宋体" w:hAnsi="宋体" w:eastAsia="宋体" w:cs="宋体"/>
          <w:b/>
          <w:bCs/>
          <w:color w:val="auto"/>
          <w:szCs w:val="21"/>
          <w:highlight w:val="none"/>
          <w:u w:val="single"/>
          <w:lang w:bidi="ar"/>
        </w:rPr>
        <w:t>5000</w:t>
      </w:r>
      <w:r>
        <w:rPr>
          <w:rFonts w:hint="eastAsia" w:ascii="宋体" w:hAnsi="宋体" w:eastAsia="宋体" w:cs="宋体"/>
          <w:b/>
          <w:bCs/>
          <w:color w:val="auto"/>
          <w:szCs w:val="21"/>
          <w:highlight w:val="none"/>
          <w:lang w:bidi="ar"/>
        </w:rPr>
        <w:t>万元，属于</w:t>
      </w:r>
      <w:r>
        <w:rPr>
          <w:rFonts w:hint="eastAsia" w:ascii="宋体" w:hAnsi="宋体" w:eastAsia="宋体" w:cs="宋体"/>
          <w:b/>
          <w:bCs/>
          <w:color w:val="auto"/>
          <w:szCs w:val="21"/>
          <w:highlight w:val="none"/>
          <w:u w:val="single"/>
          <w:lang w:bidi="ar"/>
        </w:rPr>
        <w:t>小型</w:t>
      </w:r>
      <w:r>
        <w:rPr>
          <w:rFonts w:hint="eastAsia" w:ascii="宋体" w:hAnsi="宋体" w:eastAsia="宋体" w:cs="宋体"/>
          <w:b/>
          <w:bCs/>
          <w:color w:val="auto"/>
          <w:szCs w:val="21"/>
          <w:highlight w:val="none"/>
          <w:lang w:bidi="ar"/>
        </w:rPr>
        <w:t>企业[投标人自行登录工业和信息化部官网进行中小企业规模类型自测（查询网址https://www.miit.gov.cn/）]。</w:t>
      </w:r>
    </w:p>
    <w:p w14:paraId="191A286B">
      <w:pPr>
        <w:spacing w:line="360" w:lineRule="auto"/>
        <w:jc w:val="center"/>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 xml:space="preserve"> </w:t>
      </w:r>
    </w:p>
    <w:p w14:paraId="1B8D4A7E">
      <w:pPr>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br w:type="page"/>
      </w:r>
      <w:r>
        <w:rPr>
          <w:rFonts w:hint="eastAsia" w:ascii="宋体" w:hAnsi="宋体" w:eastAsia="宋体" w:cs="宋体"/>
          <w:b/>
          <w:color w:val="auto"/>
          <w:sz w:val="24"/>
          <w:szCs w:val="24"/>
          <w:highlight w:val="none"/>
          <w:lang w:bidi="ar"/>
        </w:rPr>
        <w:t>（5）残疾人福利性单位声明函</w:t>
      </w:r>
    </w:p>
    <w:p w14:paraId="166F9167">
      <w:pPr>
        <w:pStyle w:val="21"/>
        <w:autoSpaceDE w:val="0"/>
        <w:spacing w:before="0" w:after="120" w:afterAutospacing="0" w:line="360" w:lineRule="auto"/>
        <w:jc w:val="center"/>
        <w:rPr>
          <w:rFonts w:hint="eastAsia" w:ascii="宋体" w:hAnsi="宋体" w:eastAsia="宋体" w:cs="宋体"/>
          <w:i/>
          <w:color w:val="auto"/>
          <w:kern w:val="2"/>
          <w:szCs w:val="24"/>
          <w:highlight w:val="none"/>
        </w:rPr>
      </w:pPr>
      <w:r>
        <w:rPr>
          <w:rFonts w:hint="eastAsia" w:ascii="宋体" w:hAnsi="宋体" w:eastAsia="宋体" w:cs="宋体"/>
          <w:i/>
          <w:color w:val="auto"/>
          <w:kern w:val="2"/>
          <w:szCs w:val="24"/>
          <w:highlight w:val="none"/>
          <w:lang w:bidi="ar"/>
        </w:rPr>
        <w:t>（非残疾人福利性单位投标，请删去“残疾人福利性单位声明函”）</w:t>
      </w:r>
    </w:p>
    <w:p w14:paraId="5129D6C9">
      <w:pPr>
        <w:spacing w:line="360" w:lineRule="auto"/>
        <w:ind w:firstLine="435"/>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lang w:bidi="ar"/>
        </w:rPr>
        <w:t>本单位</w:t>
      </w:r>
      <w:r>
        <w:rPr>
          <w:rFonts w:hint="eastAsia" w:ascii="宋体" w:hAnsi="宋体" w:eastAsia="宋体" w:cs="宋体"/>
          <w:color w:val="auto"/>
          <w:sz w:val="24"/>
          <w:szCs w:val="24"/>
          <w:highlight w:val="none"/>
          <w:lang w:bidi="ar"/>
        </w:rPr>
        <w:t>郑重</w:t>
      </w:r>
      <w:r>
        <w:rPr>
          <w:rFonts w:hint="eastAsia" w:ascii="宋体" w:hAnsi="宋体" w:eastAsia="宋体" w:cs="宋体"/>
          <w:color w:val="auto"/>
          <w:spacing w:val="6"/>
          <w:sz w:val="24"/>
          <w:szCs w:val="24"/>
          <w:highlight w:val="none"/>
          <w:lang w:bidi="ar"/>
        </w:rPr>
        <w:t>声明，根据《财政部 民政部 中国残疾人联合会关于促进残疾人就业政府采购政策的通知》（财库</w:t>
      </w:r>
      <w:r>
        <w:rPr>
          <w:rFonts w:hint="eastAsia" w:ascii="宋体" w:hAnsi="宋体" w:eastAsia="宋体" w:cs="宋体"/>
          <w:color w:val="auto"/>
          <w:sz w:val="24"/>
          <w:szCs w:val="24"/>
          <w:highlight w:val="none"/>
          <w:lang w:bidi="ar"/>
        </w:rPr>
        <w:t>〔2017〕141</w:t>
      </w:r>
      <w:r>
        <w:rPr>
          <w:rFonts w:hint="eastAsia" w:ascii="宋体" w:hAnsi="宋体" w:eastAsia="宋体" w:cs="宋体"/>
          <w:color w:val="auto"/>
          <w:spacing w:val="6"/>
          <w:sz w:val="24"/>
          <w:szCs w:val="24"/>
          <w:highlight w:val="none"/>
          <w:lang w:bidi="ar"/>
        </w:rPr>
        <w:t>号）的规定，本单位为</w:t>
      </w:r>
      <w:r>
        <w:rPr>
          <w:rFonts w:hint="eastAsia" w:ascii="宋体" w:hAnsi="宋体" w:eastAsia="宋体" w:cs="宋体"/>
          <w:bCs/>
          <w:color w:val="auto"/>
          <w:sz w:val="24"/>
          <w:szCs w:val="24"/>
          <w:highlight w:val="none"/>
          <w:lang w:bidi="ar"/>
        </w:rPr>
        <w:t>符合</w:t>
      </w:r>
      <w:r>
        <w:rPr>
          <w:rFonts w:hint="eastAsia" w:ascii="宋体" w:hAnsi="宋体" w:eastAsia="宋体" w:cs="宋体"/>
          <w:color w:val="auto"/>
          <w:spacing w:val="6"/>
          <w:sz w:val="24"/>
          <w:szCs w:val="24"/>
          <w:highlight w:val="none"/>
          <w:lang w:bidi="ar"/>
        </w:rPr>
        <w:t>条件的残疾人福利性单位，且本单位参加</w:t>
      </w:r>
      <w:r>
        <w:rPr>
          <w:rFonts w:hint="eastAsia" w:ascii="宋体" w:hAnsi="宋体" w:eastAsia="宋体" w:cs="宋体"/>
          <w:color w:val="auto"/>
          <w:spacing w:val="6"/>
          <w:sz w:val="24"/>
          <w:szCs w:val="24"/>
          <w:highlight w:val="none"/>
          <w:u w:val="single"/>
          <w:lang w:bidi="ar"/>
        </w:rPr>
        <w:t xml:space="preserve">      </w:t>
      </w:r>
      <w:r>
        <w:rPr>
          <w:rFonts w:hint="eastAsia" w:ascii="宋体" w:hAnsi="宋体" w:eastAsia="宋体" w:cs="宋体"/>
          <w:color w:val="auto"/>
          <w:spacing w:val="6"/>
          <w:sz w:val="24"/>
          <w:szCs w:val="24"/>
          <w:highlight w:val="none"/>
          <w:lang w:bidi="ar"/>
        </w:rPr>
        <w:t>单位的</w:t>
      </w:r>
      <w:r>
        <w:rPr>
          <w:rFonts w:hint="eastAsia" w:ascii="宋体" w:hAnsi="宋体" w:eastAsia="宋体" w:cs="宋体"/>
          <w:color w:val="auto"/>
          <w:spacing w:val="6"/>
          <w:sz w:val="24"/>
          <w:szCs w:val="24"/>
          <w:highlight w:val="none"/>
          <w:u w:val="single"/>
          <w:lang w:bidi="ar"/>
        </w:rPr>
        <w:t xml:space="preserve">      </w:t>
      </w:r>
      <w:r>
        <w:rPr>
          <w:rFonts w:hint="eastAsia" w:ascii="宋体" w:hAnsi="宋体" w:eastAsia="宋体" w:cs="宋体"/>
          <w:color w:val="auto"/>
          <w:spacing w:val="6"/>
          <w:sz w:val="24"/>
          <w:szCs w:val="24"/>
          <w:highlight w:val="none"/>
          <w:lang w:bidi="ar"/>
        </w:rPr>
        <w:t>项目采购活动提供本单位制造的货物（由本单位承担工程/提供服务），或者提供其他残疾人福利性单位制造的货物（不包括使用非残疾人福利性单位注册商标的货物）。</w:t>
      </w:r>
    </w:p>
    <w:p w14:paraId="4D21C9F7">
      <w:pPr>
        <w:spacing w:line="360" w:lineRule="auto"/>
        <w:ind w:firstLine="435"/>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lang w:bidi="ar"/>
        </w:rPr>
        <w:t>本单位对上述声明的真实性负责。如有虚假，将依法承担相应责任。</w:t>
      </w:r>
    </w:p>
    <w:p w14:paraId="244DE69E">
      <w:pPr>
        <w:spacing w:line="360" w:lineRule="auto"/>
        <w:ind w:firstLine="4228" w:firstLineChars="176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 xml:space="preserve"> </w:t>
      </w:r>
    </w:p>
    <w:p w14:paraId="5B9505BA">
      <w:pPr>
        <w:spacing w:line="360" w:lineRule="auto"/>
        <w:ind w:firstLine="4228" w:firstLineChars="176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 xml:space="preserve"> </w:t>
      </w:r>
    </w:p>
    <w:p w14:paraId="7F099199">
      <w:pPr>
        <w:spacing w:line="360" w:lineRule="auto"/>
        <w:ind w:firstLine="4228" w:firstLineChars="1762"/>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bidi="ar"/>
        </w:rPr>
        <w:t>投标人电子签章：</w:t>
      </w:r>
      <w:r>
        <w:rPr>
          <w:rFonts w:hint="eastAsia" w:ascii="宋体" w:hAnsi="宋体" w:eastAsia="宋体" w:cs="宋体"/>
          <w:color w:val="auto"/>
          <w:sz w:val="24"/>
          <w:szCs w:val="24"/>
          <w:highlight w:val="none"/>
          <w:u w:val="single"/>
          <w:lang w:bidi="ar"/>
        </w:rPr>
        <w:t xml:space="preserve">             </w:t>
      </w:r>
    </w:p>
    <w:p w14:paraId="2D23A367">
      <w:pPr>
        <w:spacing w:line="360" w:lineRule="auto"/>
        <w:ind w:firstLine="4252" w:firstLineChars="1772"/>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bidi="ar"/>
        </w:rPr>
        <w:t>日          期：</w:t>
      </w:r>
      <w:r>
        <w:rPr>
          <w:rFonts w:hint="eastAsia" w:ascii="宋体" w:hAnsi="宋体" w:eastAsia="宋体" w:cs="宋体"/>
          <w:color w:val="auto"/>
          <w:sz w:val="24"/>
          <w:szCs w:val="24"/>
          <w:highlight w:val="none"/>
          <w:u w:val="single"/>
          <w:lang w:bidi="ar"/>
        </w:rPr>
        <w:t xml:space="preserve">             </w:t>
      </w:r>
    </w:p>
    <w:p w14:paraId="4B4073F8">
      <w:pPr>
        <w:spacing w:line="360" w:lineRule="auto"/>
        <w:jc w:val="center"/>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 xml:space="preserve"> </w:t>
      </w:r>
    </w:p>
    <w:p w14:paraId="02ADCADD">
      <w:pPr>
        <w:spacing w:line="360" w:lineRule="auto"/>
        <w:jc w:val="center"/>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 xml:space="preserve"> </w:t>
      </w:r>
    </w:p>
    <w:p w14:paraId="604C24A0">
      <w:pPr>
        <w:spacing w:line="360" w:lineRule="auto"/>
        <w:jc w:val="center"/>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 xml:space="preserve"> </w:t>
      </w:r>
    </w:p>
    <w:p w14:paraId="6425EBA3">
      <w:pP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bidi="ar"/>
        </w:rPr>
        <w:br w:type="page"/>
      </w:r>
    </w:p>
    <w:p w14:paraId="1DCDB112">
      <w:pP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bidi="ar"/>
        </w:rPr>
        <w:t>二、技术标格式文件</w:t>
      </w:r>
    </w:p>
    <w:p w14:paraId="770EC5BE">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lang w:bidi="ar"/>
        </w:rPr>
        <w:t xml:space="preserve"> </w:t>
      </w:r>
    </w:p>
    <w:p w14:paraId="0CC511CC">
      <w:pPr>
        <w:rPr>
          <w:rFonts w:hint="eastAsia" w:ascii="宋体" w:hAnsi="宋体" w:eastAsia="宋体" w:cs="宋体"/>
          <w:color w:val="auto"/>
          <w:sz w:val="20"/>
          <w:highlight w:val="none"/>
        </w:rPr>
      </w:pPr>
      <w:r>
        <w:rPr>
          <w:rFonts w:hint="eastAsia" w:ascii="宋体" w:hAnsi="宋体" w:eastAsia="宋体" w:cs="宋体"/>
          <w:color w:val="auto"/>
          <w:sz w:val="20"/>
          <w:highlight w:val="none"/>
          <w:lang w:bidi="ar"/>
        </w:rPr>
        <w:t xml:space="preserve"> </w:t>
      </w:r>
    </w:p>
    <w:p w14:paraId="7F4877AD">
      <w:pPr>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lang w:bidi="ar"/>
        </w:rPr>
        <w:t xml:space="preserve"> </w:t>
      </w:r>
    </w:p>
    <w:p w14:paraId="1A242D5F">
      <w:pPr>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lang w:bidi="ar"/>
        </w:rPr>
        <w:t>技术标</w:t>
      </w:r>
    </w:p>
    <w:p w14:paraId="78ED635C">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lang w:bidi="ar"/>
        </w:rPr>
        <w:t>（投标文件二）</w:t>
      </w:r>
    </w:p>
    <w:p w14:paraId="4609B60F">
      <w:pPr>
        <w:jc w:val="center"/>
        <w:rPr>
          <w:rFonts w:hint="eastAsia" w:ascii="宋体" w:hAnsi="宋体" w:eastAsia="宋体" w:cs="宋体"/>
          <w:color w:val="auto"/>
          <w:sz w:val="32"/>
          <w:szCs w:val="32"/>
          <w:highlight w:val="none"/>
          <w:u w:val="single"/>
        </w:rPr>
      </w:pPr>
    </w:p>
    <w:p w14:paraId="7D9A3E2E">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u w:val="single"/>
          <w:lang w:bidi="ar"/>
        </w:rPr>
        <w:t xml:space="preserve">        </w:t>
      </w:r>
      <w:r>
        <w:rPr>
          <w:rFonts w:hint="eastAsia" w:ascii="宋体" w:hAnsi="宋体" w:eastAsia="宋体" w:cs="宋体"/>
          <w:color w:val="auto"/>
          <w:sz w:val="32"/>
          <w:szCs w:val="32"/>
          <w:highlight w:val="none"/>
          <w:lang w:bidi="ar"/>
        </w:rPr>
        <w:t>项目</w:t>
      </w:r>
    </w:p>
    <w:p w14:paraId="215057A9">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 xml:space="preserve"> </w:t>
      </w:r>
    </w:p>
    <w:p w14:paraId="223FA612">
      <w:pPr>
        <w:jc w:val="center"/>
        <w:rPr>
          <w:rFonts w:hint="eastAsia" w:ascii="宋体" w:hAnsi="宋体" w:eastAsia="宋体" w:cs="宋体"/>
          <w:color w:val="auto"/>
          <w:sz w:val="44"/>
          <w:szCs w:val="44"/>
          <w:highlight w:val="none"/>
        </w:rPr>
      </w:pPr>
      <w:r>
        <w:rPr>
          <w:rFonts w:hint="eastAsia" w:ascii="宋体" w:hAnsi="宋体" w:eastAsia="宋体" w:cs="宋体"/>
          <w:color w:val="auto"/>
          <w:sz w:val="28"/>
          <w:szCs w:val="28"/>
          <w:highlight w:val="none"/>
          <w:lang w:bidi="ar"/>
        </w:rPr>
        <w:t>项目编号：</w:t>
      </w:r>
      <w:r>
        <w:rPr>
          <w:rFonts w:hint="eastAsia" w:ascii="宋体" w:hAnsi="宋体" w:eastAsia="宋体" w:cs="宋体"/>
          <w:color w:val="auto"/>
          <w:sz w:val="28"/>
          <w:szCs w:val="28"/>
          <w:highlight w:val="none"/>
          <w:u w:val="single"/>
          <w:lang w:bidi="ar"/>
        </w:rPr>
        <w:t xml:space="preserve">     </w:t>
      </w:r>
    </w:p>
    <w:p w14:paraId="7ED2B270">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 xml:space="preserve"> </w:t>
      </w:r>
    </w:p>
    <w:p w14:paraId="741471D7">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 xml:space="preserve"> </w:t>
      </w:r>
    </w:p>
    <w:p w14:paraId="4F602863">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 xml:space="preserve"> </w:t>
      </w:r>
    </w:p>
    <w:p w14:paraId="36FA2B5E">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 xml:space="preserve"> </w:t>
      </w:r>
    </w:p>
    <w:p w14:paraId="365E80FA">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 xml:space="preserve"> </w:t>
      </w:r>
    </w:p>
    <w:p w14:paraId="6286C9C4">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 xml:space="preserve"> </w:t>
      </w:r>
    </w:p>
    <w:p w14:paraId="67F740F6">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 xml:space="preserve"> </w:t>
      </w:r>
    </w:p>
    <w:p w14:paraId="138418A1">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 xml:space="preserve"> </w:t>
      </w:r>
    </w:p>
    <w:p w14:paraId="4DB1843F">
      <w:pPr>
        <w:autoSpaceDE w:val="0"/>
        <w:spacing w:line="360" w:lineRule="auto"/>
        <w:jc w:val="center"/>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lang w:bidi="ar"/>
        </w:rPr>
        <w:t>投标人：</w:t>
      </w:r>
      <w:r>
        <w:rPr>
          <w:rFonts w:hint="eastAsia" w:ascii="宋体" w:hAnsi="宋体" w:eastAsia="宋体" w:cs="宋体"/>
          <w:color w:val="auto"/>
          <w:sz w:val="28"/>
          <w:szCs w:val="28"/>
          <w:highlight w:val="none"/>
          <w:u w:val="single"/>
          <w:lang w:bidi="ar"/>
        </w:rPr>
        <w:t xml:space="preserve">                           </w:t>
      </w:r>
      <w:r>
        <w:rPr>
          <w:rFonts w:hint="eastAsia" w:ascii="宋体" w:hAnsi="宋体" w:eastAsia="宋体" w:cs="宋体"/>
          <w:color w:val="auto"/>
          <w:sz w:val="28"/>
          <w:szCs w:val="28"/>
          <w:highlight w:val="none"/>
          <w:lang w:bidi="ar"/>
        </w:rPr>
        <w:t>（签章）</w:t>
      </w:r>
    </w:p>
    <w:p w14:paraId="2E2B41B9">
      <w:pPr>
        <w:autoSpaceDE w:val="0"/>
        <w:spacing w:line="360" w:lineRule="auto"/>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法定代表人：</w:t>
      </w:r>
      <w:r>
        <w:rPr>
          <w:rFonts w:hint="eastAsia" w:ascii="宋体" w:hAnsi="宋体" w:eastAsia="宋体" w:cs="宋体"/>
          <w:color w:val="auto"/>
          <w:sz w:val="28"/>
          <w:szCs w:val="28"/>
          <w:highlight w:val="none"/>
          <w:u w:val="single"/>
          <w:lang w:bidi="ar"/>
        </w:rPr>
        <w:t xml:space="preserve">                       </w:t>
      </w:r>
      <w:r>
        <w:rPr>
          <w:rFonts w:hint="eastAsia" w:ascii="宋体" w:hAnsi="宋体" w:eastAsia="宋体" w:cs="宋体"/>
          <w:color w:val="auto"/>
          <w:sz w:val="28"/>
          <w:szCs w:val="28"/>
          <w:highlight w:val="none"/>
          <w:lang w:bidi="ar"/>
        </w:rPr>
        <w:t>（签章）</w:t>
      </w:r>
    </w:p>
    <w:p w14:paraId="4C853212">
      <w:pPr>
        <w:autoSpaceDE w:val="0"/>
        <w:spacing w:line="360" w:lineRule="auto"/>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u w:val="single"/>
          <w:lang w:bidi="ar"/>
        </w:rPr>
        <w:t xml:space="preserve">        </w:t>
      </w:r>
      <w:r>
        <w:rPr>
          <w:rFonts w:hint="eastAsia" w:ascii="宋体" w:hAnsi="宋体" w:eastAsia="宋体" w:cs="宋体"/>
          <w:color w:val="auto"/>
          <w:sz w:val="28"/>
          <w:szCs w:val="28"/>
          <w:highlight w:val="none"/>
          <w:lang w:bidi="ar"/>
        </w:rPr>
        <w:t>年</w:t>
      </w:r>
      <w:r>
        <w:rPr>
          <w:rFonts w:hint="eastAsia" w:ascii="宋体" w:hAnsi="宋体" w:eastAsia="宋体" w:cs="宋体"/>
          <w:color w:val="auto"/>
          <w:sz w:val="28"/>
          <w:szCs w:val="28"/>
          <w:highlight w:val="none"/>
          <w:u w:val="single"/>
          <w:lang w:bidi="ar"/>
        </w:rPr>
        <w:t xml:space="preserve">        </w:t>
      </w:r>
      <w:r>
        <w:rPr>
          <w:rFonts w:hint="eastAsia" w:ascii="宋体" w:hAnsi="宋体" w:eastAsia="宋体" w:cs="宋体"/>
          <w:color w:val="auto"/>
          <w:sz w:val="28"/>
          <w:szCs w:val="28"/>
          <w:highlight w:val="none"/>
          <w:lang w:bidi="ar"/>
        </w:rPr>
        <w:t>月</w:t>
      </w:r>
      <w:r>
        <w:rPr>
          <w:rFonts w:hint="eastAsia" w:ascii="宋体" w:hAnsi="宋体" w:eastAsia="宋体" w:cs="宋体"/>
          <w:color w:val="auto"/>
          <w:sz w:val="28"/>
          <w:szCs w:val="28"/>
          <w:highlight w:val="none"/>
          <w:u w:val="single"/>
          <w:lang w:bidi="ar"/>
        </w:rPr>
        <w:t xml:space="preserve">        </w:t>
      </w:r>
      <w:r>
        <w:rPr>
          <w:rFonts w:hint="eastAsia" w:ascii="宋体" w:hAnsi="宋体" w:eastAsia="宋体" w:cs="宋体"/>
          <w:color w:val="auto"/>
          <w:sz w:val="28"/>
          <w:szCs w:val="28"/>
          <w:highlight w:val="none"/>
          <w:lang w:bidi="ar"/>
        </w:rPr>
        <w:t>日</w:t>
      </w:r>
    </w:p>
    <w:p w14:paraId="2CDEAA8A">
      <w:pPr>
        <w:spacing w:line="360" w:lineRule="auto"/>
        <w:jc w:val="center"/>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 xml:space="preserve"> </w:t>
      </w:r>
    </w:p>
    <w:p w14:paraId="75414D57">
      <w:pPr>
        <w:spacing w:line="360" w:lineRule="auto"/>
        <w:jc w:val="center"/>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 xml:space="preserve"> </w:t>
      </w:r>
    </w:p>
    <w:p w14:paraId="6541014F">
      <w:pP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lang w:bidi="ar"/>
        </w:rPr>
        <w:br w:type="page"/>
      </w:r>
    </w:p>
    <w:p w14:paraId="09DC1389">
      <w:pPr>
        <w:spacing w:line="400" w:lineRule="exact"/>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lang w:bidi="ar"/>
        </w:rPr>
        <w:t>目   录</w:t>
      </w:r>
    </w:p>
    <w:p w14:paraId="5AE62E75">
      <w:pPr>
        <w:spacing w:line="400" w:lineRule="exact"/>
        <w:ind w:firstLine="3744" w:firstLineChars="1036"/>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lang w:bidi="ar"/>
        </w:rPr>
        <w:t xml:space="preserve"> </w:t>
      </w:r>
    </w:p>
    <w:p w14:paraId="4B91277A">
      <w:pPr>
        <w:spacing w:line="40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bidi="ar"/>
        </w:rPr>
        <w:t>（1）</w:t>
      </w:r>
      <w:r>
        <w:rPr>
          <w:rFonts w:hint="eastAsia" w:ascii="宋体" w:hAnsi="宋体" w:eastAsia="宋体" w:cs="宋体"/>
          <w:color w:val="auto"/>
          <w:szCs w:val="21"/>
          <w:highlight w:val="none"/>
          <w:lang w:bidi="ar"/>
        </w:rPr>
        <w:t>投标响应表（格式见附件）</w:t>
      </w:r>
      <w:r>
        <w:rPr>
          <w:rFonts w:hint="eastAsia" w:ascii="宋体" w:hAnsi="宋体" w:eastAsia="宋体" w:cs="宋体"/>
          <w:bCs/>
          <w:color w:val="auto"/>
          <w:szCs w:val="21"/>
          <w:highlight w:val="none"/>
          <w:lang w:bidi="ar"/>
        </w:rPr>
        <w:t>；</w:t>
      </w:r>
    </w:p>
    <w:p w14:paraId="1AA45F85">
      <w:pPr>
        <w:spacing w:line="40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bidi="ar"/>
        </w:rPr>
        <w:t>（2）诚信履约承诺函（格式见附件）；</w:t>
      </w:r>
    </w:p>
    <w:p w14:paraId="2EF12FE2">
      <w:pPr>
        <w:spacing w:line="40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bidi="ar"/>
        </w:rPr>
        <w:t>（3）招标文件中要求的技术标评审及技术标评分的支持资料；</w:t>
      </w:r>
    </w:p>
    <w:p w14:paraId="75C6BE46">
      <w:pPr>
        <w:spacing w:line="40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bidi="ar"/>
        </w:rPr>
        <w:t>（4）投标人认为需要提供的其他技术证明材料；</w:t>
      </w:r>
    </w:p>
    <w:p w14:paraId="647E8714">
      <w:pPr>
        <w:spacing w:line="40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bidi="ar"/>
        </w:rPr>
        <w:t>（5）其他（如有）。</w:t>
      </w:r>
    </w:p>
    <w:p w14:paraId="6510E9A6">
      <w:pPr>
        <w:spacing w:line="40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bidi="ar"/>
        </w:rPr>
        <w:t xml:space="preserve"> </w:t>
      </w:r>
    </w:p>
    <w:p w14:paraId="54E067E9">
      <w:pPr>
        <w:spacing w:line="360" w:lineRule="auto"/>
        <w:jc w:val="center"/>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 xml:space="preserve"> </w:t>
      </w:r>
    </w:p>
    <w:p w14:paraId="3FFF30FC">
      <w:pPr>
        <w:spacing w:line="360" w:lineRule="auto"/>
        <w:jc w:val="center"/>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 xml:space="preserve"> </w:t>
      </w:r>
    </w:p>
    <w:p w14:paraId="3C06F722">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br w:type="page"/>
      </w:r>
    </w:p>
    <w:p w14:paraId="7243A70B">
      <w:pPr>
        <w:spacing w:line="360" w:lineRule="auto"/>
        <w:jc w:val="center"/>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（1）投标响应表</w:t>
      </w:r>
    </w:p>
    <w:p w14:paraId="286C4D14">
      <w:pPr>
        <w:spacing w:line="360" w:lineRule="auto"/>
        <w:ind w:firstLine="435"/>
        <w:outlineLvl w:val="2"/>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1.1商务响应表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916"/>
        <w:gridCol w:w="2498"/>
        <w:gridCol w:w="2575"/>
        <w:gridCol w:w="810"/>
      </w:tblGrid>
      <w:tr w14:paraId="70B08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424" w:type="pct"/>
            <w:tcBorders>
              <w:top w:val="single" w:color="auto" w:sz="4" w:space="0"/>
              <w:left w:val="single" w:color="auto" w:sz="4" w:space="0"/>
              <w:bottom w:val="single" w:color="auto" w:sz="4" w:space="0"/>
              <w:right w:val="single" w:color="auto" w:sz="4" w:space="0"/>
            </w:tcBorders>
            <w:vAlign w:val="center"/>
          </w:tcPr>
          <w:p w14:paraId="5DD5CA50">
            <w:pPr>
              <w:pStyle w:val="21"/>
              <w:spacing w:before="0" w:beforeAutospacing="0" w:after="0" w:afterAutospacing="0"/>
              <w:jc w:val="center"/>
              <w:rPr>
                <w:rFonts w:hint="eastAsia" w:ascii="宋体" w:hAnsi="宋体" w:eastAsia="宋体" w:cs="宋体"/>
                <w:b/>
                <w:color w:val="auto"/>
                <w:kern w:val="2"/>
                <w:szCs w:val="24"/>
                <w:highlight w:val="none"/>
              </w:rPr>
            </w:pPr>
            <w:r>
              <w:rPr>
                <w:rFonts w:hint="eastAsia" w:ascii="宋体" w:hAnsi="宋体" w:eastAsia="宋体" w:cs="宋体"/>
                <w:b/>
                <w:color w:val="auto"/>
                <w:kern w:val="2"/>
                <w:szCs w:val="24"/>
                <w:highlight w:val="none"/>
                <w:lang w:bidi="ar"/>
              </w:rPr>
              <w:t>序号</w:t>
            </w:r>
          </w:p>
        </w:tc>
        <w:tc>
          <w:tcPr>
            <w:tcW w:w="1124" w:type="pct"/>
            <w:tcBorders>
              <w:top w:val="single" w:color="auto" w:sz="4" w:space="0"/>
              <w:left w:val="nil"/>
              <w:bottom w:val="single" w:color="auto" w:sz="4" w:space="0"/>
              <w:right w:val="single" w:color="auto" w:sz="4" w:space="0"/>
            </w:tcBorders>
            <w:vAlign w:val="center"/>
          </w:tcPr>
          <w:p w14:paraId="6DBF34EE">
            <w:pPr>
              <w:pStyle w:val="21"/>
              <w:spacing w:before="0" w:beforeAutospacing="0" w:after="0" w:afterAutospacing="0"/>
              <w:jc w:val="center"/>
              <w:rPr>
                <w:rFonts w:hint="eastAsia" w:ascii="宋体" w:hAnsi="宋体" w:eastAsia="宋体" w:cs="宋体"/>
                <w:b/>
                <w:color w:val="auto"/>
                <w:kern w:val="2"/>
                <w:szCs w:val="24"/>
                <w:highlight w:val="none"/>
              </w:rPr>
            </w:pPr>
            <w:r>
              <w:rPr>
                <w:rFonts w:hint="eastAsia" w:ascii="宋体" w:hAnsi="宋体" w:eastAsia="宋体" w:cs="宋体"/>
                <w:b/>
                <w:bCs/>
                <w:color w:val="auto"/>
                <w:kern w:val="2"/>
                <w:szCs w:val="24"/>
                <w:highlight w:val="none"/>
                <w:lang w:bidi="ar"/>
              </w:rPr>
              <w:t>商务条款</w:t>
            </w:r>
          </w:p>
        </w:tc>
        <w:tc>
          <w:tcPr>
            <w:tcW w:w="1465" w:type="pct"/>
            <w:tcBorders>
              <w:top w:val="single" w:color="auto" w:sz="4" w:space="0"/>
              <w:left w:val="nil"/>
              <w:bottom w:val="single" w:color="auto" w:sz="4" w:space="0"/>
              <w:right w:val="single" w:color="auto" w:sz="4" w:space="0"/>
            </w:tcBorders>
            <w:vAlign w:val="center"/>
          </w:tcPr>
          <w:p w14:paraId="5B5E6E71">
            <w:pPr>
              <w:pStyle w:val="21"/>
              <w:spacing w:before="0" w:beforeAutospacing="0" w:after="0" w:afterAutospacing="0"/>
              <w:jc w:val="center"/>
              <w:rPr>
                <w:rFonts w:hint="eastAsia" w:ascii="宋体" w:hAnsi="宋体" w:eastAsia="宋体" w:cs="宋体"/>
                <w:b/>
                <w:color w:val="auto"/>
                <w:kern w:val="2"/>
                <w:szCs w:val="24"/>
                <w:highlight w:val="none"/>
              </w:rPr>
            </w:pPr>
            <w:r>
              <w:rPr>
                <w:rFonts w:hint="eastAsia" w:ascii="宋体" w:hAnsi="宋体" w:eastAsia="宋体" w:cs="宋体"/>
                <w:b/>
                <w:color w:val="auto"/>
                <w:kern w:val="2"/>
                <w:szCs w:val="24"/>
                <w:highlight w:val="none"/>
                <w:lang w:bidi="ar"/>
              </w:rPr>
              <w:t>招标文件要求</w:t>
            </w:r>
          </w:p>
        </w:tc>
        <w:tc>
          <w:tcPr>
            <w:tcW w:w="1510" w:type="pct"/>
            <w:tcBorders>
              <w:top w:val="single" w:color="auto" w:sz="4" w:space="0"/>
              <w:left w:val="nil"/>
              <w:bottom w:val="single" w:color="auto" w:sz="4" w:space="0"/>
              <w:right w:val="single" w:color="auto" w:sz="4" w:space="0"/>
            </w:tcBorders>
            <w:vAlign w:val="center"/>
          </w:tcPr>
          <w:p w14:paraId="50BFD91D">
            <w:pPr>
              <w:pStyle w:val="21"/>
              <w:spacing w:before="0" w:beforeAutospacing="0" w:after="0" w:afterAutospacing="0"/>
              <w:jc w:val="center"/>
              <w:rPr>
                <w:rFonts w:hint="eastAsia" w:ascii="宋体" w:hAnsi="宋体" w:eastAsia="宋体" w:cs="宋体"/>
                <w:b/>
                <w:color w:val="auto"/>
                <w:kern w:val="2"/>
                <w:szCs w:val="24"/>
                <w:highlight w:val="none"/>
              </w:rPr>
            </w:pPr>
            <w:r>
              <w:rPr>
                <w:rFonts w:hint="eastAsia" w:ascii="宋体" w:hAnsi="宋体" w:eastAsia="宋体" w:cs="宋体"/>
                <w:b/>
                <w:color w:val="auto"/>
                <w:kern w:val="2"/>
                <w:szCs w:val="24"/>
                <w:highlight w:val="none"/>
                <w:lang w:bidi="ar"/>
              </w:rPr>
              <w:t>投标人承诺</w:t>
            </w:r>
          </w:p>
        </w:tc>
        <w:tc>
          <w:tcPr>
            <w:tcW w:w="475" w:type="pct"/>
            <w:tcBorders>
              <w:top w:val="single" w:color="auto" w:sz="4" w:space="0"/>
              <w:left w:val="nil"/>
              <w:bottom w:val="single" w:color="auto" w:sz="4" w:space="0"/>
              <w:right w:val="single" w:color="auto" w:sz="4" w:space="0"/>
            </w:tcBorders>
            <w:vAlign w:val="center"/>
          </w:tcPr>
          <w:p w14:paraId="6AF9153C">
            <w:pPr>
              <w:pStyle w:val="21"/>
              <w:spacing w:before="0" w:beforeAutospacing="0" w:after="0" w:afterAutospacing="0"/>
              <w:jc w:val="center"/>
              <w:rPr>
                <w:rFonts w:hint="eastAsia" w:ascii="宋体" w:hAnsi="宋体" w:eastAsia="宋体" w:cs="宋体"/>
                <w:b/>
                <w:color w:val="auto"/>
                <w:kern w:val="2"/>
                <w:szCs w:val="24"/>
                <w:highlight w:val="none"/>
              </w:rPr>
            </w:pPr>
            <w:r>
              <w:rPr>
                <w:rFonts w:hint="eastAsia" w:ascii="宋体" w:hAnsi="宋体" w:eastAsia="宋体" w:cs="宋体"/>
                <w:b/>
                <w:color w:val="auto"/>
                <w:kern w:val="2"/>
                <w:szCs w:val="24"/>
                <w:highlight w:val="none"/>
                <w:lang w:bidi="ar"/>
              </w:rPr>
              <w:t>偏离说明</w:t>
            </w:r>
          </w:p>
        </w:tc>
      </w:tr>
      <w:tr w14:paraId="738F2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4" w:type="pct"/>
            <w:tcBorders>
              <w:top w:val="single" w:color="auto" w:sz="4" w:space="0"/>
              <w:left w:val="single" w:color="auto" w:sz="4" w:space="0"/>
              <w:bottom w:val="single" w:color="auto" w:sz="4" w:space="0"/>
              <w:right w:val="single" w:color="auto" w:sz="4" w:space="0"/>
            </w:tcBorders>
            <w:vAlign w:val="center"/>
          </w:tcPr>
          <w:p w14:paraId="3F4FBD1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w:t>
            </w:r>
          </w:p>
        </w:tc>
        <w:tc>
          <w:tcPr>
            <w:tcW w:w="1124" w:type="pct"/>
            <w:tcBorders>
              <w:top w:val="single" w:color="auto" w:sz="4" w:space="0"/>
              <w:left w:val="nil"/>
              <w:bottom w:val="single" w:color="auto" w:sz="4" w:space="0"/>
              <w:right w:val="single" w:color="auto" w:sz="4" w:space="0"/>
            </w:tcBorders>
            <w:vAlign w:val="center"/>
          </w:tcPr>
          <w:p w14:paraId="711635E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付款方式</w:t>
            </w:r>
          </w:p>
        </w:tc>
        <w:tc>
          <w:tcPr>
            <w:tcW w:w="1465" w:type="pct"/>
            <w:tcBorders>
              <w:top w:val="single" w:color="auto" w:sz="4" w:space="0"/>
              <w:left w:val="nil"/>
              <w:bottom w:val="single" w:color="auto" w:sz="4" w:space="0"/>
              <w:right w:val="single" w:color="auto" w:sz="4" w:space="0"/>
            </w:tcBorders>
            <w:vAlign w:val="center"/>
          </w:tcPr>
          <w:p w14:paraId="7C1FE118">
            <w:pPr>
              <w:jc w:val="center"/>
              <w:rPr>
                <w:rFonts w:hint="eastAsia" w:ascii="宋体" w:hAnsi="宋体" w:eastAsia="宋体" w:cs="宋体"/>
                <w:color w:val="auto"/>
                <w:sz w:val="24"/>
                <w:szCs w:val="24"/>
                <w:highlight w:val="none"/>
              </w:rPr>
            </w:pPr>
          </w:p>
        </w:tc>
        <w:tc>
          <w:tcPr>
            <w:tcW w:w="1510" w:type="pct"/>
            <w:tcBorders>
              <w:top w:val="single" w:color="auto" w:sz="4" w:space="0"/>
              <w:left w:val="nil"/>
              <w:bottom w:val="single" w:color="auto" w:sz="4" w:space="0"/>
              <w:right w:val="single" w:color="auto" w:sz="4" w:space="0"/>
            </w:tcBorders>
            <w:vAlign w:val="center"/>
          </w:tcPr>
          <w:p w14:paraId="6E0B5CD0">
            <w:pPr>
              <w:jc w:val="center"/>
              <w:rPr>
                <w:rFonts w:hint="eastAsia" w:ascii="宋体" w:hAnsi="宋体" w:eastAsia="宋体" w:cs="宋体"/>
                <w:color w:val="auto"/>
                <w:sz w:val="24"/>
                <w:szCs w:val="24"/>
                <w:highlight w:val="none"/>
              </w:rPr>
            </w:pPr>
          </w:p>
        </w:tc>
        <w:tc>
          <w:tcPr>
            <w:tcW w:w="475" w:type="pct"/>
            <w:tcBorders>
              <w:top w:val="single" w:color="auto" w:sz="4" w:space="0"/>
              <w:left w:val="nil"/>
              <w:bottom w:val="single" w:color="auto" w:sz="4" w:space="0"/>
              <w:right w:val="single" w:color="auto" w:sz="4" w:space="0"/>
            </w:tcBorders>
            <w:vAlign w:val="center"/>
          </w:tcPr>
          <w:p w14:paraId="44F48495">
            <w:pPr>
              <w:jc w:val="center"/>
              <w:rPr>
                <w:rFonts w:hint="eastAsia" w:ascii="宋体" w:hAnsi="宋体" w:eastAsia="宋体" w:cs="宋体"/>
                <w:color w:val="auto"/>
                <w:sz w:val="24"/>
                <w:szCs w:val="24"/>
                <w:highlight w:val="none"/>
              </w:rPr>
            </w:pPr>
          </w:p>
        </w:tc>
      </w:tr>
      <w:tr w14:paraId="3B827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4" w:type="pct"/>
            <w:tcBorders>
              <w:top w:val="single" w:color="auto" w:sz="4" w:space="0"/>
              <w:left w:val="single" w:color="auto" w:sz="4" w:space="0"/>
              <w:bottom w:val="single" w:color="auto" w:sz="4" w:space="0"/>
              <w:right w:val="single" w:color="auto" w:sz="4" w:space="0"/>
            </w:tcBorders>
            <w:vAlign w:val="center"/>
          </w:tcPr>
          <w:p w14:paraId="56C065A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w:t>
            </w:r>
          </w:p>
        </w:tc>
        <w:tc>
          <w:tcPr>
            <w:tcW w:w="1124" w:type="pct"/>
            <w:tcBorders>
              <w:top w:val="single" w:color="auto" w:sz="4" w:space="0"/>
              <w:left w:val="nil"/>
              <w:bottom w:val="single" w:color="auto" w:sz="4" w:space="0"/>
              <w:right w:val="single" w:color="auto" w:sz="4" w:space="0"/>
            </w:tcBorders>
            <w:vAlign w:val="center"/>
          </w:tcPr>
          <w:p w14:paraId="2E07889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供货及安装地点</w:t>
            </w:r>
          </w:p>
        </w:tc>
        <w:tc>
          <w:tcPr>
            <w:tcW w:w="1465" w:type="pct"/>
            <w:tcBorders>
              <w:top w:val="single" w:color="auto" w:sz="4" w:space="0"/>
              <w:left w:val="nil"/>
              <w:bottom w:val="single" w:color="auto" w:sz="4" w:space="0"/>
              <w:right w:val="single" w:color="auto" w:sz="4" w:space="0"/>
            </w:tcBorders>
            <w:vAlign w:val="center"/>
          </w:tcPr>
          <w:p w14:paraId="720EC331">
            <w:pPr>
              <w:jc w:val="center"/>
              <w:rPr>
                <w:rFonts w:hint="eastAsia" w:ascii="宋体" w:hAnsi="宋体" w:eastAsia="宋体" w:cs="宋体"/>
                <w:color w:val="auto"/>
                <w:sz w:val="24"/>
                <w:szCs w:val="24"/>
                <w:highlight w:val="none"/>
              </w:rPr>
            </w:pPr>
          </w:p>
        </w:tc>
        <w:tc>
          <w:tcPr>
            <w:tcW w:w="1510" w:type="pct"/>
            <w:tcBorders>
              <w:top w:val="single" w:color="auto" w:sz="4" w:space="0"/>
              <w:left w:val="nil"/>
              <w:bottom w:val="single" w:color="auto" w:sz="4" w:space="0"/>
              <w:right w:val="single" w:color="auto" w:sz="4" w:space="0"/>
            </w:tcBorders>
            <w:vAlign w:val="center"/>
          </w:tcPr>
          <w:p w14:paraId="3B63288F">
            <w:pPr>
              <w:jc w:val="center"/>
              <w:rPr>
                <w:rFonts w:hint="eastAsia" w:ascii="宋体" w:hAnsi="宋体" w:eastAsia="宋体" w:cs="宋体"/>
                <w:color w:val="auto"/>
                <w:sz w:val="24"/>
                <w:szCs w:val="24"/>
                <w:highlight w:val="none"/>
              </w:rPr>
            </w:pPr>
          </w:p>
        </w:tc>
        <w:tc>
          <w:tcPr>
            <w:tcW w:w="475" w:type="pct"/>
            <w:tcBorders>
              <w:top w:val="single" w:color="auto" w:sz="4" w:space="0"/>
              <w:left w:val="nil"/>
              <w:bottom w:val="single" w:color="auto" w:sz="4" w:space="0"/>
              <w:right w:val="single" w:color="auto" w:sz="4" w:space="0"/>
            </w:tcBorders>
            <w:vAlign w:val="center"/>
          </w:tcPr>
          <w:p w14:paraId="6617D63B">
            <w:pPr>
              <w:jc w:val="center"/>
              <w:rPr>
                <w:rFonts w:hint="eastAsia" w:ascii="宋体" w:hAnsi="宋体" w:eastAsia="宋体" w:cs="宋体"/>
                <w:color w:val="auto"/>
                <w:sz w:val="24"/>
                <w:szCs w:val="24"/>
                <w:highlight w:val="none"/>
              </w:rPr>
            </w:pPr>
          </w:p>
        </w:tc>
      </w:tr>
      <w:tr w14:paraId="0947A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4" w:type="pct"/>
            <w:tcBorders>
              <w:top w:val="single" w:color="auto" w:sz="4" w:space="0"/>
              <w:left w:val="single" w:color="auto" w:sz="4" w:space="0"/>
              <w:bottom w:val="single" w:color="auto" w:sz="4" w:space="0"/>
              <w:right w:val="single" w:color="auto" w:sz="4" w:space="0"/>
            </w:tcBorders>
            <w:vAlign w:val="center"/>
          </w:tcPr>
          <w:p w14:paraId="184C671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3</w:t>
            </w:r>
          </w:p>
        </w:tc>
        <w:tc>
          <w:tcPr>
            <w:tcW w:w="1124" w:type="pct"/>
            <w:tcBorders>
              <w:top w:val="single" w:color="auto" w:sz="4" w:space="0"/>
              <w:left w:val="nil"/>
              <w:bottom w:val="single" w:color="auto" w:sz="4" w:space="0"/>
              <w:right w:val="single" w:color="auto" w:sz="4" w:space="0"/>
            </w:tcBorders>
            <w:vAlign w:val="center"/>
          </w:tcPr>
          <w:p w14:paraId="461B0BFC">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供货及安装期限</w:t>
            </w:r>
          </w:p>
        </w:tc>
        <w:tc>
          <w:tcPr>
            <w:tcW w:w="1465" w:type="pct"/>
            <w:tcBorders>
              <w:top w:val="single" w:color="auto" w:sz="4" w:space="0"/>
              <w:left w:val="nil"/>
              <w:bottom w:val="single" w:color="auto" w:sz="4" w:space="0"/>
              <w:right w:val="single" w:color="auto" w:sz="4" w:space="0"/>
            </w:tcBorders>
            <w:vAlign w:val="center"/>
          </w:tcPr>
          <w:p w14:paraId="16A79259">
            <w:pPr>
              <w:jc w:val="center"/>
              <w:rPr>
                <w:rFonts w:hint="eastAsia" w:ascii="宋体" w:hAnsi="宋体" w:eastAsia="宋体" w:cs="宋体"/>
                <w:color w:val="auto"/>
                <w:sz w:val="24"/>
                <w:szCs w:val="24"/>
                <w:highlight w:val="none"/>
              </w:rPr>
            </w:pPr>
          </w:p>
        </w:tc>
        <w:tc>
          <w:tcPr>
            <w:tcW w:w="1510" w:type="pct"/>
            <w:tcBorders>
              <w:top w:val="single" w:color="auto" w:sz="4" w:space="0"/>
              <w:left w:val="nil"/>
              <w:bottom w:val="single" w:color="auto" w:sz="4" w:space="0"/>
              <w:right w:val="single" w:color="auto" w:sz="4" w:space="0"/>
            </w:tcBorders>
            <w:vAlign w:val="center"/>
          </w:tcPr>
          <w:p w14:paraId="35A624F8">
            <w:pPr>
              <w:pStyle w:val="21"/>
              <w:spacing w:before="0" w:beforeAutospacing="0" w:after="0" w:afterAutospacing="0"/>
              <w:jc w:val="center"/>
              <w:rPr>
                <w:rFonts w:hint="eastAsia" w:ascii="宋体" w:hAnsi="宋体" w:eastAsia="宋体" w:cs="宋体"/>
                <w:color w:val="auto"/>
                <w:kern w:val="2"/>
                <w:szCs w:val="24"/>
                <w:highlight w:val="none"/>
              </w:rPr>
            </w:pPr>
          </w:p>
        </w:tc>
        <w:tc>
          <w:tcPr>
            <w:tcW w:w="475" w:type="pct"/>
            <w:tcBorders>
              <w:top w:val="single" w:color="auto" w:sz="4" w:space="0"/>
              <w:left w:val="nil"/>
              <w:bottom w:val="single" w:color="auto" w:sz="4" w:space="0"/>
              <w:right w:val="single" w:color="auto" w:sz="4" w:space="0"/>
            </w:tcBorders>
            <w:vAlign w:val="center"/>
          </w:tcPr>
          <w:p w14:paraId="41E50041">
            <w:pPr>
              <w:jc w:val="center"/>
              <w:rPr>
                <w:rFonts w:hint="eastAsia" w:ascii="宋体" w:hAnsi="宋体" w:eastAsia="宋体" w:cs="宋体"/>
                <w:color w:val="auto"/>
                <w:sz w:val="24"/>
                <w:szCs w:val="24"/>
                <w:highlight w:val="none"/>
              </w:rPr>
            </w:pPr>
          </w:p>
        </w:tc>
      </w:tr>
      <w:tr w14:paraId="798AD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4" w:type="pct"/>
            <w:tcBorders>
              <w:top w:val="single" w:color="auto" w:sz="4" w:space="0"/>
              <w:left w:val="single" w:color="auto" w:sz="4" w:space="0"/>
              <w:bottom w:val="single" w:color="auto" w:sz="4" w:space="0"/>
              <w:right w:val="single" w:color="auto" w:sz="4" w:space="0"/>
            </w:tcBorders>
            <w:vAlign w:val="center"/>
          </w:tcPr>
          <w:p w14:paraId="1CC6151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4</w:t>
            </w:r>
          </w:p>
        </w:tc>
        <w:tc>
          <w:tcPr>
            <w:tcW w:w="1124" w:type="pct"/>
            <w:tcBorders>
              <w:top w:val="single" w:color="auto" w:sz="4" w:space="0"/>
              <w:left w:val="nil"/>
              <w:bottom w:val="single" w:color="auto" w:sz="4" w:space="0"/>
              <w:right w:val="single" w:color="auto" w:sz="4" w:space="0"/>
            </w:tcBorders>
            <w:vAlign w:val="center"/>
          </w:tcPr>
          <w:p w14:paraId="76236B3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免费质保期</w:t>
            </w:r>
          </w:p>
        </w:tc>
        <w:tc>
          <w:tcPr>
            <w:tcW w:w="1465" w:type="pct"/>
            <w:tcBorders>
              <w:top w:val="single" w:color="auto" w:sz="4" w:space="0"/>
              <w:left w:val="nil"/>
              <w:bottom w:val="single" w:color="auto" w:sz="4" w:space="0"/>
              <w:right w:val="single" w:color="auto" w:sz="4" w:space="0"/>
            </w:tcBorders>
            <w:vAlign w:val="center"/>
          </w:tcPr>
          <w:p w14:paraId="47D42937">
            <w:pPr>
              <w:jc w:val="center"/>
              <w:rPr>
                <w:rFonts w:hint="eastAsia" w:ascii="宋体" w:hAnsi="宋体" w:eastAsia="宋体" w:cs="宋体"/>
                <w:color w:val="auto"/>
                <w:sz w:val="24"/>
                <w:szCs w:val="24"/>
                <w:highlight w:val="none"/>
              </w:rPr>
            </w:pPr>
          </w:p>
        </w:tc>
        <w:tc>
          <w:tcPr>
            <w:tcW w:w="1510" w:type="pct"/>
            <w:tcBorders>
              <w:top w:val="single" w:color="auto" w:sz="4" w:space="0"/>
              <w:left w:val="nil"/>
              <w:bottom w:val="single" w:color="auto" w:sz="4" w:space="0"/>
              <w:right w:val="single" w:color="auto" w:sz="4" w:space="0"/>
            </w:tcBorders>
            <w:vAlign w:val="center"/>
          </w:tcPr>
          <w:p w14:paraId="313E0AE8">
            <w:pPr>
              <w:jc w:val="center"/>
              <w:rPr>
                <w:rFonts w:hint="eastAsia" w:ascii="宋体" w:hAnsi="宋体" w:eastAsia="宋体" w:cs="宋体"/>
                <w:color w:val="auto"/>
                <w:sz w:val="24"/>
                <w:szCs w:val="24"/>
                <w:highlight w:val="none"/>
              </w:rPr>
            </w:pPr>
          </w:p>
        </w:tc>
        <w:tc>
          <w:tcPr>
            <w:tcW w:w="475" w:type="pct"/>
            <w:tcBorders>
              <w:top w:val="single" w:color="auto" w:sz="4" w:space="0"/>
              <w:left w:val="nil"/>
              <w:bottom w:val="single" w:color="auto" w:sz="4" w:space="0"/>
              <w:right w:val="single" w:color="auto" w:sz="4" w:space="0"/>
            </w:tcBorders>
            <w:vAlign w:val="center"/>
          </w:tcPr>
          <w:p w14:paraId="34353DA6">
            <w:pPr>
              <w:jc w:val="center"/>
              <w:rPr>
                <w:rFonts w:hint="eastAsia" w:ascii="宋体" w:hAnsi="宋体" w:eastAsia="宋体" w:cs="宋体"/>
                <w:color w:val="auto"/>
                <w:sz w:val="24"/>
                <w:szCs w:val="24"/>
                <w:highlight w:val="none"/>
              </w:rPr>
            </w:pPr>
          </w:p>
        </w:tc>
      </w:tr>
      <w:tr w14:paraId="6A92B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4" w:type="pct"/>
            <w:tcBorders>
              <w:top w:val="single" w:color="auto" w:sz="4" w:space="0"/>
              <w:left w:val="single" w:color="auto" w:sz="4" w:space="0"/>
              <w:bottom w:val="single" w:color="auto" w:sz="4" w:space="0"/>
              <w:right w:val="single" w:color="auto" w:sz="4" w:space="0"/>
            </w:tcBorders>
            <w:vAlign w:val="center"/>
          </w:tcPr>
          <w:p w14:paraId="5F0821D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w:t>
            </w:r>
          </w:p>
        </w:tc>
        <w:tc>
          <w:tcPr>
            <w:tcW w:w="1124" w:type="pct"/>
            <w:tcBorders>
              <w:top w:val="single" w:color="auto" w:sz="4" w:space="0"/>
              <w:left w:val="nil"/>
              <w:bottom w:val="single" w:color="auto" w:sz="4" w:space="0"/>
              <w:right w:val="single" w:color="auto" w:sz="4" w:space="0"/>
            </w:tcBorders>
            <w:vAlign w:val="center"/>
          </w:tcPr>
          <w:p w14:paraId="56065D83">
            <w:pPr>
              <w:jc w:val="center"/>
              <w:rPr>
                <w:rFonts w:hint="eastAsia" w:ascii="宋体" w:hAnsi="宋体" w:eastAsia="宋体" w:cs="宋体"/>
                <w:color w:val="auto"/>
                <w:sz w:val="24"/>
                <w:szCs w:val="24"/>
                <w:highlight w:val="none"/>
              </w:rPr>
            </w:pPr>
          </w:p>
        </w:tc>
        <w:tc>
          <w:tcPr>
            <w:tcW w:w="1465" w:type="pct"/>
            <w:tcBorders>
              <w:top w:val="single" w:color="auto" w:sz="4" w:space="0"/>
              <w:left w:val="nil"/>
              <w:bottom w:val="single" w:color="auto" w:sz="4" w:space="0"/>
              <w:right w:val="single" w:color="auto" w:sz="4" w:space="0"/>
            </w:tcBorders>
            <w:vAlign w:val="center"/>
          </w:tcPr>
          <w:p w14:paraId="4D3E5DD4">
            <w:pPr>
              <w:jc w:val="center"/>
              <w:rPr>
                <w:rFonts w:hint="eastAsia" w:ascii="宋体" w:hAnsi="宋体" w:eastAsia="宋体" w:cs="宋体"/>
                <w:color w:val="auto"/>
                <w:sz w:val="24"/>
                <w:szCs w:val="24"/>
                <w:highlight w:val="none"/>
              </w:rPr>
            </w:pPr>
          </w:p>
        </w:tc>
        <w:tc>
          <w:tcPr>
            <w:tcW w:w="1510" w:type="pct"/>
            <w:tcBorders>
              <w:top w:val="single" w:color="auto" w:sz="4" w:space="0"/>
              <w:left w:val="nil"/>
              <w:bottom w:val="single" w:color="auto" w:sz="4" w:space="0"/>
              <w:right w:val="single" w:color="auto" w:sz="4" w:space="0"/>
            </w:tcBorders>
            <w:vAlign w:val="center"/>
          </w:tcPr>
          <w:p w14:paraId="6CA275CA">
            <w:pPr>
              <w:jc w:val="center"/>
              <w:rPr>
                <w:rFonts w:hint="eastAsia" w:ascii="宋体" w:hAnsi="宋体" w:eastAsia="宋体" w:cs="宋体"/>
                <w:color w:val="auto"/>
                <w:sz w:val="24"/>
                <w:szCs w:val="24"/>
                <w:highlight w:val="none"/>
              </w:rPr>
            </w:pPr>
          </w:p>
        </w:tc>
        <w:tc>
          <w:tcPr>
            <w:tcW w:w="475" w:type="pct"/>
            <w:tcBorders>
              <w:top w:val="single" w:color="auto" w:sz="4" w:space="0"/>
              <w:left w:val="nil"/>
              <w:bottom w:val="single" w:color="auto" w:sz="4" w:space="0"/>
              <w:right w:val="single" w:color="auto" w:sz="4" w:space="0"/>
            </w:tcBorders>
            <w:vAlign w:val="center"/>
          </w:tcPr>
          <w:p w14:paraId="2F8DB62D">
            <w:pPr>
              <w:jc w:val="center"/>
              <w:rPr>
                <w:rFonts w:hint="eastAsia" w:ascii="宋体" w:hAnsi="宋体" w:eastAsia="宋体" w:cs="宋体"/>
                <w:color w:val="auto"/>
                <w:sz w:val="24"/>
                <w:szCs w:val="24"/>
                <w:highlight w:val="none"/>
              </w:rPr>
            </w:pPr>
          </w:p>
        </w:tc>
      </w:tr>
    </w:tbl>
    <w:p w14:paraId="196FA098">
      <w:pPr>
        <w:spacing w:line="360" w:lineRule="auto"/>
        <w:ind w:firstLine="435"/>
        <w:outlineLvl w:val="2"/>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1.2技术响应表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1560"/>
        <w:gridCol w:w="2864"/>
        <w:gridCol w:w="2483"/>
        <w:gridCol w:w="855"/>
      </w:tblGrid>
      <w:tr w14:paraId="54988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446" w:type="pct"/>
            <w:tcBorders>
              <w:top w:val="single" w:color="auto" w:sz="4" w:space="0"/>
              <w:left w:val="single" w:color="auto" w:sz="4" w:space="0"/>
              <w:bottom w:val="single" w:color="auto" w:sz="4" w:space="0"/>
              <w:right w:val="single" w:color="auto" w:sz="4" w:space="0"/>
            </w:tcBorders>
            <w:vAlign w:val="center"/>
          </w:tcPr>
          <w:p w14:paraId="6A70B01F">
            <w:pPr>
              <w:pStyle w:val="21"/>
              <w:spacing w:before="0" w:beforeAutospacing="0" w:after="0" w:afterAutospacing="0"/>
              <w:jc w:val="center"/>
              <w:rPr>
                <w:rFonts w:hint="eastAsia" w:ascii="宋体" w:hAnsi="宋体" w:eastAsia="宋体" w:cs="宋体"/>
                <w:b/>
                <w:color w:val="auto"/>
                <w:kern w:val="2"/>
                <w:szCs w:val="24"/>
                <w:highlight w:val="none"/>
              </w:rPr>
            </w:pPr>
            <w:r>
              <w:rPr>
                <w:rFonts w:hint="eastAsia" w:ascii="宋体" w:hAnsi="宋体" w:eastAsia="宋体" w:cs="宋体"/>
                <w:b/>
                <w:color w:val="auto"/>
                <w:kern w:val="2"/>
                <w:szCs w:val="24"/>
                <w:highlight w:val="none"/>
                <w:lang w:bidi="ar"/>
              </w:rPr>
              <w:t>序号</w:t>
            </w:r>
          </w:p>
        </w:tc>
        <w:tc>
          <w:tcPr>
            <w:tcW w:w="915" w:type="pct"/>
            <w:tcBorders>
              <w:top w:val="single" w:color="auto" w:sz="4" w:space="0"/>
              <w:left w:val="nil"/>
              <w:bottom w:val="single" w:color="auto" w:sz="4" w:space="0"/>
              <w:right w:val="single" w:color="auto" w:sz="4" w:space="0"/>
            </w:tcBorders>
            <w:vAlign w:val="center"/>
          </w:tcPr>
          <w:p w14:paraId="00218B5A">
            <w:pPr>
              <w:pStyle w:val="21"/>
              <w:spacing w:before="0" w:beforeAutospacing="0" w:after="0" w:afterAutospacing="0"/>
              <w:jc w:val="center"/>
              <w:rPr>
                <w:rFonts w:hint="eastAsia" w:ascii="宋体" w:hAnsi="宋体" w:eastAsia="宋体" w:cs="宋体"/>
                <w:b/>
                <w:color w:val="auto"/>
                <w:kern w:val="2"/>
                <w:szCs w:val="24"/>
                <w:highlight w:val="none"/>
              </w:rPr>
            </w:pPr>
            <w:r>
              <w:rPr>
                <w:rFonts w:hint="eastAsia" w:ascii="宋体" w:hAnsi="宋体" w:eastAsia="宋体" w:cs="宋体"/>
                <w:b/>
                <w:bCs/>
                <w:color w:val="auto"/>
                <w:kern w:val="2"/>
                <w:szCs w:val="24"/>
                <w:highlight w:val="none"/>
                <w:lang w:bidi="ar"/>
              </w:rPr>
              <w:t>货物名称</w:t>
            </w:r>
          </w:p>
        </w:tc>
        <w:tc>
          <w:tcPr>
            <w:tcW w:w="1680" w:type="pct"/>
            <w:tcBorders>
              <w:top w:val="single" w:color="auto" w:sz="4" w:space="0"/>
              <w:left w:val="nil"/>
              <w:bottom w:val="single" w:color="auto" w:sz="4" w:space="0"/>
              <w:right w:val="single" w:color="auto" w:sz="4" w:space="0"/>
            </w:tcBorders>
            <w:vAlign w:val="center"/>
          </w:tcPr>
          <w:p w14:paraId="21EBB95D">
            <w:pPr>
              <w:pStyle w:val="21"/>
              <w:spacing w:before="0" w:beforeAutospacing="0" w:after="0" w:afterAutospacing="0"/>
              <w:jc w:val="center"/>
              <w:rPr>
                <w:rFonts w:hint="eastAsia" w:ascii="宋体" w:hAnsi="宋体" w:eastAsia="宋体" w:cs="宋体"/>
                <w:b/>
                <w:color w:val="auto"/>
                <w:kern w:val="2"/>
                <w:szCs w:val="24"/>
                <w:highlight w:val="none"/>
              </w:rPr>
            </w:pPr>
            <w:r>
              <w:rPr>
                <w:rFonts w:hint="eastAsia" w:ascii="宋体" w:hAnsi="宋体" w:eastAsia="宋体" w:cs="宋体"/>
                <w:b/>
                <w:color w:val="auto"/>
                <w:kern w:val="2"/>
                <w:szCs w:val="24"/>
                <w:highlight w:val="none"/>
                <w:lang w:bidi="ar"/>
              </w:rPr>
              <w:t>招标文件规定的技术参数及要求</w:t>
            </w:r>
          </w:p>
        </w:tc>
        <w:tc>
          <w:tcPr>
            <w:tcW w:w="1456" w:type="pct"/>
            <w:tcBorders>
              <w:top w:val="single" w:color="auto" w:sz="4" w:space="0"/>
              <w:left w:val="nil"/>
              <w:bottom w:val="single" w:color="auto" w:sz="4" w:space="0"/>
              <w:right w:val="single" w:color="auto" w:sz="4" w:space="0"/>
            </w:tcBorders>
            <w:vAlign w:val="center"/>
          </w:tcPr>
          <w:p w14:paraId="6B32EB11">
            <w:pPr>
              <w:pStyle w:val="21"/>
              <w:spacing w:before="0" w:beforeAutospacing="0" w:after="0" w:afterAutospacing="0"/>
              <w:jc w:val="center"/>
              <w:rPr>
                <w:rFonts w:hint="eastAsia" w:ascii="宋体" w:hAnsi="宋体" w:eastAsia="宋体" w:cs="宋体"/>
                <w:b/>
                <w:color w:val="auto"/>
                <w:kern w:val="2"/>
                <w:szCs w:val="24"/>
                <w:highlight w:val="none"/>
              </w:rPr>
            </w:pPr>
            <w:r>
              <w:rPr>
                <w:rFonts w:hint="eastAsia" w:ascii="宋体" w:hAnsi="宋体" w:eastAsia="宋体" w:cs="宋体"/>
                <w:b/>
                <w:color w:val="auto"/>
                <w:kern w:val="2"/>
                <w:szCs w:val="24"/>
                <w:highlight w:val="none"/>
                <w:lang w:bidi="ar"/>
              </w:rPr>
              <w:t>所投产品的品牌、型号及技术参数</w:t>
            </w:r>
          </w:p>
        </w:tc>
        <w:tc>
          <w:tcPr>
            <w:tcW w:w="501" w:type="pct"/>
            <w:tcBorders>
              <w:top w:val="single" w:color="auto" w:sz="4" w:space="0"/>
              <w:left w:val="nil"/>
              <w:bottom w:val="single" w:color="auto" w:sz="4" w:space="0"/>
              <w:right w:val="single" w:color="auto" w:sz="4" w:space="0"/>
            </w:tcBorders>
            <w:vAlign w:val="center"/>
          </w:tcPr>
          <w:p w14:paraId="1B70E1F1">
            <w:pPr>
              <w:pStyle w:val="21"/>
              <w:spacing w:before="0" w:beforeAutospacing="0" w:after="0" w:afterAutospacing="0"/>
              <w:jc w:val="center"/>
              <w:rPr>
                <w:rFonts w:hint="eastAsia" w:ascii="宋体" w:hAnsi="宋体" w:eastAsia="宋体" w:cs="宋体"/>
                <w:b/>
                <w:color w:val="auto"/>
                <w:kern w:val="2"/>
                <w:szCs w:val="24"/>
                <w:highlight w:val="none"/>
              </w:rPr>
            </w:pPr>
            <w:r>
              <w:rPr>
                <w:rFonts w:hint="eastAsia" w:ascii="宋体" w:hAnsi="宋体" w:eastAsia="宋体" w:cs="宋体"/>
                <w:b/>
                <w:color w:val="auto"/>
                <w:kern w:val="2"/>
                <w:szCs w:val="24"/>
                <w:highlight w:val="none"/>
                <w:lang w:bidi="ar"/>
              </w:rPr>
              <w:t>偏离说明</w:t>
            </w:r>
          </w:p>
        </w:tc>
      </w:tr>
      <w:tr w14:paraId="2749A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tcBorders>
              <w:top w:val="single" w:color="auto" w:sz="4" w:space="0"/>
              <w:left w:val="single" w:color="auto" w:sz="4" w:space="0"/>
              <w:bottom w:val="single" w:color="auto" w:sz="4" w:space="0"/>
              <w:right w:val="single" w:color="auto" w:sz="4" w:space="0"/>
            </w:tcBorders>
            <w:vAlign w:val="center"/>
          </w:tcPr>
          <w:p w14:paraId="7AFDBAA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w:t>
            </w:r>
          </w:p>
        </w:tc>
        <w:tc>
          <w:tcPr>
            <w:tcW w:w="915" w:type="pct"/>
            <w:tcBorders>
              <w:top w:val="single" w:color="auto" w:sz="4" w:space="0"/>
              <w:left w:val="nil"/>
              <w:bottom w:val="single" w:color="auto" w:sz="4" w:space="0"/>
              <w:right w:val="single" w:color="auto" w:sz="4" w:space="0"/>
            </w:tcBorders>
            <w:vAlign w:val="center"/>
          </w:tcPr>
          <w:p w14:paraId="72EF8CD6">
            <w:pPr>
              <w:jc w:val="center"/>
              <w:rPr>
                <w:rFonts w:hint="eastAsia" w:ascii="宋体" w:hAnsi="宋体" w:eastAsia="宋体" w:cs="宋体"/>
                <w:color w:val="auto"/>
                <w:sz w:val="24"/>
                <w:szCs w:val="24"/>
                <w:highlight w:val="none"/>
              </w:rPr>
            </w:pPr>
          </w:p>
        </w:tc>
        <w:tc>
          <w:tcPr>
            <w:tcW w:w="1680" w:type="pct"/>
            <w:tcBorders>
              <w:top w:val="single" w:color="auto" w:sz="4" w:space="0"/>
              <w:left w:val="nil"/>
              <w:bottom w:val="single" w:color="auto" w:sz="4" w:space="0"/>
              <w:right w:val="single" w:color="auto" w:sz="4" w:space="0"/>
            </w:tcBorders>
            <w:vAlign w:val="center"/>
          </w:tcPr>
          <w:p w14:paraId="6AFACFAC">
            <w:pPr>
              <w:jc w:val="center"/>
              <w:rPr>
                <w:rFonts w:hint="eastAsia" w:ascii="宋体" w:hAnsi="宋体" w:eastAsia="宋体" w:cs="宋体"/>
                <w:color w:val="auto"/>
                <w:sz w:val="24"/>
                <w:szCs w:val="24"/>
                <w:highlight w:val="none"/>
              </w:rPr>
            </w:pPr>
          </w:p>
        </w:tc>
        <w:tc>
          <w:tcPr>
            <w:tcW w:w="1456" w:type="pct"/>
            <w:tcBorders>
              <w:top w:val="single" w:color="auto" w:sz="4" w:space="0"/>
              <w:left w:val="nil"/>
              <w:bottom w:val="single" w:color="auto" w:sz="4" w:space="0"/>
              <w:right w:val="single" w:color="auto" w:sz="4" w:space="0"/>
            </w:tcBorders>
            <w:vAlign w:val="center"/>
          </w:tcPr>
          <w:p w14:paraId="32FDE2E9">
            <w:pPr>
              <w:jc w:val="center"/>
              <w:rPr>
                <w:rFonts w:hint="eastAsia" w:ascii="宋体" w:hAnsi="宋体" w:eastAsia="宋体" w:cs="宋体"/>
                <w:color w:val="auto"/>
                <w:sz w:val="24"/>
                <w:szCs w:val="24"/>
                <w:highlight w:val="none"/>
              </w:rPr>
            </w:pPr>
          </w:p>
        </w:tc>
        <w:tc>
          <w:tcPr>
            <w:tcW w:w="501" w:type="pct"/>
            <w:tcBorders>
              <w:top w:val="single" w:color="auto" w:sz="4" w:space="0"/>
              <w:left w:val="nil"/>
              <w:bottom w:val="single" w:color="auto" w:sz="4" w:space="0"/>
              <w:right w:val="single" w:color="auto" w:sz="4" w:space="0"/>
            </w:tcBorders>
            <w:vAlign w:val="center"/>
          </w:tcPr>
          <w:p w14:paraId="50F6CE00">
            <w:pPr>
              <w:jc w:val="center"/>
              <w:rPr>
                <w:rFonts w:hint="eastAsia" w:ascii="宋体" w:hAnsi="宋体" w:eastAsia="宋体" w:cs="宋体"/>
                <w:color w:val="auto"/>
                <w:sz w:val="24"/>
                <w:szCs w:val="24"/>
                <w:highlight w:val="none"/>
              </w:rPr>
            </w:pPr>
          </w:p>
        </w:tc>
      </w:tr>
      <w:tr w14:paraId="45601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tcBorders>
              <w:top w:val="single" w:color="auto" w:sz="4" w:space="0"/>
              <w:left w:val="single" w:color="auto" w:sz="4" w:space="0"/>
              <w:bottom w:val="single" w:color="auto" w:sz="4" w:space="0"/>
              <w:right w:val="single" w:color="auto" w:sz="4" w:space="0"/>
            </w:tcBorders>
            <w:vAlign w:val="center"/>
          </w:tcPr>
          <w:p w14:paraId="4FEBC84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w:t>
            </w:r>
          </w:p>
        </w:tc>
        <w:tc>
          <w:tcPr>
            <w:tcW w:w="915" w:type="pct"/>
            <w:tcBorders>
              <w:top w:val="single" w:color="auto" w:sz="4" w:space="0"/>
              <w:left w:val="nil"/>
              <w:bottom w:val="single" w:color="auto" w:sz="4" w:space="0"/>
              <w:right w:val="single" w:color="auto" w:sz="4" w:space="0"/>
            </w:tcBorders>
            <w:vAlign w:val="center"/>
          </w:tcPr>
          <w:p w14:paraId="236F876A">
            <w:pPr>
              <w:jc w:val="center"/>
              <w:rPr>
                <w:rFonts w:hint="eastAsia" w:ascii="宋体" w:hAnsi="宋体" w:eastAsia="宋体" w:cs="宋体"/>
                <w:color w:val="auto"/>
                <w:sz w:val="24"/>
                <w:szCs w:val="24"/>
                <w:highlight w:val="none"/>
              </w:rPr>
            </w:pPr>
          </w:p>
        </w:tc>
        <w:tc>
          <w:tcPr>
            <w:tcW w:w="1680" w:type="pct"/>
            <w:tcBorders>
              <w:top w:val="single" w:color="auto" w:sz="4" w:space="0"/>
              <w:left w:val="nil"/>
              <w:bottom w:val="single" w:color="auto" w:sz="4" w:space="0"/>
              <w:right w:val="single" w:color="auto" w:sz="4" w:space="0"/>
            </w:tcBorders>
            <w:vAlign w:val="center"/>
          </w:tcPr>
          <w:p w14:paraId="08AAC0C2">
            <w:pPr>
              <w:jc w:val="center"/>
              <w:rPr>
                <w:rFonts w:hint="eastAsia" w:ascii="宋体" w:hAnsi="宋体" w:eastAsia="宋体" w:cs="宋体"/>
                <w:color w:val="auto"/>
                <w:sz w:val="24"/>
                <w:szCs w:val="24"/>
                <w:highlight w:val="none"/>
              </w:rPr>
            </w:pPr>
          </w:p>
        </w:tc>
        <w:tc>
          <w:tcPr>
            <w:tcW w:w="1456" w:type="pct"/>
            <w:tcBorders>
              <w:top w:val="single" w:color="auto" w:sz="4" w:space="0"/>
              <w:left w:val="nil"/>
              <w:bottom w:val="single" w:color="auto" w:sz="4" w:space="0"/>
              <w:right w:val="single" w:color="auto" w:sz="4" w:space="0"/>
            </w:tcBorders>
            <w:vAlign w:val="center"/>
          </w:tcPr>
          <w:p w14:paraId="19B17E63">
            <w:pPr>
              <w:jc w:val="center"/>
              <w:rPr>
                <w:rFonts w:hint="eastAsia" w:ascii="宋体" w:hAnsi="宋体" w:eastAsia="宋体" w:cs="宋体"/>
                <w:color w:val="auto"/>
                <w:sz w:val="24"/>
                <w:szCs w:val="24"/>
                <w:highlight w:val="none"/>
              </w:rPr>
            </w:pPr>
          </w:p>
        </w:tc>
        <w:tc>
          <w:tcPr>
            <w:tcW w:w="501" w:type="pct"/>
            <w:tcBorders>
              <w:top w:val="single" w:color="auto" w:sz="4" w:space="0"/>
              <w:left w:val="nil"/>
              <w:bottom w:val="single" w:color="auto" w:sz="4" w:space="0"/>
              <w:right w:val="single" w:color="auto" w:sz="4" w:space="0"/>
            </w:tcBorders>
            <w:vAlign w:val="center"/>
          </w:tcPr>
          <w:p w14:paraId="494A6060">
            <w:pPr>
              <w:jc w:val="center"/>
              <w:rPr>
                <w:rFonts w:hint="eastAsia" w:ascii="宋体" w:hAnsi="宋体" w:eastAsia="宋体" w:cs="宋体"/>
                <w:color w:val="auto"/>
                <w:sz w:val="24"/>
                <w:szCs w:val="24"/>
                <w:highlight w:val="none"/>
              </w:rPr>
            </w:pPr>
          </w:p>
        </w:tc>
      </w:tr>
      <w:tr w14:paraId="64589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tcBorders>
              <w:top w:val="single" w:color="auto" w:sz="4" w:space="0"/>
              <w:left w:val="single" w:color="auto" w:sz="4" w:space="0"/>
              <w:bottom w:val="single" w:color="auto" w:sz="4" w:space="0"/>
              <w:right w:val="single" w:color="auto" w:sz="4" w:space="0"/>
            </w:tcBorders>
            <w:vAlign w:val="center"/>
          </w:tcPr>
          <w:p w14:paraId="124BD4E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3</w:t>
            </w:r>
          </w:p>
        </w:tc>
        <w:tc>
          <w:tcPr>
            <w:tcW w:w="915" w:type="pct"/>
            <w:tcBorders>
              <w:top w:val="single" w:color="auto" w:sz="4" w:space="0"/>
              <w:left w:val="nil"/>
              <w:bottom w:val="single" w:color="auto" w:sz="4" w:space="0"/>
              <w:right w:val="single" w:color="auto" w:sz="4" w:space="0"/>
            </w:tcBorders>
            <w:vAlign w:val="center"/>
          </w:tcPr>
          <w:p w14:paraId="0232DEA3">
            <w:pPr>
              <w:jc w:val="center"/>
              <w:rPr>
                <w:rFonts w:hint="eastAsia" w:ascii="宋体" w:hAnsi="宋体" w:eastAsia="宋体" w:cs="宋体"/>
                <w:color w:val="auto"/>
                <w:sz w:val="24"/>
                <w:szCs w:val="24"/>
                <w:highlight w:val="none"/>
              </w:rPr>
            </w:pPr>
          </w:p>
        </w:tc>
        <w:tc>
          <w:tcPr>
            <w:tcW w:w="1680" w:type="pct"/>
            <w:tcBorders>
              <w:top w:val="single" w:color="auto" w:sz="4" w:space="0"/>
              <w:left w:val="nil"/>
              <w:bottom w:val="single" w:color="auto" w:sz="4" w:space="0"/>
              <w:right w:val="single" w:color="auto" w:sz="4" w:space="0"/>
            </w:tcBorders>
            <w:vAlign w:val="center"/>
          </w:tcPr>
          <w:p w14:paraId="7493C258">
            <w:pPr>
              <w:jc w:val="center"/>
              <w:rPr>
                <w:rFonts w:hint="eastAsia" w:ascii="宋体" w:hAnsi="宋体" w:eastAsia="宋体" w:cs="宋体"/>
                <w:color w:val="auto"/>
                <w:sz w:val="24"/>
                <w:szCs w:val="24"/>
                <w:highlight w:val="none"/>
              </w:rPr>
            </w:pPr>
          </w:p>
        </w:tc>
        <w:tc>
          <w:tcPr>
            <w:tcW w:w="1456" w:type="pct"/>
            <w:tcBorders>
              <w:top w:val="single" w:color="auto" w:sz="4" w:space="0"/>
              <w:left w:val="nil"/>
              <w:bottom w:val="single" w:color="auto" w:sz="4" w:space="0"/>
              <w:right w:val="single" w:color="auto" w:sz="4" w:space="0"/>
            </w:tcBorders>
            <w:vAlign w:val="center"/>
          </w:tcPr>
          <w:p w14:paraId="63938D79">
            <w:pPr>
              <w:pStyle w:val="21"/>
              <w:spacing w:before="0" w:beforeAutospacing="0" w:after="0" w:afterAutospacing="0"/>
              <w:jc w:val="center"/>
              <w:rPr>
                <w:rFonts w:hint="eastAsia" w:ascii="宋体" w:hAnsi="宋体" w:eastAsia="宋体" w:cs="宋体"/>
                <w:color w:val="auto"/>
                <w:kern w:val="2"/>
                <w:szCs w:val="24"/>
                <w:highlight w:val="none"/>
              </w:rPr>
            </w:pPr>
          </w:p>
        </w:tc>
        <w:tc>
          <w:tcPr>
            <w:tcW w:w="501" w:type="pct"/>
            <w:tcBorders>
              <w:top w:val="single" w:color="auto" w:sz="4" w:space="0"/>
              <w:left w:val="nil"/>
              <w:bottom w:val="single" w:color="auto" w:sz="4" w:space="0"/>
              <w:right w:val="single" w:color="auto" w:sz="4" w:space="0"/>
            </w:tcBorders>
            <w:vAlign w:val="center"/>
          </w:tcPr>
          <w:p w14:paraId="2EA75444">
            <w:pPr>
              <w:jc w:val="center"/>
              <w:rPr>
                <w:rFonts w:hint="eastAsia" w:ascii="宋体" w:hAnsi="宋体" w:eastAsia="宋体" w:cs="宋体"/>
                <w:color w:val="auto"/>
                <w:sz w:val="24"/>
                <w:szCs w:val="24"/>
                <w:highlight w:val="none"/>
              </w:rPr>
            </w:pPr>
          </w:p>
        </w:tc>
      </w:tr>
      <w:tr w14:paraId="7EAFE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tcBorders>
              <w:top w:val="single" w:color="auto" w:sz="4" w:space="0"/>
              <w:left w:val="single" w:color="auto" w:sz="4" w:space="0"/>
              <w:bottom w:val="single" w:color="auto" w:sz="4" w:space="0"/>
              <w:right w:val="single" w:color="auto" w:sz="4" w:space="0"/>
            </w:tcBorders>
            <w:vAlign w:val="center"/>
          </w:tcPr>
          <w:p w14:paraId="34D1572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4</w:t>
            </w:r>
          </w:p>
        </w:tc>
        <w:tc>
          <w:tcPr>
            <w:tcW w:w="915" w:type="pct"/>
            <w:tcBorders>
              <w:top w:val="single" w:color="auto" w:sz="4" w:space="0"/>
              <w:left w:val="nil"/>
              <w:bottom w:val="single" w:color="auto" w:sz="4" w:space="0"/>
              <w:right w:val="single" w:color="auto" w:sz="4" w:space="0"/>
            </w:tcBorders>
            <w:vAlign w:val="center"/>
          </w:tcPr>
          <w:p w14:paraId="5E0838BF">
            <w:pPr>
              <w:jc w:val="center"/>
              <w:rPr>
                <w:rFonts w:hint="eastAsia" w:ascii="宋体" w:hAnsi="宋体" w:eastAsia="宋体" w:cs="宋体"/>
                <w:color w:val="auto"/>
                <w:sz w:val="24"/>
                <w:szCs w:val="24"/>
                <w:highlight w:val="none"/>
              </w:rPr>
            </w:pPr>
          </w:p>
        </w:tc>
        <w:tc>
          <w:tcPr>
            <w:tcW w:w="1680" w:type="pct"/>
            <w:tcBorders>
              <w:top w:val="single" w:color="auto" w:sz="4" w:space="0"/>
              <w:left w:val="nil"/>
              <w:bottom w:val="single" w:color="auto" w:sz="4" w:space="0"/>
              <w:right w:val="single" w:color="auto" w:sz="4" w:space="0"/>
            </w:tcBorders>
            <w:vAlign w:val="center"/>
          </w:tcPr>
          <w:p w14:paraId="7C75D438">
            <w:pPr>
              <w:jc w:val="center"/>
              <w:rPr>
                <w:rFonts w:hint="eastAsia" w:ascii="宋体" w:hAnsi="宋体" w:eastAsia="宋体" w:cs="宋体"/>
                <w:color w:val="auto"/>
                <w:sz w:val="24"/>
                <w:szCs w:val="24"/>
                <w:highlight w:val="none"/>
              </w:rPr>
            </w:pPr>
          </w:p>
        </w:tc>
        <w:tc>
          <w:tcPr>
            <w:tcW w:w="1456" w:type="pct"/>
            <w:tcBorders>
              <w:top w:val="single" w:color="auto" w:sz="4" w:space="0"/>
              <w:left w:val="nil"/>
              <w:bottom w:val="single" w:color="auto" w:sz="4" w:space="0"/>
              <w:right w:val="single" w:color="auto" w:sz="4" w:space="0"/>
            </w:tcBorders>
            <w:vAlign w:val="center"/>
          </w:tcPr>
          <w:p w14:paraId="4F5B6A92">
            <w:pPr>
              <w:pStyle w:val="21"/>
              <w:spacing w:before="0" w:beforeAutospacing="0" w:after="0" w:afterAutospacing="0"/>
              <w:jc w:val="center"/>
              <w:rPr>
                <w:rFonts w:hint="eastAsia" w:ascii="宋体" w:hAnsi="宋体" w:eastAsia="宋体" w:cs="宋体"/>
                <w:color w:val="auto"/>
                <w:kern w:val="2"/>
                <w:szCs w:val="24"/>
                <w:highlight w:val="none"/>
              </w:rPr>
            </w:pPr>
          </w:p>
        </w:tc>
        <w:tc>
          <w:tcPr>
            <w:tcW w:w="501" w:type="pct"/>
            <w:tcBorders>
              <w:top w:val="single" w:color="auto" w:sz="4" w:space="0"/>
              <w:left w:val="nil"/>
              <w:bottom w:val="single" w:color="auto" w:sz="4" w:space="0"/>
              <w:right w:val="single" w:color="auto" w:sz="4" w:space="0"/>
            </w:tcBorders>
            <w:vAlign w:val="center"/>
          </w:tcPr>
          <w:p w14:paraId="01143132">
            <w:pPr>
              <w:jc w:val="center"/>
              <w:rPr>
                <w:rFonts w:hint="eastAsia" w:ascii="宋体" w:hAnsi="宋体" w:eastAsia="宋体" w:cs="宋体"/>
                <w:color w:val="auto"/>
                <w:sz w:val="24"/>
                <w:szCs w:val="24"/>
                <w:highlight w:val="none"/>
              </w:rPr>
            </w:pPr>
          </w:p>
        </w:tc>
      </w:tr>
      <w:tr w14:paraId="6EB7A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tcBorders>
              <w:top w:val="single" w:color="auto" w:sz="4" w:space="0"/>
              <w:left w:val="single" w:color="auto" w:sz="4" w:space="0"/>
              <w:bottom w:val="single" w:color="auto" w:sz="4" w:space="0"/>
              <w:right w:val="single" w:color="auto" w:sz="4" w:space="0"/>
            </w:tcBorders>
            <w:vAlign w:val="center"/>
          </w:tcPr>
          <w:p w14:paraId="3DA0EF9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w:t>
            </w:r>
          </w:p>
        </w:tc>
        <w:tc>
          <w:tcPr>
            <w:tcW w:w="915" w:type="pct"/>
            <w:tcBorders>
              <w:top w:val="single" w:color="auto" w:sz="4" w:space="0"/>
              <w:left w:val="nil"/>
              <w:bottom w:val="single" w:color="auto" w:sz="4" w:space="0"/>
              <w:right w:val="single" w:color="auto" w:sz="4" w:space="0"/>
            </w:tcBorders>
            <w:vAlign w:val="center"/>
          </w:tcPr>
          <w:p w14:paraId="62145FFA">
            <w:pPr>
              <w:jc w:val="center"/>
              <w:rPr>
                <w:rFonts w:hint="eastAsia" w:ascii="宋体" w:hAnsi="宋体" w:eastAsia="宋体" w:cs="宋体"/>
                <w:color w:val="auto"/>
                <w:sz w:val="24"/>
                <w:szCs w:val="24"/>
                <w:highlight w:val="none"/>
              </w:rPr>
            </w:pPr>
          </w:p>
        </w:tc>
        <w:tc>
          <w:tcPr>
            <w:tcW w:w="1680" w:type="pct"/>
            <w:tcBorders>
              <w:top w:val="single" w:color="auto" w:sz="4" w:space="0"/>
              <w:left w:val="nil"/>
              <w:bottom w:val="single" w:color="auto" w:sz="4" w:space="0"/>
              <w:right w:val="single" w:color="auto" w:sz="4" w:space="0"/>
            </w:tcBorders>
            <w:vAlign w:val="center"/>
          </w:tcPr>
          <w:p w14:paraId="42B2D7C8">
            <w:pPr>
              <w:jc w:val="center"/>
              <w:rPr>
                <w:rFonts w:hint="eastAsia" w:ascii="宋体" w:hAnsi="宋体" w:eastAsia="宋体" w:cs="宋体"/>
                <w:color w:val="auto"/>
                <w:sz w:val="24"/>
                <w:szCs w:val="24"/>
                <w:highlight w:val="none"/>
              </w:rPr>
            </w:pPr>
          </w:p>
        </w:tc>
        <w:tc>
          <w:tcPr>
            <w:tcW w:w="1456" w:type="pct"/>
            <w:tcBorders>
              <w:top w:val="single" w:color="auto" w:sz="4" w:space="0"/>
              <w:left w:val="nil"/>
              <w:bottom w:val="single" w:color="auto" w:sz="4" w:space="0"/>
              <w:right w:val="single" w:color="auto" w:sz="4" w:space="0"/>
            </w:tcBorders>
            <w:vAlign w:val="center"/>
          </w:tcPr>
          <w:p w14:paraId="620CE4F4">
            <w:pPr>
              <w:jc w:val="center"/>
              <w:rPr>
                <w:rFonts w:hint="eastAsia" w:ascii="宋体" w:hAnsi="宋体" w:eastAsia="宋体" w:cs="宋体"/>
                <w:color w:val="auto"/>
                <w:sz w:val="24"/>
                <w:szCs w:val="24"/>
                <w:highlight w:val="none"/>
              </w:rPr>
            </w:pPr>
          </w:p>
        </w:tc>
        <w:tc>
          <w:tcPr>
            <w:tcW w:w="501" w:type="pct"/>
            <w:tcBorders>
              <w:top w:val="single" w:color="auto" w:sz="4" w:space="0"/>
              <w:left w:val="nil"/>
              <w:bottom w:val="single" w:color="auto" w:sz="4" w:space="0"/>
              <w:right w:val="single" w:color="auto" w:sz="4" w:space="0"/>
            </w:tcBorders>
            <w:vAlign w:val="center"/>
          </w:tcPr>
          <w:p w14:paraId="23B8418E">
            <w:pPr>
              <w:jc w:val="center"/>
              <w:rPr>
                <w:rFonts w:hint="eastAsia" w:ascii="宋体" w:hAnsi="宋体" w:eastAsia="宋体" w:cs="宋体"/>
                <w:color w:val="auto"/>
                <w:sz w:val="24"/>
                <w:szCs w:val="24"/>
                <w:highlight w:val="none"/>
              </w:rPr>
            </w:pPr>
          </w:p>
        </w:tc>
      </w:tr>
    </w:tbl>
    <w:p w14:paraId="15AA5FF8">
      <w:pPr>
        <w:spacing w:line="360" w:lineRule="auto"/>
        <w:ind w:firstLine="4800" w:firstLineChars="20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bidi="ar"/>
        </w:rPr>
        <w:t>投标人电子签章：</w:t>
      </w:r>
      <w:r>
        <w:rPr>
          <w:rFonts w:hint="eastAsia" w:ascii="宋体" w:hAnsi="宋体" w:eastAsia="宋体" w:cs="宋体"/>
          <w:color w:val="auto"/>
          <w:sz w:val="24"/>
          <w:szCs w:val="24"/>
          <w:highlight w:val="none"/>
          <w:u w:val="single"/>
          <w:lang w:bidi="ar"/>
        </w:rPr>
        <w:t xml:space="preserve">             </w:t>
      </w:r>
    </w:p>
    <w:p w14:paraId="44306477">
      <w:pPr>
        <w:spacing w:line="360" w:lineRule="auto"/>
        <w:ind w:firstLine="4800" w:firstLineChars="20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bidi="ar"/>
        </w:rPr>
        <w:t>日          期：</w:t>
      </w:r>
      <w:r>
        <w:rPr>
          <w:rFonts w:hint="eastAsia" w:ascii="宋体" w:hAnsi="宋体" w:eastAsia="宋体" w:cs="宋体"/>
          <w:color w:val="auto"/>
          <w:sz w:val="24"/>
          <w:szCs w:val="24"/>
          <w:highlight w:val="none"/>
          <w:u w:val="single"/>
          <w:lang w:bidi="ar"/>
        </w:rPr>
        <w:t xml:space="preserve">             </w:t>
      </w:r>
    </w:p>
    <w:p w14:paraId="0F8B0BFD">
      <w:pPr>
        <w:spacing w:line="360" w:lineRule="auto"/>
        <w:jc w:val="center"/>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 xml:space="preserve"> </w:t>
      </w:r>
    </w:p>
    <w:p w14:paraId="6457ABD2">
      <w:pPr>
        <w:spacing w:line="360" w:lineRule="auto"/>
        <w:jc w:val="center"/>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 xml:space="preserve"> </w:t>
      </w:r>
    </w:p>
    <w:p w14:paraId="12677900">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br w:type="page"/>
      </w:r>
    </w:p>
    <w:p w14:paraId="2699A315">
      <w:pPr>
        <w:spacing w:line="360" w:lineRule="auto"/>
        <w:jc w:val="center"/>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（2）诚信履约承诺函</w:t>
      </w:r>
    </w:p>
    <w:p w14:paraId="6F122B4D">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 xml:space="preserve"> </w:t>
      </w:r>
    </w:p>
    <w:p w14:paraId="27141E89">
      <w:pPr>
        <w:spacing w:line="360" w:lineRule="auto"/>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lang w:bidi="ar"/>
        </w:rPr>
        <w:t>致：采购人</w:t>
      </w:r>
    </w:p>
    <w:p w14:paraId="49E44775">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如我单位被确定为本项目中标人，我单位承诺在合同签订及履约过程中将严格执行《中华人民共和国政府采购法》、《中华人民共和国政府采购法实施条例》及本项目采购文件中关于合同签订及履约的相关规定，不出现以下情形：</w:t>
      </w:r>
    </w:p>
    <w:p w14:paraId="55963D9A">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（1）中标或者成交后无正当理由拒不与采购人签订政府采购合同；</w:t>
      </w:r>
    </w:p>
    <w:p w14:paraId="7FC61E93">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（2）未按照采购文件确定的事项签订政府采购合同；</w:t>
      </w:r>
    </w:p>
    <w:p w14:paraId="6E8FE13D">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（3）将政府采购合同转包；</w:t>
      </w:r>
    </w:p>
    <w:p w14:paraId="20C0DA79">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（4）提供假冒伪劣产品；</w:t>
      </w:r>
    </w:p>
    <w:p w14:paraId="218A0A6F">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（5）擅自变更、中止或者终止政府采购合同。</w:t>
      </w:r>
    </w:p>
    <w:p w14:paraId="47BEF9D3">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本单位知悉如出现上述情形，将会被依法追究法律责任，可能的处理结果有：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0482E1A8">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本承诺声明：</w:t>
      </w:r>
      <w:r>
        <w:rPr>
          <w:rFonts w:hint="eastAsia" w:ascii="宋体" w:hAnsi="宋体" w:eastAsia="宋体" w:cs="宋体"/>
          <w:bCs/>
          <w:color w:val="auto"/>
          <w:sz w:val="24"/>
          <w:szCs w:val="24"/>
          <w:highlight w:val="none"/>
          <w:u w:val="single"/>
          <w:lang w:bidi="ar"/>
        </w:rPr>
        <w:t xml:space="preserve">                   （投标人名称）</w:t>
      </w:r>
      <w:r>
        <w:rPr>
          <w:rFonts w:hint="eastAsia" w:ascii="宋体" w:hAnsi="宋体" w:eastAsia="宋体" w:cs="宋体"/>
          <w:bCs/>
          <w:color w:val="auto"/>
          <w:sz w:val="24"/>
          <w:szCs w:val="24"/>
          <w:highlight w:val="none"/>
          <w:lang w:bidi="ar"/>
        </w:rPr>
        <w:t>对本招标文件的相关要求完全响应。若有幸中标将严格按照以上承诺进行供货和服务。</w:t>
      </w:r>
    </w:p>
    <w:p w14:paraId="2C17A0E1">
      <w:pPr>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 xml:space="preserve"> </w:t>
      </w:r>
    </w:p>
    <w:p w14:paraId="2183B015">
      <w:pPr>
        <w:spacing w:line="360" w:lineRule="auto"/>
        <w:ind w:firstLine="4320" w:firstLineChars="18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 xml:space="preserve"> </w:t>
      </w:r>
    </w:p>
    <w:p w14:paraId="5406CF06">
      <w:pPr>
        <w:spacing w:line="360" w:lineRule="auto"/>
        <w:ind w:firstLine="4320" w:firstLineChars="18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lang w:bidi="ar"/>
        </w:rPr>
        <w:t>投标人电子签章：</w:t>
      </w:r>
      <w:r>
        <w:rPr>
          <w:rFonts w:hint="eastAsia" w:ascii="宋体" w:hAnsi="宋体" w:eastAsia="宋体" w:cs="宋体"/>
          <w:bCs/>
          <w:color w:val="auto"/>
          <w:sz w:val="24"/>
          <w:szCs w:val="24"/>
          <w:highlight w:val="none"/>
          <w:u w:val="single"/>
          <w:lang w:bidi="ar"/>
        </w:rPr>
        <w:t xml:space="preserve">             </w:t>
      </w:r>
    </w:p>
    <w:p w14:paraId="2440F844">
      <w:pPr>
        <w:spacing w:line="360" w:lineRule="auto"/>
        <w:ind w:firstLine="4320" w:firstLineChars="18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日          期：</w:t>
      </w:r>
      <w:r>
        <w:rPr>
          <w:rFonts w:hint="eastAsia" w:ascii="宋体" w:hAnsi="宋体" w:eastAsia="宋体" w:cs="宋体"/>
          <w:bCs/>
          <w:color w:val="auto"/>
          <w:sz w:val="24"/>
          <w:szCs w:val="24"/>
          <w:highlight w:val="none"/>
          <w:u w:val="single"/>
          <w:lang w:bidi="ar"/>
        </w:rPr>
        <w:t xml:space="preserve">             </w:t>
      </w:r>
    </w:p>
    <w:p w14:paraId="6B810F6F">
      <w:pPr>
        <w:spacing w:line="360" w:lineRule="auto"/>
        <w:jc w:val="center"/>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 xml:space="preserve"> </w:t>
      </w:r>
    </w:p>
    <w:p w14:paraId="513A0125">
      <w:pPr>
        <w:spacing w:line="360" w:lineRule="auto"/>
        <w:jc w:val="center"/>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 xml:space="preserve"> </w:t>
      </w:r>
    </w:p>
    <w:p w14:paraId="394AD0F8">
      <w:pP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bidi="ar"/>
        </w:rPr>
        <w:br w:type="page"/>
      </w:r>
    </w:p>
    <w:p w14:paraId="063F7C7C">
      <w:pP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bidi="ar"/>
        </w:rPr>
        <w:t>三、商务标格式文件</w:t>
      </w:r>
    </w:p>
    <w:p w14:paraId="4C9751FA">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lang w:bidi="ar"/>
        </w:rPr>
        <w:t xml:space="preserve"> </w:t>
      </w:r>
    </w:p>
    <w:p w14:paraId="6430AEBF">
      <w:pPr>
        <w:rPr>
          <w:rFonts w:hint="eastAsia" w:ascii="宋体" w:hAnsi="宋体" w:eastAsia="宋体" w:cs="宋体"/>
          <w:color w:val="auto"/>
          <w:sz w:val="20"/>
          <w:highlight w:val="none"/>
        </w:rPr>
      </w:pPr>
      <w:r>
        <w:rPr>
          <w:rFonts w:hint="eastAsia" w:ascii="宋体" w:hAnsi="宋体" w:eastAsia="宋体" w:cs="宋体"/>
          <w:color w:val="auto"/>
          <w:sz w:val="20"/>
          <w:highlight w:val="none"/>
          <w:lang w:bidi="ar"/>
        </w:rPr>
        <w:t xml:space="preserve"> </w:t>
      </w:r>
    </w:p>
    <w:p w14:paraId="3AACC7CE">
      <w:pPr>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lang w:bidi="ar"/>
        </w:rPr>
        <w:t xml:space="preserve"> </w:t>
      </w:r>
    </w:p>
    <w:p w14:paraId="1179EB54">
      <w:pPr>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lang w:bidi="ar"/>
        </w:rPr>
        <w:t xml:space="preserve"> </w:t>
      </w:r>
    </w:p>
    <w:p w14:paraId="0D459F8E">
      <w:pPr>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lang w:bidi="ar"/>
        </w:rPr>
        <w:t>商务标</w:t>
      </w:r>
    </w:p>
    <w:p w14:paraId="4306BA3E">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lang w:bidi="ar"/>
        </w:rPr>
        <w:t>（投标文件三）</w:t>
      </w:r>
    </w:p>
    <w:p w14:paraId="7423A414">
      <w:pPr>
        <w:jc w:val="center"/>
        <w:rPr>
          <w:rFonts w:hint="eastAsia" w:ascii="宋体" w:hAnsi="宋体" w:eastAsia="宋体" w:cs="宋体"/>
          <w:color w:val="auto"/>
          <w:sz w:val="32"/>
          <w:szCs w:val="32"/>
          <w:highlight w:val="none"/>
          <w:u w:val="single"/>
        </w:rPr>
      </w:pPr>
    </w:p>
    <w:p w14:paraId="165A7F04">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u w:val="single"/>
          <w:lang w:bidi="ar"/>
        </w:rPr>
        <w:t xml:space="preserve">        </w:t>
      </w:r>
      <w:r>
        <w:rPr>
          <w:rFonts w:hint="eastAsia" w:ascii="宋体" w:hAnsi="宋体" w:eastAsia="宋体" w:cs="宋体"/>
          <w:color w:val="auto"/>
          <w:sz w:val="32"/>
          <w:szCs w:val="32"/>
          <w:highlight w:val="none"/>
          <w:lang w:bidi="ar"/>
        </w:rPr>
        <w:t>项目</w:t>
      </w:r>
    </w:p>
    <w:p w14:paraId="28C777B9">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 xml:space="preserve"> </w:t>
      </w:r>
    </w:p>
    <w:p w14:paraId="0748C1B0">
      <w:pPr>
        <w:jc w:val="center"/>
        <w:rPr>
          <w:rFonts w:hint="eastAsia" w:ascii="宋体" w:hAnsi="宋体" w:eastAsia="宋体" w:cs="宋体"/>
          <w:color w:val="auto"/>
          <w:sz w:val="44"/>
          <w:szCs w:val="44"/>
          <w:highlight w:val="none"/>
        </w:rPr>
      </w:pPr>
      <w:r>
        <w:rPr>
          <w:rFonts w:hint="eastAsia" w:ascii="宋体" w:hAnsi="宋体" w:eastAsia="宋体" w:cs="宋体"/>
          <w:color w:val="auto"/>
          <w:sz w:val="28"/>
          <w:szCs w:val="28"/>
          <w:highlight w:val="none"/>
          <w:lang w:bidi="ar"/>
        </w:rPr>
        <w:t>项目编号：</w:t>
      </w:r>
      <w:r>
        <w:rPr>
          <w:rFonts w:hint="eastAsia" w:ascii="宋体" w:hAnsi="宋体" w:eastAsia="宋体" w:cs="宋体"/>
          <w:color w:val="auto"/>
          <w:sz w:val="28"/>
          <w:szCs w:val="28"/>
          <w:highlight w:val="none"/>
          <w:u w:val="single"/>
          <w:lang w:bidi="ar"/>
        </w:rPr>
        <w:t xml:space="preserve">     </w:t>
      </w:r>
    </w:p>
    <w:p w14:paraId="0D3B2960">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 xml:space="preserve"> </w:t>
      </w:r>
    </w:p>
    <w:p w14:paraId="31AEF056">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 xml:space="preserve"> </w:t>
      </w:r>
    </w:p>
    <w:p w14:paraId="1F46F061">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 xml:space="preserve"> </w:t>
      </w:r>
    </w:p>
    <w:p w14:paraId="7F808A9B">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 xml:space="preserve"> </w:t>
      </w:r>
    </w:p>
    <w:p w14:paraId="0152668E">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 xml:space="preserve"> </w:t>
      </w:r>
    </w:p>
    <w:p w14:paraId="51350E02">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 xml:space="preserve"> </w:t>
      </w:r>
    </w:p>
    <w:p w14:paraId="7B6733F2">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 xml:space="preserve"> </w:t>
      </w:r>
    </w:p>
    <w:p w14:paraId="4140D2AF">
      <w:pPr>
        <w:autoSpaceDE w:val="0"/>
        <w:spacing w:line="360" w:lineRule="auto"/>
        <w:jc w:val="center"/>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lang w:bidi="ar"/>
        </w:rPr>
        <w:t>投标人：</w:t>
      </w:r>
      <w:r>
        <w:rPr>
          <w:rFonts w:hint="eastAsia" w:ascii="宋体" w:hAnsi="宋体" w:eastAsia="宋体" w:cs="宋体"/>
          <w:color w:val="auto"/>
          <w:sz w:val="28"/>
          <w:szCs w:val="28"/>
          <w:highlight w:val="none"/>
          <w:u w:val="single"/>
          <w:lang w:bidi="ar"/>
        </w:rPr>
        <w:t xml:space="preserve">                           </w:t>
      </w:r>
      <w:r>
        <w:rPr>
          <w:rFonts w:hint="eastAsia" w:ascii="宋体" w:hAnsi="宋体" w:eastAsia="宋体" w:cs="宋体"/>
          <w:color w:val="auto"/>
          <w:sz w:val="28"/>
          <w:szCs w:val="28"/>
          <w:highlight w:val="none"/>
          <w:lang w:bidi="ar"/>
        </w:rPr>
        <w:t>（签章）</w:t>
      </w:r>
    </w:p>
    <w:p w14:paraId="6EDF6281">
      <w:pPr>
        <w:autoSpaceDE w:val="0"/>
        <w:spacing w:line="360" w:lineRule="auto"/>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法定代表人：</w:t>
      </w:r>
      <w:r>
        <w:rPr>
          <w:rFonts w:hint="eastAsia" w:ascii="宋体" w:hAnsi="宋体" w:eastAsia="宋体" w:cs="宋体"/>
          <w:color w:val="auto"/>
          <w:sz w:val="28"/>
          <w:szCs w:val="28"/>
          <w:highlight w:val="none"/>
          <w:u w:val="single"/>
          <w:lang w:bidi="ar"/>
        </w:rPr>
        <w:t xml:space="preserve">                       </w:t>
      </w:r>
      <w:r>
        <w:rPr>
          <w:rFonts w:hint="eastAsia" w:ascii="宋体" w:hAnsi="宋体" w:eastAsia="宋体" w:cs="宋体"/>
          <w:color w:val="auto"/>
          <w:sz w:val="28"/>
          <w:szCs w:val="28"/>
          <w:highlight w:val="none"/>
          <w:lang w:bidi="ar"/>
        </w:rPr>
        <w:t>（签章）</w:t>
      </w:r>
    </w:p>
    <w:p w14:paraId="0AD2F464">
      <w:pPr>
        <w:autoSpaceDE w:val="0"/>
        <w:spacing w:line="360" w:lineRule="auto"/>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u w:val="single"/>
          <w:lang w:bidi="ar"/>
        </w:rPr>
        <w:t xml:space="preserve">        </w:t>
      </w:r>
      <w:r>
        <w:rPr>
          <w:rFonts w:hint="eastAsia" w:ascii="宋体" w:hAnsi="宋体" w:eastAsia="宋体" w:cs="宋体"/>
          <w:color w:val="auto"/>
          <w:sz w:val="28"/>
          <w:szCs w:val="28"/>
          <w:highlight w:val="none"/>
          <w:lang w:bidi="ar"/>
        </w:rPr>
        <w:t>年</w:t>
      </w:r>
      <w:r>
        <w:rPr>
          <w:rFonts w:hint="eastAsia" w:ascii="宋体" w:hAnsi="宋体" w:eastAsia="宋体" w:cs="宋体"/>
          <w:color w:val="auto"/>
          <w:sz w:val="28"/>
          <w:szCs w:val="28"/>
          <w:highlight w:val="none"/>
          <w:u w:val="single"/>
          <w:lang w:bidi="ar"/>
        </w:rPr>
        <w:t xml:space="preserve">        </w:t>
      </w:r>
      <w:r>
        <w:rPr>
          <w:rFonts w:hint="eastAsia" w:ascii="宋体" w:hAnsi="宋体" w:eastAsia="宋体" w:cs="宋体"/>
          <w:color w:val="auto"/>
          <w:sz w:val="28"/>
          <w:szCs w:val="28"/>
          <w:highlight w:val="none"/>
          <w:lang w:bidi="ar"/>
        </w:rPr>
        <w:t>月</w:t>
      </w:r>
      <w:r>
        <w:rPr>
          <w:rFonts w:hint="eastAsia" w:ascii="宋体" w:hAnsi="宋体" w:eastAsia="宋体" w:cs="宋体"/>
          <w:color w:val="auto"/>
          <w:sz w:val="28"/>
          <w:szCs w:val="28"/>
          <w:highlight w:val="none"/>
          <w:u w:val="single"/>
          <w:lang w:bidi="ar"/>
        </w:rPr>
        <w:t xml:space="preserve">        </w:t>
      </w:r>
      <w:r>
        <w:rPr>
          <w:rFonts w:hint="eastAsia" w:ascii="宋体" w:hAnsi="宋体" w:eastAsia="宋体" w:cs="宋体"/>
          <w:color w:val="auto"/>
          <w:sz w:val="28"/>
          <w:szCs w:val="28"/>
          <w:highlight w:val="none"/>
          <w:lang w:bidi="ar"/>
        </w:rPr>
        <w:t>日</w:t>
      </w:r>
    </w:p>
    <w:p w14:paraId="59F647D0">
      <w:pPr>
        <w:spacing w:line="360" w:lineRule="auto"/>
        <w:jc w:val="center"/>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 xml:space="preserve"> </w:t>
      </w:r>
    </w:p>
    <w:p w14:paraId="582DEC33">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br w:type="page"/>
      </w:r>
    </w:p>
    <w:p w14:paraId="74CB411B">
      <w:pPr>
        <w:spacing w:line="400" w:lineRule="exact"/>
        <w:ind w:firstLine="3379" w:firstLineChars="935"/>
        <w:jc w:val="left"/>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lang w:bidi="ar"/>
        </w:rPr>
        <w:t>目   录</w:t>
      </w:r>
    </w:p>
    <w:p w14:paraId="348DAE2F">
      <w:pPr>
        <w:spacing w:line="400" w:lineRule="exact"/>
        <w:ind w:firstLine="4130" w:firstLineChars="935"/>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lang w:bidi="ar"/>
        </w:rPr>
        <w:t xml:space="preserve"> </w:t>
      </w:r>
    </w:p>
    <w:p w14:paraId="3A6000D7">
      <w:pPr>
        <w:spacing w:line="440" w:lineRule="exact"/>
        <w:ind w:left="42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（1）开标一览表（格式见附件）；</w:t>
      </w:r>
    </w:p>
    <w:p w14:paraId="100D01B0">
      <w:pPr>
        <w:spacing w:line="440" w:lineRule="exact"/>
        <w:ind w:left="42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（2）投标函（格式见附件）；</w:t>
      </w:r>
    </w:p>
    <w:p w14:paraId="5E067EA6">
      <w:pPr>
        <w:spacing w:line="440" w:lineRule="exact"/>
        <w:ind w:left="42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（3）投标分项报价表（格式见附件）；</w:t>
      </w:r>
    </w:p>
    <w:p w14:paraId="3A358B9C">
      <w:pPr>
        <w:spacing w:line="440" w:lineRule="exact"/>
        <w:ind w:left="42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（4）招标文件商务评审中要求提供的其他相关资料；</w:t>
      </w:r>
    </w:p>
    <w:p w14:paraId="3339A954">
      <w:pPr>
        <w:spacing w:line="440" w:lineRule="exact"/>
        <w:ind w:left="42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（5）投标人认为需要提供的其他材料；</w:t>
      </w:r>
    </w:p>
    <w:p w14:paraId="4621C432">
      <w:pPr>
        <w:spacing w:line="440" w:lineRule="exact"/>
        <w:ind w:left="42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（6）其他（如有）。</w:t>
      </w:r>
    </w:p>
    <w:p w14:paraId="18709359">
      <w:pPr>
        <w:spacing w:line="440" w:lineRule="exact"/>
        <w:ind w:left="42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 xml:space="preserve"> </w:t>
      </w:r>
    </w:p>
    <w:p w14:paraId="31D1875D">
      <w:pPr>
        <w:spacing w:line="360" w:lineRule="auto"/>
        <w:jc w:val="center"/>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 xml:space="preserve"> </w:t>
      </w:r>
    </w:p>
    <w:p w14:paraId="4E42BFF2">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br w:type="page"/>
      </w:r>
    </w:p>
    <w:p w14:paraId="71CA737D">
      <w:pPr>
        <w:spacing w:line="360" w:lineRule="auto"/>
        <w:jc w:val="center"/>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（1）开标一览表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3"/>
        <w:gridCol w:w="6219"/>
      </w:tblGrid>
      <w:tr w14:paraId="270AF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jc w:val="center"/>
        </w:trPr>
        <w:tc>
          <w:tcPr>
            <w:tcW w:w="1351" w:type="pct"/>
            <w:tcBorders>
              <w:top w:val="single" w:color="auto" w:sz="4" w:space="0"/>
              <w:left w:val="single" w:color="auto" w:sz="4" w:space="0"/>
              <w:bottom w:val="single" w:color="auto" w:sz="4" w:space="0"/>
              <w:right w:val="single" w:color="auto" w:sz="4" w:space="0"/>
            </w:tcBorders>
            <w:vAlign w:val="center"/>
          </w:tcPr>
          <w:p w14:paraId="7EBD74AC">
            <w:pPr>
              <w:widowControl/>
              <w:spacing w:line="36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项目名称</w:t>
            </w:r>
          </w:p>
        </w:tc>
        <w:tc>
          <w:tcPr>
            <w:tcW w:w="3647" w:type="pct"/>
            <w:tcBorders>
              <w:top w:val="single" w:color="auto" w:sz="4" w:space="0"/>
              <w:left w:val="nil"/>
              <w:bottom w:val="single" w:color="auto" w:sz="4" w:space="0"/>
              <w:right w:val="single" w:color="auto" w:sz="4" w:space="0"/>
            </w:tcBorders>
            <w:vAlign w:val="center"/>
          </w:tcPr>
          <w:p w14:paraId="4531EAD6">
            <w:pPr>
              <w:spacing w:line="360" w:lineRule="exact"/>
              <w:jc w:val="center"/>
              <w:rPr>
                <w:rFonts w:hint="eastAsia" w:ascii="宋体" w:hAnsi="宋体" w:eastAsia="宋体" w:cs="宋体"/>
                <w:bCs/>
                <w:color w:val="auto"/>
                <w:sz w:val="24"/>
                <w:szCs w:val="24"/>
                <w:highlight w:val="none"/>
                <w:u w:val="single"/>
              </w:rPr>
            </w:pPr>
          </w:p>
        </w:tc>
      </w:tr>
      <w:tr w14:paraId="720FB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51" w:type="pct"/>
            <w:tcBorders>
              <w:top w:val="nil"/>
              <w:left w:val="single" w:color="auto" w:sz="4" w:space="0"/>
              <w:bottom w:val="single" w:color="auto" w:sz="4" w:space="0"/>
              <w:right w:val="single" w:color="auto" w:sz="4" w:space="0"/>
            </w:tcBorders>
            <w:vAlign w:val="center"/>
          </w:tcPr>
          <w:p w14:paraId="6A2974B6">
            <w:pPr>
              <w:spacing w:line="36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投标人全称</w:t>
            </w:r>
          </w:p>
        </w:tc>
        <w:tc>
          <w:tcPr>
            <w:tcW w:w="3647" w:type="pct"/>
            <w:tcBorders>
              <w:top w:val="nil"/>
              <w:left w:val="single" w:color="auto" w:sz="4" w:space="0"/>
              <w:bottom w:val="single" w:color="auto" w:sz="4" w:space="0"/>
              <w:right w:val="single" w:color="auto" w:sz="4" w:space="0"/>
            </w:tcBorders>
            <w:vAlign w:val="center"/>
          </w:tcPr>
          <w:p w14:paraId="536F5B55">
            <w:pPr>
              <w:spacing w:line="360" w:lineRule="auto"/>
              <w:rPr>
                <w:rFonts w:hint="eastAsia" w:ascii="宋体" w:hAnsi="宋体" w:eastAsia="宋体" w:cs="宋体"/>
                <w:color w:val="auto"/>
                <w:sz w:val="24"/>
                <w:szCs w:val="24"/>
                <w:highlight w:val="none"/>
              </w:rPr>
            </w:pPr>
          </w:p>
        </w:tc>
      </w:tr>
      <w:tr w14:paraId="07ABB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1351" w:type="pct"/>
            <w:tcBorders>
              <w:top w:val="nil"/>
              <w:left w:val="single" w:color="auto" w:sz="4" w:space="0"/>
              <w:bottom w:val="single" w:color="auto" w:sz="4" w:space="0"/>
              <w:right w:val="single" w:color="auto" w:sz="4" w:space="0"/>
            </w:tcBorders>
            <w:vAlign w:val="center"/>
          </w:tcPr>
          <w:p w14:paraId="5FF8D71F">
            <w:pPr>
              <w:spacing w:line="36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投标范围</w:t>
            </w:r>
          </w:p>
        </w:tc>
        <w:tc>
          <w:tcPr>
            <w:tcW w:w="3647" w:type="pct"/>
            <w:tcBorders>
              <w:top w:val="nil"/>
              <w:left w:val="single" w:color="auto" w:sz="4" w:space="0"/>
              <w:bottom w:val="single" w:color="auto" w:sz="4" w:space="0"/>
              <w:right w:val="single" w:color="auto" w:sz="4" w:space="0"/>
            </w:tcBorders>
            <w:vAlign w:val="center"/>
          </w:tcPr>
          <w:p w14:paraId="6861B6B9">
            <w:pPr>
              <w:widowControl/>
              <w:autoSpaceDE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全部</w:t>
            </w:r>
          </w:p>
        </w:tc>
      </w:tr>
      <w:tr w14:paraId="0D268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5" w:hRule="atLeast"/>
          <w:jc w:val="center"/>
        </w:trPr>
        <w:tc>
          <w:tcPr>
            <w:tcW w:w="1351" w:type="pct"/>
            <w:tcBorders>
              <w:top w:val="nil"/>
              <w:left w:val="single" w:color="auto" w:sz="4" w:space="0"/>
              <w:bottom w:val="single" w:color="auto" w:sz="4" w:space="0"/>
              <w:right w:val="single" w:color="auto" w:sz="4" w:space="0"/>
            </w:tcBorders>
            <w:vAlign w:val="center"/>
          </w:tcPr>
          <w:p w14:paraId="61B3BF85">
            <w:pPr>
              <w:spacing w:line="36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投标报价</w:t>
            </w:r>
          </w:p>
        </w:tc>
        <w:tc>
          <w:tcPr>
            <w:tcW w:w="3647" w:type="pct"/>
            <w:tcBorders>
              <w:top w:val="nil"/>
              <w:left w:val="single" w:color="auto" w:sz="4" w:space="0"/>
              <w:bottom w:val="single" w:color="auto" w:sz="4" w:space="0"/>
              <w:right w:val="single" w:color="auto" w:sz="4" w:space="0"/>
            </w:tcBorders>
            <w:vAlign w:val="center"/>
          </w:tcPr>
          <w:p w14:paraId="47C73B91">
            <w:pPr>
              <w:autoSpaceDE w:val="0"/>
              <w:snapToGrid w:val="0"/>
              <w:spacing w:line="360" w:lineRule="auto"/>
              <w:jc w:val="left"/>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lang w:bidi="ar"/>
              </w:rPr>
              <w:t>大写：</w:t>
            </w:r>
            <w:r>
              <w:rPr>
                <w:rFonts w:hint="eastAsia" w:ascii="宋体" w:hAnsi="宋体" w:eastAsia="宋体" w:cs="宋体"/>
                <w:bCs/>
                <w:color w:val="auto"/>
                <w:sz w:val="24"/>
                <w:szCs w:val="24"/>
                <w:highlight w:val="none"/>
                <w:u w:val="single"/>
                <w:lang w:bidi="ar"/>
              </w:rPr>
              <w:t xml:space="preserve">                     </w:t>
            </w:r>
          </w:p>
          <w:p w14:paraId="4144F2E2">
            <w:pPr>
              <w:autoSpaceDE w:val="0"/>
              <w:spacing w:line="360" w:lineRule="auto"/>
              <w:ind w:right="-67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bidi="ar"/>
              </w:rPr>
              <w:t>小写：</w:t>
            </w:r>
            <w:r>
              <w:rPr>
                <w:rFonts w:hint="eastAsia" w:ascii="宋体" w:hAnsi="宋体" w:eastAsia="宋体" w:cs="宋体"/>
                <w:bCs/>
                <w:color w:val="auto"/>
                <w:sz w:val="24"/>
                <w:szCs w:val="24"/>
                <w:highlight w:val="none"/>
                <w:u w:val="single"/>
                <w:lang w:bidi="ar"/>
              </w:rPr>
              <w:t xml:space="preserve">                     </w:t>
            </w:r>
          </w:p>
        </w:tc>
      </w:tr>
      <w:tr w14:paraId="011B8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0" w:hRule="atLeast"/>
          <w:jc w:val="center"/>
        </w:trPr>
        <w:tc>
          <w:tcPr>
            <w:tcW w:w="1351" w:type="pct"/>
            <w:tcBorders>
              <w:top w:val="nil"/>
              <w:left w:val="single" w:color="auto" w:sz="4" w:space="0"/>
              <w:bottom w:val="single" w:color="auto" w:sz="4" w:space="0"/>
              <w:right w:val="single" w:color="auto" w:sz="4" w:space="0"/>
            </w:tcBorders>
            <w:vAlign w:val="center"/>
          </w:tcPr>
          <w:p w14:paraId="1B08EFCA">
            <w:pPr>
              <w:spacing w:line="360"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其他</w:t>
            </w:r>
          </w:p>
        </w:tc>
        <w:tc>
          <w:tcPr>
            <w:tcW w:w="3647" w:type="pct"/>
            <w:tcBorders>
              <w:top w:val="nil"/>
              <w:left w:val="single" w:color="auto" w:sz="4" w:space="0"/>
              <w:bottom w:val="single" w:color="auto" w:sz="4" w:space="0"/>
              <w:right w:val="single" w:color="auto" w:sz="4" w:space="0"/>
            </w:tcBorders>
            <w:vAlign w:val="center"/>
          </w:tcPr>
          <w:p w14:paraId="40E3E02A">
            <w:pPr>
              <w:spacing w:line="360" w:lineRule="auto"/>
              <w:jc w:val="left"/>
              <w:rPr>
                <w:rFonts w:hint="eastAsia" w:ascii="宋体" w:hAnsi="宋体" w:eastAsia="宋体" w:cs="宋体"/>
                <w:color w:val="auto"/>
                <w:sz w:val="24"/>
                <w:szCs w:val="24"/>
                <w:highlight w:val="none"/>
              </w:rPr>
            </w:pPr>
          </w:p>
        </w:tc>
      </w:tr>
    </w:tbl>
    <w:p w14:paraId="17DF20FB">
      <w:pPr>
        <w:spacing w:line="360" w:lineRule="auto"/>
        <w:ind w:firstLine="4320" w:firstLineChars="1800"/>
        <w:jc w:val="center"/>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lang w:bidi="ar"/>
        </w:rPr>
        <w:t>投标人电子签章：</w:t>
      </w:r>
      <w:r>
        <w:rPr>
          <w:rFonts w:hint="eastAsia" w:ascii="宋体" w:hAnsi="宋体" w:eastAsia="宋体" w:cs="宋体"/>
          <w:bCs/>
          <w:color w:val="auto"/>
          <w:sz w:val="24"/>
          <w:szCs w:val="24"/>
          <w:highlight w:val="none"/>
          <w:u w:val="single"/>
          <w:lang w:bidi="ar"/>
        </w:rPr>
        <w:t xml:space="preserve">             </w:t>
      </w:r>
    </w:p>
    <w:p w14:paraId="6600FDD9">
      <w:pPr>
        <w:spacing w:line="360" w:lineRule="auto"/>
        <w:ind w:firstLine="4320" w:firstLineChars="18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日          期：</w:t>
      </w:r>
      <w:r>
        <w:rPr>
          <w:rFonts w:hint="eastAsia" w:ascii="宋体" w:hAnsi="宋体" w:eastAsia="宋体" w:cs="宋体"/>
          <w:bCs/>
          <w:color w:val="auto"/>
          <w:sz w:val="24"/>
          <w:szCs w:val="24"/>
          <w:highlight w:val="none"/>
          <w:u w:val="single"/>
          <w:lang w:bidi="ar"/>
        </w:rPr>
        <w:t xml:space="preserve">             </w:t>
      </w:r>
    </w:p>
    <w:p w14:paraId="4F1749CE">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 xml:space="preserve">     </w:t>
      </w:r>
    </w:p>
    <w:p w14:paraId="4B774F6F">
      <w:pPr>
        <w:spacing w:line="360" w:lineRule="auto"/>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 xml:space="preserve"> </w:t>
      </w:r>
    </w:p>
    <w:p w14:paraId="3B2F28DF">
      <w:p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注：</w:t>
      </w:r>
    </w:p>
    <w:p w14:paraId="1B3FBACC">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1.此表用于开标唱标之用。</w:t>
      </w:r>
    </w:p>
    <w:p w14:paraId="76EDD808">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2.表中投标报价即为优惠后报价，并作为评审及定标依据。任何有选择或有条件的投标报价，或者表中某一包别填写多个报价，均为无效报价。</w:t>
      </w:r>
    </w:p>
    <w:p w14:paraId="1D85A664">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3.表中大写金额与小写金额不一致的，以大写金额为准。</w:t>
      </w:r>
      <w:r>
        <w:rPr>
          <w:rFonts w:hint="eastAsia" w:ascii="宋体" w:hAnsi="宋体" w:eastAsia="宋体" w:cs="宋体"/>
          <w:color w:val="auto"/>
          <w:sz w:val="24"/>
          <w:szCs w:val="24"/>
          <w:highlight w:val="none"/>
          <w:lang w:bidi="ar"/>
        </w:rPr>
        <w:br w:type="page"/>
      </w:r>
    </w:p>
    <w:p w14:paraId="2B4D0AFE">
      <w:pPr>
        <w:spacing w:line="360" w:lineRule="auto"/>
        <w:jc w:val="center"/>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（2）投标函</w:t>
      </w:r>
    </w:p>
    <w:p w14:paraId="45AB82BF">
      <w:pPr>
        <w:pStyle w:val="21"/>
        <w:spacing w:before="0" w:beforeAutospacing="0" w:after="0" w:afterAutospacing="0" w:line="360" w:lineRule="auto"/>
        <w:jc w:val="both"/>
        <w:rPr>
          <w:rFonts w:hint="eastAsia" w:ascii="宋体" w:hAnsi="宋体" w:eastAsia="宋体" w:cs="宋体"/>
          <w:b/>
          <w:color w:val="auto"/>
          <w:kern w:val="2"/>
          <w:szCs w:val="24"/>
          <w:highlight w:val="none"/>
          <w:u w:val="single"/>
        </w:rPr>
      </w:pPr>
      <w:r>
        <w:rPr>
          <w:rFonts w:hint="eastAsia" w:ascii="宋体" w:hAnsi="宋体" w:eastAsia="宋体" w:cs="宋体"/>
          <w:b/>
          <w:color w:val="auto"/>
          <w:kern w:val="2"/>
          <w:szCs w:val="24"/>
          <w:highlight w:val="none"/>
          <w:lang w:bidi="ar"/>
        </w:rPr>
        <w:t>致：</w:t>
      </w:r>
      <w:r>
        <w:rPr>
          <w:rFonts w:hint="eastAsia" w:ascii="宋体" w:hAnsi="宋体" w:eastAsia="宋体" w:cs="宋体"/>
          <w:b/>
          <w:color w:val="auto"/>
          <w:kern w:val="2"/>
          <w:szCs w:val="24"/>
          <w:highlight w:val="none"/>
          <w:u w:val="single"/>
          <w:lang w:bidi="ar"/>
        </w:rPr>
        <w:t>采购人</w:t>
      </w:r>
    </w:p>
    <w:p w14:paraId="5FC3B65F">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根据贵方的招标公告和投标邀请，我方兹宣布同意如下：</w:t>
      </w:r>
    </w:p>
    <w:p w14:paraId="7238444F">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1.我方根据招标文件的规定，严格履行合同的责任和义务,并保证于买方要求的日期内完成，并通过买方验收。</w:t>
      </w:r>
    </w:p>
    <w:p w14:paraId="73A176D1">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2.我方已详细审核全部招标文件，包括招标文件附件及更正公告（如有），我方正式认可并遵守本次招标文件，并对招标文件各项条款、规定及要求均无异议。</w:t>
      </w:r>
    </w:p>
    <w:p w14:paraId="14583454">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3.我方同意从招标文件规定的开标日期起遵循本招标文件，并在招标文件规定的投标有效期之前均具有约束力。</w:t>
      </w:r>
    </w:p>
    <w:p w14:paraId="16DC2C7F">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4.我方声明投标文件所提供的一切资料均真实无误、及时、有效，企业运营正常。由于我方提供资料不实而造成的责任和后果由我方承担。我方同意按照贵方提出的要求，提供与投标有关的任何证据、数据或资料。</w:t>
      </w:r>
    </w:p>
    <w:p w14:paraId="17A3BD89">
      <w:pPr>
        <w:spacing w:line="360" w:lineRule="auto"/>
        <w:ind w:firstLine="4800" w:firstLineChars="20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 xml:space="preserve"> </w:t>
      </w:r>
    </w:p>
    <w:p w14:paraId="7FAAE97D">
      <w:pPr>
        <w:spacing w:line="360" w:lineRule="auto"/>
        <w:ind w:firstLine="4800" w:firstLineChars="20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bidi="ar"/>
        </w:rPr>
        <w:t>投标人电子签章：</w:t>
      </w:r>
      <w:r>
        <w:rPr>
          <w:rFonts w:hint="eastAsia" w:ascii="宋体" w:hAnsi="宋体" w:eastAsia="宋体" w:cs="宋体"/>
          <w:color w:val="auto"/>
          <w:sz w:val="24"/>
          <w:szCs w:val="24"/>
          <w:highlight w:val="none"/>
          <w:u w:val="single"/>
          <w:lang w:bidi="ar"/>
        </w:rPr>
        <w:t xml:space="preserve">             </w:t>
      </w:r>
    </w:p>
    <w:p w14:paraId="5ACC4D81">
      <w:pPr>
        <w:spacing w:line="360" w:lineRule="auto"/>
        <w:ind w:firstLine="4800" w:firstLineChars="20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bidi="ar"/>
        </w:rPr>
        <w:t>日          期：</w:t>
      </w:r>
      <w:r>
        <w:rPr>
          <w:rFonts w:hint="eastAsia" w:ascii="宋体" w:hAnsi="宋体" w:eastAsia="宋体" w:cs="宋体"/>
          <w:color w:val="auto"/>
          <w:sz w:val="24"/>
          <w:szCs w:val="24"/>
          <w:highlight w:val="none"/>
          <w:u w:val="single"/>
          <w:lang w:bidi="ar"/>
        </w:rPr>
        <w:t xml:space="preserve">             </w:t>
      </w:r>
    </w:p>
    <w:p w14:paraId="6AC639AF">
      <w:pPr>
        <w:widowControl/>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lang w:bidi="ar"/>
        </w:rPr>
        <w:br w:type="page"/>
      </w:r>
    </w:p>
    <w:p w14:paraId="519FD706">
      <w:pPr>
        <w:spacing w:line="360" w:lineRule="auto"/>
        <w:jc w:val="center"/>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（3）投标分项报价表</w:t>
      </w:r>
    </w:p>
    <w:p w14:paraId="7C08E31C">
      <w:pPr>
        <w:spacing w:line="360" w:lineRule="auto"/>
        <w:ind w:firstLine="435"/>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 xml:space="preserve"> </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323"/>
        <w:gridCol w:w="1318"/>
        <w:gridCol w:w="1318"/>
        <w:gridCol w:w="672"/>
        <w:gridCol w:w="672"/>
        <w:gridCol w:w="939"/>
        <w:gridCol w:w="939"/>
        <w:gridCol w:w="670"/>
      </w:tblGrid>
      <w:tr w14:paraId="05E74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tcBorders>
              <w:top w:val="single" w:color="auto" w:sz="4" w:space="0"/>
              <w:left w:val="single" w:color="auto" w:sz="4" w:space="0"/>
              <w:bottom w:val="single" w:color="auto" w:sz="4" w:space="0"/>
              <w:right w:val="single" w:color="auto" w:sz="4" w:space="0"/>
            </w:tcBorders>
            <w:vAlign w:val="center"/>
          </w:tcPr>
          <w:p w14:paraId="7BFD9285">
            <w:pPr>
              <w:pStyle w:val="21"/>
              <w:spacing w:before="0" w:beforeAutospacing="0" w:after="0" w:afterAutospacing="0"/>
              <w:jc w:val="center"/>
              <w:rPr>
                <w:rFonts w:hint="eastAsia" w:ascii="宋体" w:hAnsi="宋体" w:eastAsia="宋体" w:cs="宋体"/>
                <w:b/>
                <w:color w:val="auto"/>
                <w:kern w:val="2"/>
                <w:szCs w:val="24"/>
                <w:highlight w:val="none"/>
              </w:rPr>
            </w:pPr>
            <w:r>
              <w:rPr>
                <w:rFonts w:hint="eastAsia" w:ascii="宋体" w:hAnsi="宋体" w:eastAsia="宋体" w:cs="宋体"/>
                <w:b/>
                <w:color w:val="auto"/>
                <w:kern w:val="2"/>
                <w:szCs w:val="24"/>
                <w:highlight w:val="none"/>
                <w:lang w:bidi="ar"/>
              </w:rPr>
              <w:t>序号</w:t>
            </w:r>
          </w:p>
        </w:tc>
        <w:tc>
          <w:tcPr>
            <w:tcW w:w="776" w:type="pct"/>
            <w:tcBorders>
              <w:top w:val="single" w:color="auto" w:sz="4" w:space="0"/>
              <w:left w:val="single" w:color="auto" w:sz="4" w:space="0"/>
              <w:bottom w:val="single" w:color="auto" w:sz="4" w:space="0"/>
              <w:right w:val="single" w:color="auto" w:sz="4" w:space="0"/>
            </w:tcBorders>
            <w:vAlign w:val="center"/>
          </w:tcPr>
          <w:p w14:paraId="49EAE124">
            <w:pPr>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货物名称</w:t>
            </w:r>
          </w:p>
        </w:tc>
        <w:tc>
          <w:tcPr>
            <w:tcW w:w="773" w:type="pct"/>
            <w:tcBorders>
              <w:top w:val="single" w:color="auto" w:sz="4" w:space="0"/>
              <w:left w:val="single" w:color="auto" w:sz="4" w:space="0"/>
              <w:bottom w:val="single" w:color="auto" w:sz="4" w:space="0"/>
              <w:right w:val="single" w:color="auto" w:sz="4" w:space="0"/>
            </w:tcBorders>
            <w:vAlign w:val="center"/>
          </w:tcPr>
          <w:p w14:paraId="52CC0069">
            <w:pPr>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品牌、型</w:t>
            </w:r>
          </w:p>
          <w:p w14:paraId="7738B048">
            <w:pPr>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号</w:t>
            </w:r>
          </w:p>
        </w:tc>
        <w:tc>
          <w:tcPr>
            <w:tcW w:w="773" w:type="pct"/>
            <w:tcBorders>
              <w:top w:val="single" w:color="auto" w:sz="4" w:space="0"/>
              <w:left w:val="single" w:color="auto" w:sz="4" w:space="0"/>
              <w:bottom w:val="single" w:color="auto" w:sz="4" w:space="0"/>
              <w:right w:val="single" w:color="auto" w:sz="4" w:space="0"/>
            </w:tcBorders>
            <w:vAlign w:val="center"/>
          </w:tcPr>
          <w:p w14:paraId="54CFA8D3">
            <w:pPr>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原产地及</w:t>
            </w:r>
          </w:p>
          <w:p w14:paraId="3D8C8B6E">
            <w:pPr>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生产厂商</w:t>
            </w:r>
          </w:p>
        </w:tc>
        <w:tc>
          <w:tcPr>
            <w:tcW w:w="394" w:type="pct"/>
            <w:tcBorders>
              <w:top w:val="single" w:color="auto" w:sz="4" w:space="0"/>
              <w:left w:val="single" w:color="auto" w:sz="4" w:space="0"/>
              <w:bottom w:val="single" w:color="auto" w:sz="4" w:space="0"/>
              <w:right w:val="single" w:color="auto" w:sz="4" w:space="0"/>
            </w:tcBorders>
            <w:vAlign w:val="center"/>
          </w:tcPr>
          <w:p w14:paraId="53CDE090">
            <w:pPr>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单位</w:t>
            </w:r>
          </w:p>
        </w:tc>
        <w:tc>
          <w:tcPr>
            <w:tcW w:w="394" w:type="pct"/>
            <w:tcBorders>
              <w:top w:val="single" w:color="auto" w:sz="4" w:space="0"/>
              <w:left w:val="single" w:color="auto" w:sz="4" w:space="0"/>
              <w:bottom w:val="single" w:color="auto" w:sz="4" w:space="0"/>
              <w:right w:val="single" w:color="auto" w:sz="4" w:space="0"/>
            </w:tcBorders>
            <w:vAlign w:val="center"/>
          </w:tcPr>
          <w:p w14:paraId="1C2CD9D8">
            <w:pPr>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数量</w:t>
            </w:r>
          </w:p>
        </w:tc>
        <w:tc>
          <w:tcPr>
            <w:tcW w:w="551" w:type="pct"/>
            <w:tcBorders>
              <w:top w:val="single" w:color="auto" w:sz="4" w:space="0"/>
              <w:left w:val="single" w:color="auto" w:sz="4" w:space="0"/>
              <w:bottom w:val="single" w:color="auto" w:sz="4" w:space="0"/>
              <w:right w:val="single" w:color="auto" w:sz="4" w:space="0"/>
            </w:tcBorders>
            <w:vAlign w:val="center"/>
          </w:tcPr>
          <w:p w14:paraId="7FADEBA9">
            <w:pPr>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单价</w:t>
            </w:r>
          </w:p>
          <w:p w14:paraId="4E36BB70">
            <w:pPr>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（元）</w:t>
            </w:r>
          </w:p>
        </w:tc>
        <w:tc>
          <w:tcPr>
            <w:tcW w:w="551" w:type="pct"/>
            <w:tcBorders>
              <w:top w:val="single" w:color="auto" w:sz="4" w:space="0"/>
              <w:left w:val="single" w:color="auto" w:sz="4" w:space="0"/>
              <w:bottom w:val="single" w:color="auto" w:sz="4" w:space="0"/>
              <w:right w:val="single" w:color="auto" w:sz="4" w:space="0"/>
            </w:tcBorders>
            <w:vAlign w:val="center"/>
          </w:tcPr>
          <w:p w14:paraId="24C19A12">
            <w:pPr>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小计</w:t>
            </w:r>
          </w:p>
          <w:p w14:paraId="32406AF9">
            <w:pPr>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（元）</w:t>
            </w:r>
          </w:p>
        </w:tc>
        <w:tc>
          <w:tcPr>
            <w:tcW w:w="393" w:type="pct"/>
            <w:tcBorders>
              <w:top w:val="single" w:color="auto" w:sz="4" w:space="0"/>
              <w:left w:val="single" w:color="auto" w:sz="4" w:space="0"/>
              <w:bottom w:val="single" w:color="auto" w:sz="4" w:space="0"/>
              <w:right w:val="single" w:color="auto" w:sz="4" w:space="0"/>
            </w:tcBorders>
            <w:vAlign w:val="center"/>
          </w:tcPr>
          <w:p w14:paraId="6C54A267">
            <w:pPr>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备注</w:t>
            </w:r>
          </w:p>
        </w:tc>
      </w:tr>
      <w:tr w14:paraId="77AED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tcPr>
          <w:p w14:paraId="13E9572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w:t>
            </w:r>
          </w:p>
        </w:tc>
        <w:tc>
          <w:tcPr>
            <w:tcW w:w="776" w:type="pct"/>
            <w:tcBorders>
              <w:top w:val="single" w:color="auto" w:sz="4" w:space="0"/>
              <w:left w:val="single" w:color="auto" w:sz="4" w:space="0"/>
              <w:bottom w:val="single" w:color="auto" w:sz="4" w:space="0"/>
              <w:right w:val="single" w:color="auto" w:sz="4" w:space="0"/>
            </w:tcBorders>
          </w:tcPr>
          <w:p w14:paraId="79C05E0F">
            <w:pPr>
              <w:rPr>
                <w:rFonts w:hint="eastAsia" w:ascii="宋体" w:hAnsi="宋体" w:eastAsia="宋体" w:cs="宋体"/>
                <w:color w:val="auto"/>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tcPr>
          <w:p w14:paraId="63E553D1">
            <w:pPr>
              <w:rPr>
                <w:rFonts w:hint="eastAsia" w:ascii="宋体" w:hAnsi="宋体" w:eastAsia="宋体" w:cs="宋体"/>
                <w:color w:val="auto"/>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tcPr>
          <w:p w14:paraId="6FCD6831">
            <w:pPr>
              <w:rPr>
                <w:rFonts w:hint="eastAsia" w:ascii="宋体" w:hAnsi="宋体" w:eastAsia="宋体" w:cs="宋体"/>
                <w:color w:val="auto"/>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tcPr>
          <w:p w14:paraId="362315E4">
            <w:pPr>
              <w:rPr>
                <w:rFonts w:hint="eastAsia" w:ascii="宋体" w:hAnsi="宋体" w:eastAsia="宋体" w:cs="宋体"/>
                <w:color w:val="auto"/>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tcPr>
          <w:p w14:paraId="7B0B897E">
            <w:pPr>
              <w:rPr>
                <w:rFonts w:hint="eastAsia" w:ascii="宋体" w:hAnsi="宋体" w:eastAsia="宋体" w:cs="宋体"/>
                <w:color w:val="auto"/>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tcPr>
          <w:p w14:paraId="04A6936C">
            <w:pPr>
              <w:rPr>
                <w:rFonts w:hint="eastAsia" w:ascii="宋体" w:hAnsi="宋体" w:eastAsia="宋体" w:cs="宋体"/>
                <w:color w:val="auto"/>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tcPr>
          <w:p w14:paraId="05725866">
            <w:pPr>
              <w:rPr>
                <w:rFonts w:hint="eastAsia" w:ascii="宋体" w:hAnsi="宋体" w:eastAsia="宋体" w:cs="宋体"/>
                <w:color w:val="auto"/>
                <w:sz w:val="24"/>
                <w:szCs w:val="24"/>
                <w:highlight w:val="none"/>
              </w:rPr>
            </w:pPr>
          </w:p>
        </w:tc>
        <w:tc>
          <w:tcPr>
            <w:tcW w:w="393" w:type="pct"/>
            <w:tcBorders>
              <w:top w:val="single" w:color="auto" w:sz="4" w:space="0"/>
              <w:left w:val="single" w:color="auto" w:sz="4" w:space="0"/>
              <w:bottom w:val="single" w:color="auto" w:sz="4" w:space="0"/>
              <w:right w:val="single" w:color="auto" w:sz="4" w:space="0"/>
            </w:tcBorders>
          </w:tcPr>
          <w:p w14:paraId="0EB60372">
            <w:pPr>
              <w:rPr>
                <w:rFonts w:hint="eastAsia" w:ascii="宋体" w:hAnsi="宋体" w:eastAsia="宋体" w:cs="宋体"/>
                <w:color w:val="auto"/>
                <w:sz w:val="24"/>
                <w:szCs w:val="24"/>
                <w:highlight w:val="none"/>
              </w:rPr>
            </w:pPr>
          </w:p>
        </w:tc>
      </w:tr>
      <w:tr w14:paraId="2870B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23" w:hRule="atLeast"/>
          <w:jc w:val="center"/>
        </w:trPr>
        <w:tc>
          <w:tcPr>
            <w:tcW w:w="394" w:type="pct"/>
            <w:tcBorders>
              <w:top w:val="single" w:color="auto" w:sz="4" w:space="0"/>
              <w:left w:val="single" w:color="auto" w:sz="4" w:space="0"/>
              <w:bottom w:val="single" w:color="auto" w:sz="4" w:space="0"/>
              <w:right w:val="single" w:color="auto" w:sz="4" w:space="0"/>
            </w:tcBorders>
          </w:tcPr>
          <w:p w14:paraId="0A6E43E7">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w:t>
            </w:r>
          </w:p>
        </w:tc>
        <w:tc>
          <w:tcPr>
            <w:tcW w:w="776" w:type="pct"/>
            <w:tcBorders>
              <w:top w:val="single" w:color="auto" w:sz="4" w:space="0"/>
              <w:left w:val="single" w:color="auto" w:sz="4" w:space="0"/>
              <w:bottom w:val="single" w:color="auto" w:sz="4" w:space="0"/>
              <w:right w:val="single" w:color="auto" w:sz="4" w:space="0"/>
            </w:tcBorders>
          </w:tcPr>
          <w:p w14:paraId="432F9A9B">
            <w:pPr>
              <w:rPr>
                <w:rFonts w:hint="eastAsia" w:ascii="宋体" w:hAnsi="宋体" w:eastAsia="宋体" w:cs="宋体"/>
                <w:color w:val="auto"/>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tcPr>
          <w:p w14:paraId="144B142A">
            <w:pPr>
              <w:rPr>
                <w:rFonts w:hint="eastAsia" w:ascii="宋体" w:hAnsi="宋体" w:eastAsia="宋体" w:cs="宋体"/>
                <w:color w:val="auto"/>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tcPr>
          <w:p w14:paraId="1F51394B">
            <w:pPr>
              <w:rPr>
                <w:rFonts w:hint="eastAsia" w:ascii="宋体" w:hAnsi="宋体" w:eastAsia="宋体" w:cs="宋体"/>
                <w:color w:val="auto"/>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tcPr>
          <w:p w14:paraId="0A0FC844">
            <w:pPr>
              <w:rPr>
                <w:rFonts w:hint="eastAsia" w:ascii="宋体" w:hAnsi="宋体" w:eastAsia="宋体" w:cs="宋体"/>
                <w:color w:val="auto"/>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tcPr>
          <w:p w14:paraId="1A82A043">
            <w:pPr>
              <w:rPr>
                <w:rFonts w:hint="eastAsia" w:ascii="宋体" w:hAnsi="宋体" w:eastAsia="宋体" w:cs="宋体"/>
                <w:color w:val="auto"/>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tcPr>
          <w:p w14:paraId="204AEFBA">
            <w:pPr>
              <w:rPr>
                <w:rFonts w:hint="eastAsia" w:ascii="宋体" w:hAnsi="宋体" w:eastAsia="宋体" w:cs="宋体"/>
                <w:color w:val="auto"/>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tcPr>
          <w:p w14:paraId="75DB6DB0">
            <w:pPr>
              <w:rPr>
                <w:rFonts w:hint="eastAsia" w:ascii="宋体" w:hAnsi="宋体" w:eastAsia="宋体" w:cs="宋体"/>
                <w:color w:val="auto"/>
                <w:sz w:val="24"/>
                <w:szCs w:val="24"/>
                <w:highlight w:val="none"/>
              </w:rPr>
            </w:pPr>
          </w:p>
        </w:tc>
        <w:tc>
          <w:tcPr>
            <w:tcW w:w="393" w:type="pct"/>
            <w:tcBorders>
              <w:top w:val="single" w:color="auto" w:sz="4" w:space="0"/>
              <w:left w:val="single" w:color="auto" w:sz="4" w:space="0"/>
              <w:bottom w:val="single" w:color="auto" w:sz="4" w:space="0"/>
              <w:right w:val="single" w:color="auto" w:sz="4" w:space="0"/>
            </w:tcBorders>
          </w:tcPr>
          <w:p w14:paraId="7E0BDED6">
            <w:pPr>
              <w:rPr>
                <w:rFonts w:hint="eastAsia" w:ascii="宋体" w:hAnsi="宋体" w:eastAsia="宋体" w:cs="宋体"/>
                <w:color w:val="auto"/>
                <w:sz w:val="24"/>
                <w:szCs w:val="24"/>
                <w:highlight w:val="none"/>
              </w:rPr>
            </w:pPr>
          </w:p>
        </w:tc>
      </w:tr>
      <w:tr w14:paraId="3E3AC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tcPr>
          <w:p w14:paraId="077B8E9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3</w:t>
            </w:r>
          </w:p>
        </w:tc>
        <w:tc>
          <w:tcPr>
            <w:tcW w:w="776" w:type="pct"/>
            <w:tcBorders>
              <w:top w:val="single" w:color="auto" w:sz="4" w:space="0"/>
              <w:left w:val="single" w:color="auto" w:sz="4" w:space="0"/>
              <w:bottom w:val="single" w:color="auto" w:sz="4" w:space="0"/>
              <w:right w:val="single" w:color="auto" w:sz="4" w:space="0"/>
            </w:tcBorders>
          </w:tcPr>
          <w:p w14:paraId="2A1A2201">
            <w:pPr>
              <w:rPr>
                <w:rFonts w:hint="eastAsia" w:ascii="宋体" w:hAnsi="宋体" w:eastAsia="宋体" w:cs="宋体"/>
                <w:color w:val="auto"/>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tcPr>
          <w:p w14:paraId="47975076">
            <w:pPr>
              <w:rPr>
                <w:rFonts w:hint="eastAsia" w:ascii="宋体" w:hAnsi="宋体" w:eastAsia="宋体" w:cs="宋体"/>
                <w:color w:val="auto"/>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tcPr>
          <w:p w14:paraId="12F69F61">
            <w:pPr>
              <w:rPr>
                <w:rFonts w:hint="eastAsia" w:ascii="宋体" w:hAnsi="宋体" w:eastAsia="宋体" w:cs="宋体"/>
                <w:color w:val="auto"/>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tcPr>
          <w:p w14:paraId="1A4CFDEB">
            <w:pPr>
              <w:rPr>
                <w:rFonts w:hint="eastAsia" w:ascii="宋体" w:hAnsi="宋体" w:eastAsia="宋体" w:cs="宋体"/>
                <w:color w:val="auto"/>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tcPr>
          <w:p w14:paraId="16B5E442">
            <w:pPr>
              <w:rPr>
                <w:rFonts w:hint="eastAsia" w:ascii="宋体" w:hAnsi="宋体" w:eastAsia="宋体" w:cs="宋体"/>
                <w:color w:val="auto"/>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tcPr>
          <w:p w14:paraId="5B02812E">
            <w:pPr>
              <w:rPr>
                <w:rFonts w:hint="eastAsia" w:ascii="宋体" w:hAnsi="宋体" w:eastAsia="宋体" w:cs="宋体"/>
                <w:color w:val="auto"/>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tcPr>
          <w:p w14:paraId="0A22AD50">
            <w:pPr>
              <w:rPr>
                <w:rFonts w:hint="eastAsia" w:ascii="宋体" w:hAnsi="宋体" w:eastAsia="宋体" w:cs="宋体"/>
                <w:color w:val="auto"/>
                <w:sz w:val="24"/>
                <w:szCs w:val="24"/>
                <w:highlight w:val="none"/>
              </w:rPr>
            </w:pPr>
          </w:p>
        </w:tc>
        <w:tc>
          <w:tcPr>
            <w:tcW w:w="393" w:type="pct"/>
            <w:tcBorders>
              <w:top w:val="single" w:color="auto" w:sz="4" w:space="0"/>
              <w:left w:val="single" w:color="auto" w:sz="4" w:space="0"/>
              <w:bottom w:val="single" w:color="auto" w:sz="4" w:space="0"/>
              <w:right w:val="single" w:color="auto" w:sz="4" w:space="0"/>
            </w:tcBorders>
          </w:tcPr>
          <w:p w14:paraId="6F5F833E">
            <w:pPr>
              <w:rPr>
                <w:rFonts w:hint="eastAsia" w:ascii="宋体" w:hAnsi="宋体" w:eastAsia="宋体" w:cs="宋体"/>
                <w:color w:val="auto"/>
                <w:sz w:val="24"/>
                <w:szCs w:val="24"/>
                <w:highlight w:val="none"/>
              </w:rPr>
            </w:pPr>
          </w:p>
        </w:tc>
      </w:tr>
      <w:tr w14:paraId="409E6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23" w:hRule="atLeast"/>
          <w:jc w:val="center"/>
        </w:trPr>
        <w:tc>
          <w:tcPr>
            <w:tcW w:w="394" w:type="pct"/>
            <w:tcBorders>
              <w:top w:val="single" w:color="auto" w:sz="4" w:space="0"/>
              <w:left w:val="single" w:color="auto" w:sz="4" w:space="0"/>
              <w:bottom w:val="single" w:color="auto" w:sz="4" w:space="0"/>
              <w:right w:val="single" w:color="auto" w:sz="4" w:space="0"/>
            </w:tcBorders>
          </w:tcPr>
          <w:p w14:paraId="713DAD8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4</w:t>
            </w:r>
          </w:p>
        </w:tc>
        <w:tc>
          <w:tcPr>
            <w:tcW w:w="776" w:type="pct"/>
            <w:tcBorders>
              <w:top w:val="single" w:color="auto" w:sz="4" w:space="0"/>
              <w:left w:val="single" w:color="auto" w:sz="4" w:space="0"/>
              <w:bottom w:val="single" w:color="auto" w:sz="4" w:space="0"/>
              <w:right w:val="single" w:color="auto" w:sz="4" w:space="0"/>
            </w:tcBorders>
          </w:tcPr>
          <w:p w14:paraId="66382A01">
            <w:pPr>
              <w:rPr>
                <w:rFonts w:hint="eastAsia" w:ascii="宋体" w:hAnsi="宋体" w:eastAsia="宋体" w:cs="宋体"/>
                <w:color w:val="auto"/>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tcPr>
          <w:p w14:paraId="13B0474D">
            <w:pPr>
              <w:rPr>
                <w:rFonts w:hint="eastAsia" w:ascii="宋体" w:hAnsi="宋体" w:eastAsia="宋体" w:cs="宋体"/>
                <w:color w:val="auto"/>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tcPr>
          <w:p w14:paraId="6CAC0DC4">
            <w:pPr>
              <w:rPr>
                <w:rFonts w:hint="eastAsia" w:ascii="宋体" w:hAnsi="宋体" w:eastAsia="宋体" w:cs="宋体"/>
                <w:color w:val="auto"/>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tcPr>
          <w:p w14:paraId="1F990C45">
            <w:pPr>
              <w:rPr>
                <w:rFonts w:hint="eastAsia" w:ascii="宋体" w:hAnsi="宋体" w:eastAsia="宋体" w:cs="宋体"/>
                <w:color w:val="auto"/>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tcPr>
          <w:p w14:paraId="4D78747A">
            <w:pPr>
              <w:rPr>
                <w:rFonts w:hint="eastAsia" w:ascii="宋体" w:hAnsi="宋体" w:eastAsia="宋体" w:cs="宋体"/>
                <w:color w:val="auto"/>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tcPr>
          <w:p w14:paraId="21195C1E">
            <w:pPr>
              <w:rPr>
                <w:rFonts w:hint="eastAsia" w:ascii="宋体" w:hAnsi="宋体" w:eastAsia="宋体" w:cs="宋体"/>
                <w:color w:val="auto"/>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tcPr>
          <w:p w14:paraId="64EF9EAC">
            <w:pPr>
              <w:rPr>
                <w:rFonts w:hint="eastAsia" w:ascii="宋体" w:hAnsi="宋体" w:eastAsia="宋体" w:cs="宋体"/>
                <w:color w:val="auto"/>
                <w:sz w:val="24"/>
                <w:szCs w:val="24"/>
                <w:highlight w:val="none"/>
              </w:rPr>
            </w:pPr>
          </w:p>
        </w:tc>
        <w:tc>
          <w:tcPr>
            <w:tcW w:w="393" w:type="pct"/>
            <w:tcBorders>
              <w:top w:val="single" w:color="auto" w:sz="4" w:space="0"/>
              <w:left w:val="single" w:color="auto" w:sz="4" w:space="0"/>
              <w:bottom w:val="single" w:color="auto" w:sz="4" w:space="0"/>
              <w:right w:val="single" w:color="auto" w:sz="4" w:space="0"/>
            </w:tcBorders>
          </w:tcPr>
          <w:p w14:paraId="57A71A07">
            <w:pPr>
              <w:rPr>
                <w:rFonts w:hint="eastAsia" w:ascii="宋体" w:hAnsi="宋体" w:eastAsia="宋体" w:cs="宋体"/>
                <w:color w:val="auto"/>
                <w:sz w:val="24"/>
                <w:szCs w:val="24"/>
                <w:highlight w:val="none"/>
              </w:rPr>
            </w:pPr>
          </w:p>
        </w:tc>
      </w:tr>
      <w:tr w14:paraId="4E0F1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tcPr>
          <w:p w14:paraId="18E7944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5</w:t>
            </w:r>
          </w:p>
        </w:tc>
        <w:tc>
          <w:tcPr>
            <w:tcW w:w="776" w:type="pct"/>
            <w:tcBorders>
              <w:top w:val="single" w:color="auto" w:sz="4" w:space="0"/>
              <w:left w:val="single" w:color="auto" w:sz="4" w:space="0"/>
              <w:bottom w:val="single" w:color="auto" w:sz="4" w:space="0"/>
              <w:right w:val="single" w:color="auto" w:sz="4" w:space="0"/>
            </w:tcBorders>
          </w:tcPr>
          <w:p w14:paraId="0730988D">
            <w:pPr>
              <w:rPr>
                <w:rFonts w:hint="eastAsia" w:ascii="宋体" w:hAnsi="宋体" w:eastAsia="宋体" w:cs="宋体"/>
                <w:color w:val="auto"/>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tcPr>
          <w:p w14:paraId="6E591F81">
            <w:pPr>
              <w:rPr>
                <w:rFonts w:hint="eastAsia" w:ascii="宋体" w:hAnsi="宋体" w:eastAsia="宋体" w:cs="宋体"/>
                <w:color w:val="auto"/>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tcPr>
          <w:p w14:paraId="6C1A803C">
            <w:pPr>
              <w:rPr>
                <w:rFonts w:hint="eastAsia" w:ascii="宋体" w:hAnsi="宋体" w:eastAsia="宋体" w:cs="宋体"/>
                <w:color w:val="auto"/>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tcPr>
          <w:p w14:paraId="4FB67F0C">
            <w:pPr>
              <w:rPr>
                <w:rFonts w:hint="eastAsia" w:ascii="宋体" w:hAnsi="宋体" w:eastAsia="宋体" w:cs="宋体"/>
                <w:color w:val="auto"/>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tcPr>
          <w:p w14:paraId="2734D5F0">
            <w:pPr>
              <w:rPr>
                <w:rFonts w:hint="eastAsia" w:ascii="宋体" w:hAnsi="宋体" w:eastAsia="宋体" w:cs="宋体"/>
                <w:color w:val="auto"/>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tcPr>
          <w:p w14:paraId="31002537">
            <w:pPr>
              <w:rPr>
                <w:rFonts w:hint="eastAsia" w:ascii="宋体" w:hAnsi="宋体" w:eastAsia="宋体" w:cs="宋体"/>
                <w:color w:val="auto"/>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tcPr>
          <w:p w14:paraId="6DA07E54">
            <w:pPr>
              <w:rPr>
                <w:rFonts w:hint="eastAsia" w:ascii="宋体" w:hAnsi="宋体" w:eastAsia="宋体" w:cs="宋体"/>
                <w:color w:val="auto"/>
                <w:sz w:val="24"/>
                <w:szCs w:val="24"/>
                <w:highlight w:val="none"/>
              </w:rPr>
            </w:pPr>
          </w:p>
        </w:tc>
        <w:tc>
          <w:tcPr>
            <w:tcW w:w="393" w:type="pct"/>
            <w:tcBorders>
              <w:top w:val="single" w:color="auto" w:sz="4" w:space="0"/>
              <w:left w:val="single" w:color="auto" w:sz="4" w:space="0"/>
              <w:bottom w:val="single" w:color="auto" w:sz="4" w:space="0"/>
              <w:right w:val="single" w:color="auto" w:sz="4" w:space="0"/>
            </w:tcBorders>
          </w:tcPr>
          <w:p w14:paraId="411B4411">
            <w:pPr>
              <w:rPr>
                <w:rFonts w:hint="eastAsia" w:ascii="宋体" w:hAnsi="宋体" w:eastAsia="宋体" w:cs="宋体"/>
                <w:color w:val="auto"/>
                <w:sz w:val="24"/>
                <w:szCs w:val="24"/>
                <w:highlight w:val="none"/>
              </w:rPr>
            </w:pPr>
          </w:p>
        </w:tc>
      </w:tr>
      <w:tr w14:paraId="38B62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tcBorders>
              <w:top w:val="single" w:color="auto" w:sz="4" w:space="0"/>
              <w:left w:val="single" w:color="auto" w:sz="4" w:space="0"/>
              <w:bottom w:val="single" w:color="auto" w:sz="4" w:space="0"/>
              <w:right w:val="single" w:color="auto" w:sz="4" w:space="0"/>
            </w:tcBorders>
          </w:tcPr>
          <w:p w14:paraId="3493DB0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6</w:t>
            </w:r>
          </w:p>
        </w:tc>
        <w:tc>
          <w:tcPr>
            <w:tcW w:w="776" w:type="pct"/>
            <w:tcBorders>
              <w:top w:val="single" w:color="auto" w:sz="4" w:space="0"/>
              <w:left w:val="single" w:color="auto" w:sz="4" w:space="0"/>
              <w:bottom w:val="single" w:color="auto" w:sz="4" w:space="0"/>
              <w:right w:val="single" w:color="auto" w:sz="4" w:space="0"/>
            </w:tcBorders>
          </w:tcPr>
          <w:p w14:paraId="27478C44">
            <w:pPr>
              <w:rPr>
                <w:rFonts w:hint="eastAsia" w:ascii="宋体" w:hAnsi="宋体" w:eastAsia="宋体" w:cs="宋体"/>
                <w:color w:val="auto"/>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tcPr>
          <w:p w14:paraId="7EDCE0EB">
            <w:pPr>
              <w:rPr>
                <w:rFonts w:hint="eastAsia" w:ascii="宋体" w:hAnsi="宋体" w:eastAsia="宋体" w:cs="宋体"/>
                <w:color w:val="auto"/>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tcPr>
          <w:p w14:paraId="7AAD9DDD">
            <w:pPr>
              <w:rPr>
                <w:rFonts w:hint="eastAsia" w:ascii="宋体" w:hAnsi="宋体" w:eastAsia="宋体" w:cs="宋体"/>
                <w:color w:val="auto"/>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tcPr>
          <w:p w14:paraId="718E2948">
            <w:pPr>
              <w:rPr>
                <w:rFonts w:hint="eastAsia" w:ascii="宋体" w:hAnsi="宋体" w:eastAsia="宋体" w:cs="宋体"/>
                <w:color w:val="auto"/>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tcPr>
          <w:p w14:paraId="75D2B50D">
            <w:pPr>
              <w:rPr>
                <w:rFonts w:hint="eastAsia" w:ascii="宋体" w:hAnsi="宋体" w:eastAsia="宋体" w:cs="宋体"/>
                <w:color w:val="auto"/>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tcPr>
          <w:p w14:paraId="2F78A457">
            <w:pPr>
              <w:rPr>
                <w:rFonts w:hint="eastAsia" w:ascii="宋体" w:hAnsi="宋体" w:eastAsia="宋体" w:cs="宋体"/>
                <w:color w:val="auto"/>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tcPr>
          <w:p w14:paraId="424577BF">
            <w:pPr>
              <w:rPr>
                <w:rFonts w:hint="eastAsia" w:ascii="宋体" w:hAnsi="宋体" w:eastAsia="宋体" w:cs="宋体"/>
                <w:color w:val="auto"/>
                <w:sz w:val="24"/>
                <w:szCs w:val="24"/>
                <w:highlight w:val="none"/>
              </w:rPr>
            </w:pPr>
          </w:p>
        </w:tc>
        <w:tc>
          <w:tcPr>
            <w:tcW w:w="393" w:type="pct"/>
            <w:tcBorders>
              <w:top w:val="single" w:color="auto" w:sz="4" w:space="0"/>
              <w:left w:val="single" w:color="auto" w:sz="4" w:space="0"/>
              <w:bottom w:val="single" w:color="auto" w:sz="4" w:space="0"/>
              <w:right w:val="single" w:color="auto" w:sz="4" w:space="0"/>
            </w:tcBorders>
          </w:tcPr>
          <w:p w14:paraId="7E0FA191">
            <w:pPr>
              <w:rPr>
                <w:rFonts w:hint="eastAsia" w:ascii="宋体" w:hAnsi="宋体" w:eastAsia="宋体" w:cs="宋体"/>
                <w:color w:val="auto"/>
                <w:sz w:val="24"/>
                <w:szCs w:val="24"/>
                <w:highlight w:val="none"/>
              </w:rPr>
            </w:pPr>
          </w:p>
        </w:tc>
      </w:tr>
      <w:tr w14:paraId="3AF75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tcPr>
          <w:p w14:paraId="3F00E1B7">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7</w:t>
            </w:r>
          </w:p>
        </w:tc>
        <w:tc>
          <w:tcPr>
            <w:tcW w:w="776" w:type="pct"/>
            <w:tcBorders>
              <w:top w:val="single" w:color="auto" w:sz="4" w:space="0"/>
              <w:left w:val="single" w:color="auto" w:sz="4" w:space="0"/>
              <w:bottom w:val="single" w:color="auto" w:sz="4" w:space="0"/>
              <w:right w:val="single" w:color="auto" w:sz="4" w:space="0"/>
            </w:tcBorders>
          </w:tcPr>
          <w:p w14:paraId="1FDFEE1E">
            <w:pPr>
              <w:rPr>
                <w:rFonts w:hint="eastAsia" w:ascii="宋体" w:hAnsi="宋体" w:eastAsia="宋体" w:cs="宋体"/>
                <w:color w:val="auto"/>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tcPr>
          <w:p w14:paraId="6CBEB70F">
            <w:pPr>
              <w:rPr>
                <w:rFonts w:hint="eastAsia" w:ascii="宋体" w:hAnsi="宋体" w:eastAsia="宋体" w:cs="宋体"/>
                <w:color w:val="auto"/>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tcPr>
          <w:p w14:paraId="6B81A332">
            <w:pPr>
              <w:rPr>
                <w:rFonts w:hint="eastAsia" w:ascii="宋体" w:hAnsi="宋体" w:eastAsia="宋体" w:cs="宋体"/>
                <w:color w:val="auto"/>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tcPr>
          <w:p w14:paraId="675EB2F7">
            <w:pPr>
              <w:rPr>
                <w:rFonts w:hint="eastAsia" w:ascii="宋体" w:hAnsi="宋体" w:eastAsia="宋体" w:cs="宋体"/>
                <w:color w:val="auto"/>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tcPr>
          <w:p w14:paraId="3704AD09">
            <w:pPr>
              <w:rPr>
                <w:rFonts w:hint="eastAsia" w:ascii="宋体" w:hAnsi="宋体" w:eastAsia="宋体" w:cs="宋体"/>
                <w:color w:val="auto"/>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tcPr>
          <w:p w14:paraId="496EFD0C">
            <w:pPr>
              <w:rPr>
                <w:rFonts w:hint="eastAsia" w:ascii="宋体" w:hAnsi="宋体" w:eastAsia="宋体" w:cs="宋体"/>
                <w:color w:val="auto"/>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tcPr>
          <w:p w14:paraId="41EE99D7">
            <w:pPr>
              <w:rPr>
                <w:rFonts w:hint="eastAsia" w:ascii="宋体" w:hAnsi="宋体" w:eastAsia="宋体" w:cs="宋体"/>
                <w:color w:val="auto"/>
                <w:sz w:val="24"/>
                <w:szCs w:val="24"/>
                <w:highlight w:val="none"/>
              </w:rPr>
            </w:pPr>
          </w:p>
        </w:tc>
        <w:tc>
          <w:tcPr>
            <w:tcW w:w="393" w:type="pct"/>
            <w:tcBorders>
              <w:top w:val="single" w:color="auto" w:sz="4" w:space="0"/>
              <w:left w:val="single" w:color="auto" w:sz="4" w:space="0"/>
              <w:bottom w:val="single" w:color="auto" w:sz="4" w:space="0"/>
              <w:right w:val="single" w:color="auto" w:sz="4" w:space="0"/>
            </w:tcBorders>
          </w:tcPr>
          <w:p w14:paraId="799096D5">
            <w:pPr>
              <w:rPr>
                <w:rFonts w:hint="eastAsia" w:ascii="宋体" w:hAnsi="宋体" w:eastAsia="宋体" w:cs="宋体"/>
                <w:color w:val="auto"/>
                <w:sz w:val="24"/>
                <w:szCs w:val="24"/>
                <w:highlight w:val="none"/>
              </w:rPr>
            </w:pPr>
          </w:p>
        </w:tc>
      </w:tr>
      <w:tr w14:paraId="57A8F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tcBorders>
              <w:top w:val="single" w:color="auto" w:sz="4" w:space="0"/>
              <w:left w:val="single" w:color="auto" w:sz="4" w:space="0"/>
              <w:bottom w:val="single" w:color="auto" w:sz="4" w:space="0"/>
              <w:right w:val="single" w:color="auto" w:sz="4" w:space="0"/>
            </w:tcBorders>
          </w:tcPr>
          <w:p w14:paraId="3F135C77">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8</w:t>
            </w:r>
          </w:p>
        </w:tc>
        <w:tc>
          <w:tcPr>
            <w:tcW w:w="776" w:type="pct"/>
            <w:tcBorders>
              <w:top w:val="single" w:color="auto" w:sz="4" w:space="0"/>
              <w:left w:val="single" w:color="auto" w:sz="4" w:space="0"/>
              <w:bottom w:val="single" w:color="auto" w:sz="4" w:space="0"/>
              <w:right w:val="single" w:color="auto" w:sz="4" w:space="0"/>
            </w:tcBorders>
          </w:tcPr>
          <w:p w14:paraId="64CF129A">
            <w:pPr>
              <w:rPr>
                <w:rFonts w:hint="eastAsia" w:ascii="宋体" w:hAnsi="宋体" w:eastAsia="宋体" w:cs="宋体"/>
                <w:color w:val="auto"/>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tcPr>
          <w:p w14:paraId="770981D2">
            <w:pPr>
              <w:rPr>
                <w:rFonts w:hint="eastAsia" w:ascii="宋体" w:hAnsi="宋体" w:eastAsia="宋体" w:cs="宋体"/>
                <w:color w:val="auto"/>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tcPr>
          <w:p w14:paraId="42C65A5D">
            <w:pPr>
              <w:rPr>
                <w:rFonts w:hint="eastAsia" w:ascii="宋体" w:hAnsi="宋体" w:eastAsia="宋体" w:cs="宋体"/>
                <w:color w:val="auto"/>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tcPr>
          <w:p w14:paraId="4E856C0A">
            <w:pPr>
              <w:rPr>
                <w:rFonts w:hint="eastAsia" w:ascii="宋体" w:hAnsi="宋体" w:eastAsia="宋体" w:cs="宋体"/>
                <w:color w:val="auto"/>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tcPr>
          <w:p w14:paraId="6F8E95B2">
            <w:pPr>
              <w:rPr>
                <w:rFonts w:hint="eastAsia" w:ascii="宋体" w:hAnsi="宋体" w:eastAsia="宋体" w:cs="宋体"/>
                <w:color w:val="auto"/>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tcPr>
          <w:p w14:paraId="4C11B43E">
            <w:pPr>
              <w:rPr>
                <w:rFonts w:hint="eastAsia" w:ascii="宋体" w:hAnsi="宋体" w:eastAsia="宋体" w:cs="宋体"/>
                <w:color w:val="auto"/>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tcPr>
          <w:p w14:paraId="5E3C7BA0">
            <w:pPr>
              <w:rPr>
                <w:rFonts w:hint="eastAsia" w:ascii="宋体" w:hAnsi="宋体" w:eastAsia="宋体" w:cs="宋体"/>
                <w:color w:val="auto"/>
                <w:sz w:val="24"/>
                <w:szCs w:val="24"/>
                <w:highlight w:val="none"/>
              </w:rPr>
            </w:pPr>
          </w:p>
        </w:tc>
        <w:tc>
          <w:tcPr>
            <w:tcW w:w="393" w:type="pct"/>
            <w:tcBorders>
              <w:top w:val="single" w:color="auto" w:sz="4" w:space="0"/>
              <w:left w:val="single" w:color="auto" w:sz="4" w:space="0"/>
              <w:bottom w:val="single" w:color="auto" w:sz="4" w:space="0"/>
              <w:right w:val="single" w:color="auto" w:sz="4" w:space="0"/>
            </w:tcBorders>
          </w:tcPr>
          <w:p w14:paraId="515F7F71">
            <w:pPr>
              <w:rPr>
                <w:rFonts w:hint="eastAsia" w:ascii="宋体" w:hAnsi="宋体" w:eastAsia="宋体" w:cs="宋体"/>
                <w:color w:val="auto"/>
                <w:sz w:val="24"/>
                <w:szCs w:val="24"/>
                <w:highlight w:val="none"/>
              </w:rPr>
            </w:pPr>
          </w:p>
        </w:tc>
      </w:tr>
      <w:tr w14:paraId="512E4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tcPr>
          <w:p w14:paraId="07DE4AF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9</w:t>
            </w:r>
          </w:p>
        </w:tc>
        <w:tc>
          <w:tcPr>
            <w:tcW w:w="776" w:type="pct"/>
            <w:tcBorders>
              <w:top w:val="single" w:color="auto" w:sz="4" w:space="0"/>
              <w:left w:val="single" w:color="auto" w:sz="4" w:space="0"/>
              <w:bottom w:val="single" w:color="auto" w:sz="4" w:space="0"/>
              <w:right w:val="single" w:color="auto" w:sz="4" w:space="0"/>
            </w:tcBorders>
          </w:tcPr>
          <w:p w14:paraId="75EE08E4">
            <w:pPr>
              <w:rPr>
                <w:rFonts w:hint="eastAsia" w:ascii="宋体" w:hAnsi="宋体" w:eastAsia="宋体" w:cs="宋体"/>
                <w:color w:val="auto"/>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tcPr>
          <w:p w14:paraId="47D81102">
            <w:pPr>
              <w:rPr>
                <w:rFonts w:hint="eastAsia" w:ascii="宋体" w:hAnsi="宋体" w:eastAsia="宋体" w:cs="宋体"/>
                <w:color w:val="auto"/>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tcPr>
          <w:p w14:paraId="47114F12">
            <w:pPr>
              <w:rPr>
                <w:rFonts w:hint="eastAsia" w:ascii="宋体" w:hAnsi="宋体" w:eastAsia="宋体" w:cs="宋体"/>
                <w:color w:val="auto"/>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tcPr>
          <w:p w14:paraId="7E133B1B">
            <w:pPr>
              <w:rPr>
                <w:rFonts w:hint="eastAsia" w:ascii="宋体" w:hAnsi="宋体" w:eastAsia="宋体" w:cs="宋体"/>
                <w:color w:val="auto"/>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tcPr>
          <w:p w14:paraId="42CF6548">
            <w:pPr>
              <w:rPr>
                <w:rFonts w:hint="eastAsia" w:ascii="宋体" w:hAnsi="宋体" w:eastAsia="宋体" w:cs="宋体"/>
                <w:color w:val="auto"/>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tcPr>
          <w:p w14:paraId="296D5958">
            <w:pPr>
              <w:rPr>
                <w:rFonts w:hint="eastAsia" w:ascii="宋体" w:hAnsi="宋体" w:eastAsia="宋体" w:cs="宋体"/>
                <w:color w:val="auto"/>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tcPr>
          <w:p w14:paraId="630944CE">
            <w:pPr>
              <w:rPr>
                <w:rFonts w:hint="eastAsia" w:ascii="宋体" w:hAnsi="宋体" w:eastAsia="宋体" w:cs="宋体"/>
                <w:color w:val="auto"/>
                <w:sz w:val="24"/>
                <w:szCs w:val="24"/>
                <w:highlight w:val="none"/>
              </w:rPr>
            </w:pPr>
          </w:p>
        </w:tc>
        <w:tc>
          <w:tcPr>
            <w:tcW w:w="393" w:type="pct"/>
            <w:tcBorders>
              <w:top w:val="single" w:color="auto" w:sz="4" w:space="0"/>
              <w:left w:val="single" w:color="auto" w:sz="4" w:space="0"/>
              <w:bottom w:val="single" w:color="auto" w:sz="4" w:space="0"/>
              <w:right w:val="single" w:color="auto" w:sz="4" w:space="0"/>
            </w:tcBorders>
          </w:tcPr>
          <w:p w14:paraId="75A189BF">
            <w:pPr>
              <w:rPr>
                <w:rFonts w:hint="eastAsia" w:ascii="宋体" w:hAnsi="宋体" w:eastAsia="宋体" w:cs="宋体"/>
                <w:color w:val="auto"/>
                <w:sz w:val="24"/>
                <w:szCs w:val="24"/>
                <w:highlight w:val="none"/>
              </w:rPr>
            </w:pPr>
          </w:p>
        </w:tc>
      </w:tr>
      <w:tr w14:paraId="7B1B8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tcPr>
          <w:p w14:paraId="779A176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10</w:t>
            </w:r>
          </w:p>
        </w:tc>
        <w:tc>
          <w:tcPr>
            <w:tcW w:w="776" w:type="pct"/>
            <w:tcBorders>
              <w:top w:val="single" w:color="auto" w:sz="4" w:space="0"/>
              <w:left w:val="single" w:color="auto" w:sz="4" w:space="0"/>
              <w:bottom w:val="single" w:color="auto" w:sz="4" w:space="0"/>
              <w:right w:val="single" w:color="auto" w:sz="4" w:space="0"/>
            </w:tcBorders>
          </w:tcPr>
          <w:p w14:paraId="6D81D164">
            <w:pPr>
              <w:rPr>
                <w:rFonts w:hint="eastAsia" w:ascii="宋体" w:hAnsi="宋体" w:eastAsia="宋体" w:cs="宋体"/>
                <w:color w:val="auto"/>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tcPr>
          <w:p w14:paraId="284AE20A">
            <w:pPr>
              <w:rPr>
                <w:rFonts w:hint="eastAsia" w:ascii="宋体" w:hAnsi="宋体" w:eastAsia="宋体" w:cs="宋体"/>
                <w:color w:val="auto"/>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tcPr>
          <w:p w14:paraId="5BCE6516">
            <w:pPr>
              <w:rPr>
                <w:rFonts w:hint="eastAsia" w:ascii="宋体" w:hAnsi="宋体" w:eastAsia="宋体" w:cs="宋体"/>
                <w:color w:val="auto"/>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tcPr>
          <w:p w14:paraId="1808D376">
            <w:pPr>
              <w:rPr>
                <w:rFonts w:hint="eastAsia" w:ascii="宋体" w:hAnsi="宋体" w:eastAsia="宋体" w:cs="宋体"/>
                <w:color w:val="auto"/>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tcPr>
          <w:p w14:paraId="25A520DF">
            <w:pPr>
              <w:rPr>
                <w:rFonts w:hint="eastAsia" w:ascii="宋体" w:hAnsi="宋体" w:eastAsia="宋体" w:cs="宋体"/>
                <w:color w:val="auto"/>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tcPr>
          <w:p w14:paraId="4AEADE08">
            <w:pPr>
              <w:rPr>
                <w:rFonts w:hint="eastAsia" w:ascii="宋体" w:hAnsi="宋体" w:eastAsia="宋体" w:cs="宋体"/>
                <w:color w:val="auto"/>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tcPr>
          <w:p w14:paraId="2F54BCA3">
            <w:pPr>
              <w:rPr>
                <w:rFonts w:hint="eastAsia" w:ascii="宋体" w:hAnsi="宋体" w:eastAsia="宋体" w:cs="宋体"/>
                <w:color w:val="auto"/>
                <w:sz w:val="24"/>
                <w:szCs w:val="24"/>
                <w:highlight w:val="none"/>
              </w:rPr>
            </w:pPr>
          </w:p>
        </w:tc>
        <w:tc>
          <w:tcPr>
            <w:tcW w:w="393" w:type="pct"/>
            <w:tcBorders>
              <w:top w:val="single" w:color="auto" w:sz="4" w:space="0"/>
              <w:left w:val="single" w:color="auto" w:sz="4" w:space="0"/>
              <w:bottom w:val="single" w:color="auto" w:sz="4" w:space="0"/>
              <w:right w:val="single" w:color="auto" w:sz="4" w:space="0"/>
            </w:tcBorders>
          </w:tcPr>
          <w:p w14:paraId="60D589FC">
            <w:pPr>
              <w:rPr>
                <w:rFonts w:hint="eastAsia" w:ascii="宋体" w:hAnsi="宋体" w:eastAsia="宋体" w:cs="宋体"/>
                <w:color w:val="auto"/>
                <w:sz w:val="24"/>
                <w:szCs w:val="24"/>
                <w:highlight w:val="none"/>
              </w:rPr>
            </w:pPr>
          </w:p>
        </w:tc>
      </w:tr>
      <w:tr w14:paraId="4AA16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tcPr>
          <w:p w14:paraId="69404C1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11</w:t>
            </w:r>
          </w:p>
        </w:tc>
        <w:tc>
          <w:tcPr>
            <w:tcW w:w="776" w:type="pct"/>
            <w:tcBorders>
              <w:top w:val="single" w:color="auto" w:sz="4" w:space="0"/>
              <w:left w:val="single" w:color="auto" w:sz="4" w:space="0"/>
              <w:bottom w:val="single" w:color="auto" w:sz="4" w:space="0"/>
              <w:right w:val="single" w:color="auto" w:sz="4" w:space="0"/>
            </w:tcBorders>
          </w:tcPr>
          <w:p w14:paraId="62B42256">
            <w:pPr>
              <w:rPr>
                <w:rFonts w:hint="eastAsia" w:ascii="宋体" w:hAnsi="宋体" w:eastAsia="宋体" w:cs="宋体"/>
                <w:color w:val="auto"/>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tcPr>
          <w:p w14:paraId="3396337B">
            <w:pPr>
              <w:rPr>
                <w:rFonts w:hint="eastAsia" w:ascii="宋体" w:hAnsi="宋体" w:eastAsia="宋体" w:cs="宋体"/>
                <w:color w:val="auto"/>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tcPr>
          <w:p w14:paraId="2441C14A">
            <w:pPr>
              <w:rPr>
                <w:rFonts w:hint="eastAsia" w:ascii="宋体" w:hAnsi="宋体" w:eastAsia="宋体" w:cs="宋体"/>
                <w:color w:val="auto"/>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tcPr>
          <w:p w14:paraId="09A0F1ED">
            <w:pPr>
              <w:rPr>
                <w:rFonts w:hint="eastAsia" w:ascii="宋体" w:hAnsi="宋体" w:eastAsia="宋体" w:cs="宋体"/>
                <w:color w:val="auto"/>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tcPr>
          <w:p w14:paraId="7E6DD3DB">
            <w:pPr>
              <w:rPr>
                <w:rFonts w:hint="eastAsia" w:ascii="宋体" w:hAnsi="宋体" w:eastAsia="宋体" w:cs="宋体"/>
                <w:color w:val="auto"/>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tcPr>
          <w:p w14:paraId="566572B1">
            <w:pPr>
              <w:rPr>
                <w:rFonts w:hint="eastAsia" w:ascii="宋体" w:hAnsi="宋体" w:eastAsia="宋体" w:cs="宋体"/>
                <w:color w:val="auto"/>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tcPr>
          <w:p w14:paraId="0CEDCD24">
            <w:pPr>
              <w:rPr>
                <w:rFonts w:hint="eastAsia" w:ascii="宋体" w:hAnsi="宋体" w:eastAsia="宋体" w:cs="宋体"/>
                <w:color w:val="auto"/>
                <w:sz w:val="24"/>
                <w:szCs w:val="24"/>
                <w:highlight w:val="none"/>
              </w:rPr>
            </w:pPr>
          </w:p>
        </w:tc>
        <w:tc>
          <w:tcPr>
            <w:tcW w:w="393" w:type="pct"/>
            <w:tcBorders>
              <w:top w:val="single" w:color="auto" w:sz="4" w:space="0"/>
              <w:left w:val="single" w:color="auto" w:sz="4" w:space="0"/>
              <w:bottom w:val="single" w:color="auto" w:sz="4" w:space="0"/>
              <w:right w:val="single" w:color="auto" w:sz="4" w:space="0"/>
            </w:tcBorders>
          </w:tcPr>
          <w:p w14:paraId="19E39394">
            <w:pPr>
              <w:rPr>
                <w:rFonts w:hint="eastAsia" w:ascii="宋体" w:hAnsi="宋体" w:eastAsia="宋体" w:cs="宋体"/>
                <w:color w:val="auto"/>
                <w:sz w:val="24"/>
                <w:szCs w:val="24"/>
                <w:highlight w:val="none"/>
              </w:rPr>
            </w:pPr>
          </w:p>
        </w:tc>
      </w:tr>
      <w:tr w14:paraId="7C2DD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tcPr>
          <w:p w14:paraId="2C56D66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12</w:t>
            </w:r>
          </w:p>
        </w:tc>
        <w:tc>
          <w:tcPr>
            <w:tcW w:w="776" w:type="pct"/>
            <w:tcBorders>
              <w:top w:val="single" w:color="auto" w:sz="4" w:space="0"/>
              <w:left w:val="single" w:color="auto" w:sz="4" w:space="0"/>
              <w:bottom w:val="single" w:color="auto" w:sz="4" w:space="0"/>
              <w:right w:val="single" w:color="auto" w:sz="4" w:space="0"/>
            </w:tcBorders>
          </w:tcPr>
          <w:p w14:paraId="1A6C78DA">
            <w:pPr>
              <w:rPr>
                <w:rFonts w:hint="eastAsia" w:ascii="宋体" w:hAnsi="宋体" w:eastAsia="宋体" w:cs="宋体"/>
                <w:color w:val="auto"/>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tcPr>
          <w:p w14:paraId="4E64FC97">
            <w:pPr>
              <w:rPr>
                <w:rFonts w:hint="eastAsia" w:ascii="宋体" w:hAnsi="宋体" w:eastAsia="宋体" w:cs="宋体"/>
                <w:color w:val="auto"/>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tcPr>
          <w:p w14:paraId="133B0BF1">
            <w:pPr>
              <w:rPr>
                <w:rFonts w:hint="eastAsia" w:ascii="宋体" w:hAnsi="宋体" w:eastAsia="宋体" w:cs="宋体"/>
                <w:color w:val="auto"/>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tcPr>
          <w:p w14:paraId="5B45E348">
            <w:pPr>
              <w:rPr>
                <w:rFonts w:hint="eastAsia" w:ascii="宋体" w:hAnsi="宋体" w:eastAsia="宋体" w:cs="宋体"/>
                <w:color w:val="auto"/>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tcPr>
          <w:p w14:paraId="232D2CFB">
            <w:pPr>
              <w:rPr>
                <w:rFonts w:hint="eastAsia" w:ascii="宋体" w:hAnsi="宋体" w:eastAsia="宋体" w:cs="宋体"/>
                <w:color w:val="auto"/>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tcPr>
          <w:p w14:paraId="17235B46">
            <w:pPr>
              <w:rPr>
                <w:rFonts w:hint="eastAsia" w:ascii="宋体" w:hAnsi="宋体" w:eastAsia="宋体" w:cs="宋体"/>
                <w:color w:val="auto"/>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tcPr>
          <w:p w14:paraId="427147D9">
            <w:pPr>
              <w:rPr>
                <w:rFonts w:hint="eastAsia" w:ascii="宋体" w:hAnsi="宋体" w:eastAsia="宋体" w:cs="宋体"/>
                <w:color w:val="auto"/>
                <w:sz w:val="24"/>
                <w:szCs w:val="24"/>
                <w:highlight w:val="none"/>
              </w:rPr>
            </w:pPr>
          </w:p>
        </w:tc>
        <w:tc>
          <w:tcPr>
            <w:tcW w:w="393" w:type="pct"/>
            <w:tcBorders>
              <w:top w:val="single" w:color="auto" w:sz="4" w:space="0"/>
              <w:left w:val="single" w:color="auto" w:sz="4" w:space="0"/>
              <w:bottom w:val="single" w:color="auto" w:sz="4" w:space="0"/>
              <w:right w:val="single" w:color="auto" w:sz="4" w:space="0"/>
            </w:tcBorders>
          </w:tcPr>
          <w:p w14:paraId="0EDE2B3F">
            <w:pPr>
              <w:rPr>
                <w:rFonts w:hint="eastAsia" w:ascii="宋体" w:hAnsi="宋体" w:eastAsia="宋体" w:cs="宋体"/>
                <w:color w:val="auto"/>
                <w:sz w:val="24"/>
                <w:szCs w:val="24"/>
                <w:highlight w:val="none"/>
              </w:rPr>
            </w:pPr>
          </w:p>
        </w:tc>
      </w:tr>
      <w:tr w14:paraId="13DEE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tcPr>
          <w:p w14:paraId="0621F0A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13</w:t>
            </w:r>
          </w:p>
        </w:tc>
        <w:tc>
          <w:tcPr>
            <w:tcW w:w="776" w:type="pct"/>
            <w:tcBorders>
              <w:top w:val="single" w:color="auto" w:sz="4" w:space="0"/>
              <w:left w:val="single" w:color="auto" w:sz="4" w:space="0"/>
              <w:bottom w:val="single" w:color="auto" w:sz="4" w:space="0"/>
              <w:right w:val="single" w:color="auto" w:sz="4" w:space="0"/>
            </w:tcBorders>
          </w:tcPr>
          <w:p w14:paraId="5F19005E">
            <w:pPr>
              <w:rPr>
                <w:rFonts w:hint="eastAsia" w:ascii="宋体" w:hAnsi="宋体" w:eastAsia="宋体" w:cs="宋体"/>
                <w:color w:val="auto"/>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tcPr>
          <w:p w14:paraId="5D2FF29C">
            <w:pPr>
              <w:rPr>
                <w:rFonts w:hint="eastAsia" w:ascii="宋体" w:hAnsi="宋体" w:eastAsia="宋体" w:cs="宋体"/>
                <w:color w:val="auto"/>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tcPr>
          <w:p w14:paraId="137B2A0F">
            <w:pPr>
              <w:rPr>
                <w:rFonts w:hint="eastAsia" w:ascii="宋体" w:hAnsi="宋体" w:eastAsia="宋体" w:cs="宋体"/>
                <w:color w:val="auto"/>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tcPr>
          <w:p w14:paraId="77093DB0">
            <w:pPr>
              <w:rPr>
                <w:rFonts w:hint="eastAsia" w:ascii="宋体" w:hAnsi="宋体" w:eastAsia="宋体" w:cs="宋体"/>
                <w:color w:val="auto"/>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tcPr>
          <w:p w14:paraId="38908AA4">
            <w:pPr>
              <w:rPr>
                <w:rFonts w:hint="eastAsia" w:ascii="宋体" w:hAnsi="宋体" w:eastAsia="宋体" w:cs="宋体"/>
                <w:color w:val="auto"/>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tcPr>
          <w:p w14:paraId="1C23793E">
            <w:pPr>
              <w:rPr>
                <w:rFonts w:hint="eastAsia" w:ascii="宋体" w:hAnsi="宋体" w:eastAsia="宋体" w:cs="宋体"/>
                <w:color w:val="auto"/>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tcPr>
          <w:p w14:paraId="17EEF3D3">
            <w:pPr>
              <w:rPr>
                <w:rFonts w:hint="eastAsia" w:ascii="宋体" w:hAnsi="宋体" w:eastAsia="宋体" w:cs="宋体"/>
                <w:color w:val="auto"/>
                <w:sz w:val="24"/>
                <w:szCs w:val="24"/>
                <w:highlight w:val="none"/>
              </w:rPr>
            </w:pPr>
          </w:p>
        </w:tc>
        <w:tc>
          <w:tcPr>
            <w:tcW w:w="393" w:type="pct"/>
            <w:tcBorders>
              <w:top w:val="single" w:color="auto" w:sz="4" w:space="0"/>
              <w:left w:val="single" w:color="auto" w:sz="4" w:space="0"/>
              <w:bottom w:val="single" w:color="auto" w:sz="4" w:space="0"/>
              <w:right w:val="single" w:color="auto" w:sz="4" w:space="0"/>
            </w:tcBorders>
          </w:tcPr>
          <w:p w14:paraId="450CB740">
            <w:pPr>
              <w:rPr>
                <w:rFonts w:hint="eastAsia" w:ascii="宋体" w:hAnsi="宋体" w:eastAsia="宋体" w:cs="宋体"/>
                <w:color w:val="auto"/>
                <w:sz w:val="24"/>
                <w:szCs w:val="24"/>
                <w:highlight w:val="none"/>
              </w:rPr>
            </w:pPr>
          </w:p>
        </w:tc>
      </w:tr>
      <w:tr w14:paraId="0E102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tcPr>
          <w:p w14:paraId="68F76CD4">
            <w:pPr>
              <w:jc w:val="center"/>
              <w:rPr>
                <w:rFonts w:hint="eastAsia" w:ascii="宋体" w:hAnsi="宋体" w:eastAsia="宋体" w:cs="宋体"/>
                <w:color w:val="auto"/>
                <w:sz w:val="24"/>
                <w:szCs w:val="24"/>
                <w:highlight w:val="none"/>
              </w:rPr>
            </w:pPr>
          </w:p>
        </w:tc>
        <w:tc>
          <w:tcPr>
            <w:tcW w:w="776" w:type="pct"/>
            <w:tcBorders>
              <w:top w:val="single" w:color="auto" w:sz="4" w:space="0"/>
              <w:left w:val="single" w:color="auto" w:sz="4" w:space="0"/>
              <w:bottom w:val="single" w:color="auto" w:sz="4" w:space="0"/>
              <w:right w:val="single" w:color="auto" w:sz="4" w:space="0"/>
            </w:tcBorders>
            <w:vAlign w:val="center"/>
          </w:tcPr>
          <w:p w14:paraId="7716F2C1">
            <w:pPr>
              <w:pStyle w:val="21"/>
              <w:spacing w:before="0" w:beforeAutospacing="0" w:after="0" w:afterAutospacing="0"/>
              <w:jc w:val="both"/>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lang w:bidi="ar"/>
              </w:rPr>
              <w:t>其他费用</w:t>
            </w:r>
          </w:p>
        </w:tc>
        <w:tc>
          <w:tcPr>
            <w:tcW w:w="773" w:type="pct"/>
            <w:tcBorders>
              <w:top w:val="single" w:color="auto" w:sz="4" w:space="0"/>
              <w:left w:val="single" w:color="auto" w:sz="4" w:space="0"/>
              <w:bottom w:val="single" w:color="auto" w:sz="4" w:space="0"/>
              <w:right w:val="single" w:color="auto" w:sz="4" w:space="0"/>
            </w:tcBorders>
          </w:tcPr>
          <w:p w14:paraId="466BCBFA">
            <w:pPr>
              <w:rPr>
                <w:rFonts w:hint="eastAsia" w:ascii="宋体" w:hAnsi="宋体" w:eastAsia="宋体" w:cs="宋体"/>
                <w:color w:val="auto"/>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tcPr>
          <w:p w14:paraId="307D0505">
            <w:pPr>
              <w:rPr>
                <w:rFonts w:hint="eastAsia" w:ascii="宋体" w:hAnsi="宋体" w:eastAsia="宋体" w:cs="宋体"/>
                <w:color w:val="auto"/>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tcPr>
          <w:p w14:paraId="47366A6E">
            <w:pPr>
              <w:rPr>
                <w:rFonts w:hint="eastAsia" w:ascii="宋体" w:hAnsi="宋体" w:eastAsia="宋体" w:cs="宋体"/>
                <w:color w:val="auto"/>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tcPr>
          <w:p w14:paraId="0D9DE118">
            <w:pPr>
              <w:rPr>
                <w:rFonts w:hint="eastAsia" w:ascii="宋体" w:hAnsi="宋体" w:eastAsia="宋体" w:cs="宋体"/>
                <w:color w:val="auto"/>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tcPr>
          <w:p w14:paraId="7CD1151B">
            <w:pPr>
              <w:rPr>
                <w:rFonts w:hint="eastAsia" w:ascii="宋体" w:hAnsi="宋体" w:eastAsia="宋体" w:cs="宋体"/>
                <w:color w:val="auto"/>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tcPr>
          <w:p w14:paraId="7C23A045">
            <w:pPr>
              <w:rPr>
                <w:rFonts w:hint="eastAsia" w:ascii="宋体" w:hAnsi="宋体" w:eastAsia="宋体" w:cs="宋体"/>
                <w:color w:val="auto"/>
                <w:sz w:val="24"/>
                <w:szCs w:val="24"/>
                <w:highlight w:val="none"/>
              </w:rPr>
            </w:pPr>
          </w:p>
        </w:tc>
        <w:tc>
          <w:tcPr>
            <w:tcW w:w="393" w:type="pct"/>
            <w:tcBorders>
              <w:top w:val="single" w:color="auto" w:sz="4" w:space="0"/>
              <w:left w:val="single" w:color="auto" w:sz="4" w:space="0"/>
              <w:bottom w:val="single" w:color="auto" w:sz="4" w:space="0"/>
              <w:right w:val="single" w:color="auto" w:sz="4" w:space="0"/>
            </w:tcBorders>
          </w:tcPr>
          <w:p w14:paraId="7DC873D2">
            <w:pPr>
              <w:rPr>
                <w:rFonts w:hint="eastAsia" w:ascii="宋体" w:hAnsi="宋体" w:eastAsia="宋体" w:cs="宋体"/>
                <w:color w:val="auto"/>
                <w:sz w:val="24"/>
                <w:szCs w:val="24"/>
                <w:highlight w:val="none"/>
              </w:rPr>
            </w:pPr>
          </w:p>
        </w:tc>
      </w:tr>
      <w:tr w14:paraId="7C595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tcPr>
          <w:p w14:paraId="1D1EFC07">
            <w:pPr>
              <w:jc w:val="center"/>
              <w:rPr>
                <w:rFonts w:hint="eastAsia" w:ascii="宋体" w:hAnsi="宋体" w:eastAsia="宋体" w:cs="宋体"/>
                <w:color w:val="auto"/>
                <w:sz w:val="24"/>
                <w:szCs w:val="24"/>
                <w:highlight w:val="none"/>
              </w:rPr>
            </w:pPr>
          </w:p>
        </w:tc>
        <w:tc>
          <w:tcPr>
            <w:tcW w:w="776" w:type="pct"/>
            <w:tcBorders>
              <w:top w:val="single" w:color="auto" w:sz="4" w:space="0"/>
              <w:left w:val="single" w:color="auto" w:sz="4" w:space="0"/>
              <w:bottom w:val="single" w:color="auto" w:sz="4" w:space="0"/>
              <w:right w:val="single" w:color="auto" w:sz="4" w:space="0"/>
            </w:tcBorders>
          </w:tcPr>
          <w:p w14:paraId="48B75862">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w:t>
            </w:r>
          </w:p>
        </w:tc>
        <w:tc>
          <w:tcPr>
            <w:tcW w:w="773" w:type="pct"/>
            <w:tcBorders>
              <w:top w:val="single" w:color="auto" w:sz="4" w:space="0"/>
              <w:left w:val="single" w:color="auto" w:sz="4" w:space="0"/>
              <w:bottom w:val="single" w:color="auto" w:sz="4" w:space="0"/>
              <w:right w:val="single" w:color="auto" w:sz="4" w:space="0"/>
            </w:tcBorders>
          </w:tcPr>
          <w:p w14:paraId="3CC67826">
            <w:pPr>
              <w:rPr>
                <w:rFonts w:hint="eastAsia" w:ascii="宋体" w:hAnsi="宋体" w:eastAsia="宋体" w:cs="宋体"/>
                <w:color w:val="auto"/>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tcPr>
          <w:p w14:paraId="24FC2DC3">
            <w:pPr>
              <w:rPr>
                <w:rFonts w:hint="eastAsia" w:ascii="宋体" w:hAnsi="宋体" w:eastAsia="宋体" w:cs="宋体"/>
                <w:color w:val="auto"/>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tcPr>
          <w:p w14:paraId="79745127">
            <w:pPr>
              <w:rPr>
                <w:rFonts w:hint="eastAsia" w:ascii="宋体" w:hAnsi="宋体" w:eastAsia="宋体" w:cs="宋体"/>
                <w:color w:val="auto"/>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tcPr>
          <w:p w14:paraId="7E5A31A9">
            <w:pPr>
              <w:rPr>
                <w:rFonts w:hint="eastAsia" w:ascii="宋体" w:hAnsi="宋体" w:eastAsia="宋体" w:cs="宋体"/>
                <w:color w:val="auto"/>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tcPr>
          <w:p w14:paraId="65302132">
            <w:pPr>
              <w:rPr>
                <w:rFonts w:hint="eastAsia" w:ascii="宋体" w:hAnsi="宋体" w:eastAsia="宋体" w:cs="宋体"/>
                <w:color w:val="auto"/>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tcPr>
          <w:p w14:paraId="02765E4C">
            <w:pPr>
              <w:rPr>
                <w:rFonts w:hint="eastAsia" w:ascii="宋体" w:hAnsi="宋体" w:eastAsia="宋体" w:cs="宋体"/>
                <w:color w:val="auto"/>
                <w:sz w:val="24"/>
                <w:szCs w:val="24"/>
                <w:highlight w:val="none"/>
              </w:rPr>
            </w:pPr>
          </w:p>
        </w:tc>
        <w:tc>
          <w:tcPr>
            <w:tcW w:w="393" w:type="pct"/>
            <w:tcBorders>
              <w:top w:val="single" w:color="auto" w:sz="4" w:space="0"/>
              <w:left w:val="single" w:color="auto" w:sz="4" w:space="0"/>
              <w:bottom w:val="single" w:color="auto" w:sz="4" w:space="0"/>
              <w:right w:val="single" w:color="auto" w:sz="4" w:space="0"/>
            </w:tcBorders>
          </w:tcPr>
          <w:p w14:paraId="120C4900">
            <w:pPr>
              <w:rPr>
                <w:rFonts w:hint="eastAsia" w:ascii="宋体" w:hAnsi="宋体" w:eastAsia="宋体" w:cs="宋体"/>
                <w:color w:val="auto"/>
                <w:sz w:val="24"/>
                <w:szCs w:val="24"/>
                <w:highlight w:val="none"/>
              </w:rPr>
            </w:pPr>
          </w:p>
        </w:tc>
      </w:tr>
      <w:tr w14:paraId="43D34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tcPr>
          <w:p w14:paraId="09AF9CC5">
            <w:pPr>
              <w:jc w:val="center"/>
              <w:rPr>
                <w:rFonts w:hint="eastAsia" w:ascii="宋体" w:hAnsi="宋体" w:eastAsia="宋体" w:cs="宋体"/>
                <w:color w:val="auto"/>
                <w:sz w:val="24"/>
                <w:szCs w:val="24"/>
                <w:highlight w:val="none"/>
              </w:rPr>
            </w:pPr>
          </w:p>
        </w:tc>
        <w:tc>
          <w:tcPr>
            <w:tcW w:w="776" w:type="pct"/>
            <w:tcBorders>
              <w:top w:val="single" w:color="auto" w:sz="4" w:space="0"/>
              <w:left w:val="single" w:color="auto" w:sz="4" w:space="0"/>
              <w:bottom w:val="single" w:color="auto" w:sz="4" w:space="0"/>
              <w:right w:val="single" w:color="auto" w:sz="4" w:space="0"/>
            </w:tcBorders>
          </w:tcPr>
          <w:p w14:paraId="311DE5A5">
            <w:pPr>
              <w:pStyle w:val="21"/>
              <w:spacing w:before="0" w:beforeAutospacing="0" w:after="0" w:afterAutospacing="0"/>
              <w:jc w:val="both"/>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lang w:bidi="ar"/>
              </w:rPr>
              <w:t>…</w:t>
            </w:r>
          </w:p>
        </w:tc>
        <w:tc>
          <w:tcPr>
            <w:tcW w:w="773" w:type="pct"/>
            <w:tcBorders>
              <w:top w:val="single" w:color="auto" w:sz="4" w:space="0"/>
              <w:left w:val="single" w:color="auto" w:sz="4" w:space="0"/>
              <w:bottom w:val="single" w:color="auto" w:sz="4" w:space="0"/>
              <w:right w:val="single" w:color="auto" w:sz="4" w:space="0"/>
            </w:tcBorders>
          </w:tcPr>
          <w:p w14:paraId="62FFA7A2">
            <w:pPr>
              <w:rPr>
                <w:rFonts w:hint="eastAsia" w:ascii="宋体" w:hAnsi="宋体" w:eastAsia="宋体" w:cs="宋体"/>
                <w:color w:val="auto"/>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tcPr>
          <w:p w14:paraId="04CED0A4">
            <w:pPr>
              <w:rPr>
                <w:rFonts w:hint="eastAsia" w:ascii="宋体" w:hAnsi="宋体" w:eastAsia="宋体" w:cs="宋体"/>
                <w:color w:val="auto"/>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tcPr>
          <w:p w14:paraId="0D26CE71">
            <w:pPr>
              <w:rPr>
                <w:rFonts w:hint="eastAsia" w:ascii="宋体" w:hAnsi="宋体" w:eastAsia="宋体" w:cs="宋体"/>
                <w:color w:val="auto"/>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tcPr>
          <w:p w14:paraId="24CA74A2">
            <w:pPr>
              <w:rPr>
                <w:rFonts w:hint="eastAsia" w:ascii="宋体" w:hAnsi="宋体" w:eastAsia="宋体" w:cs="宋体"/>
                <w:color w:val="auto"/>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tcPr>
          <w:p w14:paraId="05E92B72">
            <w:pPr>
              <w:rPr>
                <w:rFonts w:hint="eastAsia" w:ascii="宋体" w:hAnsi="宋体" w:eastAsia="宋体" w:cs="宋体"/>
                <w:color w:val="auto"/>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tcPr>
          <w:p w14:paraId="5D34578E">
            <w:pPr>
              <w:rPr>
                <w:rFonts w:hint="eastAsia" w:ascii="宋体" w:hAnsi="宋体" w:eastAsia="宋体" w:cs="宋体"/>
                <w:color w:val="auto"/>
                <w:sz w:val="24"/>
                <w:szCs w:val="24"/>
                <w:highlight w:val="none"/>
              </w:rPr>
            </w:pPr>
          </w:p>
        </w:tc>
        <w:tc>
          <w:tcPr>
            <w:tcW w:w="393" w:type="pct"/>
            <w:tcBorders>
              <w:top w:val="single" w:color="auto" w:sz="4" w:space="0"/>
              <w:left w:val="single" w:color="auto" w:sz="4" w:space="0"/>
              <w:bottom w:val="single" w:color="auto" w:sz="4" w:space="0"/>
              <w:right w:val="single" w:color="auto" w:sz="4" w:space="0"/>
            </w:tcBorders>
          </w:tcPr>
          <w:p w14:paraId="3C0FC3B2">
            <w:pPr>
              <w:rPr>
                <w:rFonts w:hint="eastAsia" w:ascii="宋体" w:hAnsi="宋体" w:eastAsia="宋体" w:cs="宋体"/>
                <w:color w:val="auto"/>
                <w:sz w:val="24"/>
                <w:szCs w:val="24"/>
                <w:highlight w:val="none"/>
              </w:rPr>
            </w:pPr>
          </w:p>
        </w:tc>
      </w:tr>
      <w:tr w14:paraId="471AA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tcPr>
          <w:p w14:paraId="1B4D16DA">
            <w:pPr>
              <w:jc w:val="center"/>
              <w:rPr>
                <w:rFonts w:hint="eastAsia" w:ascii="宋体" w:hAnsi="宋体" w:eastAsia="宋体" w:cs="宋体"/>
                <w:color w:val="auto"/>
                <w:sz w:val="24"/>
                <w:szCs w:val="24"/>
                <w:highlight w:val="none"/>
              </w:rPr>
            </w:pPr>
          </w:p>
        </w:tc>
        <w:tc>
          <w:tcPr>
            <w:tcW w:w="776" w:type="pct"/>
            <w:tcBorders>
              <w:top w:val="single" w:color="auto" w:sz="4" w:space="0"/>
              <w:left w:val="single" w:color="auto" w:sz="4" w:space="0"/>
              <w:bottom w:val="single" w:color="auto" w:sz="4" w:space="0"/>
              <w:right w:val="single" w:color="auto" w:sz="4" w:space="0"/>
            </w:tcBorders>
          </w:tcPr>
          <w:p w14:paraId="77727565">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w:t>
            </w:r>
          </w:p>
        </w:tc>
        <w:tc>
          <w:tcPr>
            <w:tcW w:w="773" w:type="pct"/>
            <w:tcBorders>
              <w:top w:val="single" w:color="auto" w:sz="4" w:space="0"/>
              <w:left w:val="single" w:color="auto" w:sz="4" w:space="0"/>
              <w:bottom w:val="single" w:color="auto" w:sz="4" w:space="0"/>
              <w:right w:val="single" w:color="auto" w:sz="4" w:space="0"/>
            </w:tcBorders>
          </w:tcPr>
          <w:p w14:paraId="7D0E997A">
            <w:pPr>
              <w:rPr>
                <w:rFonts w:hint="eastAsia" w:ascii="宋体" w:hAnsi="宋体" w:eastAsia="宋体" w:cs="宋体"/>
                <w:color w:val="auto"/>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tcPr>
          <w:p w14:paraId="3422CBD7">
            <w:pPr>
              <w:rPr>
                <w:rFonts w:hint="eastAsia" w:ascii="宋体" w:hAnsi="宋体" w:eastAsia="宋体" w:cs="宋体"/>
                <w:color w:val="auto"/>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tcPr>
          <w:p w14:paraId="35F2CDF3">
            <w:pPr>
              <w:rPr>
                <w:rFonts w:hint="eastAsia" w:ascii="宋体" w:hAnsi="宋体" w:eastAsia="宋体" w:cs="宋体"/>
                <w:color w:val="auto"/>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tcPr>
          <w:p w14:paraId="3ED3AAC2">
            <w:pPr>
              <w:rPr>
                <w:rFonts w:hint="eastAsia" w:ascii="宋体" w:hAnsi="宋体" w:eastAsia="宋体" w:cs="宋体"/>
                <w:color w:val="auto"/>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tcPr>
          <w:p w14:paraId="594AB941">
            <w:pPr>
              <w:rPr>
                <w:rFonts w:hint="eastAsia" w:ascii="宋体" w:hAnsi="宋体" w:eastAsia="宋体" w:cs="宋体"/>
                <w:color w:val="auto"/>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tcPr>
          <w:p w14:paraId="22B1D838">
            <w:pPr>
              <w:rPr>
                <w:rFonts w:hint="eastAsia" w:ascii="宋体" w:hAnsi="宋体" w:eastAsia="宋体" w:cs="宋体"/>
                <w:color w:val="auto"/>
                <w:sz w:val="24"/>
                <w:szCs w:val="24"/>
                <w:highlight w:val="none"/>
              </w:rPr>
            </w:pPr>
          </w:p>
        </w:tc>
        <w:tc>
          <w:tcPr>
            <w:tcW w:w="393" w:type="pct"/>
            <w:tcBorders>
              <w:top w:val="single" w:color="auto" w:sz="4" w:space="0"/>
              <w:left w:val="single" w:color="auto" w:sz="4" w:space="0"/>
              <w:bottom w:val="single" w:color="auto" w:sz="4" w:space="0"/>
              <w:right w:val="single" w:color="auto" w:sz="4" w:space="0"/>
            </w:tcBorders>
          </w:tcPr>
          <w:p w14:paraId="1BC09B83">
            <w:pPr>
              <w:rPr>
                <w:rFonts w:hint="eastAsia" w:ascii="宋体" w:hAnsi="宋体" w:eastAsia="宋体" w:cs="宋体"/>
                <w:color w:val="auto"/>
                <w:sz w:val="24"/>
                <w:szCs w:val="24"/>
                <w:highlight w:val="none"/>
              </w:rPr>
            </w:pPr>
          </w:p>
        </w:tc>
      </w:tr>
      <w:tr w14:paraId="6D1CD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1171" w:type="pct"/>
            <w:gridSpan w:val="2"/>
            <w:tcBorders>
              <w:top w:val="single" w:color="auto" w:sz="4" w:space="0"/>
              <w:left w:val="single" w:color="auto" w:sz="4" w:space="0"/>
              <w:bottom w:val="single" w:color="auto" w:sz="4" w:space="0"/>
              <w:right w:val="single" w:color="auto" w:sz="4" w:space="0"/>
            </w:tcBorders>
            <w:vAlign w:val="center"/>
          </w:tcPr>
          <w:p w14:paraId="64CA09B3">
            <w:pPr>
              <w:pStyle w:val="21"/>
              <w:spacing w:before="0" w:beforeAutospacing="0" w:after="0" w:afterAutospacing="0"/>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lang w:bidi="ar"/>
              </w:rPr>
              <w:t>合计（元）</w:t>
            </w:r>
          </w:p>
        </w:tc>
        <w:tc>
          <w:tcPr>
            <w:tcW w:w="773" w:type="pct"/>
            <w:tcBorders>
              <w:top w:val="single" w:color="auto" w:sz="4" w:space="0"/>
              <w:left w:val="single" w:color="auto" w:sz="4" w:space="0"/>
              <w:bottom w:val="single" w:color="auto" w:sz="4" w:space="0"/>
              <w:right w:val="single" w:color="auto" w:sz="4" w:space="0"/>
            </w:tcBorders>
          </w:tcPr>
          <w:p w14:paraId="35E2FA56">
            <w:pPr>
              <w:rPr>
                <w:rFonts w:hint="eastAsia" w:ascii="宋体" w:hAnsi="宋体" w:eastAsia="宋体" w:cs="宋体"/>
                <w:color w:val="auto"/>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tcPr>
          <w:p w14:paraId="5FAA74B4">
            <w:pPr>
              <w:rPr>
                <w:rFonts w:hint="eastAsia" w:ascii="宋体" w:hAnsi="宋体" w:eastAsia="宋体" w:cs="宋体"/>
                <w:color w:val="auto"/>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tcPr>
          <w:p w14:paraId="294C17D3">
            <w:pPr>
              <w:rPr>
                <w:rFonts w:hint="eastAsia" w:ascii="宋体" w:hAnsi="宋体" w:eastAsia="宋体" w:cs="宋体"/>
                <w:color w:val="auto"/>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tcPr>
          <w:p w14:paraId="673ACBD9">
            <w:pPr>
              <w:rPr>
                <w:rFonts w:hint="eastAsia" w:ascii="宋体" w:hAnsi="宋体" w:eastAsia="宋体" w:cs="宋体"/>
                <w:color w:val="auto"/>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tcPr>
          <w:p w14:paraId="55AB27A3">
            <w:pPr>
              <w:rPr>
                <w:rFonts w:hint="eastAsia" w:ascii="宋体" w:hAnsi="宋体" w:eastAsia="宋体" w:cs="宋体"/>
                <w:color w:val="auto"/>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tcPr>
          <w:p w14:paraId="221C6FF5">
            <w:pPr>
              <w:rPr>
                <w:rFonts w:hint="eastAsia" w:ascii="宋体" w:hAnsi="宋体" w:eastAsia="宋体" w:cs="宋体"/>
                <w:color w:val="auto"/>
                <w:sz w:val="24"/>
                <w:szCs w:val="24"/>
                <w:highlight w:val="none"/>
              </w:rPr>
            </w:pPr>
          </w:p>
        </w:tc>
        <w:tc>
          <w:tcPr>
            <w:tcW w:w="393" w:type="pct"/>
            <w:tcBorders>
              <w:top w:val="single" w:color="auto" w:sz="4" w:space="0"/>
              <w:left w:val="single" w:color="auto" w:sz="4" w:space="0"/>
              <w:bottom w:val="single" w:color="auto" w:sz="4" w:space="0"/>
              <w:right w:val="single" w:color="auto" w:sz="4" w:space="0"/>
            </w:tcBorders>
          </w:tcPr>
          <w:p w14:paraId="37FFD861">
            <w:pPr>
              <w:rPr>
                <w:rFonts w:hint="eastAsia" w:ascii="宋体" w:hAnsi="宋体" w:eastAsia="宋体" w:cs="宋体"/>
                <w:color w:val="auto"/>
                <w:sz w:val="24"/>
                <w:szCs w:val="24"/>
                <w:highlight w:val="none"/>
              </w:rPr>
            </w:pPr>
          </w:p>
        </w:tc>
      </w:tr>
    </w:tbl>
    <w:p w14:paraId="0707A033">
      <w:pPr>
        <w:spacing w:line="360" w:lineRule="auto"/>
        <w:ind w:firstLine="4800" w:firstLineChars="20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bidi="ar"/>
        </w:rPr>
        <w:t>投标人电子签章：</w:t>
      </w:r>
      <w:r>
        <w:rPr>
          <w:rFonts w:hint="eastAsia" w:ascii="宋体" w:hAnsi="宋体" w:eastAsia="宋体" w:cs="宋体"/>
          <w:color w:val="auto"/>
          <w:sz w:val="24"/>
          <w:szCs w:val="24"/>
          <w:highlight w:val="none"/>
          <w:u w:val="single"/>
          <w:lang w:bidi="ar"/>
        </w:rPr>
        <w:t xml:space="preserve">             </w:t>
      </w:r>
    </w:p>
    <w:p w14:paraId="4A997FCC">
      <w:pPr>
        <w:spacing w:line="360" w:lineRule="auto"/>
        <w:ind w:firstLine="4800" w:firstLineChars="20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bidi="ar"/>
        </w:rPr>
        <w:t>日          期：</w:t>
      </w:r>
      <w:r>
        <w:rPr>
          <w:rFonts w:hint="eastAsia" w:ascii="宋体" w:hAnsi="宋体" w:eastAsia="宋体" w:cs="宋体"/>
          <w:color w:val="auto"/>
          <w:sz w:val="24"/>
          <w:szCs w:val="24"/>
          <w:highlight w:val="none"/>
          <w:u w:val="single"/>
          <w:lang w:bidi="ar"/>
        </w:rPr>
        <w:t xml:space="preserve">             </w:t>
      </w:r>
    </w:p>
    <w:p w14:paraId="7DC88295">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 xml:space="preserve"> </w:t>
      </w:r>
    </w:p>
    <w:p w14:paraId="1046874B">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注：</w:t>
      </w:r>
    </w:p>
    <w:p w14:paraId="7CC0F0C7">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表中所列货物为对应本项目需求的全部货物及所需附件购置费、包装费、运输费、人工费、保险费、安装调试费、各种税费、资料费、售后服务费及完成项目应有的全部费用。如有漏项或缺项，投标人承担全部责任。</w:t>
      </w:r>
    </w:p>
    <w:p w14:paraId="10E20CC3">
      <w:pPr>
        <w:spacing w:line="360" w:lineRule="auto"/>
        <w:ind w:firstLine="435"/>
        <w:rPr>
          <w:rFonts w:hint="eastAsia" w:ascii="宋体" w:hAnsi="宋体" w:eastAsia="宋体" w:cs="宋体"/>
          <w:color w:val="auto"/>
          <w:szCs w:val="21"/>
          <w:highlight w:val="none"/>
        </w:rPr>
      </w:pPr>
      <w:r>
        <w:rPr>
          <w:rFonts w:hint="eastAsia" w:ascii="宋体" w:hAnsi="宋体" w:eastAsia="宋体" w:cs="宋体"/>
          <w:color w:val="auto"/>
          <w:sz w:val="24"/>
          <w:szCs w:val="24"/>
          <w:highlight w:val="none"/>
          <w:lang w:bidi="ar"/>
        </w:rPr>
        <w:t>2.表中须明确列出所投产品的货物名称、品牌、型号规格、原产地及生产厂商，否则可能导致</w:t>
      </w:r>
      <w:r>
        <w:rPr>
          <w:rFonts w:hint="eastAsia" w:ascii="宋体" w:hAnsi="宋体" w:eastAsia="宋体" w:cs="宋体"/>
          <w:b/>
          <w:bCs/>
          <w:color w:val="auto"/>
          <w:sz w:val="24"/>
          <w:szCs w:val="24"/>
          <w:highlight w:val="none"/>
          <w:lang w:bidi="ar"/>
        </w:rPr>
        <w:t>投标无效</w:t>
      </w:r>
      <w:r>
        <w:rPr>
          <w:rFonts w:hint="eastAsia" w:ascii="宋体" w:hAnsi="宋体" w:eastAsia="宋体" w:cs="宋体"/>
          <w:color w:val="auto"/>
          <w:sz w:val="24"/>
          <w:szCs w:val="24"/>
          <w:highlight w:val="none"/>
          <w:lang w:bidi="ar"/>
        </w:rPr>
        <w:t>。</w:t>
      </w:r>
    </w:p>
    <w:p w14:paraId="4B106217">
      <w:pPr>
        <w:widowControl/>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br w:type="page"/>
      </w:r>
    </w:p>
    <w:p w14:paraId="4E8FF09C">
      <w:pPr>
        <w:spacing w:line="360" w:lineRule="auto"/>
        <w:jc w:val="center"/>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（4）其他相关证明材料</w:t>
      </w:r>
    </w:p>
    <w:p w14:paraId="030E6BDD">
      <w:pPr>
        <w:spacing w:line="360" w:lineRule="auto"/>
        <w:ind w:firstLine="435"/>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如有。</w:t>
      </w:r>
    </w:p>
    <w:p w14:paraId="5B4CB2EF">
      <w:pPr>
        <w:spacing w:line="360" w:lineRule="auto"/>
        <w:ind w:firstLine="435"/>
        <w:rPr>
          <w:rFonts w:hint="eastAsia" w:ascii="宋体" w:hAnsi="宋体" w:eastAsia="宋体" w:cs="宋体"/>
          <w:color w:val="auto"/>
          <w:sz w:val="24"/>
          <w:highlight w:val="none"/>
        </w:rPr>
      </w:pPr>
    </w:p>
    <w:p w14:paraId="287956C4">
      <w:pPr>
        <w:spacing w:line="360" w:lineRule="auto"/>
        <w:ind w:firstLine="435"/>
        <w:rPr>
          <w:rFonts w:hint="eastAsia" w:ascii="宋体" w:hAnsi="宋体" w:eastAsia="宋体" w:cs="宋体"/>
          <w:color w:val="auto"/>
          <w:sz w:val="24"/>
          <w:highlight w:val="none"/>
        </w:rPr>
      </w:pPr>
    </w:p>
    <w:p w14:paraId="520262D0">
      <w:pPr>
        <w:rPr>
          <w:rFonts w:hint="eastAsia" w:ascii="宋体" w:hAnsi="宋体" w:eastAsia="宋体" w:cs="宋体"/>
          <w:b/>
          <w:color w:val="auto"/>
          <w:sz w:val="28"/>
          <w:szCs w:val="28"/>
          <w:highlight w:val="none"/>
          <w:lang w:bidi="ar"/>
        </w:rPr>
      </w:pPr>
      <w:r>
        <w:rPr>
          <w:rFonts w:hint="eastAsia" w:ascii="宋体" w:hAnsi="宋体" w:eastAsia="宋体" w:cs="宋体"/>
          <w:b/>
          <w:color w:val="auto"/>
          <w:sz w:val="28"/>
          <w:szCs w:val="28"/>
          <w:highlight w:val="none"/>
          <w:lang w:bidi="ar"/>
        </w:rPr>
        <w:br w:type="page"/>
      </w:r>
    </w:p>
    <w:p w14:paraId="40959596">
      <w:pPr>
        <w:rPr>
          <w:rFonts w:hint="eastAsia" w:ascii="宋体" w:hAnsi="宋体" w:eastAsia="宋体" w:cs="宋体"/>
          <w:color w:val="auto"/>
          <w:sz w:val="28"/>
          <w:szCs w:val="28"/>
          <w:highlight w:val="none"/>
        </w:rPr>
      </w:pPr>
      <w:r>
        <w:rPr>
          <w:rFonts w:hint="eastAsia" w:ascii="宋体" w:hAnsi="宋体" w:eastAsia="宋体" w:cs="宋体"/>
          <w:b/>
          <w:color w:val="auto"/>
          <w:sz w:val="28"/>
          <w:szCs w:val="28"/>
          <w:highlight w:val="none"/>
          <w:lang w:bidi="ar"/>
        </w:rPr>
        <w:t>附件1</w:t>
      </w:r>
    </w:p>
    <w:p w14:paraId="45987508">
      <w:pPr>
        <w:spacing w:line="440" w:lineRule="exact"/>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bidi="ar"/>
        </w:rPr>
        <w:t>关于联合惩戒失信行为 加强信用查询管理的通知</w:t>
      </w:r>
    </w:p>
    <w:p w14:paraId="04CE9012">
      <w:pPr>
        <w:spacing w:line="44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一、失信行为联合惩戒的范围和查询渠道</w:t>
      </w:r>
    </w:p>
    <w:p w14:paraId="0379C60E">
      <w:pPr>
        <w:widowControl/>
        <w:autoSpaceDE w:val="0"/>
        <w:spacing w:line="520" w:lineRule="exact"/>
        <w:ind w:firstLine="480" w:firstLineChars="200"/>
        <w:textAlignment w:val="baseline"/>
        <w:rPr>
          <w:rFonts w:hint="eastAsia" w:ascii="宋体" w:hAnsi="宋体" w:eastAsia="宋体" w:cs="宋体"/>
          <w:bCs/>
          <w:color w:val="auto"/>
          <w:sz w:val="24"/>
          <w:szCs w:val="24"/>
          <w:highlight w:val="none"/>
        </w:rPr>
      </w:pPr>
      <w:r>
        <w:rPr>
          <w:rFonts w:hint="eastAsia" w:ascii="宋体" w:hAnsi="宋体" w:eastAsia="宋体" w:cs="宋体"/>
          <w:bCs/>
          <w:color w:val="auto"/>
          <w:kern w:val="0"/>
          <w:sz w:val="24"/>
          <w:szCs w:val="24"/>
          <w:highlight w:val="none"/>
          <w:lang w:bidi="ar"/>
        </w:rPr>
        <w:t>在我市公共资源交易活动中对存在下列失信行为的投标人、法定代表人及其项目经理（建造师）实施联合惩戒，禁止参与我市公共资源交易活动。</w:t>
      </w:r>
    </w:p>
    <w:p w14:paraId="71AFAD72">
      <w:pPr>
        <w:widowControl/>
        <w:autoSpaceDE w:val="0"/>
        <w:spacing w:line="520" w:lineRule="exact"/>
        <w:ind w:firstLine="480" w:firstLineChars="200"/>
        <w:textAlignment w:val="baseline"/>
        <w:rPr>
          <w:rFonts w:hint="eastAsia" w:ascii="宋体" w:hAnsi="宋体" w:eastAsia="宋体" w:cs="宋体"/>
          <w:bCs/>
          <w:color w:val="auto"/>
          <w:sz w:val="24"/>
          <w:szCs w:val="24"/>
          <w:highlight w:val="none"/>
        </w:rPr>
      </w:pPr>
      <w:r>
        <w:rPr>
          <w:rFonts w:hint="eastAsia" w:ascii="宋体" w:hAnsi="宋体" w:eastAsia="宋体" w:cs="宋体"/>
          <w:bCs/>
          <w:color w:val="auto"/>
          <w:kern w:val="0"/>
          <w:sz w:val="24"/>
          <w:szCs w:val="24"/>
          <w:highlight w:val="none"/>
          <w:lang w:bidi="ar"/>
        </w:rPr>
        <w:t>（一）工程建设项目</w:t>
      </w:r>
    </w:p>
    <w:p w14:paraId="7B9DEE9D">
      <w:pPr>
        <w:widowControl/>
        <w:autoSpaceDE w:val="0"/>
        <w:spacing w:line="52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1、“信用中国”网站（www.creditchina.gov.cn）查询投标人、法定代表人及其项目经理(建造师)以下失信行为：</w:t>
      </w:r>
    </w:p>
    <w:p w14:paraId="74D7F524">
      <w:pPr>
        <w:widowControl/>
        <w:autoSpaceDE w:val="0"/>
        <w:spacing w:line="52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①被列入“失信被执行人”的;</w:t>
      </w:r>
    </w:p>
    <w:p w14:paraId="1BE46CE0">
      <w:pPr>
        <w:widowControl/>
        <w:autoSpaceDE w:val="0"/>
        <w:spacing w:line="52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②被列入“重大税收违法失信主体”的；</w:t>
      </w:r>
    </w:p>
    <w:p w14:paraId="25319E86">
      <w:pPr>
        <w:widowControl/>
        <w:autoSpaceDE w:val="0"/>
        <w:spacing w:line="52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③被列入“拖欠农民工工资失信联合惩戒对象名单”的；</w:t>
      </w:r>
    </w:p>
    <w:p w14:paraId="7B9B49A7">
      <w:pPr>
        <w:widowControl/>
        <w:autoSpaceDE w:val="0"/>
        <w:spacing w:line="52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④被列入 “严重失信主体名单”的；</w:t>
      </w:r>
    </w:p>
    <w:p w14:paraId="0F6576BE">
      <w:pPr>
        <w:widowControl/>
        <w:autoSpaceDE w:val="0"/>
        <w:spacing w:line="52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⑤在“信用中国”网站上披露的仍在公示期的严重失信行为(具体行为类别及判定依据见附件2)的。</w:t>
      </w:r>
    </w:p>
    <w:p w14:paraId="4289203B">
      <w:pPr>
        <w:widowControl/>
        <w:autoSpaceDE w:val="0"/>
        <w:spacing w:line="52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2、国家企业信用信息公示系统网站（www.gsxt.gov.cn）查询投标人以下失信行为：</w:t>
      </w:r>
    </w:p>
    <w:p w14:paraId="21A63CAB">
      <w:pPr>
        <w:widowControl/>
        <w:autoSpaceDE w:val="0"/>
        <w:spacing w:line="52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①被列入“经营异常名录”或者“严重违法失信名单”的。</w:t>
      </w:r>
    </w:p>
    <w:p w14:paraId="01723FAC">
      <w:pPr>
        <w:widowControl/>
        <w:autoSpaceDE w:val="0"/>
        <w:spacing w:line="52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3、由投标人、法定代表人及其项目经理(建造师)进行承诺，不进行现场网上信用查询的失信行为：</w:t>
      </w:r>
    </w:p>
    <w:p w14:paraId="17014AE8">
      <w:pPr>
        <w:widowControl/>
        <w:autoSpaceDE w:val="0"/>
        <w:spacing w:line="52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①前三年有行贿犯罪行为的单位和个人；</w:t>
      </w:r>
    </w:p>
    <w:p w14:paraId="27A35A36">
      <w:pPr>
        <w:widowControl/>
        <w:autoSpaceDE w:val="0"/>
        <w:spacing w:line="52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②被滁州市县两级公管部门取消在一定期限内的投标资格且在取消期限内的；</w:t>
      </w:r>
    </w:p>
    <w:p w14:paraId="40C883E0">
      <w:pPr>
        <w:widowControl/>
        <w:autoSpaceDE w:val="0"/>
        <w:spacing w:line="52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③被滁州市县两级各行业主管部门取消在一定期限内的投标资格且在取消期限内的；</w:t>
      </w:r>
    </w:p>
    <w:p w14:paraId="6777F7AF">
      <w:pPr>
        <w:widowControl/>
        <w:autoSpaceDE w:val="0"/>
        <w:spacing w:line="52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④因拖欠农民工工资被县级及以上有关行政主管部门限制投标资格且在限制期限内的；</w:t>
      </w:r>
    </w:p>
    <w:p w14:paraId="0065EBDD">
      <w:pPr>
        <w:widowControl/>
        <w:autoSpaceDE w:val="0"/>
        <w:spacing w:line="520" w:lineRule="exact"/>
        <w:ind w:firstLine="480" w:firstLineChars="200"/>
        <w:textAlignment w:val="baseline"/>
        <w:rPr>
          <w:rFonts w:hint="eastAsia" w:ascii="宋体" w:hAnsi="宋体" w:eastAsia="宋体" w:cs="宋体"/>
          <w:bCs/>
          <w:color w:val="auto"/>
          <w:sz w:val="24"/>
          <w:szCs w:val="24"/>
          <w:highlight w:val="none"/>
        </w:rPr>
      </w:pPr>
      <w:r>
        <w:rPr>
          <w:rFonts w:hint="eastAsia" w:ascii="宋体" w:hAnsi="宋体" w:eastAsia="宋体" w:cs="宋体"/>
          <w:bCs/>
          <w:color w:val="auto"/>
          <w:kern w:val="0"/>
          <w:sz w:val="24"/>
          <w:szCs w:val="24"/>
          <w:highlight w:val="none"/>
          <w:lang w:bidi="ar"/>
        </w:rPr>
        <w:t>⑤被列入省级、市级农民工工资支付异常名录的施工企业，在限制其参加全市范围内房建和市政工程建设项目投标的期限内的；列入县级异常名录的施工企业，在限制其参加本行政区域内房建和市政建设项目投标的期限内的。</w:t>
      </w:r>
    </w:p>
    <w:p w14:paraId="6116375A">
      <w:pPr>
        <w:widowControl/>
        <w:autoSpaceDE w:val="0"/>
        <w:spacing w:line="520" w:lineRule="exact"/>
        <w:ind w:firstLine="480" w:firstLineChars="200"/>
        <w:textAlignment w:val="baseline"/>
        <w:rPr>
          <w:rFonts w:hint="eastAsia" w:ascii="宋体" w:hAnsi="宋体" w:eastAsia="宋体" w:cs="宋体"/>
          <w:bCs/>
          <w:color w:val="auto"/>
          <w:sz w:val="24"/>
          <w:szCs w:val="24"/>
          <w:highlight w:val="none"/>
        </w:rPr>
      </w:pPr>
      <w:r>
        <w:rPr>
          <w:rFonts w:hint="eastAsia" w:ascii="宋体" w:hAnsi="宋体" w:eastAsia="宋体" w:cs="宋体"/>
          <w:bCs/>
          <w:color w:val="auto"/>
          <w:kern w:val="0"/>
          <w:sz w:val="24"/>
          <w:szCs w:val="24"/>
          <w:highlight w:val="none"/>
          <w:lang w:bidi="ar"/>
        </w:rPr>
        <w:t>（二）政府采购项目</w:t>
      </w:r>
    </w:p>
    <w:p w14:paraId="2C566F22">
      <w:pPr>
        <w:widowControl/>
        <w:autoSpaceDE w:val="0"/>
        <w:spacing w:line="52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1、“信用中国”网站（www.creditchina.gov.cn）查询供应商、法定代表人及其项目负责人以下失信行为：</w:t>
      </w:r>
    </w:p>
    <w:p w14:paraId="0AF241BF">
      <w:pPr>
        <w:widowControl/>
        <w:autoSpaceDE w:val="0"/>
        <w:spacing w:line="52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①被列入“失信被执行人”的;</w:t>
      </w:r>
    </w:p>
    <w:p w14:paraId="0AD1006D">
      <w:pPr>
        <w:widowControl/>
        <w:autoSpaceDE w:val="0"/>
        <w:spacing w:line="52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②被列入“重大税收违法失信主体”的；</w:t>
      </w:r>
    </w:p>
    <w:p w14:paraId="0F0A0661">
      <w:pPr>
        <w:widowControl/>
        <w:autoSpaceDE w:val="0"/>
        <w:spacing w:line="52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③被列入 “严重失信主体名单”的；</w:t>
      </w:r>
    </w:p>
    <w:p w14:paraId="0EA3743C">
      <w:pPr>
        <w:widowControl/>
        <w:autoSpaceDE w:val="0"/>
        <w:spacing w:line="52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④在“信用中国”网站上披露的仍在公示期的严重失信行为(具体行为类别及判定依据见附件2)的。</w:t>
      </w:r>
    </w:p>
    <w:p w14:paraId="2FAECFBB">
      <w:pPr>
        <w:widowControl/>
        <w:autoSpaceDE w:val="0"/>
        <w:spacing w:line="52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2、国家企业信用信息公示系统网站（www.gsxt.gov.cn）查询供应商以下失信行为：</w:t>
      </w:r>
    </w:p>
    <w:p w14:paraId="6063F9AC">
      <w:pPr>
        <w:widowControl/>
        <w:autoSpaceDE w:val="0"/>
        <w:spacing w:line="52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①被列入“经营异常名录”或者“严重违法失信名单”的。</w:t>
      </w:r>
    </w:p>
    <w:p w14:paraId="766E12EC">
      <w:pPr>
        <w:widowControl/>
        <w:autoSpaceDE w:val="0"/>
        <w:spacing w:line="52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3、中国政府采购网站（www.ccgp.gov.cn）查询以下失信行为：</w:t>
      </w:r>
    </w:p>
    <w:p w14:paraId="77D8E6F6">
      <w:pPr>
        <w:widowControl/>
        <w:autoSpaceDE w:val="0"/>
        <w:spacing w:line="52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①被列入“政府采购严重违法失信行为信息记录”的。</w:t>
      </w:r>
    </w:p>
    <w:p w14:paraId="572155B0">
      <w:pPr>
        <w:widowControl/>
        <w:autoSpaceDE w:val="0"/>
        <w:spacing w:line="52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4、由竞争主体进行承诺，不进行现场网上信用查询的失信行为：</w:t>
      </w:r>
    </w:p>
    <w:p w14:paraId="34E1378D">
      <w:pPr>
        <w:widowControl/>
        <w:autoSpaceDE w:val="0"/>
        <w:spacing w:line="520" w:lineRule="exact"/>
        <w:ind w:firstLine="480" w:firstLineChars="200"/>
        <w:textAlignment w:val="baseline"/>
        <w:rPr>
          <w:rFonts w:hint="eastAsia" w:ascii="宋体" w:hAnsi="宋体" w:eastAsia="宋体" w:cs="宋体"/>
          <w:bCs/>
          <w:color w:val="auto"/>
          <w:sz w:val="24"/>
          <w:szCs w:val="24"/>
          <w:highlight w:val="none"/>
        </w:rPr>
      </w:pPr>
      <w:r>
        <w:rPr>
          <w:rFonts w:hint="eastAsia" w:ascii="宋体" w:hAnsi="宋体" w:eastAsia="宋体" w:cs="宋体"/>
          <w:bCs/>
          <w:color w:val="auto"/>
          <w:kern w:val="0"/>
          <w:sz w:val="24"/>
          <w:szCs w:val="24"/>
          <w:highlight w:val="none"/>
          <w:lang w:bidi="ar"/>
        </w:rPr>
        <w:t>①前三年有行贿犯罪行为的单位和个人。</w:t>
      </w:r>
    </w:p>
    <w:p w14:paraId="3F1CE44E">
      <w:pPr>
        <w:widowControl/>
        <w:autoSpaceDE w:val="0"/>
        <w:spacing w:line="520" w:lineRule="exact"/>
        <w:ind w:firstLine="480" w:firstLineChars="200"/>
        <w:textAlignment w:val="baseline"/>
        <w:rPr>
          <w:rFonts w:hint="eastAsia" w:ascii="宋体" w:hAnsi="宋体" w:eastAsia="宋体" w:cs="宋体"/>
          <w:bCs/>
          <w:color w:val="auto"/>
          <w:sz w:val="24"/>
          <w:szCs w:val="24"/>
          <w:highlight w:val="none"/>
        </w:rPr>
      </w:pPr>
      <w:r>
        <w:rPr>
          <w:rFonts w:hint="eastAsia" w:ascii="宋体" w:hAnsi="宋体" w:eastAsia="宋体" w:cs="宋体"/>
          <w:bCs/>
          <w:color w:val="auto"/>
          <w:kern w:val="0"/>
          <w:sz w:val="24"/>
          <w:szCs w:val="24"/>
          <w:highlight w:val="none"/>
          <w:lang w:bidi="ar"/>
        </w:rPr>
        <w:t>二、在开评标活动中的查询程序</w:t>
      </w:r>
    </w:p>
    <w:p w14:paraId="526F5422">
      <w:pPr>
        <w:widowControl/>
        <w:autoSpaceDE w:val="0"/>
        <w:spacing w:line="52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1、实行有限数量制资格审查的项目，由项目单位（代理机构）对入围的投标人、法定代表人及其项目经理（建造师）是否存在上述要求查询的失信行为进行网上核查；若核查结果与投标人承诺不一致，则提交评标委员会取消其入围资格，依次进行替补，并对替补单位进行核查。评审结论以核查后入围的结果重新计算最终评标基准价。</w:t>
      </w:r>
    </w:p>
    <w:p w14:paraId="13FB875A">
      <w:pPr>
        <w:widowControl/>
        <w:autoSpaceDE w:val="0"/>
        <w:spacing w:line="52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2、不实行有限数量制资格审查的项目，由项目单位（代理机构）对预中标候选人、法定代表人及其项目经理（建造师）是否存在上述要求查询的失信行为进行网上核查后，提交网站截图等查询记录给评标委员会复核。若核查结果不符合招标文件规定的投标人资格条件信誉要求，由评标委员会取消其预中标候选人资格，并依次替补，再次对替补单位进行核查。如评标现场未发现问题但标后质疑（异议）、投诉发现中标候选人存在信誉问题，则组织评标委员会重新启动复核程序。核查结果不改变原评标基准价。</w:t>
      </w:r>
    </w:p>
    <w:p w14:paraId="338449DC">
      <w:pPr>
        <w:widowControl/>
        <w:autoSpaceDE w:val="0"/>
        <w:spacing w:line="520" w:lineRule="exact"/>
        <w:ind w:firstLine="480" w:firstLineChars="200"/>
        <w:textAlignment w:val="baseline"/>
        <w:rPr>
          <w:rFonts w:hint="eastAsia" w:ascii="宋体" w:hAnsi="宋体" w:eastAsia="宋体" w:cs="宋体"/>
          <w:bCs/>
          <w:color w:val="auto"/>
          <w:sz w:val="24"/>
          <w:szCs w:val="24"/>
          <w:highlight w:val="none"/>
        </w:rPr>
      </w:pPr>
      <w:r>
        <w:rPr>
          <w:rFonts w:hint="eastAsia" w:ascii="宋体" w:hAnsi="宋体" w:eastAsia="宋体" w:cs="宋体"/>
          <w:bCs/>
          <w:color w:val="auto"/>
          <w:kern w:val="0"/>
          <w:sz w:val="24"/>
          <w:szCs w:val="24"/>
          <w:highlight w:val="none"/>
          <w:lang w:bidi="ar"/>
        </w:rPr>
        <w:t>3、项目单位及其委托的代理机构应当做好信用查询结果截图和记录留存。</w:t>
      </w:r>
    </w:p>
    <w:p w14:paraId="75123F4E">
      <w:pPr>
        <w:widowControl/>
        <w:autoSpaceDE w:val="0"/>
        <w:spacing w:line="520" w:lineRule="exact"/>
        <w:ind w:firstLine="480" w:firstLineChars="200"/>
        <w:textAlignment w:val="baseline"/>
        <w:rPr>
          <w:rFonts w:hint="eastAsia" w:ascii="宋体" w:hAnsi="宋体" w:eastAsia="宋体" w:cs="宋体"/>
          <w:bCs/>
          <w:color w:val="auto"/>
          <w:sz w:val="24"/>
          <w:szCs w:val="24"/>
          <w:highlight w:val="none"/>
        </w:rPr>
      </w:pPr>
      <w:r>
        <w:rPr>
          <w:rFonts w:hint="eastAsia" w:ascii="宋体" w:hAnsi="宋体" w:eastAsia="宋体" w:cs="宋体"/>
          <w:bCs/>
          <w:color w:val="auto"/>
          <w:kern w:val="0"/>
          <w:sz w:val="24"/>
          <w:szCs w:val="24"/>
          <w:highlight w:val="none"/>
          <w:lang w:bidi="ar"/>
        </w:rPr>
        <w:t>三、相关要求</w:t>
      </w:r>
    </w:p>
    <w:p w14:paraId="581390FD">
      <w:pPr>
        <w:widowControl/>
        <w:autoSpaceDE w:val="0"/>
        <w:spacing w:line="52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1、参与公共资源交易活动的竞争主体根据上述范围查询的内容进行自查并承诺，出具《诚信投标承诺书》（诚信投标承诺书包括但不限于上述自查并承诺内容）并注明承诺日期（投标截止时间前5日内）。</w:t>
      </w:r>
    </w:p>
    <w:p w14:paraId="01AE2B48">
      <w:pPr>
        <w:widowControl/>
        <w:autoSpaceDE w:val="0"/>
        <w:spacing w:line="52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经核查，竞争主体在承诺日期之前（没有承诺日期的以资格审查日或开标日之前）有上述失信行为进行虚假承诺的，将视作不诚信行为，资格审查委员会或评标委员会及代理机构应当及时报告公共资源监管部门，依法依规予以处理。</w:t>
      </w:r>
    </w:p>
    <w:p w14:paraId="11BF15D1">
      <w:pPr>
        <w:widowControl/>
        <w:autoSpaceDE w:val="0"/>
        <w:spacing w:line="520" w:lineRule="exact"/>
        <w:ind w:firstLine="480" w:firstLineChars="200"/>
        <w:textAlignment w:val="baseline"/>
        <w:rPr>
          <w:rFonts w:hint="eastAsia" w:ascii="宋体" w:hAnsi="宋体" w:eastAsia="宋体" w:cs="宋体"/>
          <w:bCs/>
          <w:color w:val="auto"/>
          <w:sz w:val="24"/>
          <w:szCs w:val="24"/>
          <w:highlight w:val="none"/>
        </w:rPr>
      </w:pPr>
      <w:r>
        <w:rPr>
          <w:rFonts w:hint="eastAsia" w:ascii="宋体" w:hAnsi="宋体" w:eastAsia="宋体" w:cs="宋体"/>
          <w:bCs/>
          <w:color w:val="auto"/>
          <w:kern w:val="0"/>
          <w:sz w:val="24"/>
          <w:szCs w:val="24"/>
          <w:highlight w:val="none"/>
          <w:lang w:bidi="ar"/>
        </w:rPr>
        <w:t>注册地在安徽省内且未在安徽省外开展业务、省外无违法违规行为的企业可通过安徽政务服务网开具由安徽省公共信用信息服务中心出具的《公共信用信息报告（无违法违规证明版或核查版）》代替《诚信投标承诺书》。《公共信用信息报告（无违法违规证明版或核查版）》可通过 “信用中国(安徽)”网站信用报告核验系统 ( https://credit.ah.gov.cn/xinyong-fuwu/xvbahv/index.html)进行核验。核验不一致或提交《公共信用信息报告（无违法违规证明版或核查版）》的企业在省外有失信行为的将视作不诚信行为，资格审查委员会或评标委员会及代理机构应当及时报告公共资源监管部门，依法依规予以处理。</w:t>
      </w:r>
    </w:p>
    <w:p w14:paraId="6AB4B04B">
      <w:pPr>
        <w:widowControl/>
        <w:autoSpaceDE w:val="0"/>
        <w:spacing w:line="520" w:lineRule="exact"/>
        <w:ind w:firstLine="482" w:firstLineChars="200"/>
        <w:textAlignment w:val="baseline"/>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lang w:bidi="ar"/>
        </w:rPr>
        <w:t>2、“信用中国”查询的严重失信行为判定依据为各行业主管部门下发的联合惩戒文件中规定的行为（按附件2执行）。</w:t>
      </w:r>
    </w:p>
    <w:p w14:paraId="30DC1506">
      <w:pPr>
        <w:widowControl/>
        <w:autoSpaceDE w:val="0"/>
        <w:spacing w:line="520" w:lineRule="exact"/>
        <w:ind w:firstLine="480" w:firstLineChars="200"/>
        <w:textAlignment w:val="baseline"/>
        <w:rPr>
          <w:rFonts w:hint="eastAsia" w:ascii="宋体" w:hAnsi="宋体" w:eastAsia="宋体" w:cs="宋体"/>
          <w:color w:val="auto"/>
          <w:szCs w:val="21"/>
          <w:highlight w:val="none"/>
        </w:rPr>
      </w:pPr>
      <w:r>
        <w:rPr>
          <w:rFonts w:hint="eastAsia" w:ascii="宋体" w:hAnsi="宋体" w:eastAsia="宋体" w:cs="宋体"/>
          <w:bCs/>
          <w:color w:val="auto"/>
          <w:kern w:val="0"/>
          <w:sz w:val="24"/>
          <w:szCs w:val="24"/>
          <w:highlight w:val="none"/>
          <w:lang w:bidi="ar"/>
        </w:rPr>
        <w:t>3、资格预审的项目以递交资格预审申请文件截止时间查询为准；资格后审的项目以递交投标文件截止时间查询为准。</w:t>
      </w:r>
      <w:r>
        <w:rPr>
          <w:rFonts w:hint="eastAsia" w:ascii="宋体" w:hAnsi="宋体" w:eastAsia="宋体" w:cs="宋体"/>
          <w:color w:val="auto"/>
          <w:szCs w:val="21"/>
          <w:highlight w:val="none"/>
          <w:lang w:bidi="ar"/>
        </w:rPr>
        <w:t xml:space="preserve"> </w:t>
      </w:r>
    </w:p>
    <w:p w14:paraId="061F509D">
      <w:pPr>
        <w:spacing w:line="44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br w:type="page"/>
      </w:r>
      <w:r>
        <w:rPr>
          <w:rFonts w:hint="eastAsia" w:ascii="宋体" w:hAnsi="宋体" w:eastAsia="宋体" w:cs="宋体"/>
          <w:b/>
          <w:color w:val="auto"/>
          <w:sz w:val="24"/>
          <w:szCs w:val="24"/>
          <w:highlight w:val="none"/>
          <w:lang w:bidi="ar"/>
        </w:rPr>
        <w:t>附件2</w:t>
      </w:r>
    </w:p>
    <w:p w14:paraId="7A644ACF">
      <w:pPr>
        <w:spacing w:line="44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“信用中国”查询的严重失信行为类别及判定依据</w:t>
      </w:r>
    </w:p>
    <w:p w14:paraId="7496D4BE">
      <w:pPr>
        <w:spacing w:line="44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 xml:space="preserve"> </w:t>
      </w:r>
    </w:p>
    <w:p w14:paraId="596C6C71">
      <w:pPr>
        <w:widowControl/>
        <w:autoSpaceDE w:val="0"/>
        <w:spacing w:line="480" w:lineRule="exact"/>
        <w:ind w:firstLine="480" w:firstLineChars="200"/>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“信用中国”查询的严重失信行为判定依据为各行业主管部门下发的联合惩戒文件中规定的行为。下面将部分类别的严重失信行为列举如下：</w:t>
      </w:r>
    </w:p>
    <w:p w14:paraId="2F8908CA">
      <w:pPr>
        <w:widowControl/>
        <w:autoSpaceDE w:val="0"/>
        <w:spacing w:line="480" w:lineRule="exact"/>
        <w:ind w:firstLine="482" w:firstLineChars="200"/>
        <w:jc w:val="left"/>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 xml:space="preserve"> </w:t>
      </w:r>
    </w:p>
    <w:p w14:paraId="3722E9C7">
      <w:pPr>
        <w:widowControl/>
        <w:autoSpaceDE w:val="0"/>
        <w:spacing w:line="480" w:lineRule="exact"/>
        <w:ind w:firstLine="482" w:firstLineChars="200"/>
        <w:jc w:val="left"/>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一、安全生产领域严重失信行为：</w:t>
      </w:r>
    </w:p>
    <w:p w14:paraId="516F3A34">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（一）下列发生生产安全事故的生产经营单位及其有关人员应当列入严重失信主体名单：</w:t>
      </w:r>
    </w:p>
    <w:p w14:paraId="3318BE99">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1、发生特别重大、重大生产安全事故的生产经营单位及其主要负责人，以及经调查认定对该事故发生负有责任，应当列入名单的其他单位和人员；</w:t>
      </w:r>
    </w:p>
    <w:p w14:paraId="5754C806">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2、12个月内累计发生2起以上较大生产安全事故的生产经营单位及其主要负责人；</w:t>
      </w:r>
    </w:p>
    <w:p w14:paraId="6A8A8337">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3、发生生产安全事故，情节特别严重、影响特别恶劣，依照《中华人民共和国安全生产法》第一百一十四条的规定被处以罚款数额2倍以上5倍以下罚款的生产经营单位及其主要负责人；</w:t>
      </w:r>
    </w:p>
    <w:p w14:paraId="5ED8CA8B">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4、瞒报、谎报生产安全事故的生产经营单位及其有关责任人员；</w:t>
      </w:r>
    </w:p>
    <w:p w14:paraId="3DDF101C">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5、发生生产安全事故后，不立即组织抢救或者在事故调查处理期间擅离职守或者逃匿的生产经营单位主要负责人。</w:t>
      </w:r>
    </w:p>
    <w:p w14:paraId="3179E54E">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（二）下列未发生生产安全事故，但因安全生产违法行为，受到行政处罚的生产经营单位或者机构及其有关人员，应当列入严重失信主体名单：</w:t>
      </w:r>
    </w:p>
    <w:p w14:paraId="2C5EA0BA">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1、未依法取得安全生产相关许可或者许可被暂扣、吊销期间从事相关生产经营活动的生产经营单位及其主要负责人；</w:t>
      </w:r>
    </w:p>
    <w:p w14:paraId="4548CCAC">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2、承担安全评价、认证、检测、检验职责的机构及其直接责任人员租借资质、挂靠、出具虚假报告或者证书的；</w:t>
      </w:r>
    </w:p>
    <w:p w14:paraId="14E0B8CE">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3、在应急管理部门作出行政处罚后，有执行能力拒不执行或者逃避执行的生产经营单位及其主要负责人；</w:t>
      </w:r>
    </w:p>
    <w:p w14:paraId="0C1E73E8">
      <w:pPr>
        <w:widowControl/>
        <w:autoSpaceDE w:val="0"/>
        <w:spacing w:line="480" w:lineRule="exact"/>
        <w:ind w:firstLine="480" w:firstLineChars="200"/>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4、其他违反安全生产法律法规受到行政处罚，且性质恶劣、情节严重的。</w:t>
      </w:r>
    </w:p>
    <w:p w14:paraId="0751402F">
      <w:pPr>
        <w:widowControl/>
        <w:autoSpaceDE w:val="0"/>
        <w:spacing w:line="480" w:lineRule="exact"/>
        <w:ind w:firstLine="482" w:firstLineChars="200"/>
        <w:jc w:val="left"/>
        <w:textAlignment w:val="baseline"/>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lang w:bidi="ar"/>
        </w:rPr>
        <w:t>依据：《安全生产严重失信主体名单管理办法》（2023年8月8日应急管理部令第11号）</w:t>
      </w:r>
    </w:p>
    <w:p w14:paraId="531807B1">
      <w:pPr>
        <w:widowControl/>
        <w:autoSpaceDE w:val="0"/>
        <w:spacing w:line="480" w:lineRule="exact"/>
        <w:ind w:firstLine="482" w:firstLineChars="200"/>
        <w:jc w:val="left"/>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 xml:space="preserve"> </w:t>
      </w:r>
    </w:p>
    <w:p w14:paraId="5BEBE91E">
      <w:pPr>
        <w:widowControl/>
        <w:autoSpaceDE w:val="0"/>
        <w:spacing w:line="480" w:lineRule="exact"/>
        <w:ind w:firstLine="482" w:firstLineChars="200"/>
        <w:jc w:val="left"/>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二、环境保护领域严重失信行为：</w:t>
      </w:r>
    </w:p>
    <w:p w14:paraId="045AF93F">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（一）因为环境违法构成环境犯罪的；</w:t>
      </w:r>
    </w:p>
    <w:p w14:paraId="31189518">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（二）建设项目环境影响评价文件未按规定通过审批，擅自开工建设的；</w:t>
      </w:r>
    </w:p>
    <w:p w14:paraId="171C7DD5">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（三）建设项目环保设施未建成、环保措施未落实、未通过竣工环保验收或者验收不合格，主体工程正式投入生产或者使用的；</w:t>
      </w:r>
    </w:p>
    <w:p w14:paraId="3B140C20">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（四）建设项目性质、规模、地点、采用的生产工艺或者防治污染、防止生态破坏的措施发生重大变动，未重新报批环境影响评价文件，擅自投入生产或者使用的；</w:t>
      </w:r>
    </w:p>
    <w:p w14:paraId="0B2206DD">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（五）主要污染物排放总量超过控制指标的；</w:t>
      </w:r>
    </w:p>
    <w:p w14:paraId="336DFA98">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（六）私设暗管或者利用渗井、渗坑、裂隙、溶洞等排放、倾倒、处置水污染物，或者通过私设旁路排放大气污染物的；</w:t>
      </w:r>
    </w:p>
    <w:p w14:paraId="1D335670">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（七）非法排放、倾倒、处置危险废物，或者向无经营许可证或者超出经营许可范围的单位或个人提供或者委托其收集、贮存、利用、处置危险废物的；</w:t>
      </w:r>
    </w:p>
    <w:p w14:paraId="5587C986">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（八）环境违法行为造成集中式生活饮用水水源取水中断的；</w:t>
      </w:r>
    </w:p>
    <w:p w14:paraId="554AF46B">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（九）环境违法行为对生活饮用水水源保护区、自然保护区、国家重点生态功能区、风景名胜区、居住功能区、基本农田保护区等环境敏感区造成重大不利影响的；</w:t>
      </w:r>
    </w:p>
    <w:p w14:paraId="378F8570">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（十）违法从事自然资源开发、交通基础设施建设，以及其他开发建设活动，造成严重生态破坏的；</w:t>
      </w:r>
    </w:p>
    <w:p w14:paraId="17FEE7FE">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（十一）发生较大及以上突发环境事件的；</w:t>
      </w:r>
    </w:p>
    <w:p w14:paraId="2916A7A2">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（十二）被环保部门挂牌督办，整改逾期未完成的；</w:t>
      </w:r>
    </w:p>
    <w:p w14:paraId="6529B9B5">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（十三）以暴力、威胁等方式拒绝、阻挠环保部门工作人员现场检查的；</w:t>
      </w:r>
    </w:p>
    <w:p w14:paraId="0CC63604">
      <w:pPr>
        <w:widowControl/>
        <w:autoSpaceDE w:val="0"/>
        <w:spacing w:line="480" w:lineRule="exact"/>
        <w:ind w:firstLine="480" w:firstLineChars="200"/>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（十四）违反重污染天气应急预案有关规定，对重污染天气响应不力的。</w:t>
      </w:r>
    </w:p>
    <w:p w14:paraId="2B12E217">
      <w:pPr>
        <w:widowControl/>
        <w:autoSpaceDE w:val="0"/>
        <w:spacing w:line="480" w:lineRule="exact"/>
        <w:ind w:firstLine="482" w:firstLineChars="200"/>
        <w:jc w:val="left"/>
        <w:textAlignment w:val="baseline"/>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lang w:bidi="ar"/>
        </w:rPr>
        <w:t>依据：《关于对环境保护领域失信生产经营单位及其有关人员开展联合惩戒的合作备忘录》、《企业环境信用评价办法（试行）》（环发〔2013〕150号）</w:t>
      </w:r>
    </w:p>
    <w:p w14:paraId="0E784D66">
      <w:pPr>
        <w:widowControl/>
        <w:autoSpaceDE w:val="0"/>
        <w:spacing w:line="480" w:lineRule="exact"/>
        <w:ind w:firstLine="482" w:firstLineChars="200"/>
        <w:jc w:val="left"/>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 xml:space="preserve"> </w:t>
      </w:r>
    </w:p>
    <w:p w14:paraId="383DE8A5">
      <w:pPr>
        <w:widowControl/>
        <w:autoSpaceDE w:val="0"/>
        <w:spacing w:line="480" w:lineRule="exact"/>
        <w:ind w:firstLine="482" w:firstLineChars="200"/>
        <w:jc w:val="left"/>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三、公共资源交易领域严重失信行为</w:t>
      </w:r>
    </w:p>
    <w:p w14:paraId="3A12CA53">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（一）违反法律规定，必须进行招标的项目而不招标的，将必须进行招标的项目化整为零或者以其他任何方式规避招标的； </w:t>
      </w:r>
    </w:p>
    <w:p w14:paraId="7DE89775">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（二）招标代理机构违反法律规定，泄露应当保密的与招标投标活动有关的情况和资料的，或者与招标人、投标人串通损害 国家利益、社会公共利益或者他人合法权益的；</w:t>
      </w:r>
    </w:p>
    <w:p w14:paraId="5F076461">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（三）招标人以不合理的条件限制或者排斥潜在投标人的，对潜在投标人实行歧视待遇的，强制要求投标人组成联合体共同 投标的，或者限制投标人之间竞争的；</w:t>
      </w:r>
    </w:p>
    <w:p w14:paraId="39A2C743">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（四）依法必须进行招标的项目的招标人向他人透露已获取招标文件的潜在投标人的名称、数量或者可能影响公平竞争的有 关招标投标的其他情况的，或者泄露标底的；</w:t>
      </w:r>
    </w:p>
    <w:p w14:paraId="34C33001">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（五）投标人相互串通投标或者与招标人串通投标的，投标人以向招标人或者评标委员会成员行贿的手段谋取中标的； </w:t>
      </w:r>
    </w:p>
    <w:p w14:paraId="3F1567F6">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（六）投标人以他人名义投标或者以其他方式弄虚作假，骗取中标的；</w:t>
      </w:r>
    </w:p>
    <w:p w14:paraId="33421ACA">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（七）依法必须进行招标的项目，招标人违反法律规定，与投标人就投标价格、投标方案等实质性内容进行谈判的；</w:t>
      </w:r>
    </w:p>
    <w:p w14:paraId="0A0A89BC">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（八）评标委员会成员收受投标人的财物或者其他好处的，评标委员会成员或者参加评标的有关工作人员向他人透露对投 标文件的评审和比较、中标候选人的推荐以及与评标有关的其他 情况的； </w:t>
      </w:r>
    </w:p>
    <w:p w14:paraId="51529650">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（九）招标人在评标委员会依法推荐的中标候选人以外确定中标人的，依法必须进行招标的项目在所有投标被评标委员会否 决后自行确定中标人的； </w:t>
      </w:r>
    </w:p>
    <w:p w14:paraId="685D4A8F">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（十）中标人将中标项目转让给他人的，将中标项目肢解后分别转让给他人的，违反法律规定将中标项目的部分主体、关键 性工作分包给他人的，或者分包人再次分包的； </w:t>
      </w:r>
    </w:p>
    <w:p w14:paraId="5E02456F">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（十一）招标人与中标人不按照招标文件和中标人的投标文件订立合同的，或者招标人、中标人订立背离合同实质性内容的 协议的； </w:t>
      </w:r>
    </w:p>
    <w:p w14:paraId="182EAC56">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（十二）中标人不按照与招标人订立的合同履行义务，情节严重的； </w:t>
      </w:r>
    </w:p>
    <w:p w14:paraId="51962021">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（十三）采购人、采购代理机构存在应当采用公开招标方式而擅自采用其他方式采购，擅自提高采购标准，以不合理的条件 对供应商实行差别待遇或者歧视待遇，在招标采购过程中与投标 人进行协商谈判，中标、成交通知书发出后不与中标、成交供应商签订采购合同，或者拒绝有关部门依法实施监督检查等情形的；</w:t>
      </w:r>
    </w:p>
    <w:p w14:paraId="075B775F">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（十四）采购人、采购代理机构及其工作人员存在与供应商 或者采购代理机构恶意串通，在采购过程中接受贿赂或者获取其 他不正当利益，在有关部门依法实施的监督检查中提供虚假情况， 或者开标前泄露标底等情形的；</w:t>
      </w:r>
    </w:p>
    <w:p w14:paraId="5AFF21C5">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（十五）采购人对应当实行集中采购的政府采购项目，不委托集中采购机构实行集中采购的； </w:t>
      </w:r>
    </w:p>
    <w:p w14:paraId="08BF6D7E">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（十六）采购人、采购代理机构违反法律规定隐匿、销毁应当保存的采购文件或者伪造、变造采购文件的； </w:t>
      </w:r>
    </w:p>
    <w:p w14:paraId="32D835F8">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（十七）供应商存在提供虚假材料谋取中标、成交，采取不 正当手段诋毁、排挤其他供应商，与采购人、其他供应商或者采 购代理机构恶意串通，向采购人、采购代理机构行贿或者提供其 他不正当利益，在招标采购过程中与采购人进行协商谈判，或拒 绝有关部门监督检查或者提供虚假情况等情形的； </w:t>
      </w:r>
    </w:p>
    <w:p w14:paraId="2B9B319A">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（十八）疫苗生产企业向县级疾病预防控制机构以外的单位或者个人销售第二类疫苗的； </w:t>
      </w:r>
    </w:p>
    <w:p w14:paraId="7BCAB7DC">
      <w:pPr>
        <w:widowControl/>
        <w:autoSpaceDE w:val="0"/>
        <w:spacing w:line="480" w:lineRule="exact"/>
        <w:ind w:firstLine="480" w:firstLineChars="200"/>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（十九）存在其他违反公共资源交易法律法规行为的。</w:t>
      </w:r>
    </w:p>
    <w:p w14:paraId="2AFC67BD">
      <w:pPr>
        <w:widowControl/>
        <w:autoSpaceDE w:val="0"/>
        <w:spacing w:line="480" w:lineRule="exact"/>
        <w:ind w:firstLine="482" w:firstLineChars="200"/>
        <w:jc w:val="left"/>
        <w:textAlignment w:val="baseline"/>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lang w:bidi="ar"/>
        </w:rPr>
        <w:t>依据：《关于对公共资源交易领域严重失信主体开展联合惩戒的备忘录》（发改法规〔2018〕457号）</w:t>
      </w:r>
    </w:p>
    <w:p w14:paraId="30247808">
      <w:pPr>
        <w:widowControl/>
        <w:autoSpaceDE w:val="0"/>
        <w:spacing w:line="480" w:lineRule="exact"/>
        <w:ind w:firstLine="482" w:firstLineChars="200"/>
        <w:jc w:val="left"/>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 xml:space="preserve"> </w:t>
      </w:r>
    </w:p>
    <w:p w14:paraId="021D917E">
      <w:pPr>
        <w:widowControl/>
        <w:autoSpaceDE w:val="0"/>
        <w:spacing w:line="480" w:lineRule="exact"/>
        <w:ind w:firstLine="482" w:firstLineChars="200"/>
        <w:jc w:val="left"/>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四、社会保险领域严重失信行为</w:t>
      </w:r>
    </w:p>
    <w:p w14:paraId="4363464C">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（一）用人单位未按相关规定参加社会保险且拒不整改的； </w:t>
      </w:r>
    </w:p>
    <w:p w14:paraId="528C9BF1">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（二）用人单位未如实申报社会保险缴费基数且拒不整改的； </w:t>
      </w:r>
    </w:p>
    <w:p w14:paraId="77473E38">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（三）应缴纳社会保险费却拒不缴纳的； </w:t>
      </w:r>
    </w:p>
    <w:p w14:paraId="032AEA1A">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（四）隐匿、转移、侵占、挪用社会保险费款、基金或者违规投资运营的；</w:t>
      </w:r>
    </w:p>
    <w:p w14:paraId="20638F62">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（五）以欺诈、伪造证明材料或者其他手段参加、申报社会保险和骗取社会保险基金支出或社会保险待遇的； </w:t>
      </w:r>
    </w:p>
    <w:p w14:paraId="26807554">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（六）非法获取、出售或变相交易社会保险个人权益数据的； </w:t>
      </w:r>
    </w:p>
    <w:p w14:paraId="2921D003">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（七）社会保险服务机构违反服务协议或相关规定的； </w:t>
      </w:r>
    </w:p>
    <w:p w14:paraId="1135DB49">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（八）拒绝协助社会保险行政部门、经办机构对事故和问题进 行调查核实的；拒绝接受或协助税务部门对社会保险实施监督检查， 不如实提供与社会保险相关各项资料的； </w:t>
      </w:r>
    </w:p>
    <w:p w14:paraId="5A2A2AFA">
      <w:pPr>
        <w:widowControl/>
        <w:autoSpaceDE w:val="0"/>
        <w:spacing w:line="480" w:lineRule="exact"/>
        <w:ind w:firstLine="480" w:firstLineChars="200"/>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（九）其他违反法律法规规定的。</w:t>
      </w:r>
    </w:p>
    <w:p w14:paraId="1EBFA026">
      <w:pPr>
        <w:widowControl/>
        <w:autoSpaceDE w:val="0"/>
        <w:spacing w:line="480" w:lineRule="exact"/>
        <w:ind w:firstLine="482" w:firstLineChars="200"/>
        <w:jc w:val="left"/>
        <w:textAlignment w:val="baseline"/>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lang w:bidi="ar"/>
        </w:rPr>
        <w:t>依据：《关于对社会保险领域严重失信企业及其有关人员实施联合惩戒的合作备忘录》（发改财金〔2018〕1704号）</w:t>
      </w:r>
    </w:p>
    <w:p w14:paraId="386F97CA">
      <w:pPr>
        <w:widowControl/>
        <w:autoSpaceDE w:val="0"/>
        <w:spacing w:line="480" w:lineRule="exact"/>
        <w:ind w:firstLine="482" w:firstLineChars="200"/>
        <w:jc w:val="left"/>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 xml:space="preserve"> </w:t>
      </w:r>
    </w:p>
    <w:p w14:paraId="2C1EECE3">
      <w:pPr>
        <w:widowControl/>
        <w:autoSpaceDE w:val="0"/>
        <w:spacing w:line="480" w:lineRule="exact"/>
        <w:ind w:firstLine="482" w:firstLineChars="200"/>
        <w:jc w:val="left"/>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五、建筑市场领域严重失信行为</w:t>
      </w:r>
    </w:p>
    <w:p w14:paraId="39728566">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（一）利用虚假材料、以欺骗手段取得企业资质的；</w:t>
      </w:r>
    </w:p>
    <w:p w14:paraId="79747816">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（二）发生转包、出借资质，受到行政处罚的；</w:t>
      </w:r>
    </w:p>
    <w:p w14:paraId="042FE2A0">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（三）发生重大及以上工程质量安全事故，或1年内累计发生2次及以上较大工程质量安全事故，或发生性质恶劣、危害性严重、社会影响大的较大工程质量安全事故，受到行政处罚的；</w:t>
      </w:r>
    </w:p>
    <w:p w14:paraId="3C15C6B4">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（四）经法院判决或仲裁机构裁决，认定为拖欠工程款,且拒不履行生效法律文书确定的义务的。</w:t>
      </w:r>
    </w:p>
    <w:p w14:paraId="2A74B22C">
      <w:pPr>
        <w:widowControl/>
        <w:autoSpaceDE w:val="0"/>
        <w:spacing w:line="480" w:lineRule="exact"/>
        <w:ind w:firstLine="480" w:firstLineChars="200"/>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各级住房城乡建设主管部门应当参照建筑市场主体“黑名单”，对被人力资源社会保障行政部门列入拖欠农民工工资“黑名单”的建筑市场各方主体加强监管。</w:t>
      </w:r>
    </w:p>
    <w:p w14:paraId="59E40019">
      <w:pPr>
        <w:widowControl/>
        <w:autoSpaceDE w:val="0"/>
        <w:spacing w:line="480" w:lineRule="exact"/>
        <w:ind w:firstLine="482" w:firstLineChars="200"/>
        <w:jc w:val="left"/>
        <w:textAlignment w:val="baseline"/>
        <w:rPr>
          <w:rFonts w:hint="eastAsia" w:ascii="宋体" w:hAnsi="宋体" w:eastAsia="宋体" w:cs="宋体"/>
          <w:color w:val="auto"/>
          <w:sz w:val="24"/>
          <w:szCs w:val="24"/>
          <w:highlight w:val="none"/>
        </w:rPr>
      </w:pPr>
      <w:r>
        <w:rPr>
          <w:rFonts w:hint="eastAsia" w:ascii="宋体" w:hAnsi="宋体" w:eastAsia="宋体" w:cs="宋体"/>
          <w:b/>
          <w:color w:val="auto"/>
          <w:kern w:val="0"/>
          <w:sz w:val="24"/>
          <w:szCs w:val="24"/>
          <w:highlight w:val="none"/>
          <w:lang w:bidi="ar"/>
        </w:rPr>
        <w:t>依据：《建筑市场信用管理暂行办法》（建市〔2017〕241号）</w:t>
      </w:r>
    </w:p>
    <w:p w14:paraId="1AE4AF2D">
      <w:pPr>
        <w:widowControl/>
        <w:autoSpaceDE w:val="0"/>
        <w:spacing w:line="480" w:lineRule="exact"/>
        <w:ind w:firstLine="482" w:firstLineChars="200"/>
        <w:jc w:val="left"/>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 xml:space="preserve"> </w:t>
      </w:r>
    </w:p>
    <w:p w14:paraId="522120FF">
      <w:pPr>
        <w:widowControl/>
        <w:autoSpaceDE w:val="0"/>
        <w:spacing w:line="480" w:lineRule="exact"/>
        <w:ind w:firstLine="482" w:firstLineChars="200"/>
        <w:jc w:val="left"/>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六、政府采购严重失信行为</w:t>
      </w:r>
    </w:p>
    <w:p w14:paraId="5BFBB3B2">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供应商、采购代理机构在三年内受到财政部门作出下列情形之一的行政处罚，列入政府采购严重违法失信行为记录名单。</w:t>
      </w:r>
    </w:p>
    <w:p w14:paraId="6229A46E">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（一）三万元以上罚款；</w:t>
      </w:r>
    </w:p>
    <w:p w14:paraId="7295F7F5">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（二）在一至三年内禁止参加政府采购活动（处罚期限届满的除外）；</w:t>
      </w:r>
    </w:p>
    <w:p w14:paraId="7E5676B3">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（三）在一至三年内禁止代理政府采购业务（处罚期限届满的除外）；</w:t>
      </w:r>
    </w:p>
    <w:p w14:paraId="5614A53D">
      <w:pPr>
        <w:widowControl/>
        <w:autoSpaceDE w:val="0"/>
        <w:spacing w:line="480" w:lineRule="exact"/>
        <w:ind w:firstLine="480" w:firstLineChars="200"/>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（四）撤销政府采购代理机构资格（仅针对《政府采购法》第78条修改前作出的处罚决定）。</w:t>
      </w:r>
    </w:p>
    <w:p w14:paraId="71140ADF">
      <w:pPr>
        <w:widowControl/>
        <w:autoSpaceDE w:val="0"/>
        <w:spacing w:line="480" w:lineRule="exact"/>
        <w:ind w:firstLine="482" w:firstLineChars="200"/>
        <w:jc w:val="left"/>
        <w:textAlignment w:val="baseline"/>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lang w:bidi="ar"/>
        </w:rPr>
        <w:t>依据：《关于报送政府采购严重违法失信行为信息记录的通知》（财办库〔2014〕526号）</w:t>
      </w:r>
    </w:p>
    <w:p w14:paraId="28F1F490">
      <w:pPr>
        <w:widowControl/>
        <w:autoSpaceDE w:val="0"/>
        <w:spacing w:line="480" w:lineRule="exact"/>
        <w:ind w:firstLine="482" w:firstLineChars="200"/>
        <w:jc w:val="left"/>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 xml:space="preserve"> </w:t>
      </w:r>
      <w:r>
        <w:rPr>
          <w:rFonts w:hint="eastAsia" w:ascii="宋体" w:hAnsi="宋体" w:eastAsia="宋体" w:cs="宋体"/>
          <w:color w:val="auto"/>
          <w:kern w:val="0"/>
          <w:sz w:val="24"/>
          <w:szCs w:val="24"/>
          <w:highlight w:val="none"/>
          <w:lang w:bidi="ar"/>
        </w:rPr>
        <w:t xml:space="preserve"> </w:t>
      </w:r>
    </w:p>
    <w:p w14:paraId="65401359">
      <w:pPr>
        <w:widowControl/>
        <w:autoSpaceDE w:val="0"/>
        <w:spacing w:line="480" w:lineRule="exact"/>
        <w:ind w:firstLine="482" w:firstLineChars="200"/>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未列出的其他类别严重失信行为，由招标人（代理机构）根据各类别行业主管部门下发的联合惩戒文件进行判断。</w:t>
      </w:r>
    </w:p>
    <w:p w14:paraId="663331C5">
      <w:pPr>
        <w:spacing w:line="440" w:lineRule="exact"/>
        <w:ind w:firstLine="615"/>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 xml:space="preserve"> </w:t>
      </w:r>
    </w:p>
    <w:p w14:paraId="550936BF">
      <w:pPr>
        <w:spacing w:line="360" w:lineRule="auto"/>
        <w:ind w:firstLine="435"/>
        <w:rPr>
          <w:rFonts w:hint="eastAsia" w:ascii="宋体" w:hAnsi="宋体" w:eastAsia="宋体" w:cs="宋体"/>
          <w:color w:val="auto"/>
          <w:sz w:val="24"/>
          <w:highlight w:val="none"/>
        </w:rPr>
      </w:pPr>
    </w:p>
    <w:p w14:paraId="5D86119B">
      <w:pPr>
        <w:spacing w:line="360" w:lineRule="auto"/>
        <w:ind w:firstLine="435"/>
        <w:rPr>
          <w:rFonts w:hint="eastAsia" w:ascii="宋体" w:hAnsi="宋体" w:eastAsia="宋体" w:cs="宋体"/>
          <w:color w:val="auto"/>
          <w:sz w:val="24"/>
          <w:highlight w:val="none"/>
        </w:rPr>
      </w:pPr>
    </w:p>
    <w:p w14:paraId="7B5E4770">
      <w:pPr>
        <w:rPr>
          <w:rFonts w:hint="eastAsia" w:ascii="宋体" w:hAnsi="宋体" w:eastAsia="宋体" w:cs="宋体"/>
          <w:b/>
          <w:color w:val="auto"/>
          <w:sz w:val="28"/>
          <w:szCs w:val="28"/>
          <w:highlight w:val="none"/>
          <w:lang w:bidi="ar"/>
        </w:rPr>
      </w:pPr>
      <w:r>
        <w:rPr>
          <w:rFonts w:hint="eastAsia" w:ascii="宋体" w:hAnsi="宋体" w:eastAsia="宋体" w:cs="宋体"/>
          <w:b/>
          <w:color w:val="auto"/>
          <w:sz w:val="28"/>
          <w:szCs w:val="28"/>
          <w:highlight w:val="none"/>
          <w:lang w:bidi="ar"/>
        </w:rPr>
        <w:br w:type="page"/>
      </w:r>
    </w:p>
    <w:p w14:paraId="6AE7959C">
      <w:pPr>
        <w:spacing w:line="360" w:lineRule="auto"/>
        <w:jc w:val="center"/>
        <w:outlineLvl w:val="0"/>
        <w:rPr>
          <w:rFonts w:hint="eastAsia" w:ascii="宋体" w:hAnsi="宋体" w:eastAsia="宋体" w:cs="宋体"/>
          <w:b/>
          <w:bCs/>
          <w:color w:val="auto"/>
          <w:sz w:val="28"/>
          <w:highlight w:val="none"/>
        </w:rPr>
      </w:pPr>
      <w:bookmarkStart w:id="47" w:name="_Toc18131"/>
      <w:bookmarkStart w:id="48" w:name="_Toc15642"/>
      <w:bookmarkStart w:id="49" w:name="_Toc6435"/>
      <w:r>
        <w:rPr>
          <w:rFonts w:hint="eastAsia" w:ascii="宋体" w:hAnsi="宋体" w:eastAsia="宋体" w:cs="宋体"/>
          <w:b/>
          <w:color w:val="auto"/>
          <w:sz w:val="28"/>
          <w:highlight w:val="none"/>
        </w:rPr>
        <w:t>第七章</w:t>
      </w:r>
      <w:r>
        <w:rPr>
          <w:rFonts w:hint="eastAsia" w:ascii="宋体" w:hAnsi="宋体" w:eastAsia="宋体" w:cs="宋体"/>
          <w:b/>
          <w:bCs/>
          <w:color w:val="auto"/>
          <w:sz w:val="28"/>
          <w:highlight w:val="none"/>
        </w:rPr>
        <w:t xml:space="preserve">  政府采购</w:t>
      </w:r>
      <w:r>
        <w:rPr>
          <w:rFonts w:hint="eastAsia" w:ascii="宋体" w:hAnsi="宋体" w:eastAsia="宋体" w:cs="宋体"/>
          <w:b/>
          <w:color w:val="auto"/>
          <w:sz w:val="28"/>
          <w:highlight w:val="none"/>
        </w:rPr>
        <w:t>供应</w:t>
      </w:r>
      <w:r>
        <w:rPr>
          <w:rFonts w:hint="eastAsia" w:ascii="宋体" w:hAnsi="宋体" w:eastAsia="宋体" w:cs="宋体"/>
          <w:b/>
          <w:bCs/>
          <w:color w:val="auto"/>
          <w:sz w:val="28"/>
          <w:highlight w:val="none"/>
        </w:rPr>
        <w:t>商询问函和质疑函范本</w:t>
      </w:r>
      <w:bookmarkEnd w:id="47"/>
      <w:bookmarkEnd w:id="48"/>
      <w:bookmarkEnd w:id="49"/>
    </w:p>
    <w:p w14:paraId="516380AD">
      <w:pPr>
        <w:spacing w:line="360" w:lineRule="auto"/>
        <w:jc w:val="center"/>
        <w:outlineLvl w:val="1"/>
        <w:rPr>
          <w:rFonts w:hint="eastAsia" w:ascii="宋体" w:hAnsi="宋体" w:eastAsia="宋体" w:cs="宋体"/>
          <w:b/>
          <w:bCs/>
          <w:color w:val="auto"/>
          <w:sz w:val="32"/>
          <w:szCs w:val="44"/>
          <w:highlight w:val="none"/>
        </w:rPr>
      </w:pPr>
      <w:bookmarkStart w:id="50" w:name="_Toc27159"/>
      <w:bookmarkStart w:id="51" w:name="_Toc27489"/>
      <w:r>
        <w:rPr>
          <w:rFonts w:hint="eastAsia" w:ascii="宋体" w:hAnsi="宋体" w:eastAsia="宋体" w:cs="宋体"/>
          <w:b/>
          <w:bCs/>
          <w:color w:val="auto"/>
          <w:sz w:val="32"/>
          <w:szCs w:val="44"/>
          <w:highlight w:val="none"/>
        </w:rPr>
        <w:t>询问函范本</w:t>
      </w:r>
      <w:bookmarkEnd w:id="50"/>
      <w:bookmarkEnd w:id="51"/>
    </w:p>
    <w:p w14:paraId="714C4230">
      <w:pPr>
        <w:adjustRightInd w:val="0"/>
        <w:snapToGrid w:val="0"/>
        <w:spacing w:line="360" w:lineRule="auto"/>
        <w:ind w:firstLine="480" w:firstLineChars="200"/>
        <w:jc w:val="center"/>
        <w:rPr>
          <w:rFonts w:hint="eastAsia" w:ascii="宋体" w:hAnsi="宋体" w:eastAsia="宋体" w:cs="宋体"/>
          <w:b/>
          <w:bCs/>
          <w:color w:val="auto"/>
          <w:sz w:val="32"/>
          <w:szCs w:val="44"/>
          <w:highlight w:val="none"/>
        </w:rPr>
      </w:pPr>
      <w:r>
        <w:rPr>
          <w:rFonts w:hint="eastAsia" w:ascii="宋体" w:hAnsi="宋体" w:eastAsia="宋体" w:cs="宋体"/>
          <w:i/>
          <w:iCs/>
          <w:color w:val="auto"/>
          <w:sz w:val="24"/>
          <w:szCs w:val="24"/>
          <w:highlight w:val="none"/>
        </w:rPr>
        <w:t>（如为对采购文件或采购程序的询问或疑问，请按询问函范本或电子交易系统中网上询问格式附件进行提交）</w:t>
      </w:r>
    </w:p>
    <w:p w14:paraId="1594275F">
      <w:pPr>
        <w:adjustRightInd w:val="0"/>
        <w:snapToGrid w:val="0"/>
        <w:spacing w:line="360" w:lineRule="auto"/>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rPr>
        <w:t>致：采购人</w:t>
      </w:r>
    </w:p>
    <w:p w14:paraId="6FB72BC5">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我单位拟参与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i/>
          <w:iCs/>
          <w:color w:val="auto"/>
          <w:sz w:val="24"/>
          <w:szCs w:val="24"/>
          <w:highlight w:val="none"/>
        </w:rPr>
        <w:t>项目名称、编号</w:t>
      </w:r>
      <w:r>
        <w:rPr>
          <w:rFonts w:hint="eastAsia" w:ascii="宋体" w:hAnsi="宋体" w:eastAsia="宋体" w:cs="宋体"/>
          <w:color w:val="auto"/>
          <w:sz w:val="24"/>
          <w:szCs w:val="24"/>
          <w:highlight w:val="none"/>
        </w:rPr>
        <w:t>）的采购活动，现有以下内容(或条款)存在疑问(或无法理解)，特提出询问。</w:t>
      </w:r>
    </w:p>
    <w:p w14:paraId="6117109C">
      <w:pPr>
        <w:adjustRightInd w:val="0"/>
        <w:snapToGrid w:val="0"/>
        <w:spacing w:line="360" w:lineRule="auto"/>
        <w:ind w:firstLine="480" w:firstLineChars="200"/>
        <w:rPr>
          <w:rFonts w:hint="eastAsia" w:ascii="宋体" w:hAnsi="宋体" w:eastAsia="宋体" w:cs="宋体"/>
          <w:color w:val="auto"/>
          <w:sz w:val="24"/>
          <w:szCs w:val="24"/>
          <w:highlight w:val="none"/>
        </w:rPr>
      </w:pPr>
      <w:bookmarkStart w:id="52" w:name="_Toc13899"/>
      <w:r>
        <w:rPr>
          <w:rFonts w:hint="eastAsia" w:ascii="宋体" w:hAnsi="宋体" w:eastAsia="宋体" w:cs="宋体"/>
          <w:color w:val="auto"/>
          <w:sz w:val="24"/>
          <w:szCs w:val="24"/>
          <w:highlight w:val="none"/>
        </w:rPr>
        <w:t>一、(事项一)</w:t>
      </w:r>
      <w:bookmarkEnd w:id="52"/>
    </w:p>
    <w:p w14:paraId="4CE52E2D">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1、(内容或条款)</w:t>
      </w:r>
    </w:p>
    <w:p w14:paraId="0F2957B5">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2、(说明疑问或无法理解原因)</w:t>
      </w:r>
    </w:p>
    <w:p w14:paraId="401668AF">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3、(建议)</w:t>
      </w:r>
    </w:p>
    <w:p w14:paraId="36BAE8AD">
      <w:pPr>
        <w:adjustRightInd w:val="0"/>
        <w:snapToGrid w:val="0"/>
        <w:spacing w:line="360" w:lineRule="auto"/>
        <w:ind w:firstLine="480" w:firstLineChars="200"/>
        <w:rPr>
          <w:rFonts w:hint="eastAsia" w:ascii="宋体" w:hAnsi="宋体" w:eastAsia="宋体" w:cs="宋体"/>
          <w:color w:val="auto"/>
          <w:sz w:val="24"/>
          <w:szCs w:val="24"/>
          <w:highlight w:val="none"/>
        </w:rPr>
      </w:pPr>
      <w:bookmarkStart w:id="53" w:name="_Toc3352"/>
      <w:r>
        <w:rPr>
          <w:rFonts w:hint="eastAsia" w:ascii="宋体" w:hAnsi="宋体" w:eastAsia="宋体" w:cs="宋体"/>
          <w:color w:val="auto"/>
          <w:sz w:val="24"/>
          <w:szCs w:val="24"/>
          <w:highlight w:val="none"/>
        </w:rPr>
        <w:t>二、(事项二)</w:t>
      </w:r>
      <w:bookmarkEnd w:id="53"/>
    </w:p>
    <w:p w14:paraId="3B7D0C4A">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14:paraId="474D4BBF">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随附相关证明材料如下： </w:t>
      </w:r>
    </w:p>
    <w:p w14:paraId="7B5FC88F">
      <w:pPr>
        <w:spacing w:line="360" w:lineRule="auto"/>
        <w:ind w:firstLine="4228" w:firstLineChars="1762"/>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 系 人：</w:t>
      </w:r>
      <w:r>
        <w:rPr>
          <w:rFonts w:hint="eastAsia" w:ascii="宋体" w:hAnsi="宋体" w:eastAsia="宋体" w:cs="宋体"/>
          <w:color w:val="auto"/>
          <w:sz w:val="24"/>
          <w:highlight w:val="none"/>
          <w:u w:val="single"/>
        </w:rPr>
        <w:t xml:space="preserve">              </w:t>
      </w:r>
    </w:p>
    <w:p w14:paraId="249DFE8D">
      <w:pPr>
        <w:spacing w:line="360" w:lineRule="auto"/>
        <w:ind w:firstLine="4228" w:firstLineChars="1762"/>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single"/>
        </w:rPr>
        <w:t xml:space="preserve">              </w:t>
      </w:r>
    </w:p>
    <w:p w14:paraId="5C3B3093">
      <w:pPr>
        <w:tabs>
          <w:tab w:val="left" w:pos="630"/>
        </w:tabs>
        <w:spacing w:line="360" w:lineRule="auto"/>
        <w:ind w:firstLine="4228" w:firstLineChars="1762"/>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p>
    <w:p w14:paraId="65C370EF">
      <w:pPr>
        <w:rPr>
          <w:rFonts w:hint="eastAsia" w:ascii="宋体" w:hAnsi="宋体" w:eastAsia="宋体" w:cs="宋体"/>
          <w:b/>
          <w:bCs/>
          <w:color w:val="auto"/>
          <w:sz w:val="32"/>
          <w:szCs w:val="44"/>
          <w:highlight w:val="none"/>
        </w:rPr>
      </w:pPr>
      <w:r>
        <w:rPr>
          <w:rFonts w:hint="eastAsia" w:ascii="宋体" w:hAnsi="宋体" w:eastAsia="宋体" w:cs="宋体"/>
          <w:b/>
          <w:bCs/>
          <w:color w:val="auto"/>
          <w:sz w:val="32"/>
          <w:szCs w:val="44"/>
          <w:highlight w:val="none"/>
        </w:rPr>
        <w:br w:type="page"/>
      </w:r>
    </w:p>
    <w:p w14:paraId="15D0727E">
      <w:pPr>
        <w:jc w:val="center"/>
        <w:outlineLvl w:val="1"/>
        <w:rPr>
          <w:rFonts w:hint="eastAsia" w:ascii="宋体" w:hAnsi="宋体" w:eastAsia="宋体" w:cs="宋体"/>
          <w:b/>
          <w:bCs/>
          <w:color w:val="auto"/>
          <w:sz w:val="32"/>
          <w:szCs w:val="44"/>
          <w:highlight w:val="none"/>
        </w:rPr>
      </w:pPr>
      <w:bookmarkStart w:id="54" w:name="_Toc1575"/>
      <w:bookmarkStart w:id="55" w:name="_Toc3245"/>
      <w:r>
        <w:rPr>
          <w:rFonts w:hint="eastAsia" w:ascii="宋体" w:hAnsi="宋体" w:eastAsia="宋体" w:cs="宋体"/>
          <w:b/>
          <w:bCs/>
          <w:color w:val="auto"/>
          <w:sz w:val="32"/>
          <w:szCs w:val="44"/>
          <w:highlight w:val="none"/>
        </w:rPr>
        <w:t>质疑函范本</w:t>
      </w:r>
      <w:bookmarkEnd w:id="54"/>
      <w:bookmarkEnd w:id="55"/>
    </w:p>
    <w:p w14:paraId="78C5144D">
      <w:pPr>
        <w:adjustRightInd w:val="0"/>
        <w:snapToGrid w:val="0"/>
        <w:spacing w:before="312" w:beforeLines="100" w:line="360" w:lineRule="auto"/>
        <w:rPr>
          <w:rFonts w:hint="eastAsia" w:ascii="宋体" w:hAnsi="宋体" w:eastAsia="宋体" w:cs="宋体"/>
          <w:b/>
          <w:bCs/>
          <w:color w:val="auto"/>
          <w:sz w:val="24"/>
          <w:szCs w:val="24"/>
          <w:highlight w:val="none"/>
        </w:rPr>
      </w:pPr>
      <w:bookmarkStart w:id="56" w:name="_Toc21381"/>
      <w:r>
        <w:rPr>
          <w:rFonts w:hint="eastAsia" w:ascii="宋体" w:hAnsi="宋体" w:eastAsia="宋体" w:cs="宋体"/>
          <w:b/>
          <w:bCs/>
          <w:color w:val="auto"/>
          <w:sz w:val="24"/>
          <w:szCs w:val="24"/>
          <w:highlight w:val="none"/>
        </w:rPr>
        <w:t>一、质疑供应商基本信息</w:t>
      </w:r>
      <w:bookmarkEnd w:id="56"/>
    </w:p>
    <w:p w14:paraId="3BA8C795">
      <w:pPr>
        <w:adjustRightInd w:val="0"/>
        <w:snapToGrid w:val="0"/>
        <w:spacing w:line="360" w:lineRule="auto"/>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质疑供应商：</w:t>
      </w:r>
      <w:r>
        <w:rPr>
          <w:rFonts w:hint="eastAsia" w:ascii="宋体" w:hAnsi="宋体" w:eastAsia="宋体" w:cs="宋体"/>
          <w:color w:val="auto"/>
          <w:sz w:val="24"/>
          <w:szCs w:val="24"/>
          <w:highlight w:val="none"/>
          <w:u w:val="dotted"/>
        </w:rPr>
        <w:t xml:space="preserve">                                        </w:t>
      </w:r>
    </w:p>
    <w:p w14:paraId="54FD7179">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邮编：</w:t>
      </w:r>
      <w:r>
        <w:rPr>
          <w:rFonts w:hint="eastAsia" w:ascii="宋体" w:hAnsi="宋体" w:eastAsia="宋体" w:cs="宋体"/>
          <w:color w:val="auto"/>
          <w:sz w:val="24"/>
          <w:szCs w:val="24"/>
          <w:highlight w:val="none"/>
          <w:u w:val="dotted"/>
        </w:rPr>
        <w:t xml:space="preserve">                                 </w:t>
      </w:r>
    </w:p>
    <w:p w14:paraId="19F720B3">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dotted"/>
        </w:rPr>
        <w:t xml:space="preserve">                              </w:t>
      </w:r>
    </w:p>
    <w:p w14:paraId="38AE4287">
      <w:pPr>
        <w:adjustRightInd w:val="0"/>
        <w:snapToGrid w:val="0"/>
        <w:spacing w:line="360" w:lineRule="auto"/>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授权代表：</w:t>
      </w:r>
      <w:r>
        <w:rPr>
          <w:rFonts w:hint="eastAsia" w:ascii="宋体" w:hAnsi="宋体" w:eastAsia="宋体" w:cs="宋体"/>
          <w:color w:val="auto"/>
          <w:sz w:val="24"/>
          <w:szCs w:val="24"/>
          <w:highlight w:val="none"/>
          <w:u w:val="dotted"/>
        </w:rPr>
        <w:t xml:space="preserve">                                          </w:t>
      </w:r>
    </w:p>
    <w:p w14:paraId="103B042C">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 xml:space="preserve"> </w:t>
      </w:r>
    </w:p>
    <w:p w14:paraId="431BB844">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地址： </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邮编：</w:t>
      </w:r>
      <w:r>
        <w:rPr>
          <w:rFonts w:hint="eastAsia" w:ascii="宋体" w:hAnsi="宋体" w:eastAsia="宋体" w:cs="宋体"/>
          <w:color w:val="auto"/>
          <w:sz w:val="24"/>
          <w:szCs w:val="24"/>
          <w:highlight w:val="none"/>
          <w:u w:val="dotted"/>
        </w:rPr>
        <w:t xml:space="preserve">                                   </w:t>
      </w:r>
    </w:p>
    <w:p w14:paraId="1978EFF5">
      <w:pPr>
        <w:adjustRightInd w:val="0"/>
        <w:snapToGrid w:val="0"/>
        <w:spacing w:line="360" w:lineRule="auto"/>
        <w:rPr>
          <w:rFonts w:hint="eastAsia" w:ascii="宋体" w:hAnsi="宋体" w:eastAsia="宋体" w:cs="宋体"/>
          <w:b/>
          <w:bCs/>
          <w:color w:val="auto"/>
          <w:sz w:val="24"/>
          <w:szCs w:val="24"/>
          <w:highlight w:val="none"/>
        </w:rPr>
      </w:pPr>
      <w:bookmarkStart w:id="57" w:name="_Toc28415"/>
      <w:r>
        <w:rPr>
          <w:rFonts w:hint="eastAsia" w:ascii="宋体" w:hAnsi="宋体" w:eastAsia="宋体" w:cs="宋体"/>
          <w:b/>
          <w:bCs/>
          <w:color w:val="auto"/>
          <w:sz w:val="24"/>
          <w:szCs w:val="24"/>
          <w:highlight w:val="none"/>
        </w:rPr>
        <w:t>二、质疑项目基本情况</w:t>
      </w:r>
      <w:bookmarkEnd w:id="57"/>
    </w:p>
    <w:p w14:paraId="4F9A4905">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质疑项目的名称：</w:t>
      </w:r>
      <w:r>
        <w:rPr>
          <w:rFonts w:hint="eastAsia" w:ascii="宋体" w:hAnsi="宋体" w:eastAsia="宋体" w:cs="宋体"/>
          <w:color w:val="auto"/>
          <w:sz w:val="24"/>
          <w:szCs w:val="24"/>
          <w:highlight w:val="none"/>
          <w:u w:val="dotted"/>
        </w:rPr>
        <w:t xml:space="preserve">                                      </w:t>
      </w:r>
    </w:p>
    <w:p w14:paraId="6CF01570">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质疑项目的编号：</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包号：</w:t>
      </w:r>
      <w:r>
        <w:rPr>
          <w:rFonts w:hint="eastAsia" w:ascii="宋体" w:hAnsi="宋体" w:eastAsia="宋体" w:cs="宋体"/>
          <w:color w:val="auto"/>
          <w:sz w:val="24"/>
          <w:szCs w:val="24"/>
          <w:highlight w:val="none"/>
          <w:u w:val="dotted"/>
        </w:rPr>
        <w:t xml:space="preserve">                 </w:t>
      </w:r>
    </w:p>
    <w:p w14:paraId="5173549C">
      <w:pPr>
        <w:adjustRightInd w:val="0"/>
        <w:snapToGrid w:val="0"/>
        <w:spacing w:line="360" w:lineRule="auto"/>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采购人名称：</w:t>
      </w:r>
      <w:r>
        <w:rPr>
          <w:rFonts w:hint="eastAsia" w:ascii="宋体" w:hAnsi="宋体" w:eastAsia="宋体" w:cs="宋体"/>
          <w:color w:val="auto"/>
          <w:sz w:val="24"/>
          <w:szCs w:val="24"/>
          <w:highlight w:val="none"/>
          <w:u w:val="dotted"/>
        </w:rPr>
        <w:t xml:space="preserve">                                         </w:t>
      </w:r>
    </w:p>
    <w:p w14:paraId="5081C64E">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采购文件获取日期：</w:t>
      </w:r>
      <w:r>
        <w:rPr>
          <w:rFonts w:hint="eastAsia" w:ascii="宋体" w:hAnsi="宋体" w:eastAsia="宋体" w:cs="宋体"/>
          <w:color w:val="auto"/>
          <w:sz w:val="24"/>
          <w:szCs w:val="24"/>
          <w:highlight w:val="none"/>
          <w:u w:val="dotted"/>
        </w:rPr>
        <w:t xml:space="preserve">                                           </w:t>
      </w:r>
    </w:p>
    <w:p w14:paraId="1DA16BD0">
      <w:pPr>
        <w:adjustRightInd w:val="0"/>
        <w:snapToGrid w:val="0"/>
        <w:spacing w:line="360" w:lineRule="auto"/>
        <w:rPr>
          <w:rFonts w:hint="eastAsia" w:ascii="宋体" w:hAnsi="宋体" w:eastAsia="宋体" w:cs="宋体"/>
          <w:b/>
          <w:bCs/>
          <w:color w:val="auto"/>
          <w:sz w:val="24"/>
          <w:szCs w:val="24"/>
          <w:highlight w:val="none"/>
        </w:rPr>
      </w:pPr>
      <w:bookmarkStart w:id="58" w:name="_Toc19014"/>
      <w:r>
        <w:rPr>
          <w:rFonts w:hint="eastAsia" w:ascii="宋体" w:hAnsi="宋体" w:eastAsia="宋体" w:cs="宋体"/>
          <w:b/>
          <w:bCs/>
          <w:color w:val="auto"/>
          <w:sz w:val="24"/>
          <w:szCs w:val="24"/>
          <w:highlight w:val="none"/>
        </w:rPr>
        <w:t>三、质疑事项具体内容</w:t>
      </w:r>
      <w:bookmarkEnd w:id="58"/>
    </w:p>
    <w:p w14:paraId="54B1DD5B">
      <w:pPr>
        <w:adjustRightInd w:val="0"/>
        <w:snapToGrid w:val="0"/>
        <w:spacing w:line="360" w:lineRule="auto"/>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质疑事项1：</w:t>
      </w:r>
      <w:r>
        <w:rPr>
          <w:rFonts w:hint="eastAsia" w:ascii="宋体" w:hAnsi="宋体" w:eastAsia="宋体" w:cs="宋体"/>
          <w:color w:val="auto"/>
          <w:sz w:val="24"/>
          <w:szCs w:val="24"/>
          <w:highlight w:val="none"/>
          <w:u w:val="dotted"/>
        </w:rPr>
        <w:t xml:space="preserve">                                         </w:t>
      </w:r>
    </w:p>
    <w:p w14:paraId="4685E13F">
      <w:pPr>
        <w:adjustRightInd w:val="0"/>
        <w:snapToGrid w:val="0"/>
        <w:spacing w:line="360" w:lineRule="auto"/>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事实依据：</w:t>
      </w:r>
      <w:r>
        <w:rPr>
          <w:rFonts w:hint="eastAsia" w:ascii="宋体" w:hAnsi="宋体" w:eastAsia="宋体" w:cs="宋体"/>
          <w:color w:val="auto"/>
          <w:sz w:val="24"/>
          <w:szCs w:val="24"/>
          <w:highlight w:val="none"/>
          <w:u w:val="dotted"/>
        </w:rPr>
        <w:t xml:space="preserve">                                          </w:t>
      </w:r>
    </w:p>
    <w:p w14:paraId="191F0B06">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dotted"/>
        </w:rPr>
        <w:t xml:space="preserve">                                                       </w:t>
      </w:r>
    </w:p>
    <w:p w14:paraId="56F6B68D">
      <w:pPr>
        <w:adjustRightInd w:val="0"/>
        <w:snapToGrid w:val="0"/>
        <w:spacing w:line="360" w:lineRule="auto"/>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法律依据：</w:t>
      </w:r>
      <w:r>
        <w:rPr>
          <w:rFonts w:hint="eastAsia" w:ascii="宋体" w:hAnsi="宋体" w:eastAsia="宋体" w:cs="宋体"/>
          <w:color w:val="auto"/>
          <w:sz w:val="24"/>
          <w:szCs w:val="24"/>
          <w:highlight w:val="none"/>
          <w:u w:val="dotted"/>
        </w:rPr>
        <w:t xml:space="preserve">                                          </w:t>
      </w:r>
    </w:p>
    <w:p w14:paraId="51C6231A">
      <w:pPr>
        <w:adjustRightInd w:val="0"/>
        <w:snapToGrid w:val="0"/>
        <w:spacing w:line="360" w:lineRule="auto"/>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u w:val="dotted"/>
        </w:rPr>
        <w:t xml:space="preserve">                                                     </w:t>
      </w:r>
    </w:p>
    <w:p w14:paraId="393D7B28">
      <w:pPr>
        <w:adjustRightInd w:val="0"/>
        <w:snapToGrid w:val="0"/>
        <w:spacing w:line="360" w:lineRule="auto"/>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质疑事项2</w:t>
      </w:r>
    </w:p>
    <w:p w14:paraId="06AA77CA">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14:paraId="54C23415">
      <w:pPr>
        <w:adjustRightInd w:val="0"/>
        <w:snapToGrid w:val="0"/>
        <w:spacing w:line="360" w:lineRule="auto"/>
        <w:rPr>
          <w:rFonts w:hint="eastAsia" w:ascii="宋体" w:hAnsi="宋体" w:eastAsia="宋体" w:cs="宋体"/>
          <w:b/>
          <w:bCs/>
          <w:color w:val="auto"/>
          <w:sz w:val="24"/>
          <w:szCs w:val="24"/>
          <w:highlight w:val="none"/>
        </w:rPr>
      </w:pPr>
      <w:bookmarkStart w:id="59" w:name="_Toc17919"/>
      <w:r>
        <w:rPr>
          <w:rFonts w:hint="eastAsia" w:ascii="宋体" w:hAnsi="宋体" w:eastAsia="宋体" w:cs="宋体"/>
          <w:b/>
          <w:bCs/>
          <w:color w:val="auto"/>
          <w:sz w:val="24"/>
          <w:szCs w:val="24"/>
          <w:highlight w:val="none"/>
        </w:rPr>
        <w:t>四、与质疑事项相关的质疑请求</w:t>
      </w:r>
      <w:bookmarkEnd w:id="59"/>
    </w:p>
    <w:p w14:paraId="3954F035">
      <w:pPr>
        <w:adjustRightInd w:val="0"/>
        <w:snapToGrid w:val="0"/>
        <w:spacing w:line="360" w:lineRule="auto"/>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请求：</w:t>
      </w:r>
      <w:r>
        <w:rPr>
          <w:rFonts w:hint="eastAsia" w:ascii="宋体" w:hAnsi="宋体" w:eastAsia="宋体" w:cs="宋体"/>
          <w:color w:val="auto"/>
          <w:sz w:val="24"/>
          <w:szCs w:val="24"/>
          <w:highlight w:val="none"/>
          <w:u w:val="dotted"/>
        </w:rPr>
        <w:t xml:space="preserve">                                               </w:t>
      </w:r>
    </w:p>
    <w:p w14:paraId="0A8FEE49">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签字(签章)：                   公章：                      </w:t>
      </w:r>
    </w:p>
    <w:p w14:paraId="4EB50F81">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日期：    </w:t>
      </w:r>
    </w:p>
    <w:p w14:paraId="1320AF6B">
      <w:pPr>
        <w:widowControl/>
        <w:jc w:val="left"/>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br w:type="page"/>
      </w:r>
    </w:p>
    <w:p w14:paraId="67F65065">
      <w:pPr>
        <w:outlineLvl w:val="0"/>
        <w:rPr>
          <w:rFonts w:hint="eastAsia" w:ascii="宋体" w:hAnsi="宋体" w:eastAsia="宋体" w:cs="宋体"/>
          <w:b/>
          <w:color w:val="auto"/>
          <w:sz w:val="28"/>
          <w:szCs w:val="32"/>
          <w:highlight w:val="none"/>
        </w:rPr>
      </w:pPr>
      <w:bookmarkStart w:id="60" w:name="_Toc9754"/>
      <w:bookmarkStart w:id="61" w:name="_Toc26278"/>
      <w:bookmarkStart w:id="62" w:name="_Toc26836"/>
      <w:r>
        <w:rPr>
          <w:rFonts w:hint="eastAsia" w:ascii="宋体" w:hAnsi="宋体" w:eastAsia="宋体" w:cs="宋体"/>
          <w:b/>
          <w:color w:val="auto"/>
          <w:sz w:val="28"/>
          <w:szCs w:val="32"/>
          <w:highlight w:val="none"/>
        </w:rPr>
        <w:t>质疑函制作说明：</w:t>
      </w:r>
      <w:bookmarkEnd w:id="60"/>
      <w:bookmarkEnd w:id="61"/>
      <w:bookmarkEnd w:id="62"/>
    </w:p>
    <w:p w14:paraId="6F771931">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1.供应商提出质疑时，应提交质疑函和必要的证明材料。</w:t>
      </w:r>
    </w:p>
    <w:p w14:paraId="470E5939">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0C81B341">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3.质疑供应商若对项目的某一分包进行质疑，质疑函中应列明具体分包号。</w:t>
      </w:r>
    </w:p>
    <w:p w14:paraId="66C68C64">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4.质疑函的质疑事项应具体、明确，并有必要的事实依据和法律依据。</w:t>
      </w:r>
    </w:p>
    <w:p w14:paraId="6A04D8FA">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5.质疑函的质疑请求应与质疑事项相关。</w:t>
      </w:r>
    </w:p>
    <w:p w14:paraId="5704EA4D">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微软简标宋">
    <w:altName w:val="@宋体"/>
    <w:panose1 w:val="00000000000000000000"/>
    <w:charset w:val="86"/>
    <w:family w:val="auto"/>
    <w:pitch w:val="default"/>
    <w:sig w:usb0="00000000" w:usb1="00000000" w:usb2="00000010" w:usb3="00000000" w:csb0="00040000" w:csb1="00000000"/>
  </w:font>
  <w:font w:name="@宋体">
    <w:panose1 w:val="02010600030101010101"/>
    <w:charset w:val="86"/>
    <w:family w:val="auto"/>
    <w:pitch w:val="default"/>
    <w:sig w:usb0="00000203" w:usb1="288F0000" w:usb2="00000006" w:usb3="00000000" w:csb0="00040001" w:csb1="00000000"/>
  </w:font>
  <w:font w:name="ActionIcon ! importan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onospace">
    <w:altName w:val="Segoe Print"/>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00"/>
    <w:family w:val="roman"/>
    <w:pitch w:val="default"/>
    <w:sig w:usb0="00000000" w:usb1="00000000" w:usb2="00000000" w:usb3="00000000" w:csb0="00000000" w:csb1="00000000"/>
  </w:font>
  <w:font w:name="Sylfaen">
    <w:panose1 w:val="010A0502050306030303"/>
    <w:charset w:val="00"/>
    <w:family w:val="roman"/>
    <w:pitch w:val="default"/>
    <w:sig w:usb0="04000687" w:usb1="00000000" w:usb2="00000000" w:usb3="00000000" w:csb0="2000009F"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华文楷体">
    <w:panose1 w:val="02010600040101010101"/>
    <w:charset w:val="86"/>
    <w:family w:val="auto"/>
    <w:pitch w:val="default"/>
    <w:sig w:usb0="00000287" w:usb1="080F0000" w:usb2="00000000" w:usb3="00000000" w:csb0="0004009F" w:csb1="DFD70000"/>
  </w:font>
  <w:font w:name="Segoe UI Symbol">
    <w:panose1 w:val="020B0502040204020203"/>
    <w:charset w:val="00"/>
    <w:family w:val="swiss"/>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3B800">
    <w:pPr>
      <w:pStyle w:val="16"/>
      <w:jc w:val="center"/>
      <w:rPr>
        <w:rFonts w:hint="eastAsia" w:asciiTheme="minorEastAsia" w:hAnsiTheme="minorEastAsia" w:eastAsiaTheme="minorEastAsia"/>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4A310">
    <w:pPr>
      <w:pStyle w:val="16"/>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C8F611">
                          <w:pPr>
                            <w:pStyle w:val="16"/>
                            <w:rPr>
                              <w:rFonts w:hint="eastAsia" w:ascii="宋体" w:hAnsi="宋体" w:eastAsia="宋体" w:cs="宋体"/>
                              <w:sz w:val="21"/>
                              <w:szCs w:val="21"/>
                            </w:rPr>
                          </w:pPr>
                          <w:r>
                            <w:rPr>
                              <w:rFonts w:hint="eastAsia" w:ascii="宋体" w:hAnsi="宋体" w:eastAsia="宋体" w:cs="宋体"/>
                              <w:sz w:val="21"/>
                              <w:szCs w:val="21"/>
                            </w:rPr>
                            <w:t xml:space="preserve">第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58</w:t>
                          </w:r>
                          <w:r>
                            <w:rPr>
                              <w:rFonts w:hint="eastAsia" w:ascii="宋体" w:hAnsi="宋体" w:eastAsia="宋体" w:cs="宋体"/>
                              <w:sz w:val="21"/>
                              <w:szCs w:val="21"/>
                            </w:rPr>
                            <w:fldChar w:fldCharType="end"/>
                          </w:r>
                          <w:r>
                            <w:rPr>
                              <w:rFonts w:hint="eastAsia" w:ascii="宋体" w:hAnsi="宋体" w:eastAsia="宋体" w:cs="宋体"/>
                              <w:sz w:val="21"/>
                              <w:szCs w:val="21"/>
                            </w:rPr>
                            <w:t xml:space="preserve"> 页 共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NUMPAGES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71</w:t>
                          </w:r>
                          <w:r>
                            <w:rPr>
                              <w:rFonts w:hint="eastAsia" w:ascii="宋体" w:hAnsi="宋体" w:eastAsia="宋体" w:cs="宋体"/>
                              <w:sz w:val="21"/>
                              <w:szCs w:val="21"/>
                            </w:rPr>
                            <w:fldChar w:fldCharType="end"/>
                          </w:r>
                          <w:r>
                            <w:rPr>
                              <w:rFonts w:hint="eastAsia" w:ascii="宋体" w:hAnsi="宋体" w:eastAsia="宋体" w:cs="宋体"/>
                              <w:sz w:val="21"/>
                              <w:szCs w:val="21"/>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59C8F611">
                    <w:pPr>
                      <w:pStyle w:val="16"/>
                      <w:rPr>
                        <w:rFonts w:hint="eastAsia" w:ascii="宋体" w:hAnsi="宋体" w:eastAsia="宋体" w:cs="宋体"/>
                        <w:sz w:val="21"/>
                        <w:szCs w:val="21"/>
                      </w:rPr>
                    </w:pPr>
                    <w:r>
                      <w:rPr>
                        <w:rFonts w:hint="eastAsia" w:ascii="宋体" w:hAnsi="宋体" w:eastAsia="宋体" w:cs="宋体"/>
                        <w:sz w:val="21"/>
                        <w:szCs w:val="21"/>
                      </w:rPr>
                      <w:t xml:space="preserve">第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58</w:t>
                    </w:r>
                    <w:r>
                      <w:rPr>
                        <w:rFonts w:hint="eastAsia" w:ascii="宋体" w:hAnsi="宋体" w:eastAsia="宋体" w:cs="宋体"/>
                        <w:sz w:val="21"/>
                        <w:szCs w:val="21"/>
                      </w:rPr>
                      <w:fldChar w:fldCharType="end"/>
                    </w:r>
                    <w:r>
                      <w:rPr>
                        <w:rFonts w:hint="eastAsia" w:ascii="宋体" w:hAnsi="宋体" w:eastAsia="宋体" w:cs="宋体"/>
                        <w:sz w:val="21"/>
                        <w:szCs w:val="21"/>
                      </w:rPr>
                      <w:t xml:space="preserve"> 页 共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NUMPAGES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71</w:t>
                    </w:r>
                    <w:r>
                      <w:rPr>
                        <w:rFonts w:hint="eastAsia" w:ascii="宋体" w:hAnsi="宋体" w:eastAsia="宋体" w:cs="宋体"/>
                        <w:sz w:val="21"/>
                        <w:szCs w:val="21"/>
                      </w:rPr>
                      <w:fldChar w:fldCharType="end"/>
                    </w:r>
                    <w:r>
                      <w:rPr>
                        <w:rFonts w:hint="eastAsia" w:ascii="宋体" w:hAnsi="宋体" w:eastAsia="宋体" w:cs="宋体"/>
                        <w:sz w:val="21"/>
                        <w:szCs w:val="21"/>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57515">
    <w:pPr>
      <w:pStyle w:val="17"/>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75CFD">
    <w:pPr>
      <w:pStyle w:val="17"/>
      <w:pBdr>
        <w:bottom w:val="none" w:color="auto" w:sz="0" w:space="1"/>
      </w:pBdr>
      <w:jc w:val="lef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7E18FE"/>
    <w:multiLevelType w:val="multilevel"/>
    <w:tmpl w:val="AC7E18FE"/>
    <w:lvl w:ilvl="0" w:tentative="0">
      <w:start w:val="16"/>
      <w:numFmt w:val="decimal"/>
      <w:suff w:val="space"/>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BACA0508"/>
    <w:multiLevelType w:val="multilevel"/>
    <w:tmpl w:val="BACA0508"/>
    <w:lvl w:ilvl="0" w:tentative="0">
      <w:start w:val="23"/>
      <w:numFmt w:val="decimal"/>
      <w:suff w:val="space"/>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C666EA50"/>
    <w:multiLevelType w:val="multilevel"/>
    <w:tmpl w:val="C666EA50"/>
    <w:lvl w:ilvl="0" w:tentative="0">
      <w:start w:val="2"/>
      <w:numFmt w:val="decimal"/>
      <w:suff w:val="space"/>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D6500D40"/>
    <w:multiLevelType w:val="multilevel"/>
    <w:tmpl w:val="D6500D40"/>
    <w:lvl w:ilvl="0" w:tentative="0">
      <w:start w:val="6"/>
      <w:numFmt w:val="decimal"/>
      <w:suff w:val="space"/>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09649FA8"/>
    <w:multiLevelType w:val="multilevel"/>
    <w:tmpl w:val="09649FA8"/>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3FCC4E43"/>
    <w:multiLevelType w:val="singleLevel"/>
    <w:tmpl w:val="3FCC4E43"/>
    <w:lvl w:ilvl="0" w:tentative="0">
      <w:start w:val="1"/>
      <w:numFmt w:val="decimal"/>
      <w:suff w:val="nothing"/>
      <w:lvlText w:val="（%1）"/>
      <w:lvlJc w:val="left"/>
    </w:lvl>
  </w:abstractNum>
  <w:abstractNum w:abstractNumId="6">
    <w:nsid w:val="65FEA4A1"/>
    <w:multiLevelType w:val="multilevel"/>
    <w:tmpl w:val="65FEA4A1"/>
    <w:lvl w:ilvl="0" w:tentative="0">
      <w:start w:val="1"/>
      <w:numFmt w:val="decimal"/>
      <w:suff w:val="space"/>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5"/>
  </w:num>
  <w:num w:numId="2">
    <w:abstractNumId w:val="6"/>
  </w:num>
  <w:num w:numId="3">
    <w:abstractNumId w:val="4"/>
  </w:num>
  <w:num w:numId="4">
    <w:abstractNumId w:val="2"/>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E0NzY1NzUwMDZlNDc1MmZhZGNlNjJhMDM5OWMyMmIifQ=="/>
  </w:docVars>
  <w:rsids>
    <w:rsidRoot w:val="00276BA1"/>
    <w:rsid w:val="0000043F"/>
    <w:rsid w:val="00003F56"/>
    <w:rsid w:val="000049DA"/>
    <w:rsid w:val="00004F40"/>
    <w:rsid w:val="000056B7"/>
    <w:rsid w:val="00012A13"/>
    <w:rsid w:val="000131F7"/>
    <w:rsid w:val="00016B6C"/>
    <w:rsid w:val="00017EC7"/>
    <w:rsid w:val="00020B57"/>
    <w:rsid w:val="00033B5B"/>
    <w:rsid w:val="000343EB"/>
    <w:rsid w:val="00037DBE"/>
    <w:rsid w:val="00042139"/>
    <w:rsid w:val="00042B14"/>
    <w:rsid w:val="00044347"/>
    <w:rsid w:val="00044F49"/>
    <w:rsid w:val="000450C3"/>
    <w:rsid w:val="00046AFF"/>
    <w:rsid w:val="00050A3F"/>
    <w:rsid w:val="000530EC"/>
    <w:rsid w:val="000544DE"/>
    <w:rsid w:val="000648D2"/>
    <w:rsid w:val="00070E0E"/>
    <w:rsid w:val="00076DB7"/>
    <w:rsid w:val="00080B7B"/>
    <w:rsid w:val="00080FEB"/>
    <w:rsid w:val="00081B81"/>
    <w:rsid w:val="00085496"/>
    <w:rsid w:val="000868D6"/>
    <w:rsid w:val="000942BA"/>
    <w:rsid w:val="00094D41"/>
    <w:rsid w:val="00097CB9"/>
    <w:rsid w:val="000A3569"/>
    <w:rsid w:val="000A4640"/>
    <w:rsid w:val="000A6345"/>
    <w:rsid w:val="000A6693"/>
    <w:rsid w:val="000A6B73"/>
    <w:rsid w:val="000A7D94"/>
    <w:rsid w:val="000B1511"/>
    <w:rsid w:val="000B44EC"/>
    <w:rsid w:val="000B54F4"/>
    <w:rsid w:val="000C1DB1"/>
    <w:rsid w:val="000D3F37"/>
    <w:rsid w:val="000D431F"/>
    <w:rsid w:val="000E2208"/>
    <w:rsid w:val="000E3C74"/>
    <w:rsid w:val="000E3F9B"/>
    <w:rsid w:val="000E6689"/>
    <w:rsid w:val="000F00A3"/>
    <w:rsid w:val="000F014C"/>
    <w:rsid w:val="000F172B"/>
    <w:rsid w:val="000F1C24"/>
    <w:rsid w:val="000F2198"/>
    <w:rsid w:val="000F39B6"/>
    <w:rsid w:val="000F5645"/>
    <w:rsid w:val="000F6B7B"/>
    <w:rsid w:val="00100B0F"/>
    <w:rsid w:val="0010187C"/>
    <w:rsid w:val="001037E3"/>
    <w:rsid w:val="00110911"/>
    <w:rsid w:val="00116A70"/>
    <w:rsid w:val="0012143A"/>
    <w:rsid w:val="001222C6"/>
    <w:rsid w:val="00136D80"/>
    <w:rsid w:val="00137C7C"/>
    <w:rsid w:val="00140687"/>
    <w:rsid w:val="00141707"/>
    <w:rsid w:val="00142AAF"/>
    <w:rsid w:val="00146421"/>
    <w:rsid w:val="001467FF"/>
    <w:rsid w:val="001479CF"/>
    <w:rsid w:val="00150567"/>
    <w:rsid w:val="00155F64"/>
    <w:rsid w:val="00157148"/>
    <w:rsid w:val="00157856"/>
    <w:rsid w:val="00160729"/>
    <w:rsid w:val="00160D83"/>
    <w:rsid w:val="001644D1"/>
    <w:rsid w:val="00164D27"/>
    <w:rsid w:val="00166ED8"/>
    <w:rsid w:val="001714C9"/>
    <w:rsid w:val="001754E2"/>
    <w:rsid w:val="00177DAF"/>
    <w:rsid w:val="0018119B"/>
    <w:rsid w:val="001812B3"/>
    <w:rsid w:val="00181D07"/>
    <w:rsid w:val="001826D0"/>
    <w:rsid w:val="00183344"/>
    <w:rsid w:val="00183897"/>
    <w:rsid w:val="001844AB"/>
    <w:rsid w:val="001851C3"/>
    <w:rsid w:val="00190F1F"/>
    <w:rsid w:val="00192C53"/>
    <w:rsid w:val="001944B8"/>
    <w:rsid w:val="00195399"/>
    <w:rsid w:val="00196DA3"/>
    <w:rsid w:val="00197AC4"/>
    <w:rsid w:val="001A0DCD"/>
    <w:rsid w:val="001A2209"/>
    <w:rsid w:val="001A5D34"/>
    <w:rsid w:val="001A68E5"/>
    <w:rsid w:val="001B21DF"/>
    <w:rsid w:val="001B2A54"/>
    <w:rsid w:val="001B5014"/>
    <w:rsid w:val="001B7327"/>
    <w:rsid w:val="001C1409"/>
    <w:rsid w:val="001C67F2"/>
    <w:rsid w:val="001D5313"/>
    <w:rsid w:val="001D53B4"/>
    <w:rsid w:val="001E744D"/>
    <w:rsid w:val="001F28D2"/>
    <w:rsid w:val="001F2F45"/>
    <w:rsid w:val="001F3023"/>
    <w:rsid w:val="001F35F6"/>
    <w:rsid w:val="001F72DA"/>
    <w:rsid w:val="001F74CA"/>
    <w:rsid w:val="002003B6"/>
    <w:rsid w:val="002020CB"/>
    <w:rsid w:val="002049B4"/>
    <w:rsid w:val="0020520B"/>
    <w:rsid w:val="00213C55"/>
    <w:rsid w:val="002163CF"/>
    <w:rsid w:val="002168C4"/>
    <w:rsid w:val="002178B1"/>
    <w:rsid w:val="00223CF4"/>
    <w:rsid w:val="00224C4A"/>
    <w:rsid w:val="002338E2"/>
    <w:rsid w:val="0023407E"/>
    <w:rsid w:val="002405B9"/>
    <w:rsid w:val="00240B40"/>
    <w:rsid w:val="002440D8"/>
    <w:rsid w:val="00244182"/>
    <w:rsid w:val="00245F65"/>
    <w:rsid w:val="00246810"/>
    <w:rsid w:val="00260860"/>
    <w:rsid w:val="00260B94"/>
    <w:rsid w:val="002610D4"/>
    <w:rsid w:val="00264F2E"/>
    <w:rsid w:val="00271245"/>
    <w:rsid w:val="00272E6E"/>
    <w:rsid w:val="00274A9E"/>
    <w:rsid w:val="00276292"/>
    <w:rsid w:val="00276BA1"/>
    <w:rsid w:val="00277094"/>
    <w:rsid w:val="00286BB6"/>
    <w:rsid w:val="002A1A1D"/>
    <w:rsid w:val="002A28AD"/>
    <w:rsid w:val="002A3AEE"/>
    <w:rsid w:val="002A400A"/>
    <w:rsid w:val="002B08E7"/>
    <w:rsid w:val="002B0C18"/>
    <w:rsid w:val="002B5318"/>
    <w:rsid w:val="002B5373"/>
    <w:rsid w:val="002B6D27"/>
    <w:rsid w:val="002C3776"/>
    <w:rsid w:val="002C4BA9"/>
    <w:rsid w:val="002D1258"/>
    <w:rsid w:val="002D128A"/>
    <w:rsid w:val="002D2965"/>
    <w:rsid w:val="002D3D02"/>
    <w:rsid w:val="002D45E1"/>
    <w:rsid w:val="002D4CB5"/>
    <w:rsid w:val="002D684B"/>
    <w:rsid w:val="002E3B26"/>
    <w:rsid w:val="002E4AB8"/>
    <w:rsid w:val="002F092B"/>
    <w:rsid w:val="002F5981"/>
    <w:rsid w:val="002F72EE"/>
    <w:rsid w:val="00310070"/>
    <w:rsid w:val="003110EC"/>
    <w:rsid w:val="00313029"/>
    <w:rsid w:val="00324D38"/>
    <w:rsid w:val="00327C92"/>
    <w:rsid w:val="0033245B"/>
    <w:rsid w:val="00333292"/>
    <w:rsid w:val="003344E7"/>
    <w:rsid w:val="0033580B"/>
    <w:rsid w:val="0033628B"/>
    <w:rsid w:val="003365E7"/>
    <w:rsid w:val="003378D5"/>
    <w:rsid w:val="003419E9"/>
    <w:rsid w:val="003447AE"/>
    <w:rsid w:val="003473D7"/>
    <w:rsid w:val="00351AC8"/>
    <w:rsid w:val="00353075"/>
    <w:rsid w:val="00363E02"/>
    <w:rsid w:val="00373A96"/>
    <w:rsid w:val="003826C2"/>
    <w:rsid w:val="00383728"/>
    <w:rsid w:val="00383B8D"/>
    <w:rsid w:val="00391586"/>
    <w:rsid w:val="00394128"/>
    <w:rsid w:val="003947A4"/>
    <w:rsid w:val="00395235"/>
    <w:rsid w:val="0039561A"/>
    <w:rsid w:val="00397C7D"/>
    <w:rsid w:val="003A004F"/>
    <w:rsid w:val="003B4130"/>
    <w:rsid w:val="003B67D3"/>
    <w:rsid w:val="003B6C76"/>
    <w:rsid w:val="003B715B"/>
    <w:rsid w:val="003C4630"/>
    <w:rsid w:val="003D0C9D"/>
    <w:rsid w:val="003D1D14"/>
    <w:rsid w:val="003D6C7C"/>
    <w:rsid w:val="003D6EFB"/>
    <w:rsid w:val="003D7E52"/>
    <w:rsid w:val="003E25C6"/>
    <w:rsid w:val="003E6BEB"/>
    <w:rsid w:val="003F145B"/>
    <w:rsid w:val="003F2122"/>
    <w:rsid w:val="003F326A"/>
    <w:rsid w:val="004011AA"/>
    <w:rsid w:val="0040202C"/>
    <w:rsid w:val="00406508"/>
    <w:rsid w:val="0041456E"/>
    <w:rsid w:val="00414F7E"/>
    <w:rsid w:val="004164F8"/>
    <w:rsid w:val="00417FD0"/>
    <w:rsid w:val="00420B7F"/>
    <w:rsid w:val="004234BA"/>
    <w:rsid w:val="0042488B"/>
    <w:rsid w:val="004427B7"/>
    <w:rsid w:val="0044349F"/>
    <w:rsid w:val="00445F1F"/>
    <w:rsid w:val="00451F60"/>
    <w:rsid w:val="00452BB2"/>
    <w:rsid w:val="00455467"/>
    <w:rsid w:val="0045656D"/>
    <w:rsid w:val="00462D98"/>
    <w:rsid w:val="00472A44"/>
    <w:rsid w:val="00473A89"/>
    <w:rsid w:val="00474D3B"/>
    <w:rsid w:val="00475899"/>
    <w:rsid w:val="004802A8"/>
    <w:rsid w:val="00482C78"/>
    <w:rsid w:val="004874AE"/>
    <w:rsid w:val="00492E2B"/>
    <w:rsid w:val="00494D24"/>
    <w:rsid w:val="004951D1"/>
    <w:rsid w:val="004A27D0"/>
    <w:rsid w:val="004A4D67"/>
    <w:rsid w:val="004A6FD2"/>
    <w:rsid w:val="004B2D4C"/>
    <w:rsid w:val="004C7378"/>
    <w:rsid w:val="004D1030"/>
    <w:rsid w:val="004D3D4B"/>
    <w:rsid w:val="004D5498"/>
    <w:rsid w:val="004D66A5"/>
    <w:rsid w:val="004D6B00"/>
    <w:rsid w:val="004D7951"/>
    <w:rsid w:val="004E0AE0"/>
    <w:rsid w:val="004E1D50"/>
    <w:rsid w:val="004E502F"/>
    <w:rsid w:val="004F0396"/>
    <w:rsid w:val="004F70F2"/>
    <w:rsid w:val="00501382"/>
    <w:rsid w:val="00503E2F"/>
    <w:rsid w:val="005054B9"/>
    <w:rsid w:val="00506E4F"/>
    <w:rsid w:val="00510798"/>
    <w:rsid w:val="00514ED8"/>
    <w:rsid w:val="00515F12"/>
    <w:rsid w:val="00522B2E"/>
    <w:rsid w:val="00524A11"/>
    <w:rsid w:val="00527768"/>
    <w:rsid w:val="005327FB"/>
    <w:rsid w:val="00533FCA"/>
    <w:rsid w:val="00541C0B"/>
    <w:rsid w:val="0054317E"/>
    <w:rsid w:val="00544C2A"/>
    <w:rsid w:val="00546D49"/>
    <w:rsid w:val="005558B0"/>
    <w:rsid w:val="00556D4C"/>
    <w:rsid w:val="005614B4"/>
    <w:rsid w:val="005616B5"/>
    <w:rsid w:val="00571315"/>
    <w:rsid w:val="00582075"/>
    <w:rsid w:val="00584A63"/>
    <w:rsid w:val="0058523E"/>
    <w:rsid w:val="00585EB3"/>
    <w:rsid w:val="00591688"/>
    <w:rsid w:val="00592509"/>
    <w:rsid w:val="00594986"/>
    <w:rsid w:val="00597B15"/>
    <w:rsid w:val="005A044C"/>
    <w:rsid w:val="005B5C95"/>
    <w:rsid w:val="005B6740"/>
    <w:rsid w:val="005D0200"/>
    <w:rsid w:val="005D44EF"/>
    <w:rsid w:val="005D4814"/>
    <w:rsid w:val="005D5112"/>
    <w:rsid w:val="005F03E3"/>
    <w:rsid w:val="005F3914"/>
    <w:rsid w:val="005F3B5A"/>
    <w:rsid w:val="005F6AB4"/>
    <w:rsid w:val="00610A66"/>
    <w:rsid w:val="00613177"/>
    <w:rsid w:val="00613F7C"/>
    <w:rsid w:val="00614BF2"/>
    <w:rsid w:val="0061618E"/>
    <w:rsid w:val="00620560"/>
    <w:rsid w:val="006208CB"/>
    <w:rsid w:val="006236B0"/>
    <w:rsid w:val="00623DE2"/>
    <w:rsid w:val="00627601"/>
    <w:rsid w:val="006300D0"/>
    <w:rsid w:val="00632012"/>
    <w:rsid w:val="00634694"/>
    <w:rsid w:val="00635F9D"/>
    <w:rsid w:val="00636517"/>
    <w:rsid w:val="00637690"/>
    <w:rsid w:val="00640E1E"/>
    <w:rsid w:val="0064389A"/>
    <w:rsid w:val="00645442"/>
    <w:rsid w:val="006525CD"/>
    <w:rsid w:val="00653353"/>
    <w:rsid w:val="00653F7F"/>
    <w:rsid w:val="00655728"/>
    <w:rsid w:val="00662EE8"/>
    <w:rsid w:val="00663813"/>
    <w:rsid w:val="00663C3B"/>
    <w:rsid w:val="00664AFD"/>
    <w:rsid w:val="00667567"/>
    <w:rsid w:val="0067391A"/>
    <w:rsid w:val="00674173"/>
    <w:rsid w:val="00674602"/>
    <w:rsid w:val="0067535A"/>
    <w:rsid w:val="00683CA0"/>
    <w:rsid w:val="00690DB1"/>
    <w:rsid w:val="00693404"/>
    <w:rsid w:val="006953D9"/>
    <w:rsid w:val="00697FE9"/>
    <w:rsid w:val="006A5FEE"/>
    <w:rsid w:val="006B1242"/>
    <w:rsid w:val="006B1DBC"/>
    <w:rsid w:val="006B63B7"/>
    <w:rsid w:val="006B7D9A"/>
    <w:rsid w:val="006C06D9"/>
    <w:rsid w:val="006C464F"/>
    <w:rsid w:val="006C5716"/>
    <w:rsid w:val="006C74A9"/>
    <w:rsid w:val="006D07DE"/>
    <w:rsid w:val="006D394E"/>
    <w:rsid w:val="006E06D9"/>
    <w:rsid w:val="006E1D40"/>
    <w:rsid w:val="006E2E1F"/>
    <w:rsid w:val="006E4BE8"/>
    <w:rsid w:val="006F5FFF"/>
    <w:rsid w:val="006F6E33"/>
    <w:rsid w:val="006F7AF3"/>
    <w:rsid w:val="00702CF1"/>
    <w:rsid w:val="00703635"/>
    <w:rsid w:val="007054AA"/>
    <w:rsid w:val="00706D4B"/>
    <w:rsid w:val="00707B8C"/>
    <w:rsid w:val="00710804"/>
    <w:rsid w:val="00711FC6"/>
    <w:rsid w:val="007130B1"/>
    <w:rsid w:val="00715071"/>
    <w:rsid w:val="0072140F"/>
    <w:rsid w:val="007231E9"/>
    <w:rsid w:val="00727C59"/>
    <w:rsid w:val="00734E5D"/>
    <w:rsid w:val="00735AF1"/>
    <w:rsid w:val="00736013"/>
    <w:rsid w:val="00737661"/>
    <w:rsid w:val="00755D75"/>
    <w:rsid w:val="00756245"/>
    <w:rsid w:val="0076130F"/>
    <w:rsid w:val="00761662"/>
    <w:rsid w:val="00764043"/>
    <w:rsid w:val="007757CF"/>
    <w:rsid w:val="00776FFC"/>
    <w:rsid w:val="0078128F"/>
    <w:rsid w:val="0078683C"/>
    <w:rsid w:val="00790EDB"/>
    <w:rsid w:val="00791538"/>
    <w:rsid w:val="007918F0"/>
    <w:rsid w:val="0079326E"/>
    <w:rsid w:val="00796EDE"/>
    <w:rsid w:val="00797A02"/>
    <w:rsid w:val="007A27A9"/>
    <w:rsid w:val="007A5A58"/>
    <w:rsid w:val="007A6740"/>
    <w:rsid w:val="007B1C56"/>
    <w:rsid w:val="007B4996"/>
    <w:rsid w:val="007C3CD5"/>
    <w:rsid w:val="007C61EF"/>
    <w:rsid w:val="007D1C0D"/>
    <w:rsid w:val="007D2D23"/>
    <w:rsid w:val="007D7644"/>
    <w:rsid w:val="007E27D6"/>
    <w:rsid w:val="007E3921"/>
    <w:rsid w:val="007E5DDE"/>
    <w:rsid w:val="007F0C67"/>
    <w:rsid w:val="007F6FE7"/>
    <w:rsid w:val="00801028"/>
    <w:rsid w:val="00802CE2"/>
    <w:rsid w:val="00803793"/>
    <w:rsid w:val="0080643F"/>
    <w:rsid w:val="00814052"/>
    <w:rsid w:val="008149FD"/>
    <w:rsid w:val="00817A01"/>
    <w:rsid w:val="00824F21"/>
    <w:rsid w:val="0082500C"/>
    <w:rsid w:val="00825E35"/>
    <w:rsid w:val="008334F8"/>
    <w:rsid w:val="008341AA"/>
    <w:rsid w:val="00835D8E"/>
    <w:rsid w:val="008372F6"/>
    <w:rsid w:val="008377CA"/>
    <w:rsid w:val="00844D03"/>
    <w:rsid w:val="00847B0F"/>
    <w:rsid w:val="00852994"/>
    <w:rsid w:val="00854712"/>
    <w:rsid w:val="00873D89"/>
    <w:rsid w:val="00876659"/>
    <w:rsid w:val="00876677"/>
    <w:rsid w:val="0087734C"/>
    <w:rsid w:val="00882141"/>
    <w:rsid w:val="00887E3B"/>
    <w:rsid w:val="008922A8"/>
    <w:rsid w:val="008955F7"/>
    <w:rsid w:val="00895728"/>
    <w:rsid w:val="00895BD5"/>
    <w:rsid w:val="0089742B"/>
    <w:rsid w:val="008A16C4"/>
    <w:rsid w:val="008A6FED"/>
    <w:rsid w:val="008B39C5"/>
    <w:rsid w:val="008B51AA"/>
    <w:rsid w:val="008B7932"/>
    <w:rsid w:val="008C4704"/>
    <w:rsid w:val="008C67F2"/>
    <w:rsid w:val="008D064A"/>
    <w:rsid w:val="008D0FDB"/>
    <w:rsid w:val="008D2B0F"/>
    <w:rsid w:val="008D30BC"/>
    <w:rsid w:val="008D3C6D"/>
    <w:rsid w:val="008D4BC4"/>
    <w:rsid w:val="008E449E"/>
    <w:rsid w:val="008E7062"/>
    <w:rsid w:val="008F187F"/>
    <w:rsid w:val="008F402F"/>
    <w:rsid w:val="008F55FA"/>
    <w:rsid w:val="008F5AA9"/>
    <w:rsid w:val="008F76E8"/>
    <w:rsid w:val="008F7CD0"/>
    <w:rsid w:val="00902902"/>
    <w:rsid w:val="00902A4B"/>
    <w:rsid w:val="009078A1"/>
    <w:rsid w:val="00911E9C"/>
    <w:rsid w:val="00915083"/>
    <w:rsid w:val="00917405"/>
    <w:rsid w:val="00920035"/>
    <w:rsid w:val="00920F7C"/>
    <w:rsid w:val="00934CAE"/>
    <w:rsid w:val="0094257D"/>
    <w:rsid w:val="00942F60"/>
    <w:rsid w:val="00945724"/>
    <w:rsid w:val="00947A8F"/>
    <w:rsid w:val="0095211B"/>
    <w:rsid w:val="0095467C"/>
    <w:rsid w:val="00954A61"/>
    <w:rsid w:val="00955C6F"/>
    <w:rsid w:val="0095668B"/>
    <w:rsid w:val="00964261"/>
    <w:rsid w:val="00966C7B"/>
    <w:rsid w:val="009701DC"/>
    <w:rsid w:val="009715D8"/>
    <w:rsid w:val="00980D0D"/>
    <w:rsid w:val="00985C4B"/>
    <w:rsid w:val="00995BF9"/>
    <w:rsid w:val="00997C3C"/>
    <w:rsid w:val="009A0CAF"/>
    <w:rsid w:val="009A1474"/>
    <w:rsid w:val="009A2207"/>
    <w:rsid w:val="009A5147"/>
    <w:rsid w:val="009A74C4"/>
    <w:rsid w:val="009B02D2"/>
    <w:rsid w:val="009B6C42"/>
    <w:rsid w:val="009D31F7"/>
    <w:rsid w:val="009D32C2"/>
    <w:rsid w:val="009D50DB"/>
    <w:rsid w:val="009E3A0A"/>
    <w:rsid w:val="009F26D4"/>
    <w:rsid w:val="009F3E91"/>
    <w:rsid w:val="009F6CE7"/>
    <w:rsid w:val="009F7078"/>
    <w:rsid w:val="009F7D7D"/>
    <w:rsid w:val="00A01670"/>
    <w:rsid w:val="00A106E9"/>
    <w:rsid w:val="00A1499B"/>
    <w:rsid w:val="00A20879"/>
    <w:rsid w:val="00A20AFC"/>
    <w:rsid w:val="00A23E47"/>
    <w:rsid w:val="00A314C2"/>
    <w:rsid w:val="00A43B9C"/>
    <w:rsid w:val="00A53155"/>
    <w:rsid w:val="00A56FFA"/>
    <w:rsid w:val="00A63E86"/>
    <w:rsid w:val="00A65A1C"/>
    <w:rsid w:val="00A757C3"/>
    <w:rsid w:val="00A75E5B"/>
    <w:rsid w:val="00A7684A"/>
    <w:rsid w:val="00A82AED"/>
    <w:rsid w:val="00A83B69"/>
    <w:rsid w:val="00A86533"/>
    <w:rsid w:val="00A91176"/>
    <w:rsid w:val="00A9176A"/>
    <w:rsid w:val="00A91CA2"/>
    <w:rsid w:val="00A92FB8"/>
    <w:rsid w:val="00A948F1"/>
    <w:rsid w:val="00AA1D7D"/>
    <w:rsid w:val="00AA7525"/>
    <w:rsid w:val="00AB0EA9"/>
    <w:rsid w:val="00AB139D"/>
    <w:rsid w:val="00AB2C46"/>
    <w:rsid w:val="00AB3EFB"/>
    <w:rsid w:val="00AB5EF7"/>
    <w:rsid w:val="00AC0B05"/>
    <w:rsid w:val="00AC763F"/>
    <w:rsid w:val="00AD079A"/>
    <w:rsid w:val="00AD1890"/>
    <w:rsid w:val="00AE2149"/>
    <w:rsid w:val="00AE33AE"/>
    <w:rsid w:val="00AE3785"/>
    <w:rsid w:val="00AE3F91"/>
    <w:rsid w:val="00AE452F"/>
    <w:rsid w:val="00AE76E6"/>
    <w:rsid w:val="00B00ACC"/>
    <w:rsid w:val="00B039E3"/>
    <w:rsid w:val="00B043C1"/>
    <w:rsid w:val="00B22838"/>
    <w:rsid w:val="00B27D52"/>
    <w:rsid w:val="00B32BC1"/>
    <w:rsid w:val="00B33E95"/>
    <w:rsid w:val="00B34EE1"/>
    <w:rsid w:val="00B35B5E"/>
    <w:rsid w:val="00B3720B"/>
    <w:rsid w:val="00B40EE3"/>
    <w:rsid w:val="00B4535A"/>
    <w:rsid w:val="00B539FF"/>
    <w:rsid w:val="00B55271"/>
    <w:rsid w:val="00B5558A"/>
    <w:rsid w:val="00B56513"/>
    <w:rsid w:val="00B56B2E"/>
    <w:rsid w:val="00B61E60"/>
    <w:rsid w:val="00B64376"/>
    <w:rsid w:val="00B71533"/>
    <w:rsid w:val="00B7401F"/>
    <w:rsid w:val="00B806C3"/>
    <w:rsid w:val="00B838F5"/>
    <w:rsid w:val="00B84FCA"/>
    <w:rsid w:val="00B9089F"/>
    <w:rsid w:val="00B91AEE"/>
    <w:rsid w:val="00B94F71"/>
    <w:rsid w:val="00B95F5A"/>
    <w:rsid w:val="00B96EAD"/>
    <w:rsid w:val="00BA22AF"/>
    <w:rsid w:val="00BA4B42"/>
    <w:rsid w:val="00BA79F5"/>
    <w:rsid w:val="00BB02E8"/>
    <w:rsid w:val="00BB3AB6"/>
    <w:rsid w:val="00BB766D"/>
    <w:rsid w:val="00BC007B"/>
    <w:rsid w:val="00BC15E7"/>
    <w:rsid w:val="00BC26BA"/>
    <w:rsid w:val="00BC35F8"/>
    <w:rsid w:val="00BC49BF"/>
    <w:rsid w:val="00BC5043"/>
    <w:rsid w:val="00BC7140"/>
    <w:rsid w:val="00BD1B89"/>
    <w:rsid w:val="00BD3944"/>
    <w:rsid w:val="00BF376F"/>
    <w:rsid w:val="00BF46A6"/>
    <w:rsid w:val="00BF62CF"/>
    <w:rsid w:val="00BF6B98"/>
    <w:rsid w:val="00BF73D6"/>
    <w:rsid w:val="00C06545"/>
    <w:rsid w:val="00C1161C"/>
    <w:rsid w:val="00C17F66"/>
    <w:rsid w:val="00C220FC"/>
    <w:rsid w:val="00C23C86"/>
    <w:rsid w:val="00C24DFA"/>
    <w:rsid w:val="00C35561"/>
    <w:rsid w:val="00C35D56"/>
    <w:rsid w:val="00C4202A"/>
    <w:rsid w:val="00C4211F"/>
    <w:rsid w:val="00C44F89"/>
    <w:rsid w:val="00C46A36"/>
    <w:rsid w:val="00C47037"/>
    <w:rsid w:val="00C472D8"/>
    <w:rsid w:val="00C53625"/>
    <w:rsid w:val="00C602C1"/>
    <w:rsid w:val="00C61C98"/>
    <w:rsid w:val="00C63FC0"/>
    <w:rsid w:val="00C66392"/>
    <w:rsid w:val="00C749C5"/>
    <w:rsid w:val="00C74C5E"/>
    <w:rsid w:val="00C77487"/>
    <w:rsid w:val="00C827A2"/>
    <w:rsid w:val="00C82B69"/>
    <w:rsid w:val="00C85394"/>
    <w:rsid w:val="00C8657D"/>
    <w:rsid w:val="00C91B28"/>
    <w:rsid w:val="00C91F3A"/>
    <w:rsid w:val="00C94A6F"/>
    <w:rsid w:val="00CA06E3"/>
    <w:rsid w:val="00CA3D42"/>
    <w:rsid w:val="00CB328B"/>
    <w:rsid w:val="00CB5797"/>
    <w:rsid w:val="00CB6050"/>
    <w:rsid w:val="00CC1202"/>
    <w:rsid w:val="00CC4099"/>
    <w:rsid w:val="00CC45C1"/>
    <w:rsid w:val="00CD09E1"/>
    <w:rsid w:val="00CD5078"/>
    <w:rsid w:val="00CD6202"/>
    <w:rsid w:val="00CE2486"/>
    <w:rsid w:val="00CE43AD"/>
    <w:rsid w:val="00CE4913"/>
    <w:rsid w:val="00CE66BD"/>
    <w:rsid w:val="00CF0671"/>
    <w:rsid w:val="00CF44AD"/>
    <w:rsid w:val="00CF4FC0"/>
    <w:rsid w:val="00CF7642"/>
    <w:rsid w:val="00D03909"/>
    <w:rsid w:val="00D1072F"/>
    <w:rsid w:val="00D108A5"/>
    <w:rsid w:val="00D14585"/>
    <w:rsid w:val="00D16E1B"/>
    <w:rsid w:val="00D20EFF"/>
    <w:rsid w:val="00D30F1B"/>
    <w:rsid w:val="00D30FC0"/>
    <w:rsid w:val="00D319FA"/>
    <w:rsid w:val="00D34F0D"/>
    <w:rsid w:val="00D3516E"/>
    <w:rsid w:val="00D4064C"/>
    <w:rsid w:val="00D47F9F"/>
    <w:rsid w:val="00D53ED8"/>
    <w:rsid w:val="00D56380"/>
    <w:rsid w:val="00D56A47"/>
    <w:rsid w:val="00D64857"/>
    <w:rsid w:val="00D6493A"/>
    <w:rsid w:val="00D64EE2"/>
    <w:rsid w:val="00D67875"/>
    <w:rsid w:val="00D71CBD"/>
    <w:rsid w:val="00D71E86"/>
    <w:rsid w:val="00D731C6"/>
    <w:rsid w:val="00D745C5"/>
    <w:rsid w:val="00D75327"/>
    <w:rsid w:val="00D76473"/>
    <w:rsid w:val="00D80C36"/>
    <w:rsid w:val="00D85FB7"/>
    <w:rsid w:val="00D86779"/>
    <w:rsid w:val="00D86EE1"/>
    <w:rsid w:val="00D9120E"/>
    <w:rsid w:val="00D913B1"/>
    <w:rsid w:val="00D93793"/>
    <w:rsid w:val="00D96126"/>
    <w:rsid w:val="00DB3C55"/>
    <w:rsid w:val="00DB4B1C"/>
    <w:rsid w:val="00DB5085"/>
    <w:rsid w:val="00DB7706"/>
    <w:rsid w:val="00DC1062"/>
    <w:rsid w:val="00DC132C"/>
    <w:rsid w:val="00DC774B"/>
    <w:rsid w:val="00DD43F0"/>
    <w:rsid w:val="00DD44DE"/>
    <w:rsid w:val="00DE09AB"/>
    <w:rsid w:val="00DE4A3F"/>
    <w:rsid w:val="00DE4E53"/>
    <w:rsid w:val="00DE7AE9"/>
    <w:rsid w:val="00DF4367"/>
    <w:rsid w:val="00E0574A"/>
    <w:rsid w:val="00E1243D"/>
    <w:rsid w:val="00E12742"/>
    <w:rsid w:val="00E12E4A"/>
    <w:rsid w:val="00E146D4"/>
    <w:rsid w:val="00E20976"/>
    <w:rsid w:val="00E22079"/>
    <w:rsid w:val="00E22B44"/>
    <w:rsid w:val="00E236D8"/>
    <w:rsid w:val="00E30ACD"/>
    <w:rsid w:val="00E3184B"/>
    <w:rsid w:val="00E32735"/>
    <w:rsid w:val="00E479A4"/>
    <w:rsid w:val="00E5391D"/>
    <w:rsid w:val="00E544E5"/>
    <w:rsid w:val="00E66E36"/>
    <w:rsid w:val="00E6781E"/>
    <w:rsid w:val="00E702ED"/>
    <w:rsid w:val="00E705CC"/>
    <w:rsid w:val="00E709A4"/>
    <w:rsid w:val="00E73822"/>
    <w:rsid w:val="00E772DB"/>
    <w:rsid w:val="00E840E4"/>
    <w:rsid w:val="00E86012"/>
    <w:rsid w:val="00E86BAB"/>
    <w:rsid w:val="00E901A1"/>
    <w:rsid w:val="00E94E10"/>
    <w:rsid w:val="00E954BD"/>
    <w:rsid w:val="00E96743"/>
    <w:rsid w:val="00E96A42"/>
    <w:rsid w:val="00EA0A36"/>
    <w:rsid w:val="00EA49C5"/>
    <w:rsid w:val="00EB1C1C"/>
    <w:rsid w:val="00EB5027"/>
    <w:rsid w:val="00EC1107"/>
    <w:rsid w:val="00EC1836"/>
    <w:rsid w:val="00EC3990"/>
    <w:rsid w:val="00EC484B"/>
    <w:rsid w:val="00ED15FA"/>
    <w:rsid w:val="00ED1E00"/>
    <w:rsid w:val="00EE228F"/>
    <w:rsid w:val="00EE238D"/>
    <w:rsid w:val="00EE6E9A"/>
    <w:rsid w:val="00EF0BF1"/>
    <w:rsid w:val="00EF27DA"/>
    <w:rsid w:val="00EF2AC4"/>
    <w:rsid w:val="00EF397E"/>
    <w:rsid w:val="00F06F68"/>
    <w:rsid w:val="00F1332D"/>
    <w:rsid w:val="00F1534B"/>
    <w:rsid w:val="00F1713B"/>
    <w:rsid w:val="00F212CB"/>
    <w:rsid w:val="00F23C7D"/>
    <w:rsid w:val="00F243DB"/>
    <w:rsid w:val="00F24C2D"/>
    <w:rsid w:val="00F24F1B"/>
    <w:rsid w:val="00F27356"/>
    <w:rsid w:val="00F32A81"/>
    <w:rsid w:val="00F46998"/>
    <w:rsid w:val="00F47100"/>
    <w:rsid w:val="00F5382D"/>
    <w:rsid w:val="00F53D9C"/>
    <w:rsid w:val="00F5462B"/>
    <w:rsid w:val="00F618CC"/>
    <w:rsid w:val="00F634AD"/>
    <w:rsid w:val="00F63677"/>
    <w:rsid w:val="00F63ABE"/>
    <w:rsid w:val="00F75B81"/>
    <w:rsid w:val="00F804C4"/>
    <w:rsid w:val="00F82F83"/>
    <w:rsid w:val="00F832E5"/>
    <w:rsid w:val="00F90F40"/>
    <w:rsid w:val="00F92B30"/>
    <w:rsid w:val="00F933B9"/>
    <w:rsid w:val="00F94674"/>
    <w:rsid w:val="00F94919"/>
    <w:rsid w:val="00F94A59"/>
    <w:rsid w:val="00F94E61"/>
    <w:rsid w:val="00FA25B6"/>
    <w:rsid w:val="00FA2FAF"/>
    <w:rsid w:val="00FA5CCF"/>
    <w:rsid w:val="00FA64B1"/>
    <w:rsid w:val="00FA70F3"/>
    <w:rsid w:val="00FA71CD"/>
    <w:rsid w:val="00FB0453"/>
    <w:rsid w:val="00FB0C07"/>
    <w:rsid w:val="00FB298D"/>
    <w:rsid w:val="00FC1439"/>
    <w:rsid w:val="00FC58BE"/>
    <w:rsid w:val="00FC7225"/>
    <w:rsid w:val="00FC724B"/>
    <w:rsid w:val="00FC767C"/>
    <w:rsid w:val="00FC7910"/>
    <w:rsid w:val="00FD0834"/>
    <w:rsid w:val="00FD6EA4"/>
    <w:rsid w:val="00FE13AD"/>
    <w:rsid w:val="00FE348D"/>
    <w:rsid w:val="00FE51C8"/>
    <w:rsid w:val="00FE53B6"/>
    <w:rsid w:val="00FE72A6"/>
    <w:rsid w:val="00FF0ABF"/>
    <w:rsid w:val="00FF0DA7"/>
    <w:rsid w:val="00FF44E0"/>
    <w:rsid w:val="00FF4CB6"/>
    <w:rsid w:val="00FF5834"/>
    <w:rsid w:val="00FF6C72"/>
    <w:rsid w:val="012265D8"/>
    <w:rsid w:val="01382DB4"/>
    <w:rsid w:val="014A4B87"/>
    <w:rsid w:val="016829D9"/>
    <w:rsid w:val="017B1BF9"/>
    <w:rsid w:val="01964270"/>
    <w:rsid w:val="01A548EC"/>
    <w:rsid w:val="01DC37E8"/>
    <w:rsid w:val="01E93A1B"/>
    <w:rsid w:val="01F23F0C"/>
    <w:rsid w:val="0214602E"/>
    <w:rsid w:val="022F42BF"/>
    <w:rsid w:val="024D7265"/>
    <w:rsid w:val="02867E41"/>
    <w:rsid w:val="02C67BDB"/>
    <w:rsid w:val="02D108F4"/>
    <w:rsid w:val="02DA6FE9"/>
    <w:rsid w:val="02FB2440"/>
    <w:rsid w:val="03457CFC"/>
    <w:rsid w:val="03486B27"/>
    <w:rsid w:val="036B7036"/>
    <w:rsid w:val="037B4D62"/>
    <w:rsid w:val="0389560C"/>
    <w:rsid w:val="038E557D"/>
    <w:rsid w:val="039801A9"/>
    <w:rsid w:val="039875B2"/>
    <w:rsid w:val="03A64E9B"/>
    <w:rsid w:val="03C07382"/>
    <w:rsid w:val="03C50E3C"/>
    <w:rsid w:val="03C72C05"/>
    <w:rsid w:val="040A094E"/>
    <w:rsid w:val="04206073"/>
    <w:rsid w:val="046643CE"/>
    <w:rsid w:val="04BC65FC"/>
    <w:rsid w:val="04CB5FDF"/>
    <w:rsid w:val="056F201D"/>
    <w:rsid w:val="05A80CC5"/>
    <w:rsid w:val="05B664D4"/>
    <w:rsid w:val="05D03B7D"/>
    <w:rsid w:val="063E4AA0"/>
    <w:rsid w:val="064B485A"/>
    <w:rsid w:val="06710E08"/>
    <w:rsid w:val="068C65C4"/>
    <w:rsid w:val="06D27AF8"/>
    <w:rsid w:val="07076C01"/>
    <w:rsid w:val="07117ADC"/>
    <w:rsid w:val="071C12AC"/>
    <w:rsid w:val="07292EE8"/>
    <w:rsid w:val="073A55AE"/>
    <w:rsid w:val="075524D7"/>
    <w:rsid w:val="07A05617"/>
    <w:rsid w:val="07A934B3"/>
    <w:rsid w:val="07C66F31"/>
    <w:rsid w:val="07CA2B27"/>
    <w:rsid w:val="07EB6287"/>
    <w:rsid w:val="0806421B"/>
    <w:rsid w:val="082A5712"/>
    <w:rsid w:val="087A6217"/>
    <w:rsid w:val="087C4E23"/>
    <w:rsid w:val="087F106F"/>
    <w:rsid w:val="08A72371"/>
    <w:rsid w:val="08AF45BE"/>
    <w:rsid w:val="08DC1C6E"/>
    <w:rsid w:val="08F024B8"/>
    <w:rsid w:val="09061CDB"/>
    <w:rsid w:val="09204E11"/>
    <w:rsid w:val="0980799C"/>
    <w:rsid w:val="09944B8E"/>
    <w:rsid w:val="09A03EDE"/>
    <w:rsid w:val="0A3208AE"/>
    <w:rsid w:val="0A4E375D"/>
    <w:rsid w:val="0A6A18DB"/>
    <w:rsid w:val="0A9357F1"/>
    <w:rsid w:val="0A975339"/>
    <w:rsid w:val="0A975B48"/>
    <w:rsid w:val="0AC171E0"/>
    <w:rsid w:val="0AEF3828"/>
    <w:rsid w:val="0B406381"/>
    <w:rsid w:val="0B6727D9"/>
    <w:rsid w:val="0B7218AA"/>
    <w:rsid w:val="0BB452AA"/>
    <w:rsid w:val="0BBB665B"/>
    <w:rsid w:val="0C0D1227"/>
    <w:rsid w:val="0C566B3E"/>
    <w:rsid w:val="0CCA1272"/>
    <w:rsid w:val="0CF640CE"/>
    <w:rsid w:val="0D533465"/>
    <w:rsid w:val="0D5D3E94"/>
    <w:rsid w:val="0D896A37"/>
    <w:rsid w:val="0DAB3173"/>
    <w:rsid w:val="0E277063"/>
    <w:rsid w:val="0E4F7062"/>
    <w:rsid w:val="0E855450"/>
    <w:rsid w:val="0E8C2C83"/>
    <w:rsid w:val="0EE973A4"/>
    <w:rsid w:val="0EEA6FC1"/>
    <w:rsid w:val="0EEE7499"/>
    <w:rsid w:val="0F222B14"/>
    <w:rsid w:val="0F276507"/>
    <w:rsid w:val="0F790928"/>
    <w:rsid w:val="0F9A13CF"/>
    <w:rsid w:val="0FD04EBC"/>
    <w:rsid w:val="0FDE750E"/>
    <w:rsid w:val="0FE97C61"/>
    <w:rsid w:val="106C40D0"/>
    <w:rsid w:val="107415C7"/>
    <w:rsid w:val="10AE725F"/>
    <w:rsid w:val="10CD72BB"/>
    <w:rsid w:val="10E14E69"/>
    <w:rsid w:val="10ED3781"/>
    <w:rsid w:val="10FB40F0"/>
    <w:rsid w:val="114172F3"/>
    <w:rsid w:val="11926BF9"/>
    <w:rsid w:val="11CC0F45"/>
    <w:rsid w:val="11D93F17"/>
    <w:rsid w:val="12197477"/>
    <w:rsid w:val="12303925"/>
    <w:rsid w:val="125E3A8A"/>
    <w:rsid w:val="12614612"/>
    <w:rsid w:val="128D26C1"/>
    <w:rsid w:val="12A165D1"/>
    <w:rsid w:val="12B11C20"/>
    <w:rsid w:val="12B16B16"/>
    <w:rsid w:val="12B56F66"/>
    <w:rsid w:val="12C33309"/>
    <w:rsid w:val="13180AEA"/>
    <w:rsid w:val="131B5CD3"/>
    <w:rsid w:val="132521E9"/>
    <w:rsid w:val="13373EE7"/>
    <w:rsid w:val="134578A4"/>
    <w:rsid w:val="13595A77"/>
    <w:rsid w:val="13682B89"/>
    <w:rsid w:val="13776448"/>
    <w:rsid w:val="1392241D"/>
    <w:rsid w:val="13945107"/>
    <w:rsid w:val="1424395D"/>
    <w:rsid w:val="142C7B79"/>
    <w:rsid w:val="144573F9"/>
    <w:rsid w:val="1466407E"/>
    <w:rsid w:val="14834E28"/>
    <w:rsid w:val="1487316F"/>
    <w:rsid w:val="148E7D65"/>
    <w:rsid w:val="14B572C9"/>
    <w:rsid w:val="14D64C58"/>
    <w:rsid w:val="14E7280A"/>
    <w:rsid w:val="14F37395"/>
    <w:rsid w:val="15231BF9"/>
    <w:rsid w:val="15626FFF"/>
    <w:rsid w:val="15AE34DE"/>
    <w:rsid w:val="15C4546D"/>
    <w:rsid w:val="15DA2525"/>
    <w:rsid w:val="15E433A4"/>
    <w:rsid w:val="160E21CF"/>
    <w:rsid w:val="1624180A"/>
    <w:rsid w:val="16314110"/>
    <w:rsid w:val="164E6A70"/>
    <w:rsid w:val="166B756E"/>
    <w:rsid w:val="16787F37"/>
    <w:rsid w:val="16C60CFC"/>
    <w:rsid w:val="16F72C63"/>
    <w:rsid w:val="17167FED"/>
    <w:rsid w:val="17347B09"/>
    <w:rsid w:val="178952BA"/>
    <w:rsid w:val="17A15A10"/>
    <w:rsid w:val="17A54DB5"/>
    <w:rsid w:val="17AD4997"/>
    <w:rsid w:val="17B2302E"/>
    <w:rsid w:val="1816180F"/>
    <w:rsid w:val="18652979"/>
    <w:rsid w:val="18687CA0"/>
    <w:rsid w:val="18823145"/>
    <w:rsid w:val="18A6244A"/>
    <w:rsid w:val="18A92CCB"/>
    <w:rsid w:val="18BC4DD8"/>
    <w:rsid w:val="18E02B21"/>
    <w:rsid w:val="18FC6C57"/>
    <w:rsid w:val="195D0247"/>
    <w:rsid w:val="19F636A6"/>
    <w:rsid w:val="1A064976"/>
    <w:rsid w:val="1A0A0EFF"/>
    <w:rsid w:val="1A2B6E03"/>
    <w:rsid w:val="1A2E1848"/>
    <w:rsid w:val="1A3B68AA"/>
    <w:rsid w:val="1A3E1C1E"/>
    <w:rsid w:val="1A6F1E95"/>
    <w:rsid w:val="1AA67400"/>
    <w:rsid w:val="1AED48A1"/>
    <w:rsid w:val="1AF649F1"/>
    <w:rsid w:val="1B1D686F"/>
    <w:rsid w:val="1B28788F"/>
    <w:rsid w:val="1B6F4F40"/>
    <w:rsid w:val="1B820314"/>
    <w:rsid w:val="1BEA2D97"/>
    <w:rsid w:val="1BF16D3F"/>
    <w:rsid w:val="1C141836"/>
    <w:rsid w:val="1C233F1C"/>
    <w:rsid w:val="1C2A60FB"/>
    <w:rsid w:val="1C413DEA"/>
    <w:rsid w:val="1C6F4800"/>
    <w:rsid w:val="1C76537D"/>
    <w:rsid w:val="1CB6166F"/>
    <w:rsid w:val="1CC82C65"/>
    <w:rsid w:val="1CD05BA3"/>
    <w:rsid w:val="1CEF4A97"/>
    <w:rsid w:val="1D1207F7"/>
    <w:rsid w:val="1D2D7E40"/>
    <w:rsid w:val="1D432329"/>
    <w:rsid w:val="1DBE4F63"/>
    <w:rsid w:val="1E5141B8"/>
    <w:rsid w:val="1E5866DD"/>
    <w:rsid w:val="1E6B6A14"/>
    <w:rsid w:val="1E7E1F44"/>
    <w:rsid w:val="1EB01E85"/>
    <w:rsid w:val="1F80567A"/>
    <w:rsid w:val="1F853F49"/>
    <w:rsid w:val="1FCF0C21"/>
    <w:rsid w:val="1FD11623"/>
    <w:rsid w:val="20052895"/>
    <w:rsid w:val="202A40A9"/>
    <w:rsid w:val="20482782"/>
    <w:rsid w:val="20550D9A"/>
    <w:rsid w:val="20880DD0"/>
    <w:rsid w:val="20BE6C95"/>
    <w:rsid w:val="20C64363"/>
    <w:rsid w:val="20D12947"/>
    <w:rsid w:val="21073B7C"/>
    <w:rsid w:val="214F69F1"/>
    <w:rsid w:val="215A09BE"/>
    <w:rsid w:val="21611D4D"/>
    <w:rsid w:val="21725D08"/>
    <w:rsid w:val="218E2416"/>
    <w:rsid w:val="21DA4531"/>
    <w:rsid w:val="221C55F6"/>
    <w:rsid w:val="22370D00"/>
    <w:rsid w:val="224114F2"/>
    <w:rsid w:val="226338A3"/>
    <w:rsid w:val="226915FE"/>
    <w:rsid w:val="226C7E19"/>
    <w:rsid w:val="22B77DA3"/>
    <w:rsid w:val="22C87710"/>
    <w:rsid w:val="22DB5EFF"/>
    <w:rsid w:val="22DC376E"/>
    <w:rsid w:val="22DE5886"/>
    <w:rsid w:val="22E744D4"/>
    <w:rsid w:val="22E97397"/>
    <w:rsid w:val="232D0759"/>
    <w:rsid w:val="23634327"/>
    <w:rsid w:val="238461DF"/>
    <w:rsid w:val="23C224F3"/>
    <w:rsid w:val="241804A5"/>
    <w:rsid w:val="243B497F"/>
    <w:rsid w:val="248D3813"/>
    <w:rsid w:val="24B97929"/>
    <w:rsid w:val="24CF521F"/>
    <w:rsid w:val="24D632D7"/>
    <w:rsid w:val="25311A36"/>
    <w:rsid w:val="255C2C0B"/>
    <w:rsid w:val="25801987"/>
    <w:rsid w:val="25C41910"/>
    <w:rsid w:val="25EA6A1D"/>
    <w:rsid w:val="260D24A3"/>
    <w:rsid w:val="260E5C0A"/>
    <w:rsid w:val="26171271"/>
    <w:rsid w:val="26192BF6"/>
    <w:rsid w:val="26555BF8"/>
    <w:rsid w:val="26597A5E"/>
    <w:rsid w:val="26E97D35"/>
    <w:rsid w:val="27247AA4"/>
    <w:rsid w:val="27A07774"/>
    <w:rsid w:val="27C052F3"/>
    <w:rsid w:val="27D65DBA"/>
    <w:rsid w:val="27DB7DC6"/>
    <w:rsid w:val="27EF1A84"/>
    <w:rsid w:val="285F40CA"/>
    <w:rsid w:val="286237E1"/>
    <w:rsid w:val="288775CB"/>
    <w:rsid w:val="289E1AF0"/>
    <w:rsid w:val="28BE4A1C"/>
    <w:rsid w:val="28C01ECB"/>
    <w:rsid w:val="28CD76CA"/>
    <w:rsid w:val="28D43150"/>
    <w:rsid w:val="28EC2BA4"/>
    <w:rsid w:val="29BF71E3"/>
    <w:rsid w:val="29D6387F"/>
    <w:rsid w:val="2A0113E2"/>
    <w:rsid w:val="2A0F079C"/>
    <w:rsid w:val="2A127B63"/>
    <w:rsid w:val="2A451A6C"/>
    <w:rsid w:val="2A4634BC"/>
    <w:rsid w:val="2A727AC6"/>
    <w:rsid w:val="2A9136E8"/>
    <w:rsid w:val="2A993030"/>
    <w:rsid w:val="2AAA4765"/>
    <w:rsid w:val="2AC21606"/>
    <w:rsid w:val="2AFA13BE"/>
    <w:rsid w:val="2B7E7608"/>
    <w:rsid w:val="2B7F04E9"/>
    <w:rsid w:val="2B896186"/>
    <w:rsid w:val="2B8B554A"/>
    <w:rsid w:val="2BA45ACA"/>
    <w:rsid w:val="2BA62462"/>
    <w:rsid w:val="2BAE2033"/>
    <w:rsid w:val="2BB1567F"/>
    <w:rsid w:val="2BEC66B7"/>
    <w:rsid w:val="2C0D5C62"/>
    <w:rsid w:val="2CDB3B0B"/>
    <w:rsid w:val="2CDC08C3"/>
    <w:rsid w:val="2D0D4B37"/>
    <w:rsid w:val="2D496D68"/>
    <w:rsid w:val="2DB93D3A"/>
    <w:rsid w:val="2DD22AD3"/>
    <w:rsid w:val="2E290AD3"/>
    <w:rsid w:val="2E443666"/>
    <w:rsid w:val="2E7A48DE"/>
    <w:rsid w:val="2E807B15"/>
    <w:rsid w:val="2EBA5177"/>
    <w:rsid w:val="2EDC3ED8"/>
    <w:rsid w:val="2EE63891"/>
    <w:rsid w:val="2F0F103A"/>
    <w:rsid w:val="2F104B00"/>
    <w:rsid w:val="2F6351B4"/>
    <w:rsid w:val="2F7E7F6E"/>
    <w:rsid w:val="2FAD0BBB"/>
    <w:rsid w:val="2FC86126"/>
    <w:rsid w:val="2FCF199E"/>
    <w:rsid w:val="2FE1071D"/>
    <w:rsid w:val="3031431F"/>
    <w:rsid w:val="30403120"/>
    <w:rsid w:val="30483E83"/>
    <w:rsid w:val="304C24C2"/>
    <w:rsid w:val="30575B32"/>
    <w:rsid w:val="307F2116"/>
    <w:rsid w:val="30943775"/>
    <w:rsid w:val="30A036D7"/>
    <w:rsid w:val="30AE03DF"/>
    <w:rsid w:val="30BF3991"/>
    <w:rsid w:val="30C70113"/>
    <w:rsid w:val="30C96FC7"/>
    <w:rsid w:val="30EE08D8"/>
    <w:rsid w:val="30F42C13"/>
    <w:rsid w:val="30F93D50"/>
    <w:rsid w:val="3111619A"/>
    <w:rsid w:val="312C7527"/>
    <w:rsid w:val="316E7B6E"/>
    <w:rsid w:val="316F5DC0"/>
    <w:rsid w:val="319121DA"/>
    <w:rsid w:val="31931D67"/>
    <w:rsid w:val="31B139DC"/>
    <w:rsid w:val="31D178DC"/>
    <w:rsid w:val="32497AF3"/>
    <w:rsid w:val="324B1189"/>
    <w:rsid w:val="324B1B69"/>
    <w:rsid w:val="32532D47"/>
    <w:rsid w:val="328638C0"/>
    <w:rsid w:val="32963172"/>
    <w:rsid w:val="32A66287"/>
    <w:rsid w:val="32FF6777"/>
    <w:rsid w:val="330E7A77"/>
    <w:rsid w:val="33525E92"/>
    <w:rsid w:val="338C30AF"/>
    <w:rsid w:val="33FC76B3"/>
    <w:rsid w:val="341C213D"/>
    <w:rsid w:val="341E6FEF"/>
    <w:rsid w:val="3434509F"/>
    <w:rsid w:val="343C0775"/>
    <w:rsid w:val="34414D98"/>
    <w:rsid w:val="3466053C"/>
    <w:rsid w:val="347436ED"/>
    <w:rsid w:val="34A53FEB"/>
    <w:rsid w:val="34A75871"/>
    <w:rsid w:val="35444C60"/>
    <w:rsid w:val="354B4447"/>
    <w:rsid w:val="356C50EC"/>
    <w:rsid w:val="356E45E1"/>
    <w:rsid w:val="3579793F"/>
    <w:rsid w:val="35B0664A"/>
    <w:rsid w:val="35D076D7"/>
    <w:rsid w:val="360F7B72"/>
    <w:rsid w:val="36137E45"/>
    <w:rsid w:val="36376E0A"/>
    <w:rsid w:val="363F11E1"/>
    <w:rsid w:val="36A92AAB"/>
    <w:rsid w:val="36CC15BF"/>
    <w:rsid w:val="3700166C"/>
    <w:rsid w:val="370E31D3"/>
    <w:rsid w:val="371C44B5"/>
    <w:rsid w:val="37293F0A"/>
    <w:rsid w:val="37441A9D"/>
    <w:rsid w:val="37815E37"/>
    <w:rsid w:val="378F142A"/>
    <w:rsid w:val="379A1012"/>
    <w:rsid w:val="37CE2664"/>
    <w:rsid w:val="381A1DB4"/>
    <w:rsid w:val="38417940"/>
    <w:rsid w:val="38694EE9"/>
    <w:rsid w:val="38AB7897"/>
    <w:rsid w:val="38C92B50"/>
    <w:rsid w:val="38D66725"/>
    <w:rsid w:val="39037E27"/>
    <w:rsid w:val="391E2591"/>
    <w:rsid w:val="39355B41"/>
    <w:rsid w:val="397E7B9C"/>
    <w:rsid w:val="39DA3FF3"/>
    <w:rsid w:val="3A6818FA"/>
    <w:rsid w:val="3A72247D"/>
    <w:rsid w:val="3A7652B3"/>
    <w:rsid w:val="3A7C5988"/>
    <w:rsid w:val="3A935D4C"/>
    <w:rsid w:val="3B021500"/>
    <w:rsid w:val="3B365CC9"/>
    <w:rsid w:val="3B9A7B88"/>
    <w:rsid w:val="3BD827B4"/>
    <w:rsid w:val="3BEE1FD7"/>
    <w:rsid w:val="3C0454EB"/>
    <w:rsid w:val="3C1C23A7"/>
    <w:rsid w:val="3C1E28BD"/>
    <w:rsid w:val="3C853325"/>
    <w:rsid w:val="3C9E1C4F"/>
    <w:rsid w:val="3CBE7BFC"/>
    <w:rsid w:val="3CFC5E34"/>
    <w:rsid w:val="3D2C7AC8"/>
    <w:rsid w:val="3D324146"/>
    <w:rsid w:val="3D6F678C"/>
    <w:rsid w:val="3D855D12"/>
    <w:rsid w:val="3D8B42FF"/>
    <w:rsid w:val="3DB74195"/>
    <w:rsid w:val="3DD50111"/>
    <w:rsid w:val="3DD92421"/>
    <w:rsid w:val="3DDE02FB"/>
    <w:rsid w:val="3DE86C4C"/>
    <w:rsid w:val="3DF36A6E"/>
    <w:rsid w:val="3DF8048B"/>
    <w:rsid w:val="3DFD29A6"/>
    <w:rsid w:val="3E565D4A"/>
    <w:rsid w:val="3E597A83"/>
    <w:rsid w:val="3EBA1EE9"/>
    <w:rsid w:val="3F6C7DE3"/>
    <w:rsid w:val="3F792F1E"/>
    <w:rsid w:val="3F996157"/>
    <w:rsid w:val="405F34A4"/>
    <w:rsid w:val="406D3E12"/>
    <w:rsid w:val="40824826"/>
    <w:rsid w:val="40956EC5"/>
    <w:rsid w:val="40E63923"/>
    <w:rsid w:val="412479F7"/>
    <w:rsid w:val="412E55FB"/>
    <w:rsid w:val="41451FC7"/>
    <w:rsid w:val="41792E05"/>
    <w:rsid w:val="41A1553C"/>
    <w:rsid w:val="41A32140"/>
    <w:rsid w:val="41A90E7A"/>
    <w:rsid w:val="41F1637D"/>
    <w:rsid w:val="425F4A35"/>
    <w:rsid w:val="42764AD5"/>
    <w:rsid w:val="429F0E23"/>
    <w:rsid w:val="42BE6BA7"/>
    <w:rsid w:val="43096148"/>
    <w:rsid w:val="432076E6"/>
    <w:rsid w:val="433C0509"/>
    <w:rsid w:val="438A498A"/>
    <w:rsid w:val="43A91E5B"/>
    <w:rsid w:val="43AA1A57"/>
    <w:rsid w:val="43AF0A03"/>
    <w:rsid w:val="447846A6"/>
    <w:rsid w:val="449E0D39"/>
    <w:rsid w:val="44D10724"/>
    <w:rsid w:val="44D82665"/>
    <w:rsid w:val="44E4666D"/>
    <w:rsid w:val="45132AAF"/>
    <w:rsid w:val="451F76A5"/>
    <w:rsid w:val="456442B5"/>
    <w:rsid w:val="45B44292"/>
    <w:rsid w:val="45B47338"/>
    <w:rsid w:val="45E32B26"/>
    <w:rsid w:val="45E80675"/>
    <w:rsid w:val="462E5B03"/>
    <w:rsid w:val="463A3650"/>
    <w:rsid w:val="46461627"/>
    <w:rsid w:val="469F0116"/>
    <w:rsid w:val="46D5060B"/>
    <w:rsid w:val="47451645"/>
    <w:rsid w:val="475259B7"/>
    <w:rsid w:val="47593E43"/>
    <w:rsid w:val="475C0B72"/>
    <w:rsid w:val="47C17F0C"/>
    <w:rsid w:val="47D47AF4"/>
    <w:rsid w:val="47E349BA"/>
    <w:rsid w:val="4812704D"/>
    <w:rsid w:val="48277467"/>
    <w:rsid w:val="48427933"/>
    <w:rsid w:val="48611D38"/>
    <w:rsid w:val="487B29C9"/>
    <w:rsid w:val="487B2E3B"/>
    <w:rsid w:val="488302AE"/>
    <w:rsid w:val="48831CF9"/>
    <w:rsid w:val="48995492"/>
    <w:rsid w:val="48BD096B"/>
    <w:rsid w:val="49024C9C"/>
    <w:rsid w:val="49380D36"/>
    <w:rsid w:val="496B76CF"/>
    <w:rsid w:val="49B1408D"/>
    <w:rsid w:val="4A186FF4"/>
    <w:rsid w:val="4A1B48DF"/>
    <w:rsid w:val="4A3F67C0"/>
    <w:rsid w:val="4A4863E2"/>
    <w:rsid w:val="4A613079"/>
    <w:rsid w:val="4A677071"/>
    <w:rsid w:val="4A7D4FD2"/>
    <w:rsid w:val="4A802994"/>
    <w:rsid w:val="4A8626B0"/>
    <w:rsid w:val="4A913C9A"/>
    <w:rsid w:val="4B1E6BAC"/>
    <w:rsid w:val="4B1F70AC"/>
    <w:rsid w:val="4B240F94"/>
    <w:rsid w:val="4B272E10"/>
    <w:rsid w:val="4B413ED2"/>
    <w:rsid w:val="4B5323DA"/>
    <w:rsid w:val="4B5758FD"/>
    <w:rsid w:val="4B803312"/>
    <w:rsid w:val="4B807A40"/>
    <w:rsid w:val="4B8A33E0"/>
    <w:rsid w:val="4BCC4361"/>
    <w:rsid w:val="4BE11211"/>
    <w:rsid w:val="4BE87E41"/>
    <w:rsid w:val="4C0832E5"/>
    <w:rsid w:val="4C24147D"/>
    <w:rsid w:val="4C3C565C"/>
    <w:rsid w:val="4C522DBA"/>
    <w:rsid w:val="4C6F5B30"/>
    <w:rsid w:val="4CCC79C7"/>
    <w:rsid w:val="4CEB6BD1"/>
    <w:rsid w:val="4D0D7ED3"/>
    <w:rsid w:val="4D2C408A"/>
    <w:rsid w:val="4D7555C7"/>
    <w:rsid w:val="4DAE39CA"/>
    <w:rsid w:val="4DF0398D"/>
    <w:rsid w:val="4E087CFB"/>
    <w:rsid w:val="4E4767DD"/>
    <w:rsid w:val="4E7520E4"/>
    <w:rsid w:val="4EA45BF0"/>
    <w:rsid w:val="4EAE6DA0"/>
    <w:rsid w:val="4EF219BE"/>
    <w:rsid w:val="4F3B1580"/>
    <w:rsid w:val="4F493C9D"/>
    <w:rsid w:val="4F6E725F"/>
    <w:rsid w:val="4F9F296A"/>
    <w:rsid w:val="4FB56C3C"/>
    <w:rsid w:val="4FE617D9"/>
    <w:rsid w:val="5016514B"/>
    <w:rsid w:val="50241520"/>
    <w:rsid w:val="503E1327"/>
    <w:rsid w:val="50854F5A"/>
    <w:rsid w:val="50BD4DF3"/>
    <w:rsid w:val="50CC6D33"/>
    <w:rsid w:val="50D3357B"/>
    <w:rsid w:val="50FC1A26"/>
    <w:rsid w:val="512521C6"/>
    <w:rsid w:val="51496818"/>
    <w:rsid w:val="515626A1"/>
    <w:rsid w:val="515F79A9"/>
    <w:rsid w:val="51723664"/>
    <w:rsid w:val="518E552F"/>
    <w:rsid w:val="51B64EEE"/>
    <w:rsid w:val="51CB1C78"/>
    <w:rsid w:val="51D53D43"/>
    <w:rsid w:val="51FD6A51"/>
    <w:rsid w:val="52081B54"/>
    <w:rsid w:val="522469E0"/>
    <w:rsid w:val="522E6293"/>
    <w:rsid w:val="526B680A"/>
    <w:rsid w:val="5272350A"/>
    <w:rsid w:val="527326DA"/>
    <w:rsid w:val="52836F71"/>
    <w:rsid w:val="52B458D1"/>
    <w:rsid w:val="52D26B02"/>
    <w:rsid w:val="52F1442F"/>
    <w:rsid w:val="52F51F24"/>
    <w:rsid w:val="532A395D"/>
    <w:rsid w:val="532D1275"/>
    <w:rsid w:val="533A0528"/>
    <w:rsid w:val="533F6E7B"/>
    <w:rsid w:val="53462E30"/>
    <w:rsid w:val="53523F90"/>
    <w:rsid w:val="53727A0C"/>
    <w:rsid w:val="53E04BF9"/>
    <w:rsid w:val="540A350F"/>
    <w:rsid w:val="540D34EB"/>
    <w:rsid w:val="541A5D30"/>
    <w:rsid w:val="5420418E"/>
    <w:rsid w:val="54363BA0"/>
    <w:rsid w:val="54445BC5"/>
    <w:rsid w:val="54487F8F"/>
    <w:rsid w:val="54703A7A"/>
    <w:rsid w:val="54E84FB3"/>
    <w:rsid w:val="54FA6A32"/>
    <w:rsid w:val="5524049C"/>
    <w:rsid w:val="555A0F92"/>
    <w:rsid w:val="5563713A"/>
    <w:rsid w:val="55805F3E"/>
    <w:rsid w:val="55C1559C"/>
    <w:rsid w:val="55E012E9"/>
    <w:rsid w:val="55F068CD"/>
    <w:rsid w:val="566556BF"/>
    <w:rsid w:val="56660C90"/>
    <w:rsid w:val="566C3136"/>
    <w:rsid w:val="568D04F2"/>
    <w:rsid w:val="57325016"/>
    <w:rsid w:val="573B467E"/>
    <w:rsid w:val="575C534A"/>
    <w:rsid w:val="576902D7"/>
    <w:rsid w:val="578D788D"/>
    <w:rsid w:val="58687C2C"/>
    <w:rsid w:val="58972FAA"/>
    <w:rsid w:val="589C6BEB"/>
    <w:rsid w:val="589D28FA"/>
    <w:rsid w:val="58AE289F"/>
    <w:rsid w:val="58CC1B01"/>
    <w:rsid w:val="58D00315"/>
    <w:rsid w:val="59174B6F"/>
    <w:rsid w:val="59266B6D"/>
    <w:rsid w:val="59417793"/>
    <w:rsid w:val="594B23BF"/>
    <w:rsid w:val="59883613"/>
    <w:rsid w:val="59926240"/>
    <w:rsid w:val="59A43D8B"/>
    <w:rsid w:val="59D16D68"/>
    <w:rsid w:val="59FC7866"/>
    <w:rsid w:val="5A526582"/>
    <w:rsid w:val="5A53777D"/>
    <w:rsid w:val="5A5F5C77"/>
    <w:rsid w:val="5A711A0D"/>
    <w:rsid w:val="5A7725B2"/>
    <w:rsid w:val="5B1613E4"/>
    <w:rsid w:val="5B2953E8"/>
    <w:rsid w:val="5B78003B"/>
    <w:rsid w:val="5B9C33A6"/>
    <w:rsid w:val="5BBB1A7E"/>
    <w:rsid w:val="5BC11A60"/>
    <w:rsid w:val="5BC503DB"/>
    <w:rsid w:val="5BCE5E90"/>
    <w:rsid w:val="5BCF1086"/>
    <w:rsid w:val="5BE332E9"/>
    <w:rsid w:val="5BEC7BF5"/>
    <w:rsid w:val="5BF5648C"/>
    <w:rsid w:val="5C044ACF"/>
    <w:rsid w:val="5C2340B8"/>
    <w:rsid w:val="5C422212"/>
    <w:rsid w:val="5C7A4D54"/>
    <w:rsid w:val="5C871960"/>
    <w:rsid w:val="5CC17396"/>
    <w:rsid w:val="5CD23B73"/>
    <w:rsid w:val="5CE045E7"/>
    <w:rsid w:val="5D4A2A18"/>
    <w:rsid w:val="5D6C63B9"/>
    <w:rsid w:val="5D9A10CF"/>
    <w:rsid w:val="5DD47834"/>
    <w:rsid w:val="5DF67FE2"/>
    <w:rsid w:val="5E096AA5"/>
    <w:rsid w:val="5E6006BB"/>
    <w:rsid w:val="5E7B3747"/>
    <w:rsid w:val="5E9D7F2A"/>
    <w:rsid w:val="5F127819"/>
    <w:rsid w:val="5F2A6503"/>
    <w:rsid w:val="5F2F1C7D"/>
    <w:rsid w:val="5F30008D"/>
    <w:rsid w:val="5F3D27AA"/>
    <w:rsid w:val="5F457D51"/>
    <w:rsid w:val="5F7B3C2B"/>
    <w:rsid w:val="5F8A2976"/>
    <w:rsid w:val="5FEB66AA"/>
    <w:rsid w:val="60350ED3"/>
    <w:rsid w:val="60475C45"/>
    <w:rsid w:val="60681AA9"/>
    <w:rsid w:val="607D65D7"/>
    <w:rsid w:val="60B72AEE"/>
    <w:rsid w:val="61025188"/>
    <w:rsid w:val="610523D1"/>
    <w:rsid w:val="61057D5F"/>
    <w:rsid w:val="61377DF9"/>
    <w:rsid w:val="614D4977"/>
    <w:rsid w:val="61730705"/>
    <w:rsid w:val="61731105"/>
    <w:rsid w:val="618476F8"/>
    <w:rsid w:val="61A62889"/>
    <w:rsid w:val="61EB65BD"/>
    <w:rsid w:val="62087B8C"/>
    <w:rsid w:val="622540F5"/>
    <w:rsid w:val="62377985"/>
    <w:rsid w:val="62477B55"/>
    <w:rsid w:val="625B7B17"/>
    <w:rsid w:val="63011D6F"/>
    <w:rsid w:val="63273568"/>
    <w:rsid w:val="63375F1A"/>
    <w:rsid w:val="63746CCD"/>
    <w:rsid w:val="639A2453"/>
    <w:rsid w:val="63A46EF2"/>
    <w:rsid w:val="63C60FC0"/>
    <w:rsid w:val="63F52BD2"/>
    <w:rsid w:val="64055EC3"/>
    <w:rsid w:val="642106C5"/>
    <w:rsid w:val="64402C33"/>
    <w:rsid w:val="646A4041"/>
    <w:rsid w:val="647B32BF"/>
    <w:rsid w:val="64801AB7"/>
    <w:rsid w:val="64833355"/>
    <w:rsid w:val="6497091C"/>
    <w:rsid w:val="64990483"/>
    <w:rsid w:val="64A81A58"/>
    <w:rsid w:val="64AA6F5E"/>
    <w:rsid w:val="64B47FC7"/>
    <w:rsid w:val="64BA3D7A"/>
    <w:rsid w:val="64BD0930"/>
    <w:rsid w:val="64D4770D"/>
    <w:rsid w:val="64F13D73"/>
    <w:rsid w:val="64F179BC"/>
    <w:rsid w:val="650531F2"/>
    <w:rsid w:val="65141AD3"/>
    <w:rsid w:val="652A31DB"/>
    <w:rsid w:val="653214A2"/>
    <w:rsid w:val="654228F2"/>
    <w:rsid w:val="656F2024"/>
    <w:rsid w:val="65C122DE"/>
    <w:rsid w:val="665704D3"/>
    <w:rsid w:val="66C936F9"/>
    <w:rsid w:val="67226E55"/>
    <w:rsid w:val="67920993"/>
    <w:rsid w:val="67C065A4"/>
    <w:rsid w:val="67CA0521"/>
    <w:rsid w:val="67D359C9"/>
    <w:rsid w:val="68042537"/>
    <w:rsid w:val="685F3791"/>
    <w:rsid w:val="68880F3A"/>
    <w:rsid w:val="68A043AD"/>
    <w:rsid w:val="68CB7079"/>
    <w:rsid w:val="68E346FA"/>
    <w:rsid w:val="68EC771B"/>
    <w:rsid w:val="68F2471A"/>
    <w:rsid w:val="68FE36DD"/>
    <w:rsid w:val="69102A7A"/>
    <w:rsid w:val="694E60FC"/>
    <w:rsid w:val="69BD2E65"/>
    <w:rsid w:val="6A256904"/>
    <w:rsid w:val="6A907960"/>
    <w:rsid w:val="6AC56093"/>
    <w:rsid w:val="6AD466B8"/>
    <w:rsid w:val="6AF60251"/>
    <w:rsid w:val="6B141087"/>
    <w:rsid w:val="6B2457CA"/>
    <w:rsid w:val="6B4458C9"/>
    <w:rsid w:val="6B56437F"/>
    <w:rsid w:val="6B656832"/>
    <w:rsid w:val="6BA71B66"/>
    <w:rsid w:val="6BAB7EA3"/>
    <w:rsid w:val="6BBD539F"/>
    <w:rsid w:val="6BCA74BB"/>
    <w:rsid w:val="6BFD1C3F"/>
    <w:rsid w:val="6C0F0DFC"/>
    <w:rsid w:val="6C4D6722"/>
    <w:rsid w:val="6C675CE6"/>
    <w:rsid w:val="6C8574C7"/>
    <w:rsid w:val="6CC26200"/>
    <w:rsid w:val="6CC809AF"/>
    <w:rsid w:val="6D4D113F"/>
    <w:rsid w:val="6D4F4321"/>
    <w:rsid w:val="6D6830E8"/>
    <w:rsid w:val="6DF41B82"/>
    <w:rsid w:val="6DFF7360"/>
    <w:rsid w:val="6E067091"/>
    <w:rsid w:val="6E11774E"/>
    <w:rsid w:val="6E6021A9"/>
    <w:rsid w:val="6E7A5F73"/>
    <w:rsid w:val="6E851A78"/>
    <w:rsid w:val="6E963C85"/>
    <w:rsid w:val="6EAA7474"/>
    <w:rsid w:val="6EB02F99"/>
    <w:rsid w:val="6EBD1212"/>
    <w:rsid w:val="6EC9405A"/>
    <w:rsid w:val="6EE90F9D"/>
    <w:rsid w:val="6F01059C"/>
    <w:rsid w:val="6F082BBA"/>
    <w:rsid w:val="6F49551F"/>
    <w:rsid w:val="6F6F3BB5"/>
    <w:rsid w:val="6F765F90"/>
    <w:rsid w:val="6FD74228"/>
    <w:rsid w:val="6FEA2C74"/>
    <w:rsid w:val="7021106F"/>
    <w:rsid w:val="702971F7"/>
    <w:rsid w:val="703419A7"/>
    <w:rsid w:val="7061061C"/>
    <w:rsid w:val="706510B7"/>
    <w:rsid w:val="70A26911"/>
    <w:rsid w:val="70F23777"/>
    <w:rsid w:val="71075032"/>
    <w:rsid w:val="7113776B"/>
    <w:rsid w:val="713F598F"/>
    <w:rsid w:val="71633091"/>
    <w:rsid w:val="71705FB1"/>
    <w:rsid w:val="71706A0F"/>
    <w:rsid w:val="71894C40"/>
    <w:rsid w:val="719B1620"/>
    <w:rsid w:val="723637B5"/>
    <w:rsid w:val="728D2BFB"/>
    <w:rsid w:val="729606F7"/>
    <w:rsid w:val="73081CA5"/>
    <w:rsid w:val="730B2E93"/>
    <w:rsid w:val="731C0BFD"/>
    <w:rsid w:val="731F06ED"/>
    <w:rsid w:val="73282033"/>
    <w:rsid w:val="733C129F"/>
    <w:rsid w:val="73941822"/>
    <w:rsid w:val="73A203E2"/>
    <w:rsid w:val="73F27BAF"/>
    <w:rsid w:val="741713C4"/>
    <w:rsid w:val="74201F7D"/>
    <w:rsid w:val="74463314"/>
    <w:rsid w:val="74835E86"/>
    <w:rsid w:val="7487762D"/>
    <w:rsid w:val="74896327"/>
    <w:rsid w:val="74C33AA4"/>
    <w:rsid w:val="750000AA"/>
    <w:rsid w:val="750A65D3"/>
    <w:rsid w:val="75151DA7"/>
    <w:rsid w:val="75210D7A"/>
    <w:rsid w:val="75232716"/>
    <w:rsid w:val="753417B5"/>
    <w:rsid w:val="75385498"/>
    <w:rsid w:val="755C2EE0"/>
    <w:rsid w:val="759C4277"/>
    <w:rsid w:val="75CD2C37"/>
    <w:rsid w:val="75CD4430"/>
    <w:rsid w:val="75E36485"/>
    <w:rsid w:val="75F37776"/>
    <w:rsid w:val="760D54E2"/>
    <w:rsid w:val="763D52DB"/>
    <w:rsid w:val="76435882"/>
    <w:rsid w:val="76796366"/>
    <w:rsid w:val="768071FE"/>
    <w:rsid w:val="76BC207F"/>
    <w:rsid w:val="76EB4904"/>
    <w:rsid w:val="76F36118"/>
    <w:rsid w:val="77057F48"/>
    <w:rsid w:val="772265F9"/>
    <w:rsid w:val="772543D1"/>
    <w:rsid w:val="772B3B04"/>
    <w:rsid w:val="77645DCD"/>
    <w:rsid w:val="777378F5"/>
    <w:rsid w:val="777A2D3C"/>
    <w:rsid w:val="777B1796"/>
    <w:rsid w:val="77AE3DED"/>
    <w:rsid w:val="77C1482C"/>
    <w:rsid w:val="784E34B8"/>
    <w:rsid w:val="785F5B8F"/>
    <w:rsid w:val="7875285E"/>
    <w:rsid w:val="789C633C"/>
    <w:rsid w:val="78D86D89"/>
    <w:rsid w:val="78F00B8F"/>
    <w:rsid w:val="78F13953"/>
    <w:rsid w:val="79030169"/>
    <w:rsid w:val="79074B81"/>
    <w:rsid w:val="79297BCF"/>
    <w:rsid w:val="79426EE3"/>
    <w:rsid w:val="794F0939"/>
    <w:rsid w:val="79824016"/>
    <w:rsid w:val="79AF0FCA"/>
    <w:rsid w:val="79CF15E2"/>
    <w:rsid w:val="79D8521D"/>
    <w:rsid w:val="79E17320"/>
    <w:rsid w:val="79E81839"/>
    <w:rsid w:val="79F01948"/>
    <w:rsid w:val="7A377513"/>
    <w:rsid w:val="7A63380E"/>
    <w:rsid w:val="7ADD450F"/>
    <w:rsid w:val="7AEE7323"/>
    <w:rsid w:val="7AF40BC1"/>
    <w:rsid w:val="7AF9279C"/>
    <w:rsid w:val="7B4F7695"/>
    <w:rsid w:val="7BA57C8E"/>
    <w:rsid w:val="7BA94FF8"/>
    <w:rsid w:val="7BB04C77"/>
    <w:rsid w:val="7BBD0CCF"/>
    <w:rsid w:val="7BD345A9"/>
    <w:rsid w:val="7C077F70"/>
    <w:rsid w:val="7C3F320E"/>
    <w:rsid w:val="7C623E0B"/>
    <w:rsid w:val="7C6D627C"/>
    <w:rsid w:val="7CAE07A6"/>
    <w:rsid w:val="7CB42429"/>
    <w:rsid w:val="7CC51958"/>
    <w:rsid w:val="7CC6647D"/>
    <w:rsid w:val="7CC96E10"/>
    <w:rsid w:val="7CD53DF9"/>
    <w:rsid w:val="7CEA684B"/>
    <w:rsid w:val="7CF359B3"/>
    <w:rsid w:val="7CF87F76"/>
    <w:rsid w:val="7D097C86"/>
    <w:rsid w:val="7D16566A"/>
    <w:rsid w:val="7D1D48E5"/>
    <w:rsid w:val="7D2D3A06"/>
    <w:rsid w:val="7D9F4904"/>
    <w:rsid w:val="7DB22AAB"/>
    <w:rsid w:val="7DB75CAC"/>
    <w:rsid w:val="7DC07A2C"/>
    <w:rsid w:val="7E014D45"/>
    <w:rsid w:val="7E076B0E"/>
    <w:rsid w:val="7E2936C3"/>
    <w:rsid w:val="7E3420E2"/>
    <w:rsid w:val="7E6411B9"/>
    <w:rsid w:val="7E9755DB"/>
    <w:rsid w:val="7E9D4019"/>
    <w:rsid w:val="7EA45F4A"/>
    <w:rsid w:val="7EAA7A04"/>
    <w:rsid w:val="7EB97C47"/>
    <w:rsid w:val="7EEC23F3"/>
    <w:rsid w:val="7F5300F0"/>
    <w:rsid w:val="7F8A2E8B"/>
    <w:rsid w:val="7FCC7A85"/>
    <w:rsid w:val="7FF76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qFormat="1" w:unhideWhenUsed="0" w:uiPriority="0" w:semiHidden="0"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qFormat="1"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nhideWhenUsed="0" w:uiPriority="0"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仿宋_GB2312" w:hAnsi="@仿宋_GB2312" w:eastAsia="@仿宋_GB2312" w:cs="@仿宋_GB2312"/>
      <w:kern w:val="2"/>
      <w:sz w:val="21"/>
      <w:lang w:val="en-US" w:eastAsia="zh-CN" w:bidi="ar-SA"/>
    </w:rPr>
  </w:style>
  <w:style w:type="paragraph" w:styleId="3">
    <w:name w:val="heading 1"/>
    <w:basedOn w:val="1"/>
    <w:next w:val="1"/>
    <w:link w:val="60"/>
    <w:autoRedefine/>
    <w:qFormat/>
    <w:uiPriority w:val="9"/>
    <w:pPr>
      <w:keepNext/>
      <w:keepLines/>
      <w:spacing w:before="340" w:after="330" w:line="578" w:lineRule="auto"/>
      <w:outlineLvl w:val="0"/>
    </w:pPr>
    <w:rPr>
      <w:b/>
      <w:bCs/>
      <w:kern w:val="44"/>
      <w:sz w:val="44"/>
      <w:szCs w:val="44"/>
    </w:rPr>
  </w:style>
  <w:style w:type="paragraph" w:styleId="2">
    <w:name w:val="heading 2"/>
    <w:basedOn w:val="1"/>
    <w:next w:val="1"/>
    <w:autoRedefine/>
    <w:qFormat/>
    <w:uiPriority w:val="0"/>
    <w:pPr>
      <w:keepNext/>
      <w:keepLines/>
      <w:spacing w:before="260" w:after="260" w:line="415" w:lineRule="auto"/>
      <w:outlineLvl w:val="1"/>
    </w:pPr>
    <w:rPr>
      <w:rFonts w:ascii="Arial" w:hAnsi="Arial" w:eastAsia="黑体" w:cs="Times New Roman"/>
      <w:b/>
      <w:bCs/>
      <w:sz w:val="32"/>
      <w:szCs w:val="32"/>
    </w:rPr>
  </w:style>
  <w:style w:type="paragraph" w:styleId="4">
    <w:name w:val="heading 3"/>
    <w:basedOn w:val="1"/>
    <w:next w:val="1"/>
    <w:link w:val="62"/>
    <w:autoRedefine/>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67"/>
    <w:autoRedefine/>
    <w:qFormat/>
    <w:uiPriority w:val="0"/>
    <w:pPr>
      <w:keepNext/>
      <w:keepLines/>
      <w:spacing w:before="280" w:after="290" w:line="376" w:lineRule="auto"/>
      <w:outlineLvl w:val="3"/>
    </w:pPr>
    <w:rPr>
      <w:b/>
      <w:bCs/>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260"/>
      <w:jc w:val="left"/>
    </w:pPr>
    <w:rPr>
      <w:sz w:val="18"/>
      <w:szCs w:val="18"/>
    </w:rPr>
  </w:style>
  <w:style w:type="paragraph" w:styleId="7">
    <w:name w:val="Normal Indent"/>
    <w:basedOn w:val="1"/>
    <w:autoRedefine/>
    <w:qFormat/>
    <w:uiPriority w:val="0"/>
    <w:pPr>
      <w:autoSpaceDE w:val="0"/>
      <w:autoSpaceDN w:val="0"/>
      <w:adjustRightInd w:val="0"/>
      <w:ind w:firstLine="420"/>
      <w:jc w:val="left"/>
    </w:pPr>
    <w:rPr>
      <w:rFonts w:ascii="宋体" w:hAnsi="Times New Roman" w:eastAsia="宋体" w:cs="Times New Roman"/>
      <w:kern w:val="0"/>
      <w:sz w:val="24"/>
    </w:rPr>
  </w:style>
  <w:style w:type="paragraph" w:styleId="8">
    <w:name w:val="annotation text"/>
    <w:basedOn w:val="1"/>
    <w:link w:val="59"/>
    <w:autoRedefine/>
    <w:qFormat/>
    <w:uiPriority w:val="0"/>
    <w:pPr>
      <w:jc w:val="left"/>
    </w:pPr>
    <w:rPr>
      <w:rFonts w:ascii="Arial" w:hAnsi="Arial" w:eastAsia="黑体" w:cs="Arial"/>
    </w:rPr>
  </w:style>
  <w:style w:type="paragraph" w:styleId="9">
    <w:name w:val="Body Text"/>
    <w:basedOn w:val="1"/>
    <w:autoRedefine/>
    <w:qFormat/>
    <w:uiPriority w:val="0"/>
    <w:pPr>
      <w:spacing w:after="120"/>
    </w:pPr>
    <w:rPr>
      <w:rFonts w:ascii="@微软简标宋" w:hAnsi="@微软简标宋" w:eastAsia="@微软简标宋" w:cs="@微软简标宋"/>
      <w:szCs w:val="24"/>
      <w:lang w:val="zh-CN"/>
    </w:rPr>
  </w:style>
  <w:style w:type="paragraph" w:styleId="10">
    <w:name w:val="Body Text Indent"/>
    <w:basedOn w:val="1"/>
    <w:next w:val="11"/>
    <w:autoRedefine/>
    <w:qFormat/>
    <w:uiPriority w:val="0"/>
    <w:pPr>
      <w:spacing w:after="120"/>
      <w:ind w:left="420" w:leftChars="200"/>
    </w:pPr>
  </w:style>
  <w:style w:type="paragraph" w:styleId="11">
    <w:name w:val="envelope return"/>
    <w:basedOn w:val="1"/>
    <w:next w:val="6"/>
    <w:qFormat/>
    <w:uiPriority w:val="0"/>
    <w:pPr>
      <w:snapToGrid w:val="0"/>
    </w:pPr>
    <w:rPr>
      <w:rFonts w:ascii="Arial" w:hAnsi="Arial"/>
    </w:rPr>
  </w:style>
  <w:style w:type="paragraph" w:styleId="12">
    <w:name w:val="toc 3"/>
    <w:basedOn w:val="1"/>
    <w:next w:val="1"/>
    <w:autoRedefine/>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3">
    <w:name w:val="Plain Text"/>
    <w:basedOn w:val="1"/>
    <w:link w:val="49"/>
    <w:autoRedefine/>
    <w:qFormat/>
    <w:uiPriority w:val="99"/>
    <w:rPr>
      <w:rFonts w:ascii="宋体" w:hAnsi="Courier New" w:eastAsiaTheme="minorEastAsia" w:cstheme="minorBidi"/>
      <w:szCs w:val="22"/>
    </w:rPr>
  </w:style>
  <w:style w:type="paragraph" w:styleId="14">
    <w:name w:val="Date"/>
    <w:basedOn w:val="1"/>
    <w:next w:val="1"/>
    <w:link w:val="56"/>
    <w:autoRedefine/>
    <w:qFormat/>
    <w:uiPriority w:val="0"/>
    <w:rPr>
      <w:rFonts w:ascii="Arial" w:hAnsi="Arial" w:eastAsia="宋体" w:cs="Arial"/>
      <w:b/>
      <w:sz w:val="28"/>
    </w:rPr>
  </w:style>
  <w:style w:type="paragraph" w:styleId="15">
    <w:name w:val="Balloon Text"/>
    <w:basedOn w:val="1"/>
    <w:link w:val="43"/>
    <w:autoRedefine/>
    <w:semiHidden/>
    <w:unhideWhenUsed/>
    <w:qFormat/>
    <w:uiPriority w:val="99"/>
    <w:rPr>
      <w:sz w:val="18"/>
      <w:szCs w:val="18"/>
    </w:rPr>
  </w:style>
  <w:style w:type="paragraph" w:styleId="16">
    <w:name w:val="footer"/>
    <w:basedOn w:val="1"/>
    <w:link w:val="48"/>
    <w:autoRedefine/>
    <w:unhideWhenUsed/>
    <w:qFormat/>
    <w:uiPriority w:val="99"/>
    <w:pPr>
      <w:tabs>
        <w:tab w:val="center" w:pos="4153"/>
        <w:tab w:val="right" w:pos="8306"/>
      </w:tabs>
      <w:snapToGrid w:val="0"/>
      <w:jc w:val="left"/>
    </w:pPr>
    <w:rPr>
      <w:sz w:val="18"/>
      <w:szCs w:val="18"/>
    </w:rPr>
  </w:style>
  <w:style w:type="paragraph" w:styleId="17">
    <w:name w:val="header"/>
    <w:basedOn w:val="1"/>
    <w:link w:val="47"/>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autoRedefine/>
    <w:unhideWhenUsed/>
    <w:qFormat/>
    <w:uiPriority w:val="39"/>
    <w:pPr>
      <w:widowControl/>
      <w:spacing w:after="100" w:line="276" w:lineRule="auto"/>
      <w:jc w:val="left"/>
    </w:pPr>
    <w:rPr>
      <w:rFonts w:asciiTheme="minorHAnsi" w:hAnsiTheme="minorHAnsi" w:eastAsiaTheme="minorEastAsia" w:cstheme="minorBidi"/>
      <w:kern w:val="0"/>
      <w:sz w:val="22"/>
      <w:szCs w:val="22"/>
    </w:rPr>
  </w:style>
  <w:style w:type="paragraph" w:styleId="19">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20">
    <w:name w:val="Body Text 2"/>
    <w:basedOn w:val="1"/>
    <w:unhideWhenUsed/>
    <w:qFormat/>
    <w:uiPriority w:val="99"/>
    <w:pPr>
      <w:spacing w:after="120" w:line="480" w:lineRule="auto"/>
    </w:pPr>
  </w:style>
  <w:style w:type="paragraph" w:styleId="21">
    <w:name w:val="Normal (Web)"/>
    <w:basedOn w:val="1"/>
    <w:next w:val="22"/>
    <w:autoRedefine/>
    <w:qFormat/>
    <w:uiPriority w:val="0"/>
    <w:pPr>
      <w:spacing w:before="100" w:beforeAutospacing="1" w:after="100" w:afterAutospacing="1"/>
      <w:jc w:val="left"/>
    </w:pPr>
    <w:rPr>
      <w:rFonts w:cs="Times New Roman"/>
      <w:kern w:val="0"/>
      <w:sz w:val="24"/>
    </w:rPr>
  </w:style>
  <w:style w:type="paragraph" w:customStyle="1" w:styleId="22">
    <w:name w:val="正文文字 8"/>
    <w:basedOn w:val="1"/>
    <w:next w:val="1"/>
    <w:qFormat/>
    <w:uiPriority w:val="0"/>
    <w:pPr>
      <w:ind w:left="240"/>
    </w:pPr>
    <w:rPr>
      <w:sz w:val="16"/>
    </w:rPr>
  </w:style>
  <w:style w:type="paragraph" w:styleId="23">
    <w:name w:val="index 1"/>
    <w:basedOn w:val="1"/>
    <w:next w:val="1"/>
    <w:autoRedefine/>
    <w:qFormat/>
    <w:uiPriority w:val="0"/>
    <w:pPr>
      <w:jc w:val="center"/>
    </w:pPr>
    <w:rPr>
      <w:rFonts w:ascii="Arial" w:hAnsi="Arial" w:eastAsia="Arial" w:cs="Arial"/>
      <w:b/>
      <w:bCs/>
      <w:sz w:val="28"/>
    </w:rPr>
  </w:style>
  <w:style w:type="paragraph" w:styleId="24">
    <w:name w:val="annotation subject"/>
    <w:basedOn w:val="8"/>
    <w:next w:val="8"/>
    <w:link w:val="70"/>
    <w:autoRedefine/>
    <w:semiHidden/>
    <w:unhideWhenUsed/>
    <w:qFormat/>
    <w:uiPriority w:val="99"/>
    <w:rPr>
      <w:rFonts w:ascii="@仿宋_GB2312" w:hAnsi="@仿宋_GB2312" w:eastAsia="@仿宋_GB2312" w:cs="@仿宋_GB2312"/>
      <w:b/>
      <w:bCs/>
    </w:rPr>
  </w:style>
  <w:style w:type="paragraph" w:styleId="25">
    <w:name w:val="Body Text First Indent"/>
    <w:basedOn w:val="9"/>
    <w:autoRedefine/>
    <w:unhideWhenUsed/>
    <w:qFormat/>
    <w:uiPriority w:val="99"/>
    <w:pPr>
      <w:ind w:firstLine="420" w:firstLineChars="100"/>
    </w:pPr>
  </w:style>
  <w:style w:type="paragraph" w:styleId="26">
    <w:name w:val="Body Text First Indent 2"/>
    <w:basedOn w:val="1"/>
    <w:semiHidden/>
    <w:unhideWhenUsed/>
    <w:qFormat/>
    <w:uiPriority w:val="99"/>
    <w:pPr>
      <w:spacing w:after="120"/>
      <w:ind w:left="420" w:leftChars="200" w:firstLine="420" w:firstLineChars="200"/>
    </w:pPr>
    <w:rPr>
      <w:rFonts w:ascii="Times New Roman" w:hAnsi="Times New Roman" w:cs="Times New Roman"/>
      <w:szCs w:val="21"/>
    </w:rPr>
  </w:style>
  <w:style w:type="table" w:styleId="28">
    <w:name w:val="Table Grid"/>
    <w:basedOn w:val="27"/>
    <w:autoRedefine/>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autoRedefine/>
    <w:qFormat/>
    <w:uiPriority w:val="0"/>
    <w:rPr>
      <w:b/>
      <w:bCs/>
    </w:rPr>
  </w:style>
  <w:style w:type="character" w:styleId="31">
    <w:name w:val="FollowedHyperlink"/>
    <w:basedOn w:val="29"/>
    <w:semiHidden/>
    <w:unhideWhenUsed/>
    <w:qFormat/>
    <w:uiPriority w:val="99"/>
    <w:rPr>
      <w:color w:val="014CCC"/>
      <w:u w:val="none"/>
    </w:rPr>
  </w:style>
  <w:style w:type="character" w:styleId="32">
    <w:name w:val="Emphasis"/>
    <w:basedOn w:val="29"/>
    <w:qFormat/>
    <w:uiPriority w:val="20"/>
    <w:rPr>
      <w:b/>
      <w:bCs/>
    </w:rPr>
  </w:style>
  <w:style w:type="character" w:styleId="33">
    <w:name w:val="HTML Definition"/>
    <w:basedOn w:val="29"/>
    <w:semiHidden/>
    <w:unhideWhenUsed/>
    <w:qFormat/>
    <w:uiPriority w:val="99"/>
    <w:rPr>
      <w:rFonts w:ascii="ActionIcon ! important" w:hAnsi="ActionIcon ! important" w:eastAsia="ActionIcon ! important" w:cs="ActionIcon ! important"/>
      <w:vanish/>
    </w:rPr>
  </w:style>
  <w:style w:type="character" w:styleId="34">
    <w:name w:val="HTML Typewriter"/>
    <w:basedOn w:val="29"/>
    <w:semiHidden/>
    <w:unhideWhenUsed/>
    <w:qFormat/>
    <w:uiPriority w:val="99"/>
    <w:rPr>
      <w:rFonts w:hint="default" w:ascii="monospace" w:hAnsi="monospace" w:eastAsia="monospace" w:cs="monospace"/>
      <w:sz w:val="20"/>
    </w:rPr>
  </w:style>
  <w:style w:type="character" w:styleId="35">
    <w:name w:val="HTML Acronym"/>
    <w:basedOn w:val="29"/>
    <w:semiHidden/>
    <w:unhideWhenUsed/>
    <w:qFormat/>
    <w:uiPriority w:val="99"/>
  </w:style>
  <w:style w:type="character" w:styleId="36">
    <w:name w:val="HTML Variable"/>
    <w:basedOn w:val="29"/>
    <w:semiHidden/>
    <w:unhideWhenUsed/>
    <w:qFormat/>
    <w:uiPriority w:val="99"/>
  </w:style>
  <w:style w:type="character" w:styleId="37">
    <w:name w:val="Hyperlink"/>
    <w:basedOn w:val="29"/>
    <w:autoRedefine/>
    <w:unhideWhenUsed/>
    <w:qFormat/>
    <w:uiPriority w:val="99"/>
    <w:rPr>
      <w:color w:val="0000FF" w:themeColor="hyperlink"/>
      <w:u w:val="single"/>
      <w14:textFill>
        <w14:solidFill>
          <w14:schemeClr w14:val="hlink"/>
        </w14:solidFill>
      </w14:textFill>
    </w:rPr>
  </w:style>
  <w:style w:type="character" w:styleId="38">
    <w:name w:val="HTML Code"/>
    <w:basedOn w:val="29"/>
    <w:semiHidden/>
    <w:unhideWhenUsed/>
    <w:qFormat/>
    <w:uiPriority w:val="99"/>
    <w:rPr>
      <w:rFonts w:ascii="monospace" w:hAnsi="monospace" w:eastAsia="monospace" w:cs="monospace"/>
      <w:color w:val="D6D6D6"/>
      <w:sz w:val="20"/>
    </w:rPr>
  </w:style>
  <w:style w:type="character" w:styleId="39">
    <w:name w:val="annotation reference"/>
    <w:basedOn w:val="29"/>
    <w:autoRedefine/>
    <w:semiHidden/>
    <w:unhideWhenUsed/>
    <w:qFormat/>
    <w:uiPriority w:val="99"/>
    <w:rPr>
      <w:sz w:val="21"/>
      <w:szCs w:val="21"/>
    </w:rPr>
  </w:style>
  <w:style w:type="character" w:styleId="40">
    <w:name w:val="HTML Cite"/>
    <w:basedOn w:val="29"/>
    <w:semiHidden/>
    <w:unhideWhenUsed/>
    <w:qFormat/>
    <w:uiPriority w:val="99"/>
  </w:style>
  <w:style w:type="character" w:styleId="41">
    <w:name w:val="HTML Keyboard"/>
    <w:basedOn w:val="29"/>
    <w:semiHidden/>
    <w:unhideWhenUsed/>
    <w:qFormat/>
    <w:uiPriority w:val="99"/>
    <w:rPr>
      <w:rFonts w:hint="default" w:ascii="monospace" w:hAnsi="monospace" w:eastAsia="monospace" w:cs="monospace"/>
      <w:color w:val="D6D6D6"/>
      <w:sz w:val="20"/>
    </w:rPr>
  </w:style>
  <w:style w:type="character" w:styleId="42">
    <w:name w:val="HTML Sample"/>
    <w:basedOn w:val="29"/>
    <w:semiHidden/>
    <w:unhideWhenUsed/>
    <w:qFormat/>
    <w:uiPriority w:val="99"/>
    <w:rPr>
      <w:rFonts w:hint="default" w:ascii="monospace" w:hAnsi="monospace" w:eastAsia="monospace" w:cs="monospace"/>
    </w:rPr>
  </w:style>
  <w:style w:type="character" w:customStyle="1" w:styleId="43">
    <w:name w:val="批注框文本 字符"/>
    <w:basedOn w:val="29"/>
    <w:link w:val="15"/>
    <w:autoRedefine/>
    <w:semiHidden/>
    <w:qFormat/>
    <w:uiPriority w:val="99"/>
    <w:rPr>
      <w:rFonts w:ascii="@仿宋_GB2312" w:hAnsi="@仿宋_GB2312" w:eastAsia="@仿宋_GB2312" w:cs="@仿宋_GB2312"/>
      <w:sz w:val="18"/>
      <w:szCs w:val="18"/>
    </w:rPr>
  </w:style>
  <w:style w:type="paragraph" w:customStyle="1" w:styleId="44">
    <w:name w:val="正文（缩进）"/>
    <w:basedOn w:val="1"/>
    <w:autoRedefine/>
    <w:qFormat/>
    <w:uiPriority w:val="0"/>
    <w:pPr>
      <w:widowControl/>
      <w:spacing w:before="156" w:after="156"/>
      <w:ind w:firstLine="480" w:firstLineChars="200"/>
      <w:jc w:val="left"/>
    </w:pPr>
    <w:rPr>
      <w:kern w:val="0"/>
      <w:sz w:val="24"/>
      <w:szCs w:val="24"/>
    </w:rPr>
  </w:style>
  <w:style w:type="paragraph" w:customStyle="1" w:styleId="45">
    <w:name w:val="xl31"/>
    <w:basedOn w:val="1"/>
    <w:autoRedefine/>
    <w:qFormat/>
    <w:uiPriority w:val="0"/>
    <w:pPr>
      <w:widowControl/>
      <w:spacing w:before="100" w:beforeAutospacing="1" w:after="100" w:afterAutospacing="1"/>
      <w:jc w:val="center"/>
    </w:pPr>
    <w:rPr>
      <w:b/>
      <w:bCs/>
      <w:kern w:val="0"/>
      <w:sz w:val="28"/>
      <w:szCs w:val="28"/>
    </w:rPr>
  </w:style>
  <w:style w:type="paragraph" w:customStyle="1" w:styleId="46">
    <w:name w:val="D&amp;L"/>
    <w:basedOn w:val="17"/>
    <w:autoRedefine/>
    <w:qFormat/>
    <w:uiPriority w:val="0"/>
    <w:pPr>
      <w:pBdr>
        <w:bottom w:val="thinThickSmallGap" w:color="auto" w:sz="18" w:space="1"/>
      </w:pBdr>
      <w:adjustRightInd w:val="0"/>
      <w:snapToGrid/>
      <w:spacing w:line="240" w:lineRule="atLeast"/>
      <w:textAlignment w:val="baseline"/>
    </w:pPr>
    <w:rPr>
      <w:kern w:val="0"/>
      <w:sz w:val="24"/>
      <w:szCs w:val="20"/>
    </w:rPr>
  </w:style>
  <w:style w:type="character" w:customStyle="1" w:styleId="47">
    <w:name w:val="页眉 字符"/>
    <w:basedOn w:val="29"/>
    <w:link w:val="17"/>
    <w:autoRedefine/>
    <w:qFormat/>
    <w:uiPriority w:val="99"/>
    <w:rPr>
      <w:rFonts w:ascii="@仿宋_GB2312" w:hAnsi="@仿宋_GB2312" w:eastAsia="@仿宋_GB2312" w:cs="@仿宋_GB2312"/>
      <w:sz w:val="18"/>
      <w:szCs w:val="18"/>
    </w:rPr>
  </w:style>
  <w:style w:type="character" w:customStyle="1" w:styleId="48">
    <w:name w:val="页脚 字符"/>
    <w:basedOn w:val="29"/>
    <w:link w:val="16"/>
    <w:autoRedefine/>
    <w:qFormat/>
    <w:uiPriority w:val="99"/>
    <w:rPr>
      <w:rFonts w:ascii="@仿宋_GB2312" w:hAnsi="@仿宋_GB2312" w:eastAsia="@仿宋_GB2312" w:cs="@仿宋_GB2312"/>
      <w:sz w:val="18"/>
      <w:szCs w:val="18"/>
    </w:rPr>
  </w:style>
  <w:style w:type="character" w:customStyle="1" w:styleId="49">
    <w:name w:val="纯文本 字符"/>
    <w:link w:val="13"/>
    <w:autoRedefine/>
    <w:qFormat/>
    <w:uiPriority w:val="0"/>
    <w:rPr>
      <w:rFonts w:ascii="宋体" w:hAnsi="Courier New"/>
    </w:rPr>
  </w:style>
  <w:style w:type="character" w:customStyle="1" w:styleId="50">
    <w:name w:val="纯文本 字符1"/>
    <w:basedOn w:val="29"/>
    <w:autoRedefine/>
    <w:semiHidden/>
    <w:qFormat/>
    <w:uiPriority w:val="99"/>
    <w:rPr>
      <w:rFonts w:hAnsi="Courier New" w:cs="Courier New" w:asciiTheme="minorEastAsia"/>
      <w:szCs w:val="20"/>
    </w:rPr>
  </w:style>
  <w:style w:type="character" w:customStyle="1" w:styleId="51">
    <w:name w:val="未处理的提及1"/>
    <w:basedOn w:val="29"/>
    <w:autoRedefine/>
    <w:semiHidden/>
    <w:unhideWhenUsed/>
    <w:qFormat/>
    <w:uiPriority w:val="99"/>
    <w:rPr>
      <w:color w:val="605E5C"/>
      <w:shd w:val="clear" w:color="auto" w:fill="E1DFDD"/>
    </w:rPr>
  </w:style>
  <w:style w:type="paragraph" w:styleId="52">
    <w:name w:val="List Paragraph"/>
    <w:basedOn w:val="1"/>
    <w:autoRedefine/>
    <w:qFormat/>
    <w:uiPriority w:val="34"/>
    <w:pPr>
      <w:ind w:firstLine="420" w:firstLineChars="200"/>
    </w:pPr>
  </w:style>
  <w:style w:type="paragraph" w:customStyle="1" w:styleId="53">
    <w:name w:val="Char Char Char Char Char Char Char1 Char"/>
    <w:basedOn w:val="1"/>
    <w:autoRedefine/>
    <w:qFormat/>
    <w:uiPriority w:val="0"/>
    <w:rPr>
      <w:rFonts w:ascii="Arial" w:hAnsi="Arial" w:eastAsia="宋体" w:cs="Arial"/>
      <w:sz w:val="24"/>
    </w:rPr>
  </w:style>
  <w:style w:type="table" w:customStyle="1" w:styleId="54">
    <w:name w:val="网格表 1 浅色1"/>
    <w:basedOn w:val="27"/>
    <w:autoRedefine/>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55">
    <w:name w:val="日期 字符"/>
    <w:basedOn w:val="29"/>
    <w:autoRedefine/>
    <w:semiHidden/>
    <w:qFormat/>
    <w:uiPriority w:val="99"/>
    <w:rPr>
      <w:rFonts w:ascii="@仿宋_GB2312" w:hAnsi="@仿宋_GB2312" w:eastAsia="@仿宋_GB2312" w:cs="@仿宋_GB2312"/>
      <w:szCs w:val="20"/>
    </w:rPr>
  </w:style>
  <w:style w:type="character" w:customStyle="1" w:styleId="56">
    <w:name w:val="日期 字符1"/>
    <w:link w:val="14"/>
    <w:autoRedefine/>
    <w:qFormat/>
    <w:uiPriority w:val="0"/>
    <w:rPr>
      <w:rFonts w:ascii="Arial" w:hAnsi="Arial" w:eastAsia="宋体" w:cs="Arial"/>
      <w:b/>
      <w:sz w:val="28"/>
      <w:szCs w:val="20"/>
    </w:rPr>
  </w:style>
  <w:style w:type="character" w:customStyle="1" w:styleId="57">
    <w:name w:val="纯文本 Char1"/>
    <w:autoRedefine/>
    <w:qFormat/>
    <w:locked/>
    <w:uiPriority w:val="99"/>
    <w:rPr>
      <w:rFonts w:ascii="Arial" w:hAnsi="Arial" w:eastAsia="Arial"/>
      <w:kern w:val="2"/>
      <w:sz w:val="21"/>
      <w:lang w:val="en-US" w:eastAsia="zh-CN" w:bidi="ar-SA"/>
    </w:rPr>
  </w:style>
  <w:style w:type="character" w:customStyle="1" w:styleId="58">
    <w:name w:val="批注文字 Char"/>
    <w:basedOn w:val="29"/>
    <w:autoRedefine/>
    <w:semiHidden/>
    <w:qFormat/>
    <w:uiPriority w:val="99"/>
    <w:rPr>
      <w:rFonts w:ascii="@仿宋_GB2312" w:hAnsi="@仿宋_GB2312" w:eastAsia="@仿宋_GB2312" w:cs="@仿宋_GB2312"/>
      <w:szCs w:val="20"/>
    </w:rPr>
  </w:style>
  <w:style w:type="character" w:customStyle="1" w:styleId="59">
    <w:name w:val="批注文字 字符"/>
    <w:link w:val="8"/>
    <w:autoRedefine/>
    <w:qFormat/>
    <w:uiPriority w:val="0"/>
    <w:rPr>
      <w:rFonts w:ascii="Arial" w:hAnsi="Arial" w:eastAsia="黑体" w:cs="Arial"/>
      <w:szCs w:val="20"/>
    </w:rPr>
  </w:style>
  <w:style w:type="character" w:customStyle="1" w:styleId="60">
    <w:name w:val="标题 1 字符"/>
    <w:basedOn w:val="29"/>
    <w:link w:val="3"/>
    <w:autoRedefine/>
    <w:qFormat/>
    <w:uiPriority w:val="9"/>
    <w:rPr>
      <w:rFonts w:ascii="@仿宋_GB2312" w:hAnsi="@仿宋_GB2312" w:eastAsia="@仿宋_GB2312" w:cs="@仿宋_GB2312"/>
      <w:b/>
      <w:bCs/>
      <w:kern w:val="44"/>
      <w:sz w:val="44"/>
      <w:szCs w:val="44"/>
    </w:rPr>
  </w:style>
  <w:style w:type="paragraph" w:customStyle="1" w:styleId="61">
    <w:name w:val="TOC 标题1"/>
    <w:basedOn w:val="3"/>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62">
    <w:name w:val="标题 3 字符"/>
    <w:basedOn w:val="29"/>
    <w:link w:val="4"/>
    <w:autoRedefine/>
    <w:semiHidden/>
    <w:qFormat/>
    <w:uiPriority w:val="9"/>
    <w:rPr>
      <w:rFonts w:ascii="@仿宋_GB2312" w:hAnsi="@仿宋_GB2312" w:eastAsia="@仿宋_GB2312" w:cs="@仿宋_GB2312"/>
      <w:b/>
      <w:bCs/>
      <w:sz w:val="32"/>
      <w:szCs w:val="32"/>
    </w:rPr>
  </w:style>
  <w:style w:type="character" w:customStyle="1" w:styleId="63">
    <w:name w:val="fontstyle01"/>
    <w:basedOn w:val="29"/>
    <w:autoRedefine/>
    <w:qFormat/>
    <w:uiPriority w:val="0"/>
    <w:rPr>
      <w:rFonts w:hint="eastAsia" w:ascii="宋体" w:hAnsi="宋体" w:eastAsia="宋体"/>
      <w:color w:val="000000"/>
      <w:sz w:val="22"/>
      <w:szCs w:val="22"/>
    </w:rPr>
  </w:style>
  <w:style w:type="character" w:customStyle="1" w:styleId="64">
    <w:name w:val="fontstyle21"/>
    <w:basedOn w:val="29"/>
    <w:autoRedefine/>
    <w:qFormat/>
    <w:uiPriority w:val="0"/>
    <w:rPr>
      <w:rFonts w:hint="default" w:ascii="TimesNewRomanPSMT" w:hAnsi="TimesNewRomanPSMT"/>
      <w:color w:val="000000"/>
      <w:sz w:val="22"/>
      <w:szCs w:val="22"/>
    </w:rPr>
  </w:style>
  <w:style w:type="character" w:customStyle="1" w:styleId="65">
    <w:name w:val="正文文本 (2) + Sylfaen2"/>
    <w:autoRedefine/>
    <w:qFormat/>
    <w:uiPriority w:val="99"/>
    <w:rPr>
      <w:rFonts w:ascii="Sylfaen" w:hAnsi="Sylfaen" w:eastAsia="MingLiU" w:cs="Sylfaen"/>
      <w:spacing w:val="0"/>
      <w:sz w:val="23"/>
      <w:szCs w:val="23"/>
      <w:shd w:val="clear" w:color="auto" w:fill="FFFFFF"/>
      <w:lang w:val="en-US" w:eastAsia="en-US"/>
    </w:rPr>
  </w:style>
  <w:style w:type="character" w:customStyle="1" w:styleId="66">
    <w:name w:val="标题 4 字符"/>
    <w:basedOn w:val="29"/>
    <w:autoRedefine/>
    <w:semiHidden/>
    <w:qFormat/>
    <w:uiPriority w:val="9"/>
    <w:rPr>
      <w:rFonts w:asciiTheme="majorHAnsi" w:hAnsiTheme="majorHAnsi" w:eastAsiaTheme="majorEastAsia" w:cstheme="majorBidi"/>
      <w:b/>
      <w:bCs/>
      <w:sz w:val="28"/>
      <w:szCs w:val="28"/>
    </w:rPr>
  </w:style>
  <w:style w:type="character" w:customStyle="1" w:styleId="67">
    <w:name w:val="标题 4 字符1"/>
    <w:link w:val="5"/>
    <w:autoRedefine/>
    <w:qFormat/>
    <w:uiPriority w:val="0"/>
    <w:rPr>
      <w:rFonts w:ascii="@仿宋_GB2312" w:hAnsi="@仿宋_GB2312" w:eastAsia="@仿宋_GB2312" w:cs="@仿宋_GB2312"/>
      <w:b/>
      <w:bCs/>
      <w:sz w:val="28"/>
      <w:szCs w:val="28"/>
    </w:rPr>
  </w:style>
  <w:style w:type="character" w:customStyle="1" w:styleId="68">
    <w:name w:val="标题 4 Char"/>
    <w:autoRedefine/>
    <w:qFormat/>
    <w:uiPriority w:val="0"/>
    <w:rPr>
      <w:rFonts w:ascii="Arial" w:hAnsi="Arial" w:eastAsia="Arial"/>
      <w:b/>
      <w:bCs/>
      <w:kern w:val="2"/>
      <w:sz w:val="28"/>
      <w:szCs w:val="28"/>
      <w:lang w:val="en-US" w:eastAsia="zh-CN" w:bidi="ar-SA"/>
    </w:rPr>
  </w:style>
  <w:style w:type="table" w:customStyle="1" w:styleId="69">
    <w:name w:val="网格型1"/>
    <w:basedOn w:val="2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0">
    <w:name w:val="批注主题 字符"/>
    <w:basedOn w:val="59"/>
    <w:link w:val="24"/>
    <w:autoRedefine/>
    <w:semiHidden/>
    <w:qFormat/>
    <w:uiPriority w:val="99"/>
    <w:rPr>
      <w:rFonts w:ascii="@仿宋_GB2312" w:hAnsi="@仿宋_GB2312" w:eastAsia="@仿宋_GB2312" w:cs="@仿宋_GB2312"/>
      <w:b/>
      <w:bCs/>
      <w:szCs w:val="20"/>
    </w:rPr>
  </w:style>
  <w:style w:type="table" w:customStyle="1" w:styleId="71">
    <w:name w:val="Table Normal"/>
    <w:basedOn w:val="27"/>
    <w:autoRedefine/>
    <w:semiHidden/>
    <w:unhideWhenUsed/>
    <w:qFormat/>
    <w:uiPriority w:val="0"/>
    <w:tblPr>
      <w:tblCellMar>
        <w:left w:w="0" w:type="dxa"/>
        <w:right w:w="0" w:type="dxa"/>
      </w:tblCellMar>
    </w:tblPr>
  </w:style>
  <w:style w:type="paragraph" w:customStyle="1" w:styleId="72">
    <w:name w:val="Table Text"/>
    <w:basedOn w:val="1"/>
    <w:autoRedefine/>
    <w:semiHidden/>
    <w:qFormat/>
    <w:uiPriority w:val="0"/>
    <w:rPr>
      <w:rFonts w:ascii="Arial" w:hAnsi="Arial" w:eastAsia="Arial" w:cs="Arial"/>
      <w:szCs w:val="21"/>
      <w:lang w:eastAsia="en-US"/>
    </w:rPr>
  </w:style>
  <w:style w:type="paragraph" w:customStyle="1" w:styleId="73">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74">
    <w:name w:val="列出段落1"/>
    <w:basedOn w:val="1"/>
    <w:autoRedefine/>
    <w:qFormat/>
    <w:uiPriority w:val="0"/>
    <w:pPr>
      <w:ind w:firstLine="420" w:firstLineChars="200"/>
    </w:pPr>
    <w:rPr>
      <w:szCs w:val="21"/>
    </w:rPr>
  </w:style>
  <w:style w:type="character" w:customStyle="1" w:styleId="75">
    <w:name w:val="17"/>
    <w:basedOn w:val="29"/>
    <w:autoRedefine/>
    <w:qFormat/>
    <w:uiPriority w:val="0"/>
    <w:rPr>
      <w:rFonts w:hint="eastAsia" w:ascii="宋体" w:hAnsi="宋体" w:eastAsia="宋体" w:cs="宋体"/>
      <w:color w:val="000000"/>
      <w:sz w:val="18"/>
      <w:szCs w:val="18"/>
    </w:rPr>
  </w:style>
  <w:style w:type="character" w:customStyle="1" w:styleId="76">
    <w:name w:val="16"/>
    <w:basedOn w:val="29"/>
    <w:autoRedefine/>
    <w:qFormat/>
    <w:uiPriority w:val="0"/>
    <w:rPr>
      <w:rFonts w:hint="eastAsia" w:ascii="宋体" w:hAnsi="宋体" w:eastAsia="宋体" w:cs="宋体"/>
      <w:b/>
      <w:color w:val="000000"/>
      <w:sz w:val="18"/>
      <w:szCs w:val="18"/>
    </w:rPr>
  </w:style>
  <w:style w:type="character" w:customStyle="1" w:styleId="77">
    <w:name w:val="15"/>
    <w:basedOn w:val="29"/>
    <w:autoRedefine/>
    <w:qFormat/>
    <w:uiPriority w:val="0"/>
    <w:rPr>
      <w:rFonts w:hint="eastAsia" w:ascii="宋体" w:hAnsi="宋体" w:eastAsia="宋体" w:cs="宋体"/>
      <w:color w:val="FF0000"/>
      <w:sz w:val="18"/>
      <w:szCs w:val="18"/>
    </w:rPr>
  </w:style>
  <w:style w:type="character" w:customStyle="1" w:styleId="78">
    <w:name w:val="font11"/>
    <w:basedOn w:val="29"/>
    <w:autoRedefine/>
    <w:qFormat/>
    <w:uiPriority w:val="0"/>
    <w:rPr>
      <w:rFonts w:hint="eastAsia" w:ascii="宋体" w:hAnsi="宋体" w:eastAsia="宋体" w:cs="宋体"/>
      <w:color w:val="000000"/>
      <w:sz w:val="28"/>
      <w:szCs w:val="28"/>
      <w:u w:val="none"/>
    </w:rPr>
  </w:style>
  <w:style w:type="character" w:customStyle="1" w:styleId="79">
    <w:name w:val="font21"/>
    <w:basedOn w:val="29"/>
    <w:autoRedefine/>
    <w:qFormat/>
    <w:uiPriority w:val="0"/>
    <w:rPr>
      <w:rFonts w:hint="eastAsia" w:ascii="宋体" w:hAnsi="宋体" w:eastAsia="宋体" w:cs="宋体"/>
      <w:color w:val="000000"/>
      <w:sz w:val="28"/>
      <w:szCs w:val="28"/>
      <w:u w:val="none"/>
    </w:rPr>
  </w:style>
  <w:style w:type="character" w:customStyle="1" w:styleId="80">
    <w:name w:val="font31"/>
    <w:basedOn w:val="29"/>
    <w:autoRedefine/>
    <w:qFormat/>
    <w:uiPriority w:val="0"/>
    <w:rPr>
      <w:rFonts w:hint="eastAsia" w:ascii="宋体" w:hAnsi="宋体" w:eastAsia="宋体" w:cs="宋体"/>
      <w:color w:val="FF0000"/>
      <w:sz w:val="28"/>
      <w:szCs w:val="28"/>
      <w:u w:val="none"/>
    </w:rPr>
  </w:style>
  <w:style w:type="character" w:customStyle="1" w:styleId="81">
    <w:name w:val="hover"/>
    <w:basedOn w:val="29"/>
    <w:qFormat/>
    <w:uiPriority w:val="0"/>
    <w:rPr>
      <w:color w:val="2590EB"/>
    </w:rPr>
  </w:style>
  <w:style w:type="character" w:customStyle="1" w:styleId="82">
    <w:name w:val="hover1"/>
    <w:basedOn w:val="29"/>
    <w:qFormat/>
    <w:uiPriority w:val="0"/>
    <w:rPr>
      <w:color w:val="2590EB"/>
      <w:shd w:val="clear" w:color="auto" w:fill="E9F4FD"/>
    </w:rPr>
  </w:style>
  <w:style w:type="character" w:customStyle="1" w:styleId="83">
    <w:name w:val="hover2"/>
    <w:basedOn w:val="29"/>
    <w:qFormat/>
    <w:uiPriority w:val="0"/>
    <w:rPr>
      <w:color w:val="2590EB"/>
    </w:rPr>
  </w:style>
  <w:style w:type="character" w:customStyle="1" w:styleId="84">
    <w:name w:val="hover3"/>
    <w:basedOn w:val="29"/>
    <w:qFormat/>
    <w:uiPriority w:val="0"/>
  </w:style>
  <w:style w:type="character" w:customStyle="1" w:styleId="85">
    <w:name w:val="hover4"/>
    <w:basedOn w:val="29"/>
    <w:qFormat/>
    <w:uiPriority w:val="0"/>
    <w:rPr>
      <w:color w:val="2590EB"/>
      <w:shd w:val="clear" w:color="auto" w:fill="E9F4FD"/>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7" Type="http://schemas.openxmlformats.org/officeDocument/2006/relationships/fontTable" Target="fontTable.xml"/><Relationship Id="rId56" Type="http://schemas.openxmlformats.org/officeDocument/2006/relationships/customXml" Target="../customXml/item2.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46.jpeg"/><Relationship Id="rId52" Type="http://schemas.openxmlformats.org/officeDocument/2006/relationships/image" Target="media/image45.jpeg"/><Relationship Id="rId51" Type="http://schemas.openxmlformats.org/officeDocument/2006/relationships/image" Target="media/image44.jpeg"/><Relationship Id="rId50" Type="http://schemas.openxmlformats.org/officeDocument/2006/relationships/image" Target="media/image43.jpeg"/><Relationship Id="rId5" Type="http://schemas.openxmlformats.org/officeDocument/2006/relationships/header" Target="header2.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9AC3C6-84CB-4D2E-AFC0-C8AD46F7C0BA}">
  <ds:schemaRefs/>
</ds:datastoreItem>
</file>

<file path=docProps/app.xml><?xml version="1.0" encoding="utf-8"?>
<Properties xmlns="http://schemas.openxmlformats.org/officeDocument/2006/extended-properties" xmlns:vt="http://schemas.openxmlformats.org/officeDocument/2006/docPropsVTypes">
  <Template>Normal</Template>
  <Company>akoosky</Company>
  <Pages>105</Pages>
  <Words>2782</Words>
  <Characters>3179</Characters>
  <Lines>31988</Lines>
  <Paragraphs>6467</Paragraphs>
  <TotalTime>13</TotalTime>
  <ScaleCrop>false</ScaleCrop>
  <LinksUpToDate>false</LinksUpToDate>
  <CharactersWithSpaces>3295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2025-07-28T07:33:00Z</dcterms:created>
  <dc:creator>Anakin</dc:creator>
  <cp:lastModifiedBy>这不科学</cp:lastModifiedBy>
  <cp:lastPrinted>2019-12-07T15:18:00Z</cp:lastPrinted>
  <dcterms:modified xsi:type="dcterms:W3CDTF">2025-08-06T05:26:07Z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1ECEA165F94845FFAF35C1C96E4FB9B0_12</vt:lpwstr>
  </property>
  <property fmtid="{D5CDD505-2E9C-101B-9397-08002B2CF9AE}" pid="4" name="KSOTemplateDocerSaveRecord">
    <vt:lpwstr>eyJoZGlkIjoiZmI5ZDY5ZDNjMmE2ZDcxYTFkMDY0Zjg5Mjg3YTE0YTgiLCJ1c2VySWQiOiI1MDM3MjkwOTMifQ==</vt:lpwstr>
  </property>
</Properties>
</file>