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7F8C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 xml:space="preserve"> </w:t>
      </w:r>
    </w:p>
    <w:p w14:paraId="1D90944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4E9576C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安徽省政府采购项目</w:t>
      </w:r>
    </w:p>
    <w:p w14:paraId="56F9B9D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（货物类）</w:t>
      </w:r>
    </w:p>
    <w:p w14:paraId="455AF38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（2026年版）</w:t>
      </w:r>
    </w:p>
    <w:p w14:paraId="4D3E338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64B8A9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lang w:val="en-US" w:eastAsia="zh-CN"/>
        </w:rPr>
      </w:pPr>
    </w:p>
    <w:p w14:paraId="7B0FFCA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F5C3E94">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0D97854">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1E9E9B6">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滁州市琅琊区应急通讯视频终端采购项目（</w:t>
      </w:r>
      <w:r>
        <w:rPr>
          <w:rFonts w:hint="eastAsia" w:ascii="宋体" w:hAnsi="宋体" w:eastAsia="宋体"/>
          <w:b/>
          <w:color w:val="auto"/>
          <w:spacing w:val="20"/>
          <w:kern w:val="0"/>
          <w:sz w:val="32"/>
          <w:szCs w:val="32"/>
          <w:highlight w:val="none"/>
          <w:u w:val="single"/>
          <w:lang w:val="en-US" w:eastAsia="zh-CN"/>
        </w:rPr>
        <w:t>二次）</w:t>
      </w:r>
    </w:p>
    <w:p w14:paraId="75B7B19F">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lang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 xml:space="preserve"> </w:t>
      </w:r>
      <w:r>
        <w:rPr>
          <w:rFonts w:hint="eastAsia" w:ascii="宋体" w:hAnsi="宋体" w:eastAsia="宋体"/>
          <w:b/>
          <w:color w:val="auto"/>
          <w:spacing w:val="20"/>
          <w:kern w:val="0"/>
          <w:sz w:val="32"/>
          <w:szCs w:val="32"/>
          <w:highlight w:val="none"/>
          <w:u w:val="single"/>
          <w:lang w:val="en-US" w:eastAsia="zh-CN"/>
        </w:rPr>
        <w:t xml:space="preserve">  czlycg202609-001 </w:t>
      </w:r>
    </w:p>
    <w:p w14:paraId="2326298C">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 xml:space="preserve">  </w:t>
      </w:r>
      <w:r>
        <w:rPr>
          <w:rFonts w:hint="eastAsia" w:ascii="宋体" w:hAnsi="宋体" w:eastAsia="宋体"/>
          <w:b/>
          <w:color w:val="auto"/>
          <w:spacing w:val="20"/>
          <w:kern w:val="0"/>
          <w:sz w:val="32"/>
          <w:szCs w:val="32"/>
          <w:highlight w:val="none"/>
          <w:u w:val="single"/>
          <w:lang w:val="en-US" w:eastAsia="zh-CN"/>
        </w:rPr>
        <w:t xml:space="preserve">  </w:t>
      </w:r>
      <w:r>
        <w:rPr>
          <w:rFonts w:hint="eastAsia" w:ascii="宋体" w:hAnsi="宋体" w:eastAsia="宋体"/>
          <w:b/>
          <w:color w:val="auto"/>
          <w:spacing w:val="20"/>
          <w:kern w:val="0"/>
          <w:sz w:val="32"/>
          <w:szCs w:val="32"/>
          <w:highlight w:val="none"/>
          <w:u w:val="single"/>
          <w:lang w:eastAsia="zh-CN"/>
        </w:rPr>
        <w:t>滁州市琅琊区应急管理局</w:t>
      </w:r>
      <w:r>
        <w:rPr>
          <w:rFonts w:hint="eastAsia" w:ascii="宋体" w:hAnsi="宋体" w:eastAsia="宋体"/>
          <w:b/>
          <w:color w:val="auto"/>
          <w:spacing w:val="20"/>
          <w:kern w:val="0"/>
          <w:sz w:val="32"/>
          <w:szCs w:val="32"/>
          <w:highlight w:val="none"/>
          <w:u w:val="single"/>
        </w:rPr>
        <w:t xml:space="preserve"> </w:t>
      </w:r>
      <w:r>
        <w:rPr>
          <w:rFonts w:hint="eastAsia" w:ascii="宋体" w:hAnsi="宋体" w:eastAsia="宋体"/>
          <w:b/>
          <w:color w:val="auto"/>
          <w:spacing w:val="20"/>
          <w:kern w:val="0"/>
          <w:sz w:val="32"/>
          <w:szCs w:val="32"/>
          <w:highlight w:val="none"/>
          <w:u w:val="single"/>
          <w:lang w:val="en-US" w:eastAsia="zh-CN"/>
        </w:rPr>
        <w:t xml:space="preserve">      </w:t>
      </w:r>
    </w:p>
    <w:p w14:paraId="0A1496A3">
      <w:pPr>
        <w:tabs>
          <w:tab w:val="left" w:pos="2410"/>
          <w:tab w:val="left" w:pos="8620"/>
        </w:tabs>
        <w:autoSpaceDE w:val="0"/>
        <w:autoSpaceDN w:val="0"/>
        <w:adjustRightInd w:val="0"/>
        <w:snapToGrid w:val="0"/>
        <w:spacing w:line="360" w:lineRule="auto"/>
        <w:ind w:right="-313" w:rightChars="-149" w:firstLine="723" w:firstLineChars="200"/>
        <w:rPr>
          <w:rFonts w:hint="eastAsia" w:ascii="宋体" w:hAnsi="宋体" w:eastAsia="宋体"/>
          <w:b/>
          <w:color w:val="auto"/>
          <w:spacing w:val="20"/>
          <w:kern w:val="0"/>
          <w:sz w:val="32"/>
          <w:szCs w:val="32"/>
          <w:highlight w:val="none"/>
          <w:lang w:eastAsia="zh-CN"/>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eastAsia="zh-CN"/>
        </w:rPr>
        <w:t>滁州市城投工程咨询管理有限公司</w:t>
      </w:r>
    </w:p>
    <w:p w14:paraId="52E3963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006EC97">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 xml:space="preserve">9 </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24AF1534">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6BCD3625">
      <w:pPr>
        <w:pStyle w:val="20"/>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asciiTheme="minorEastAsia" w:hAnsiTheme="minorEastAsia"/>
          <w:color w:val="auto"/>
          <w:highlight w:val="none"/>
        </w:rPr>
        <w:t xml:space="preserve">第一章 </w:t>
      </w:r>
      <w:r>
        <w:rPr>
          <w:rFonts w:asciiTheme="minorEastAsia" w:hAnsiTheme="minorEastAsia"/>
          <w:color w:val="auto"/>
          <w:highlight w:val="none"/>
        </w:rPr>
        <w:t xml:space="preserve"> 投标邀请</w:t>
      </w:r>
      <w:r>
        <w:rPr>
          <w:color w:val="auto"/>
          <w:highlight w:val="none"/>
        </w:rPr>
        <w:tab/>
      </w:r>
      <w:r>
        <w:rPr>
          <w:rFonts w:hint="eastAsia"/>
          <w:color w:val="auto"/>
          <w:highlight w:val="none"/>
        </w:rPr>
        <w:t>3</w:t>
      </w:r>
      <w:r>
        <w:rPr>
          <w:rFonts w:hint="eastAsia"/>
          <w:color w:val="auto"/>
          <w:highlight w:val="none"/>
        </w:rPr>
        <w:fldChar w:fldCharType="end"/>
      </w:r>
    </w:p>
    <w:p w14:paraId="3AA31125">
      <w:pPr>
        <w:pStyle w:val="20"/>
        <w:tabs>
          <w:tab w:val="right" w:leader="dot" w:pos="8306"/>
        </w:tabs>
        <w:rPr>
          <w:color w:val="auto"/>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asciiTheme="minorEastAsia" w:hAnsiTheme="minorEastAsia"/>
          <w:color w:val="auto"/>
          <w:highlight w:val="none"/>
        </w:rPr>
        <w:t>第二章</w:t>
      </w:r>
      <w:r>
        <w:rPr>
          <w:rFonts w:asciiTheme="minorEastAsia" w:hAnsiTheme="minorEastAsia"/>
          <w:color w:val="auto"/>
          <w:highlight w:val="none"/>
        </w:rPr>
        <w:t xml:space="preserve"> </w:t>
      </w:r>
      <w:r>
        <w:rPr>
          <w:rFonts w:hint="eastAsia" w:asciiTheme="minorEastAsia" w:hAnsiTheme="minorEastAsia"/>
          <w:color w:val="auto"/>
          <w:highlight w:val="none"/>
        </w:rPr>
        <w:t xml:space="preserve"> </w:t>
      </w:r>
      <w:r>
        <w:rPr>
          <w:rFonts w:asciiTheme="minorEastAsia" w:hAnsiTheme="minorEastAsia"/>
          <w:color w:val="auto"/>
          <w:highlight w:val="none"/>
        </w:rPr>
        <w:t>投标人须知</w:t>
      </w:r>
      <w:r>
        <w:rPr>
          <w:color w:val="auto"/>
          <w:highlight w:val="none"/>
        </w:rPr>
        <w:tab/>
      </w:r>
      <w:r>
        <w:rPr>
          <w:rFonts w:hint="eastAsia"/>
          <w:color w:val="auto"/>
          <w:highlight w:val="none"/>
        </w:rPr>
        <w:t>7</w:t>
      </w:r>
      <w:r>
        <w:rPr>
          <w:rFonts w:hint="eastAsia"/>
          <w:color w:val="auto"/>
          <w:highlight w:val="none"/>
        </w:rPr>
        <w:fldChar w:fldCharType="end"/>
      </w:r>
    </w:p>
    <w:p w14:paraId="1CD57AE8">
      <w:pPr>
        <w:pStyle w:val="20"/>
        <w:tabs>
          <w:tab w:val="right" w:leader="dot" w:pos="8306"/>
        </w:tabs>
        <w:rPr>
          <w:rFonts w:hint="eastAsia" w:eastAsiaTheme="minorEastAsia"/>
          <w:color w:val="auto"/>
          <w:highlight w:val="none"/>
          <w:lang w:eastAsia="zh-CN"/>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asciiTheme="minorEastAsia" w:hAnsiTheme="minorEastAsia"/>
          <w:color w:val="auto"/>
          <w:highlight w:val="none"/>
        </w:rPr>
        <w:t>第三章  采购需求</w:t>
      </w:r>
      <w:r>
        <w:rPr>
          <w:color w:val="auto"/>
          <w:highlight w:val="none"/>
        </w:rPr>
        <w:tab/>
      </w:r>
      <w:r>
        <w:rPr>
          <w:rFonts w:hint="eastAsia"/>
          <w:color w:val="auto"/>
          <w:highlight w:val="none"/>
        </w:rPr>
        <w:t>2</w:t>
      </w:r>
      <w:r>
        <w:rPr>
          <w:rFonts w:hint="eastAsia"/>
          <w:color w:val="auto"/>
          <w:highlight w:val="none"/>
        </w:rPr>
        <w:fldChar w:fldCharType="end"/>
      </w:r>
      <w:r>
        <w:rPr>
          <w:rFonts w:hint="eastAsia" w:asciiTheme="minorEastAsia" w:hAnsiTheme="minorEastAsia"/>
          <w:color w:val="auto"/>
          <w:szCs w:val="24"/>
          <w:highlight w:val="none"/>
          <w:lang w:val="en-US" w:eastAsia="zh-CN"/>
        </w:rPr>
        <w:t>6</w:t>
      </w:r>
    </w:p>
    <w:p w14:paraId="44D8CE2E">
      <w:pPr>
        <w:pStyle w:val="20"/>
        <w:tabs>
          <w:tab w:val="right" w:leader="dot" w:pos="8306"/>
        </w:tabs>
        <w:rPr>
          <w:rFonts w:hint="eastAsia" w:eastAsiaTheme="minorEastAsia"/>
          <w:color w:val="auto"/>
          <w:highlight w:val="none"/>
          <w:lang w:eastAsia="zh-CN"/>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Theme="minorEastAsia" w:hAnsiTheme="minorEastAsia"/>
          <w:color w:val="auto"/>
          <w:highlight w:val="none"/>
        </w:rPr>
        <w:t>第四章  评标方法和标准（综合评分法）</w:t>
      </w:r>
      <w:r>
        <w:rPr>
          <w:color w:val="auto"/>
          <w:highlight w:val="none"/>
        </w:rPr>
        <w:tab/>
      </w:r>
      <w:r>
        <w:rPr>
          <w:rFonts w:hint="eastAsia"/>
          <w:color w:val="auto"/>
          <w:highlight w:val="none"/>
          <w:lang w:val="en-US" w:eastAsia="zh-CN"/>
        </w:rPr>
        <w:t>3</w:t>
      </w:r>
      <w:r>
        <w:rPr>
          <w:rFonts w:hint="eastAsia"/>
          <w:color w:val="auto"/>
          <w:highlight w:val="none"/>
        </w:rPr>
        <w:fldChar w:fldCharType="end"/>
      </w:r>
      <w:r>
        <w:rPr>
          <w:rFonts w:hint="eastAsia" w:asciiTheme="minorEastAsia" w:hAnsiTheme="minorEastAsia"/>
          <w:color w:val="auto"/>
          <w:szCs w:val="24"/>
          <w:highlight w:val="none"/>
          <w:lang w:val="en-US" w:eastAsia="zh-CN"/>
        </w:rPr>
        <w:t>4</w:t>
      </w:r>
    </w:p>
    <w:p w14:paraId="4C6A8185">
      <w:pPr>
        <w:pStyle w:val="20"/>
        <w:tabs>
          <w:tab w:val="right" w:leader="dot" w:pos="8306"/>
        </w:tabs>
        <w:rPr>
          <w:rFonts w:hint="eastAsia" w:eastAsiaTheme="minorEastAsia"/>
          <w:color w:val="auto"/>
          <w:highlight w:val="none"/>
          <w:lang w:eastAsia="zh-CN"/>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asciiTheme="minorEastAsia" w:hAnsiTheme="minorEastAsia"/>
          <w:color w:val="auto"/>
          <w:highlight w:val="none"/>
        </w:rPr>
        <w:t xml:space="preserve">第五章  </w:t>
      </w:r>
      <w:r>
        <w:rPr>
          <w:rFonts w:asciiTheme="minorEastAsia" w:hAnsiTheme="minorEastAsia"/>
          <w:color w:val="auto"/>
          <w:highlight w:val="none"/>
        </w:rPr>
        <w:t>政府采购合同</w:t>
      </w:r>
      <w:r>
        <w:rPr>
          <w:color w:val="auto"/>
          <w:highlight w:val="none"/>
        </w:rPr>
        <w:tab/>
      </w:r>
      <w:r>
        <w:rPr>
          <w:rFonts w:hint="eastAsia"/>
          <w:color w:val="auto"/>
          <w:highlight w:val="none"/>
          <w:lang w:val="en-US" w:eastAsia="zh-CN"/>
        </w:rPr>
        <w:t>4</w:t>
      </w:r>
      <w:r>
        <w:rPr>
          <w:rFonts w:hint="eastAsia"/>
          <w:color w:val="auto"/>
          <w:highlight w:val="none"/>
        </w:rPr>
        <w:fldChar w:fldCharType="end"/>
      </w:r>
      <w:r>
        <w:rPr>
          <w:rFonts w:hint="eastAsia" w:asciiTheme="minorEastAsia" w:hAnsiTheme="minorEastAsia"/>
          <w:color w:val="auto"/>
          <w:szCs w:val="24"/>
          <w:highlight w:val="none"/>
          <w:lang w:val="en-US" w:eastAsia="zh-CN"/>
        </w:rPr>
        <w:t>6</w:t>
      </w:r>
    </w:p>
    <w:p w14:paraId="2CF797BF">
      <w:pPr>
        <w:pStyle w:val="20"/>
        <w:tabs>
          <w:tab w:val="right" w:leader="dot" w:pos="8306"/>
        </w:tabs>
        <w:rPr>
          <w:rFonts w:hint="eastAsia" w:eastAsiaTheme="minorEastAsia"/>
          <w:color w:val="auto"/>
          <w:highlight w:val="none"/>
          <w:lang w:eastAsia="zh-CN"/>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asciiTheme="minorEastAsia" w:hAnsiTheme="minorEastAsia"/>
          <w:color w:val="auto"/>
          <w:highlight w:val="none"/>
        </w:rPr>
        <w:t>第六章  投标文件格式</w:t>
      </w:r>
      <w:r>
        <w:rPr>
          <w:color w:val="auto"/>
          <w:highlight w:val="none"/>
        </w:rPr>
        <w:tab/>
      </w:r>
      <w:r>
        <w:rPr>
          <w:rFonts w:hint="eastAsia"/>
          <w:color w:val="auto"/>
          <w:highlight w:val="none"/>
          <w:lang w:val="en-US" w:eastAsia="zh-CN"/>
        </w:rPr>
        <w:t>5</w:t>
      </w:r>
      <w:r>
        <w:rPr>
          <w:rFonts w:hint="eastAsia"/>
          <w:color w:val="auto"/>
          <w:highlight w:val="none"/>
        </w:rPr>
        <w:fldChar w:fldCharType="end"/>
      </w:r>
      <w:r>
        <w:rPr>
          <w:rFonts w:hint="eastAsia" w:asciiTheme="minorEastAsia" w:hAnsiTheme="minorEastAsia"/>
          <w:color w:val="auto"/>
          <w:szCs w:val="24"/>
          <w:highlight w:val="none"/>
          <w:lang w:val="en-US" w:eastAsia="zh-CN"/>
        </w:rPr>
        <w:t>6</w:t>
      </w:r>
    </w:p>
    <w:p w14:paraId="3185385B">
      <w:pPr>
        <w:pStyle w:val="20"/>
        <w:tabs>
          <w:tab w:val="right" w:leader="dot" w:pos="8306"/>
        </w:tabs>
        <w:rPr>
          <w:rFonts w:hint="eastAsia" w:eastAsiaTheme="minorEastAsia"/>
          <w:color w:val="auto"/>
          <w:highlight w:val="none"/>
          <w:lang w:eastAsia="zh-CN"/>
        </w:rPr>
      </w:pPr>
      <w:r>
        <w:rPr>
          <w:color w:val="auto"/>
          <w:highlight w:val="none"/>
        </w:rPr>
        <w:fldChar w:fldCharType="begin"/>
      </w:r>
      <w:r>
        <w:rPr>
          <w:color w:val="auto"/>
          <w:highlight w:val="none"/>
        </w:rPr>
        <w:instrText xml:space="preserve"> HYPERLINK \l "_Toc18131" </w:instrText>
      </w:r>
      <w:r>
        <w:rPr>
          <w:color w:val="auto"/>
          <w:highlight w:val="none"/>
        </w:rPr>
        <w:fldChar w:fldCharType="separate"/>
      </w:r>
      <w:r>
        <w:rPr>
          <w:rFonts w:hint="eastAsia" w:asciiTheme="minorEastAsia" w:hAnsiTheme="minorEastAsia"/>
          <w:color w:val="auto"/>
          <w:highlight w:val="none"/>
        </w:rPr>
        <w:t>第七章</w:t>
      </w:r>
      <w:r>
        <w:rPr>
          <w:rFonts w:hint="eastAsia" w:ascii="宋体" w:hAnsi="宋体" w:eastAsia="宋体"/>
          <w:bCs/>
          <w:color w:val="auto"/>
          <w:highlight w:val="none"/>
        </w:rPr>
        <w:t xml:space="preserve">  政府采购</w:t>
      </w:r>
      <w:r>
        <w:rPr>
          <w:rFonts w:hint="eastAsia" w:asciiTheme="minorEastAsia" w:hAnsi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rFonts w:hint="eastAsia"/>
          <w:color w:val="auto"/>
          <w:highlight w:val="none"/>
          <w:lang w:val="en-US" w:eastAsia="zh-CN"/>
        </w:rPr>
        <w:t>7</w:t>
      </w:r>
      <w:r>
        <w:rPr>
          <w:rFonts w:hint="eastAsia"/>
          <w:color w:val="auto"/>
          <w:highlight w:val="none"/>
        </w:rPr>
        <w:fldChar w:fldCharType="end"/>
      </w:r>
      <w:r>
        <w:rPr>
          <w:rFonts w:hint="eastAsia" w:asciiTheme="minorEastAsia" w:hAnsiTheme="minorEastAsia"/>
          <w:color w:val="auto"/>
          <w:szCs w:val="24"/>
          <w:highlight w:val="none"/>
          <w:lang w:val="en-US" w:eastAsia="zh-CN"/>
        </w:rPr>
        <w:t>2</w:t>
      </w:r>
    </w:p>
    <w:p w14:paraId="5ECFB6DA">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bookmarkStart w:id="1" w:name="_Toc23443"/>
    </w:p>
    <w:p w14:paraId="61A6A116">
      <w:pPr>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br w:type="page"/>
      </w:r>
    </w:p>
    <w:p w14:paraId="507EA54E">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259872C9">
      <w:pPr>
        <w:spacing w:line="360" w:lineRule="auto"/>
        <w:ind w:firstLine="437"/>
        <w:outlineLvl w:val="1"/>
        <w:rPr>
          <w:rFonts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5806A427">
      <w:pPr>
        <w:spacing w:line="360" w:lineRule="auto"/>
        <w:ind w:firstLine="435"/>
        <w:rPr>
          <w:rFonts w:hint="default" w:asciiTheme="minorEastAsia" w:hAnsiTheme="minorEastAsia" w:eastAsiaTheme="minorEastAsia"/>
          <w:color w:val="auto"/>
          <w:sz w:val="24"/>
          <w:highlight w:val="none"/>
          <w:u w:val="single"/>
          <w:lang w:val="en-US" w:eastAsia="zh-CN"/>
        </w:rPr>
      </w:pPr>
      <w:r>
        <w:rPr>
          <w:rFonts w:hint="eastAsia" w:asciiTheme="minorEastAsia" w:hAnsiTheme="minorEastAsia" w:eastAsiaTheme="minorEastAsia"/>
          <w:color w:val="auto"/>
          <w:sz w:val="24"/>
          <w:highlight w:val="none"/>
        </w:rPr>
        <w:t>1.项目编号</w:t>
      </w:r>
      <w:r>
        <w:rPr>
          <w:rFonts w:hint="eastAsia" w:asciiTheme="minorEastAsia" w:hAnsiTheme="minorEastAsia" w:eastAsiaTheme="minorEastAsia"/>
          <w:color w:val="auto"/>
          <w:sz w:val="24"/>
          <w:highlight w:val="none"/>
          <w:u w:val="none"/>
        </w:rPr>
        <w:t>：</w:t>
      </w:r>
      <w:r>
        <w:rPr>
          <w:rFonts w:hint="eastAsia" w:asciiTheme="minorEastAsia" w:hAnsiTheme="minorEastAsia" w:eastAsiaTheme="minorEastAsia"/>
          <w:color w:val="auto"/>
          <w:sz w:val="24"/>
          <w:highlight w:val="none"/>
          <w:u w:val="single"/>
        </w:rPr>
        <w:t>czlycg20260</w:t>
      </w:r>
      <w:r>
        <w:rPr>
          <w:rFonts w:hint="eastAsia" w:asciiTheme="minorEastAsia" w:hAnsiTheme="minorEastAsia" w:eastAsiaTheme="minorEastAsia"/>
          <w:color w:val="auto"/>
          <w:sz w:val="24"/>
          <w:highlight w:val="none"/>
          <w:u w:val="single"/>
          <w:lang w:val="en-US" w:eastAsia="zh-CN"/>
        </w:rPr>
        <w:t>9</w:t>
      </w:r>
      <w:r>
        <w:rPr>
          <w:rFonts w:hint="eastAsia" w:asciiTheme="minorEastAsia" w:hAnsiTheme="minorEastAsia" w:eastAsiaTheme="minorEastAsia"/>
          <w:color w:val="auto"/>
          <w:sz w:val="24"/>
          <w:highlight w:val="none"/>
          <w:u w:val="single"/>
        </w:rPr>
        <w:t>-001</w:t>
      </w:r>
    </w:p>
    <w:p w14:paraId="76422873">
      <w:pPr>
        <w:spacing w:line="360" w:lineRule="auto"/>
        <w:ind w:firstLine="435"/>
        <w:rPr>
          <w:rFonts w:hint="default" w:asciiTheme="minorEastAsia" w:hAnsiTheme="minorEastAsia" w:eastAsiaTheme="minorEastAsia"/>
          <w:color w:val="auto"/>
          <w:sz w:val="24"/>
          <w:highlight w:val="none"/>
          <w:u w:val="single"/>
          <w:lang w:val="en-US" w:eastAsia="zh-CN"/>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u w:val="single"/>
          <w:lang w:eastAsia="zh-CN"/>
        </w:rPr>
        <w:t>滁州市琅琊区应急通讯视频终端采购项目（</w:t>
      </w:r>
      <w:r>
        <w:rPr>
          <w:rFonts w:hint="eastAsia" w:asciiTheme="minorEastAsia" w:hAnsiTheme="minorEastAsia" w:eastAsiaTheme="minorEastAsia"/>
          <w:color w:val="auto"/>
          <w:sz w:val="24"/>
          <w:highlight w:val="none"/>
          <w:u w:val="single"/>
          <w:lang w:val="en-US" w:eastAsia="zh-CN"/>
        </w:rPr>
        <w:t>二次）</w:t>
      </w:r>
    </w:p>
    <w:p w14:paraId="6316B4C4">
      <w:pPr>
        <w:spacing w:line="360" w:lineRule="auto"/>
        <w:ind w:firstLine="435"/>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lang w:val="en-US" w:eastAsia="zh-CN"/>
        </w:rPr>
        <w:t>600000.00元</w:t>
      </w:r>
    </w:p>
    <w:p w14:paraId="7921C01B">
      <w:pPr>
        <w:spacing w:line="360" w:lineRule="auto"/>
        <w:ind w:firstLine="435"/>
        <w:rPr>
          <w:rFonts w:hint="default" w:asciiTheme="minorEastAsia" w:hAnsiTheme="minorEastAsia" w:eastAsiaTheme="minorEastAsia"/>
          <w:color w:val="auto"/>
          <w:sz w:val="24"/>
          <w:highlight w:val="none"/>
          <w:u w:val="single"/>
          <w:lang w:val="en-US" w:eastAsia="zh-CN"/>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u w:val="single"/>
          <w:lang w:val="en-US" w:eastAsia="zh-CN"/>
        </w:rPr>
        <w:t>600000.00元</w:t>
      </w:r>
    </w:p>
    <w:p w14:paraId="1ED3C425">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5.采购需求：</w:t>
      </w:r>
      <w:r>
        <w:rPr>
          <w:rFonts w:hint="eastAsia" w:asciiTheme="minorEastAsia" w:hAnsiTheme="minorEastAsia" w:eastAsiaTheme="minorEastAsia"/>
          <w:color w:val="auto"/>
          <w:sz w:val="24"/>
          <w:highlight w:val="none"/>
          <w:u w:val="single"/>
          <w:lang w:val="en-US" w:eastAsia="zh-CN"/>
        </w:rPr>
        <w:t>采购应急通讯视频终端、政务外网接入交换机10套</w:t>
      </w:r>
    </w:p>
    <w:p w14:paraId="6C71C008">
      <w:pPr>
        <w:spacing w:line="360" w:lineRule="auto"/>
        <w:ind w:firstLine="435"/>
        <w:rPr>
          <w:rFonts w:hint="eastAsia" w:asciiTheme="minorEastAsia" w:hAnsiTheme="minorEastAsia" w:eastAsiaTheme="minorEastAsia"/>
          <w:color w:val="auto"/>
          <w:sz w:val="24"/>
          <w:highlight w:val="none"/>
          <w:u w:val="single"/>
          <w:lang w:val="en-US" w:eastAsia="zh-CN"/>
        </w:rPr>
      </w:pPr>
      <w:r>
        <w:rPr>
          <w:rFonts w:hint="eastAsia" w:asciiTheme="minorEastAsia" w:hAnsiTheme="minorEastAsia" w:eastAsiaTheme="minorEastAsia"/>
          <w:color w:val="auto"/>
          <w:sz w:val="24"/>
          <w:highlight w:val="none"/>
        </w:rPr>
        <w:t>6.合同履行期限</w:t>
      </w:r>
      <w:r>
        <w:rPr>
          <w:rFonts w:hint="eastAsia" w:asciiTheme="minorEastAsia" w:hAnsiTheme="minorEastAsia" w:eastAsiaTheme="minorEastAsia"/>
          <w:color w:val="auto"/>
          <w:sz w:val="24"/>
          <w:highlight w:val="none"/>
          <w:u w:val="none"/>
        </w:rPr>
        <w:t>：</w:t>
      </w:r>
      <w:r>
        <w:rPr>
          <w:rFonts w:hint="eastAsia" w:ascii="宋体" w:hAnsi="宋体" w:eastAsia="宋体" w:cs="@仿宋_GB2312"/>
          <w:bCs/>
          <w:color w:val="auto"/>
          <w:kern w:val="2"/>
          <w:sz w:val="24"/>
          <w:szCs w:val="18"/>
          <w:highlight w:val="none"/>
          <w:u w:val="single"/>
          <w:lang w:val="en-US" w:eastAsia="zh-CN" w:bidi="ar-SA"/>
        </w:rPr>
        <w:t>合同签订后25个日历天内完成设备供货、安装、调试、培训、试运行等内容，达到验收条件，满足采购文件所提供的功能、指标、性能。</w:t>
      </w:r>
    </w:p>
    <w:p w14:paraId="721F43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7.本项目不接受联合体投标。</w:t>
      </w:r>
    </w:p>
    <w:p w14:paraId="346B7E27">
      <w:pPr>
        <w:spacing w:line="360" w:lineRule="auto"/>
        <w:ind w:firstLine="437"/>
        <w:outlineLvl w:val="1"/>
        <w:rPr>
          <w:rFonts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1AD35C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399F253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2.落实政府采购政策需满足的资格要求：</w:t>
      </w:r>
    </w:p>
    <w:p w14:paraId="296384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2.1中小企业政策</w:t>
      </w:r>
    </w:p>
    <w:p w14:paraId="69CCBA3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2.1.1☑本项目不专门面向中小企业预留采购份额。按照财政部、工业和信息化部制定的第六条第三款（按照本办法规定预留采购份额无法确保充分供应、充分竞争，或者存在可能影响政府采购目标实现的情形）之规定，本项目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6E118A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2.1.2□本项目专门面向</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采购。</w:t>
      </w:r>
    </w:p>
    <w:p w14:paraId="3204EA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2.1.3□本项目预留部分采购项目预算专门面向中小企业采购。对于预留份额，提供的货物由符合政策要求的中小企业制造。预留份额通过以下措施进行：</w:t>
      </w:r>
      <w:r>
        <w:rPr>
          <w:rFonts w:asciiTheme="minorEastAsia" w:hAnsiTheme="minorEastAsia" w:eastAsiaTheme="minorEastAsia"/>
          <w:color w:val="auto"/>
          <w:sz w:val="24"/>
          <w:highlight w:val="none"/>
        </w:rPr>
        <w:t>__________________</w:t>
      </w:r>
      <w:r>
        <w:rPr>
          <w:rFonts w:hint="eastAsia" w:asciiTheme="minorEastAsia" w:hAnsiTheme="minorEastAsia" w:eastAsiaTheme="minorEastAsia"/>
          <w:color w:val="auto"/>
          <w:sz w:val="24"/>
          <w:highlight w:val="none"/>
        </w:rPr>
        <w:t>。</w:t>
      </w:r>
    </w:p>
    <w:p w14:paraId="01ADA888">
      <w:pPr>
        <w:spacing w:line="360" w:lineRule="auto"/>
        <w:ind w:firstLine="435"/>
        <w:rPr>
          <w:color w:val="auto"/>
          <w:highlight w:val="none"/>
        </w:rPr>
      </w:pPr>
      <w:r>
        <w:rPr>
          <w:rFonts w:asciiTheme="minorEastAsia" w:hAnsiTheme="minorEastAsia" w:eastAsiaTheme="minorEastAsia"/>
          <w:color w:val="auto"/>
          <w:sz w:val="24"/>
          <w:highlight w:val="none"/>
        </w:rPr>
        <w:t>2.2</w:t>
      </w:r>
      <w:r>
        <w:rPr>
          <w:rFonts w:hint="eastAsia" w:asciiTheme="minorEastAsia" w:hAnsiTheme="minorEastAsia" w:eastAsiaTheme="minorEastAsia"/>
          <w:color w:val="auto"/>
          <w:sz w:val="24"/>
          <w:highlight w:val="none"/>
        </w:rPr>
        <w:t>其它落实政府采购政策的资格要求</w:t>
      </w:r>
      <w:r>
        <w:rPr>
          <w:rFonts w:hint="eastAsia" w:asciiTheme="minorEastAsia" w:hAnsiTheme="minorEastAsia" w:eastAsiaTheme="minorEastAsia"/>
          <w:i/>
          <w:iCs/>
          <w:color w:val="auto"/>
          <w:sz w:val="24"/>
          <w:highlight w:val="none"/>
        </w:rPr>
        <w:t>（如有）</w:t>
      </w:r>
      <w:r>
        <w:rPr>
          <w:rFonts w:hint="eastAsia"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u w:val="single"/>
        </w:rPr>
        <w:t xml:space="preserve"> /  </w:t>
      </w:r>
      <w:r>
        <w:rPr>
          <w:rFonts w:hint="eastAsia" w:asciiTheme="minorEastAsia" w:hAnsiTheme="minorEastAsia" w:eastAsiaTheme="minorEastAsia"/>
          <w:color w:val="auto"/>
          <w:sz w:val="24"/>
          <w:highlight w:val="none"/>
        </w:rPr>
        <w:t>。</w:t>
      </w:r>
    </w:p>
    <w:p w14:paraId="7E271D67">
      <w:pPr>
        <w:spacing w:line="360" w:lineRule="auto"/>
        <w:ind w:firstLine="435"/>
        <w:rPr>
          <w:rFonts w:hint="default" w:eastAsiaTheme="minorEastAsia"/>
          <w:color w:val="auto"/>
          <w:highlight w:val="none"/>
          <w:u w:val="single"/>
          <w:lang w:val="en-US" w:eastAsia="zh-CN"/>
        </w:rPr>
      </w:pPr>
      <w:r>
        <w:rPr>
          <w:rFonts w:hint="eastAsia" w:asciiTheme="minorEastAsia" w:hAnsiTheme="minorEastAsia" w:eastAsiaTheme="minorEastAsia"/>
          <w:color w:val="auto"/>
          <w:sz w:val="24"/>
          <w:highlight w:val="none"/>
        </w:rPr>
        <w:t>3.本项目的特定资格要求：</w:t>
      </w:r>
      <w:r>
        <w:rPr>
          <w:rFonts w:hint="eastAsia" w:asciiTheme="minorEastAsia" w:hAnsiTheme="minorEastAsia" w:eastAsiaTheme="minorEastAsia"/>
          <w:color w:val="auto"/>
          <w:sz w:val="24"/>
          <w:highlight w:val="none"/>
          <w:u w:val="single"/>
          <w:lang w:val="en-US" w:eastAsia="zh-CN"/>
        </w:rPr>
        <w:t xml:space="preserve">  无    </w:t>
      </w:r>
    </w:p>
    <w:p w14:paraId="3D9FFADF">
      <w:pPr>
        <w:spacing w:line="360" w:lineRule="auto"/>
        <w:ind w:firstLine="435"/>
        <w:rPr>
          <w:rFonts w:asciiTheme="minorEastAsia" w:hAnsiTheme="minorEastAsia" w:eastAsiaTheme="minorEastAsia"/>
          <w:color w:val="auto"/>
          <w:sz w:val="24"/>
          <w:highlight w:val="none"/>
        </w:rPr>
      </w:pPr>
      <w:bookmarkStart w:id="6" w:name="_Toc30110"/>
      <w:bookmarkStart w:id="7" w:name="_Toc32089"/>
      <w:r>
        <w:rPr>
          <w:rFonts w:hint="eastAsia" w:asciiTheme="minorEastAsia" w:hAnsiTheme="minorEastAsia" w:eastAsiaTheme="minorEastAsia"/>
          <w:color w:val="auto"/>
          <w:sz w:val="24"/>
          <w:highlight w:val="none"/>
        </w:rPr>
        <w:t>4.信誉要求：投标人不得存在以下情形：</w:t>
      </w:r>
    </w:p>
    <w:p w14:paraId="3D6810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①被列入“信用中国”网站“失信被执行人”的；</w:t>
      </w:r>
    </w:p>
    <w:p w14:paraId="5C5005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②被列入“信用中国”网站“重大税收违法失信主体”的；</w:t>
      </w:r>
    </w:p>
    <w:p w14:paraId="04F8B1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③被列入“信用中国”网站 “严重失信主体名单”的；</w:t>
      </w:r>
    </w:p>
    <w:p w14:paraId="53B3AC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④在</w:t>
      </w:r>
      <w:bookmarkStart w:id="8" w:name="OLE_LINK128"/>
      <w:bookmarkStart w:id="9" w:name="OLE_LINK129"/>
      <w:bookmarkStart w:id="10" w:name="OLE_LINK127"/>
      <w:r>
        <w:rPr>
          <w:rFonts w:hint="eastAsia" w:asciiTheme="minorEastAsia" w:hAnsiTheme="minorEastAsia" w:eastAsiaTheme="minorEastAsia"/>
          <w:color w:val="auto"/>
          <w:sz w:val="24"/>
          <w:highlight w:val="none"/>
        </w:rPr>
        <w:t>“信用中国”网站</w:t>
      </w:r>
      <w:bookmarkEnd w:id="8"/>
      <w:bookmarkEnd w:id="9"/>
      <w:bookmarkEnd w:id="10"/>
      <w:r>
        <w:rPr>
          <w:rFonts w:hint="eastAsia" w:asciiTheme="minorEastAsia" w:hAnsiTheme="minorEastAsia" w:eastAsiaTheme="minorEastAsia"/>
          <w:color w:val="auto"/>
          <w:sz w:val="24"/>
          <w:highlight w:val="none"/>
        </w:rPr>
        <w:t>上披露的仍在公示期的严重失信行为(具体行为类别及判定依据见“信用中国”查询的严重失信行为类别及判定依据)的。</w:t>
      </w:r>
    </w:p>
    <w:p w14:paraId="2EFA01A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⑤被列入国家企业信用信息公示系统网站“经营异常名录”或者“严重违法失信名单”的。</w:t>
      </w:r>
    </w:p>
    <w:p w14:paraId="481F40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⑥被列入中国政府采购网站“政府采购严重违法失信行为信息记录”的。</w:t>
      </w:r>
    </w:p>
    <w:p w14:paraId="720156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⑦前三年有行贿犯罪行为的单位和个人。</w:t>
      </w:r>
    </w:p>
    <w:p w14:paraId="386295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5.投标人所属分公司、办事处等分支机构存在第4款信誉要求①-⑦项情形之一的，接受其被确定为中标人。</w:t>
      </w:r>
    </w:p>
    <w:p w14:paraId="3917AC8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备注：第4、5条按照“关于联合惩戒失信行为加强信用查询管理的通知”查询或承诺。</w:t>
      </w:r>
    </w:p>
    <w:p w14:paraId="5C41D52F">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649C63BC">
      <w:pPr>
        <w:spacing w:line="360" w:lineRule="auto"/>
        <w:ind w:firstLine="540"/>
        <w:rPr>
          <w:rFonts w:asciiTheme="minorEastAsia" w:hAnsiTheme="minorEastAsia" w:eastAsiaTheme="minorEastAsia" w:cstheme="minorEastAsia"/>
          <w:i/>
          <w:iCs/>
          <w:color w:val="auto"/>
          <w:sz w:val="24"/>
          <w:szCs w:val="24"/>
          <w:highlight w:val="none"/>
        </w:rPr>
      </w:pPr>
      <w:bookmarkStart w:id="11" w:name="_Toc7957"/>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rPr>
        <w:t>2026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lang w:val="en-US" w:eastAsia="zh-CN"/>
        </w:rPr>
        <w:t>1</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2026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lang w:val="en-US" w:eastAsia="zh-CN"/>
        </w:rPr>
        <w:t>22</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iCs/>
          <w:color w:val="auto"/>
          <w:sz w:val="24"/>
          <w:szCs w:val="24"/>
          <w:highlight w:val="none"/>
        </w:rPr>
        <w:t>（</w:t>
      </w:r>
      <w:r>
        <w:rPr>
          <w:rFonts w:hint="eastAsia" w:asciiTheme="minorEastAsia" w:hAnsiTheme="minorEastAsia" w:eastAsiaTheme="minorEastAsia" w:cstheme="minorEastAsia"/>
          <w:i/>
          <w:color w:val="auto"/>
          <w:sz w:val="24"/>
          <w:szCs w:val="24"/>
          <w:highlight w:val="none"/>
        </w:rPr>
        <w:t>提供期限自本公告发布之日起不得少于5个工作日</w:t>
      </w:r>
      <w:r>
        <w:rPr>
          <w:rFonts w:hint="eastAsia" w:asciiTheme="minorEastAsia" w:hAnsiTheme="minorEastAsia" w:eastAsiaTheme="minorEastAsia" w:cstheme="minorEastAsia"/>
          <w:iCs/>
          <w:color w:val="auto"/>
          <w:sz w:val="24"/>
          <w:szCs w:val="24"/>
          <w:highlight w:val="none"/>
        </w:rPr>
        <w:t>）</w:t>
      </w:r>
    </w:p>
    <w:p w14:paraId="5EAB0035">
      <w:pPr>
        <w:spacing w:line="360" w:lineRule="auto"/>
        <w:ind w:firstLine="540"/>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Theme="minorEastAsia" w:hAnsiTheme="minorEastAsia" w:eastAsiaTheme="minorEastAsia" w:cstheme="minorEastAsia"/>
          <w:color w:val="auto"/>
          <w:sz w:val="24"/>
          <w:szCs w:val="24"/>
          <w:highlight w:val="none"/>
          <w:u w:val="single"/>
        </w:rPr>
        <w:t>滁州市公共资源交易中心网</w:t>
      </w:r>
    </w:p>
    <w:p w14:paraId="6133D415">
      <w:pPr>
        <w:spacing w:line="360" w:lineRule="auto"/>
        <w:ind w:firstLine="54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方式：</w:t>
      </w:r>
      <w:r>
        <w:rPr>
          <w:rFonts w:hint="eastAsia" w:ascii="宋体" w:hAnsi="宋体" w:eastAsia="宋体"/>
          <w:color w:val="auto"/>
          <w:sz w:val="24"/>
          <w:szCs w:val="18"/>
          <w:highlight w:val="none"/>
          <w:u w:val="single"/>
        </w:rPr>
        <w:t>网上下载</w:t>
      </w:r>
    </w:p>
    <w:p w14:paraId="1C5C19E0">
      <w:pPr>
        <w:spacing w:line="360" w:lineRule="auto"/>
        <w:ind w:firstLine="437"/>
        <w:outlineLvl w:val="1"/>
        <w:rPr>
          <w:rFonts w:ascii="宋体" w:hAnsi="宋体" w:eastAsia="宋体"/>
          <w:b/>
          <w:bCs/>
          <w:color w:val="auto"/>
          <w:sz w:val="24"/>
          <w:szCs w:val="18"/>
          <w:highlight w:val="none"/>
        </w:rPr>
      </w:pPr>
      <w:bookmarkStart w:id="12" w:name="_Toc19726"/>
      <w:r>
        <w:rPr>
          <w:rFonts w:hint="eastAsia" w:ascii="宋体" w:hAnsi="宋体" w:eastAsia="宋体"/>
          <w:b/>
          <w:bCs/>
          <w:color w:val="auto"/>
          <w:sz w:val="24"/>
          <w:szCs w:val="18"/>
          <w:highlight w:val="none"/>
        </w:rPr>
        <w:t>四、</w:t>
      </w:r>
      <w:bookmarkEnd w:id="11"/>
      <w:r>
        <w:rPr>
          <w:rFonts w:hint="eastAsia" w:ascii="宋体" w:hAnsi="宋体" w:eastAsia="宋体"/>
          <w:b/>
          <w:bCs/>
          <w:color w:val="auto"/>
          <w:sz w:val="24"/>
          <w:szCs w:val="18"/>
          <w:highlight w:val="none"/>
        </w:rPr>
        <w:t>提交投标文件截止时间、开标时间和地点</w:t>
      </w:r>
      <w:bookmarkEnd w:id="12"/>
    </w:p>
    <w:p w14:paraId="14595D9A">
      <w:pPr>
        <w:spacing w:line="360" w:lineRule="auto"/>
        <w:ind w:firstLine="480" w:firstLineChars="200"/>
        <w:rPr>
          <w:rFonts w:asciiTheme="minorEastAsia" w:hAnsiTheme="minorEastAsia" w:eastAsiaTheme="minorEastAsia" w:cstheme="minorEastAsia"/>
          <w:bCs/>
          <w:color w:val="auto"/>
          <w:sz w:val="24"/>
          <w:szCs w:val="24"/>
          <w:highlight w:val="none"/>
        </w:rPr>
      </w:pPr>
      <w:bookmarkStart w:id="13" w:name="_Toc5082"/>
      <w:r>
        <w:rPr>
          <w:rFonts w:hint="eastAsia" w:asciiTheme="minorEastAsia" w:hAnsiTheme="minorEastAsia" w:eastAsiaTheme="minorEastAsia" w:cstheme="minorEastAsia"/>
          <w:bCs/>
          <w:color w:val="auto"/>
          <w:sz w:val="24"/>
          <w:szCs w:val="24"/>
          <w:highlight w:val="none"/>
          <w:u w:val="single"/>
        </w:rPr>
        <w:t>2026</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u w:val="single"/>
          <w:lang w:val="en-US" w:eastAsia="zh-CN"/>
        </w:rPr>
        <w:t>9</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u w:val="single"/>
          <w:lang w:val="en-US" w:eastAsia="zh-CN"/>
        </w:rPr>
        <w:t>22</w:t>
      </w:r>
      <w:r>
        <w:rPr>
          <w:rFonts w:hint="eastAsia" w:asciiTheme="minorEastAsia" w:hAnsiTheme="minorEastAsia" w:eastAsiaTheme="minorEastAsia" w:cstheme="minorEastAsia"/>
          <w:bCs/>
          <w:color w:val="auto"/>
          <w:sz w:val="24"/>
          <w:szCs w:val="24"/>
          <w:highlight w:val="none"/>
        </w:rPr>
        <w:t>日</w:t>
      </w:r>
      <w:r>
        <w:rPr>
          <w:rFonts w:hint="eastAsia" w:asciiTheme="minorEastAsia" w:hAnsiTheme="minorEastAsia" w:eastAsiaTheme="minorEastAsia" w:cstheme="minorEastAsia"/>
          <w:bCs/>
          <w:color w:val="auto"/>
          <w:sz w:val="24"/>
          <w:szCs w:val="24"/>
          <w:highlight w:val="none"/>
          <w:u w:val="single"/>
          <w:lang w:val="en-US" w:eastAsia="zh-CN"/>
        </w:rPr>
        <w:t>8</w:t>
      </w:r>
      <w:r>
        <w:rPr>
          <w:rFonts w:hint="eastAsia" w:asciiTheme="minorEastAsia" w:hAnsiTheme="minorEastAsia" w:eastAsiaTheme="minorEastAsia" w:cstheme="minorEastAsia"/>
          <w:bCs/>
          <w:color w:val="auto"/>
          <w:sz w:val="24"/>
          <w:szCs w:val="24"/>
          <w:highlight w:val="none"/>
        </w:rPr>
        <w:t>点</w:t>
      </w:r>
      <w:r>
        <w:rPr>
          <w:rFonts w:hint="eastAsia" w:asciiTheme="minorEastAsia" w:hAnsiTheme="minorEastAsia" w:eastAsiaTheme="minorEastAsia" w:cstheme="minorEastAsia"/>
          <w:bCs/>
          <w:color w:val="auto"/>
          <w:sz w:val="24"/>
          <w:szCs w:val="24"/>
          <w:highlight w:val="none"/>
          <w:u w:val="single"/>
          <w:lang w:val="en-US" w:eastAsia="zh-CN"/>
        </w:rPr>
        <w:t>50</w:t>
      </w:r>
      <w:r>
        <w:rPr>
          <w:rFonts w:hint="eastAsia" w:asciiTheme="minorEastAsia" w:hAnsiTheme="minorEastAsia" w:eastAsiaTheme="minorEastAsia" w:cstheme="minorEastAsia"/>
          <w:bCs/>
          <w:color w:val="auto"/>
          <w:sz w:val="24"/>
          <w:szCs w:val="24"/>
          <w:highlight w:val="none"/>
        </w:rPr>
        <w:t>分（北京时间）</w:t>
      </w:r>
      <w:r>
        <w:rPr>
          <w:rFonts w:hint="eastAsia" w:asciiTheme="minorEastAsia" w:hAnsiTheme="minorEastAsia" w:eastAsiaTheme="minorEastAsia" w:cstheme="minorEastAsia"/>
          <w:iCs/>
          <w:color w:val="auto"/>
          <w:sz w:val="24"/>
          <w:szCs w:val="24"/>
          <w:highlight w:val="none"/>
        </w:rPr>
        <w:t>（</w:t>
      </w:r>
      <w:r>
        <w:rPr>
          <w:rFonts w:hint="eastAsia" w:asciiTheme="minorEastAsia" w:hAnsiTheme="minorEastAsia" w:eastAsiaTheme="minorEastAsia" w:cstheme="minorEastAsia"/>
          <w:i/>
          <w:color w:val="auto"/>
          <w:sz w:val="24"/>
          <w:szCs w:val="24"/>
          <w:highlight w:val="none"/>
        </w:rPr>
        <w:t>自招标文件开始发出之日起至投标人提交投标文件截止之日止，不得少于20日</w:t>
      </w:r>
      <w:r>
        <w:rPr>
          <w:rFonts w:hint="eastAsia" w:asciiTheme="minorEastAsia" w:hAnsiTheme="minorEastAsia" w:eastAsiaTheme="minorEastAsia" w:cstheme="minorEastAsia"/>
          <w:iCs/>
          <w:color w:val="auto"/>
          <w:sz w:val="24"/>
          <w:szCs w:val="24"/>
          <w:highlight w:val="none"/>
        </w:rPr>
        <w:t>）</w:t>
      </w:r>
    </w:p>
    <w:p w14:paraId="43688B67">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滁州市公共资源交易平台电子交易系统</w:t>
      </w:r>
    </w:p>
    <w:p w14:paraId="1CB8B993">
      <w:pPr>
        <w:spacing w:line="360" w:lineRule="auto"/>
        <w:ind w:firstLine="437"/>
        <w:outlineLvl w:val="1"/>
        <w:rPr>
          <w:rFonts w:ascii="宋体" w:hAnsi="宋体" w:eastAsia="宋体"/>
          <w:b/>
          <w:bCs/>
          <w:color w:val="auto"/>
          <w:sz w:val="24"/>
          <w:szCs w:val="18"/>
          <w:highlight w:val="none"/>
        </w:rPr>
      </w:pPr>
      <w:bookmarkStart w:id="14" w:name="_Toc28531"/>
      <w:r>
        <w:rPr>
          <w:rFonts w:hint="eastAsia" w:ascii="宋体" w:hAnsi="宋体" w:eastAsia="宋体"/>
          <w:b/>
          <w:bCs/>
          <w:color w:val="auto"/>
          <w:sz w:val="24"/>
          <w:szCs w:val="18"/>
          <w:highlight w:val="none"/>
        </w:rPr>
        <w:t>五、</w:t>
      </w:r>
      <w:bookmarkEnd w:id="13"/>
      <w:r>
        <w:rPr>
          <w:rFonts w:hint="eastAsia" w:ascii="宋体" w:hAnsi="宋体" w:eastAsia="宋体"/>
          <w:b/>
          <w:bCs/>
          <w:color w:val="auto"/>
          <w:sz w:val="24"/>
          <w:szCs w:val="18"/>
          <w:highlight w:val="none"/>
        </w:rPr>
        <w:t>公告期限</w:t>
      </w:r>
      <w:bookmarkEnd w:id="14"/>
    </w:p>
    <w:p w14:paraId="75B3F6FE">
      <w:pPr>
        <w:spacing w:line="360" w:lineRule="auto"/>
        <w:ind w:firstLine="437"/>
        <w:rPr>
          <w:rFonts w:ascii="宋体" w:hAnsi="宋体" w:eastAsia="宋体"/>
          <w:color w:val="auto"/>
          <w:sz w:val="24"/>
          <w:szCs w:val="18"/>
          <w:highlight w:val="none"/>
        </w:rPr>
      </w:pPr>
      <w:bookmarkStart w:id="15" w:name="_Toc1215"/>
      <w:r>
        <w:rPr>
          <w:rFonts w:hint="eastAsia" w:ascii="宋体" w:hAnsi="宋体" w:eastAsia="宋体"/>
          <w:color w:val="auto"/>
          <w:sz w:val="24"/>
          <w:szCs w:val="18"/>
          <w:highlight w:val="none"/>
        </w:rPr>
        <w:t>自本公告发布之日起5个工作日。</w:t>
      </w:r>
    </w:p>
    <w:p w14:paraId="14177021">
      <w:pPr>
        <w:spacing w:line="360" w:lineRule="auto"/>
        <w:ind w:firstLine="437"/>
        <w:outlineLvl w:val="1"/>
        <w:rPr>
          <w:rFonts w:ascii="宋体" w:hAnsi="宋体" w:eastAsia="宋体"/>
          <w:b/>
          <w:bCs/>
          <w:color w:val="auto"/>
          <w:sz w:val="24"/>
          <w:szCs w:val="18"/>
          <w:highlight w:val="none"/>
        </w:rPr>
      </w:pPr>
      <w:bookmarkStart w:id="16" w:name="_Toc8807"/>
      <w:bookmarkStart w:id="17" w:name="_Toc35393795"/>
      <w:bookmarkStart w:id="18" w:name="_Toc35393626"/>
      <w:r>
        <w:rPr>
          <w:rFonts w:hint="eastAsia" w:ascii="宋体" w:hAnsi="宋体" w:eastAsia="宋体"/>
          <w:b/>
          <w:bCs/>
          <w:color w:val="auto"/>
          <w:sz w:val="24"/>
          <w:szCs w:val="18"/>
          <w:highlight w:val="none"/>
        </w:rPr>
        <w:t>六、其他补充事宜</w:t>
      </w:r>
      <w:bookmarkEnd w:id="16"/>
      <w:bookmarkEnd w:id="17"/>
      <w:bookmarkEnd w:id="18"/>
    </w:p>
    <w:p w14:paraId="62354D38">
      <w:pPr>
        <w:pStyle w:val="10"/>
        <w:spacing w:after="0" w:line="360" w:lineRule="auto"/>
        <w:ind w:firstLine="480" w:firstLineChars="200"/>
        <w:rPr>
          <w:rFonts w:ascii="宋体" w:hAnsi="宋体" w:eastAsia="宋体"/>
          <w:color w:val="auto"/>
          <w:sz w:val="24"/>
          <w:szCs w:val="18"/>
          <w:highlight w:val="none"/>
          <w:lang w:val="en-US"/>
        </w:rPr>
      </w:pPr>
      <w:r>
        <w:rPr>
          <w:rFonts w:ascii="宋体" w:hAnsi="宋体" w:eastAsia="宋体"/>
          <w:color w:val="auto"/>
          <w:sz w:val="24"/>
          <w:szCs w:val="18"/>
          <w:highlight w:val="none"/>
          <w:lang w:val="en-US"/>
        </w:rPr>
        <w:t>1.项目采用全流程电子化采购方式，相关操作说明如下：</w:t>
      </w:r>
    </w:p>
    <w:p w14:paraId="31E05621">
      <w:pPr>
        <w:pStyle w:val="10"/>
        <w:spacing w:after="0" w:line="360" w:lineRule="auto"/>
        <w:ind w:firstLine="480" w:firstLineChars="200"/>
        <w:rPr>
          <w:rFonts w:ascii="宋体" w:hAnsi="宋体" w:eastAsia="宋体"/>
          <w:color w:val="auto"/>
          <w:sz w:val="24"/>
          <w:szCs w:val="18"/>
          <w:highlight w:val="none"/>
          <w:lang w:val="en-US"/>
        </w:rPr>
      </w:pPr>
      <w:r>
        <w:rPr>
          <w:rFonts w:ascii="宋体" w:hAnsi="宋体" w:eastAsia="宋体"/>
          <w:color w:val="auto"/>
          <w:sz w:val="24"/>
          <w:szCs w:val="18"/>
          <w:highlight w:val="none"/>
          <w:lang w:val="en-US"/>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 ；2. CA数字证书有关问题：安徽CA客服400-615-8899、0550-3019013（工作日），CFCA客服025-66085508 、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06550257">
      <w:pPr>
        <w:pStyle w:val="10"/>
        <w:spacing w:after="0" w:line="360" w:lineRule="auto"/>
        <w:ind w:firstLine="480" w:firstLineChars="200"/>
        <w:rPr>
          <w:rFonts w:ascii="宋体" w:hAnsi="宋体" w:eastAsia="宋体"/>
          <w:color w:val="auto"/>
          <w:sz w:val="24"/>
          <w:szCs w:val="18"/>
          <w:highlight w:val="none"/>
          <w:lang w:val="en-US"/>
        </w:rPr>
      </w:pPr>
      <w:r>
        <w:rPr>
          <w:rFonts w:ascii="宋体" w:hAnsi="宋体" w:eastAsia="宋体"/>
          <w:color w:val="auto"/>
          <w:sz w:val="24"/>
          <w:szCs w:val="18"/>
          <w:highlight w:val="none"/>
          <w:lang w:val="en-US"/>
        </w:rPr>
        <w:t>（2）请投标人登录滁州市公共资源交易中心网站查看参加本项目的程序（具体操作步骤和程序请参见服务指南&lt;交易须知&gt;投标人填写投标信息、下载文件及网上提问操作手册）。</w:t>
      </w:r>
    </w:p>
    <w:p w14:paraId="064768A0">
      <w:pPr>
        <w:pStyle w:val="10"/>
        <w:spacing w:after="0" w:line="360" w:lineRule="auto"/>
        <w:ind w:firstLine="480" w:firstLineChars="200"/>
        <w:rPr>
          <w:rFonts w:ascii="宋体" w:hAnsi="宋体" w:eastAsia="宋体"/>
          <w:color w:val="auto"/>
          <w:sz w:val="24"/>
          <w:szCs w:val="18"/>
          <w:highlight w:val="none"/>
          <w:lang w:val="en-US"/>
        </w:rPr>
      </w:pPr>
      <w:r>
        <w:rPr>
          <w:rFonts w:ascii="宋体" w:hAnsi="宋体" w:eastAsia="宋体"/>
          <w:color w:val="auto"/>
          <w:sz w:val="24"/>
          <w:szCs w:val="18"/>
          <w:highlight w:val="none"/>
          <w:lang w:val="en-US"/>
        </w:rPr>
        <w:t>（3）本项目采用不见面开标（远程解密)方式，开标时投标人无须至开标现场进行解密，开标采取远程解密方式解密投标文件，投标人远程解密方式: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以本项目网上招投标系统解密倒计时为准，至完成投标文件解密时间，不得超过60分钟，否则投标文件将被拒绝。</w:t>
      </w:r>
    </w:p>
    <w:p w14:paraId="7C856B42">
      <w:pPr>
        <w:pStyle w:val="10"/>
        <w:spacing w:after="0" w:line="360" w:lineRule="auto"/>
        <w:ind w:firstLine="480" w:firstLineChars="200"/>
        <w:rPr>
          <w:rFonts w:ascii="宋体" w:hAnsi="宋体" w:eastAsia="宋体"/>
          <w:color w:val="auto"/>
          <w:sz w:val="24"/>
          <w:szCs w:val="18"/>
          <w:highlight w:val="none"/>
          <w:lang w:val="en-US"/>
        </w:rPr>
      </w:pPr>
      <w:r>
        <w:rPr>
          <w:rFonts w:ascii="宋体" w:hAnsi="宋体" w:eastAsia="宋体"/>
          <w:color w:val="auto"/>
          <w:sz w:val="24"/>
          <w:szCs w:val="18"/>
          <w:highlight w:val="none"/>
          <w:lang w:val="en-US"/>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bookmarkEnd w:id="15"/>
    <w:p w14:paraId="2570B877">
      <w:pPr>
        <w:spacing w:line="360" w:lineRule="auto"/>
        <w:ind w:firstLine="437"/>
        <w:outlineLvl w:val="1"/>
        <w:rPr>
          <w:rFonts w:ascii="宋体" w:hAnsi="宋体" w:eastAsia="宋体"/>
          <w:b/>
          <w:bCs/>
          <w:color w:val="auto"/>
          <w:sz w:val="24"/>
          <w:szCs w:val="18"/>
          <w:highlight w:val="none"/>
        </w:rPr>
      </w:pPr>
      <w:bookmarkStart w:id="19" w:name="_Toc7265"/>
      <w:bookmarkStart w:id="20" w:name="_Toc3854"/>
      <w:r>
        <w:rPr>
          <w:rFonts w:hint="eastAsia" w:ascii="宋体" w:hAnsi="宋体" w:eastAsia="宋体"/>
          <w:b/>
          <w:bCs/>
          <w:color w:val="auto"/>
          <w:sz w:val="24"/>
          <w:szCs w:val="18"/>
          <w:highlight w:val="none"/>
        </w:rPr>
        <w:t>七、</w:t>
      </w:r>
      <w:bookmarkEnd w:id="19"/>
      <w:r>
        <w:rPr>
          <w:rFonts w:hint="eastAsia" w:ascii="宋体" w:hAnsi="宋体" w:eastAsia="宋体"/>
          <w:b/>
          <w:bCs/>
          <w:color w:val="auto"/>
          <w:sz w:val="24"/>
          <w:szCs w:val="18"/>
          <w:highlight w:val="none"/>
        </w:rPr>
        <w:t>对本次招标提出询问，请按以下方式联系</w:t>
      </w:r>
      <w:bookmarkEnd w:id="20"/>
    </w:p>
    <w:p w14:paraId="70617FE0">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67739BA0">
      <w:pPr>
        <w:spacing w:line="360" w:lineRule="auto"/>
        <w:ind w:firstLine="435"/>
        <w:rPr>
          <w:rFonts w:hint="eastAsia" w:ascii="宋体" w:hAnsi="宋体" w:eastAsia="宋体"/>
          <w:color w:val="auto"/>
          <w:sz w:val="24"/>
          <w:szCs w:val="18"/>
          <w:highlight w:val="none"/>
          <w:lang w:eastAsia="zh-CN"/>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lang w:eastAsia="zh-CN"/>
        </w:rPr>
        <w:t>滁州市琅琊区应急管理局</w:t>
      </w:r>
    </w:p>
    <w:p w14:paraId="59262EA7">
      <w:pPr>
        <w:spacing w:line="360" w:lineRule="auto"/>
        <w:ind w:firstLine="435"/>
        <w:rPr>
          <w:rFonts w:hint="eastAsia" w:ascii="宋体" w:hAnsi="宋体" w:eastAsia="宋体"/>
          <w:color w:val="auto"/>
          <w:sz w:val="24"/>
          <w:szCs w:val="18"/>
          <w:highlight w:val="none"/>
          <w:u w:val="single"/>
          <w:lang w:eastAsia="zh-CN"/>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lang w:eastAsia="zh-CN"/>
        </w:rPr>
        <w:t>滁州市琅琊区濠河路99号</w:t>
      </w:r>
    </w:p>
    <w:p w14:paraId="28D89B3B">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lang w:val="en-US" w:eastAsia="zh-CN"/>
        </w:rPr>
        <w:t>李兵</w:t>
      </w:r>
    </w:p>
    <w:p w14:paraId="18C7E2C1">
      <w:pPr>
        <w:spacing w:line="360" w:lineRule="auto"/>
        <w:ind w:firstLine="435"/>
        <w:rPr>
          <w:rFonts w:hint="eastAsia" w:ascii="宋体" w:hAnsi="宋体" w:eastAsia="宋体"/>
          <w:color w:val="auto"/>
          <w:sz w:val="24"/>
          <w:szCs w:val="18"/>
          <w:highlight w:val="none"/>
          <w:u w:val="single"/>
          <w:lang w:eastAsia="zh-CN"/>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lang w:eastAsia="zh-CN"/>
        </w:rPr>
        <w:t>18712014092</w:t>
      </w:r>
    </w:p>
    <w:p w14:paraId="4752C20E">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rPr>
        <w:t>信息</w:t>
      </w:r>
    </w:p>
    <w:p w14:paraId="4CEB78EA">
      <w:pPr>
        <w:spacing w:line="360" w:lineRule="auto"/>
        <w:ind w:firstLine="435"/>
        <w:rPr>
          <w:rFonts w:hint="eastAsia" w:ascii="宋体" w:hAnsi="宋体" w:eastAsia="宋体"/>
          <w:color w:val="auto"/>
          <w:sz w:val="24"/>
          <w:szCs w:val="18"/>
          <w:highlight w:val="none"/>
          <w:lang w:eastAsia="zh-CN"/>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lang w:eastAsia="zh-CN"/>
        </w:rPr>
        <w:t>滁州市城投工程咨询管理有限公司</w:t>
      </w:r>
    </w:p>
    <w:p w14:paraId="008A7D15">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s="宋体"/>
          <w:color w:val="auto"/>
          <w:sz w:val="24"/>
          <w:szCs w:val="18"/>
          <w:highlight w:val="none"/>
          <w:u w:val="single"/>
        </w:rPr>
        <w:t>滁州市龙蟠大道109号房产商务大厦</w:t>
      </w:r>
      <w:r>
        <w:rPr>
          <w:rFonts w:hint="eastAsia" w:ascii="宋体" w:hAnsi="宋体" w:eastAsia="宋体" w:cs="宋体"/>
          <w:color w:val="auto"/>
          <w:sz w:val="24"/>
          <w:szCs w:val="18"/>
          <w:highlight w:val="none"/>
          <w:u w:val="single"/>
          <w:lang w:val="en-US" w:eastAsia="zh-CN"/>
        </w:rPr>
        <w:t>6</w:t>
      </w:r>
      <w:r>
        <w:rPr>
          <w:rFonts w:hint="eastAsia" w:ascii="宋体" w:hAnsi="宋体" w:eastAsia="宋体" w:cs="宋体"/>
          <w:color w:val="auto"/>
          <w:sz w:val="24"/>
          <w:szCs w:val="18"/>
          <w:highlight w:val="none"/>
          <w:u w:val="single"/>
        </w:rPr>
        <w:t>楼</w:t>
      </w:r>
    </w:p>
    <w:p w14:paraId="5BED3A76">
      <w:pPr>
        <w:spacing w:line="360" w:lineRule="auto"/>
        <w:ind w:firstLine="435"/>
        <w:rPr>
          <w:rFonts w:eastAsia="宋体"/>
          <w:color w:val="auto"/>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杨韦</w:t>
      </w:r>
    </w:p>
    <w:p w14:paraId="36E8A4AC">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0550-3519590、18005501210</w:t>
      </w:r>
    </w:p>
    <w:p w14:paraId="16023DB1">
      <w:pPr>
        <w:spacing w:line="360" w:lineRule="auto"/>
        <w:ind w:firstLine="437"/>
        <w:outlineLvl w:val="2"/>
        <w:rPr>
          <w:rFonts w:ascii="宋体" w:hAnsi="宋体" w:eastAsia="宋体"/>
          <w:b/>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政府采购监督管理部门信息</w:t>
      </w:r>
    </w:p>
    <w:p w14:paraId="6F0575A8">
      <w:pPr>
        <w:spacing w:line="360" w:lineRule="auto"/>
        <w:ind w:firstLine="437"/>
        <w:outlineLvl w:val="2"/>
        <w:rPr>
          <w:rFonts w:hint="eastAsia" w:ascii="宋体" w:hAnsi="宋体" w:eastAsia="宋体" w:cs="宋体"/>
          <w:color w:val="auto"/>
          <w:sz w:val="24"/>
          <w:szCs w:val="18"/>
          <w:highlight w:val="none"/>
          <w:u w:val="single"/>
        </w:rPr>
      </w:pPr>
      <w:r>
        <w:rPr>
          <w:rFonts w:hint="eastAsia" w:ascii="宋体" w:hAnsi="宋体" w:eastAsia="宋体"/>
          <w:color w:val="auto"/>
          <w:sz w:val="24"/>
          <w:szCs w:val="18"/>
          <w:highlight w:val="none"/>
        </w:rPr>
        <w:t>名  称：</w:t>
      </w:r>
      <w:r>
        <w:rPr>
          <w:rFonts w:hint="eastAsia" w:ascii="宋体" w:hAnsi="宋体" w:eastAsia="宋体" w:cs="宋体"/>
          <w:color w:val="auto"/>
          <w:sz w:val="24"/>
          <w:szCs w:val="18"/>
          <w:highlight w:val="none"/>
          <w:u w:val="single"/>
        </w:rPr>
        <w:t>滁州市琅琊区财政局</w:t>
      </w:r>
    </w:p>
    <w:p w14:paraId="3F7F9D60">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s="宋体"/>
          <w:color w:val="auto"/>
          <w:sz w:val="24"/>
          <w:szCs w:val="18"/>
          <w:highlight w:val="none"/>
          <w:u w:val="single"/>
        </w:rPr>
        <w:t>滁州市濠河路琅琊新区大楼2楼</w:t>
      </w:r>
    </w:p>
    <w:p w14:paraId="1DC542B8">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s="宋体"/>
          <w:color w:val="auto"/>
          <w:sz w:val="24"/>
          <w:szCs w:val="18"/>
          <w:highlight w:val="none"/>
          <w:u w:val="single"/>
        </w:rPr>
        <w:t>0550-3012595</w:t>
      </w:r>
      <w:r>
        <w:rPr>
          <w:rFonts w:ascii="宋体" w:hAnsi="宋体" w:eastAsia="宋体"/>
          <w:color w:val="auto"/>
          <w:sz w:val="24"/>
          <w:szCs w:val="18"/>
          <w:highlight w:val="none"/>
        </w:rPr>
        <w:br w:type="page"/>
      </w:r>
    </w:p>
    <w:p w14:paraId="339D5454">
      <w:pPr>
        <w:spacing w:line="360" w:lineRule="auto"/>
        <w:jc w:val="center"/>
        <w:outlineLvl w:val="0"/>
        <w:rPr>
          <w:rFonts w:asciiTheme="minorEastAsia" w:hAnsiTheme="minorEastAsia" w:eastAsiaTheme="minorEastAsia"/>
          <w:b/>
          <w:color w:val="auto"/>
          <w:sz w:val="28"/>
          <w:highlight w:val="none"/>
        </w:rPr>
      </w:pPr>
      <w:bookmarkStart w:id="21"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21"/>
    </w:p>
    <w:p w14:paraId="35B8D8EF">
      <w:pPr>
        <w:spacing w:line="360" w:lineRule="auto"/>
        <w:jc w:val="center"/>
        <w:outlineLvl w:val="1"/>
        <w:rPr>
          <w:rFonts w:asciiTheme="minorEastAsia" w:hAnsiTheme="minorEastAsia" w:eastAsiaTheme="minorEastAsia"/>
          <w:b/>
          <w:color w:val="auto"/>
          <w:sz w:val="24"/>
          <w:highlight w:val="none"/>
        </w:rPr>
      </w:pPr>
      <w:bookmarkStart w:id="22" w:name="_Toc7178"/>
      <w:bookmarkStart w:id="23"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2"/>
      <w:bookmarkEnd w:id="23"/>
    </w:p>
    <w:p w14:paraId="0F670811">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1525"/>
        <w:gridCol w:w="5991"/>
      </w:tblGrid>
      <w:tr w14:paraId="1BB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7EAD3356">
            <w:pPr>
              <w:pStyle w:val="48"/>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594" w:type="dxa"/>
            <w:vAlign w:val="center"/>
          </w:tcPr>
          <w:p w14:paraId="55976F2A">
            <w:pPr>
              <w:pStyle w:val="48"/>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6339" w:type="dxa"/>
            <w:vAlign w:val="center"/>
          </w:tcPr>
          <w:p w14:paraId="2D908117">
            <w:pPr>
              <w:pStyle w:val="48"/>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4D82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0D95F063">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594" w:type="dxa"/>
            <w:vAlign w:val="center"/>
          </w:tcPr>
          <w:p w14:paraId="4C33B46C">
            <w:pPr>
              <w:pStyle w:val="48"/>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6339" w:type="dxa"/>
            <w:vAlign w:val="center"/>
          </w:tcPr>
          <w:p w14:paraId="769D5E62">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rPr>
              <w:t>☑</w:t>
            </w:r>
            <w:r>
              <w:rPr>
                <w:rFonts w:hint="eastAsia" w:ascii="宋体" w:hAnsi="宋体" w:eastAsia="宋体"/>
                <w:color w:val="auto"/>
                <w:sz w:val="24"/>
                <w:highlight w:val="none"/>
              </w:rPr>
              <w:t>不组织或不召开</w:t>
            </w:r>
          </w:p>
          <w:p w14:paraId="0E3ADCED">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统一组织或统一召开</w:t>
            </w:r>
          </w:p>
          <w:p w14:paraId="033A2560">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68B88CF8">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0B04EFAC">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576B6157">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4A11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15401A49">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6</w:t>
            </w:r>
            <w:r>
              <w:rPr>
                <w:rFonts w:ascii="宋体" w:hAnsi="宋体" w:eastAsia="宋体"/>
                <w:bCs/>
                <w:color w:val="auto"/>
                <w:kern w:val="2"/>
                <w:highlight w:val="none"/>
              </w:rPr>
              <w:t>.1</w:t>
            </w:r>
          </w:p>
        </w:tc>
        <w:tc>
          <w:tcPr>
            <w:tcW w:w="1594" w:type="dxa"/>
            <w:vAlign w:val="center"/>
          </w:tcPr>
          <w:p w14:paraId="573D238E">
            <w:pPr>
              <w:pStyle w:val="48"/>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6339" w:type="dxa"/>
            <w:vAlign w:val="center"/>
          </w:tcPr>
          <w:p w14:paraId="5F89F1E6">
            <w:pPr>
              <w:pStyle w:val="48"/>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9</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日</w:t>
            </w:r>
            <w:r>
              <w:rPr>
                <w:rFonts w:hint="eastAsia" w:ascii="宋体" w:hAnsi="宋体" w:eastAsia="宋体"/>
                <w:b w:val="0"/>
                <w:color w:val="auto"/>
                <w:sz w:val="24"/>
                <w:highlight w:val="none"/>
                <w:u w:val="single"/>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rPr>
              <w:t>30</w:t>
            </w:r>
            <w:r>
              <w:rPr>
                <w:rFonts w:hint="eastAsia" w:ascii="宋体" w:hAnsi="宋体" w:eastAsia="宋体"/>
                <w:b w:val="0"/>
                <w:color w:val="auto"/>
                <w:sz w:val="24"/>
                <w:highlight w:val="none"/>
              </w:rPr>
              <w:t>分</w:t>
            </w:r>
          </w:p>
        </w:tc>
      </w:tr>
      <w:tr w14:paraId="4451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2DAF9648">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.1</w:t>
            </w:r>
          </w:p>
        </w:tc>
        <w:tc>
          <w:tcPr>
            <w:tcW w:w="1594" w:type="dxa"/>
            <w:vAlign w:val="center"/>
          </w:tcPr>
          <w:p w14:paraId="442522AB">
            <w:pPr>
              <w:pStyle w:val="48"/>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6339" w:type="dxa"/>
            <w:vAlign w:val="center"/>
          </w:tcPr>
          <w:p w14:paraId="79D03A1A">
            <w:pPr>
              <w:pStyle w:val="48"/>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u w:val="single"/>
              </w:rPr>
              <w:t>分为</w:t>
            </w:r>
            <w:r>
              <w:rPr>
                <w:rFonts w:hint="eastAsia" w:ascii="宋体" w:hAnsi="宋体" w:eastAsia="宋体"/>
                <w:b w:val="0"/>
                <w:color w:val="auto"/>
                <w:sz w:val="24"/>
                <w:highlight w:val="none"/>
                <w:u w:val="single"/>
                <w:lang w:val="en-US" w:eastAsia="zh-CN"/>
              </w:rPr>
              <w:t xml:space="preserve"> </w:t>
            </w:r>
            <w:r>
              <w:rPr>
                <w:rFonts w:ascii="宋体" w:hAnsi="宋体" w:eastAsia="宋体"/>
                <w:b w:val="0"/>
                <w:color w:val="auto"/>
                <w:sz w:val="24"/>
                <w:highlight w:val="none"/>
                <w:u w:val="single"/>
              </w:rPr>
              <w:t>个包</w:t>
            </w:r>
            <w:r>
              <w:rPr>
                <w:rFonts w:hint="eastAsia" w:ascii="宋体" w:hAnsi="宋体" w:eastAsia="宋体"/>
                <w:b w:val="0"/>
                <w:color w:val="auto"/>
                <w:sz w:val="24"/>
                <w:highlight w:val="none"/>
                <w:u w:val="single"/>
                <w:lang w:eastAsia="zh-CN"/>
              </w:rPr>
              <w:t>。</w:t>
            </w:r>
          </w:p>
        </w:tc>
      </w:tr>
      <w:tr w14:paraId="63D3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032" w:type="dxa"/>
            <w:vAlign w:val="center"/>
          </w:tcPr>
          <w:p w14:paraId="165A3B48">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1594" w:type="dxa"/>
            <w:vAlign w:val="center"/>
          </w:tcPr>
          <w:p w14:paraId="1EA0EC1C">
            <w:pPr>
              <w:pStyle w:val="48"/>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6339" w:type="dxa"/>
            <w:vAlign w:val="center"/>
          </w:tcPr>
          <w:p w14:paraId="1E8EB56E">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1466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32A03959">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1594" w:type="dxa"/>
            <w:vAlign w:val="center"/>
          </w:tcPr>
          <w:p w14:paraId="47C4C95F">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6339" w:type="dxa"/>
            <w:vAlign w:val="center"/>
          </w:tcPr>
          <w:p w14:paraId="636E2AA2">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90 </w:t>
            </w:r>
            <w:r>
              <w:rPr>
                <w:rFonts w:hint="eastAsia" w:ascii="宋体" w:hAnsi="宋体" w:eastAsia="宋体"/>
                <w:b w:val="0"/>
                <w:color w:val="auto"/>
                <w:sz w:val="24"/>
                <w:highlight w:val="none"/>
              </w:rPr>
              <w:t>日历日</w:t>
            </w:r>
          </w:p>
        </w:tc>
      </w:tr>
      <w:tr w14:paraId="690A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3BBBDA3C">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13</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594" w:type="dxa"/>
            <w:vAlign w:val="center"/>
          </w:tcPr>
          <w:p w14:paraId="30AFFDB9">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6339" w:type="dxa"/>
            <w:vAlign w:val="center"/>
          </w:tcPr>
          <w:p w14:paraId="6AA57872">
            <w:pPr>
              <w:pStyle w:val="48"/>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投标截止时间后</w:t>
            </w:r>
            <w:r>
              <w:rPr>
                <w:rFonts w:hint="eastAsia" w:ascii="宋体" w:hAnsi="宋体" w:eastAsia="宋体"/>
                <w:b w:val="0"/>
                <w:color w:val="auto"/>
                <w:sz w:val="24"/>
                <w:highlight w:val="none"/>
                <w:u w:val="single"/>
              </w:rPr>
              <w:t xml:space="preserve"> 60 </w:t>
            </w:r>
            <w:r>
              <w:rPr>
                <w:rFonts w:hint="eastAsia" w:ascii="宋体" w:hAnsi="宋体" w:eastAsia="宋体"/>
                <w:b w:val="0"/>
                <w:color w:val="auto"/>
                <w:sz w:val="24"/>
                <w:highlight w:val="none"/>
              </w:rPr>
              <w:t>分钟内</w:t>
            </w:r>
          </w:p>
        </w:tc>
      </w:tr>
      <w:tr w14:paraId="791D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5A17F38B">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14.1</w:t>
            </w:r>
          </w:p>
        </w:tc>
        <w:tc>
          <w:tcPr>
            <w:tcW w:w="1594" w:type="dxa"/>
            <w:vAlign w:val="center"/>
          </w:tcPr>
          <w:p w14:paraId="63E6FE1A">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6339" w:type="dxa"/>
            <w:vAlign w:val="center"/>
          </w:tcPr>
          <w:p w14:paraId="2FAF06C9">
            <w:pPr>
              <w:pStyle w:val="48"/>
              <w:widowControl w:val="0"/>
              <w:spacing w:before="0" w:beforeAutospacing="0" w:after="0" w:afterAutospacing="0" w:line="360" w:lineRule="auto"/>
              <w:jc w:val="both"/>
              <w:rPr>
                <w:rFonts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68A4109A">
            <w:pPr>
              <w:pStyle w:val="48"/>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8A6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09DAA216">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1594" w:type="dxa"/>
            <w:vAlign w:val="center"/>
          </w:tcPr>
          <w:p w14:paraId="2388D1AD">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6339" w:type="dxa"/>
            <w:vAlign w:val="center"/>
          </w:tcPr>
          <w:p w14:paraId="52E0AFB7">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10C1DF78">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4441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2C35A34B">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.3</w:t>
            </w:r>
          </w:p>
        </w:tc>
        <w:tc>
          <w:tcPr>
            <w:tcW w:w="1594" w:type="dxa"/>
            <w:vAlign w:val="center"/>
          </w:tcPr>
          <w:p w14:paraId="20C63AE8">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6FCE94C5">
            <w:pPr>
              <w:pStyle w:val="48"/>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6339" w:type="dxa"/>
            <w:vAlign w:val="center"/>
          </w:tcPr>
          <w:p w14:paraId="632E3623">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Cs w:val="0"/>
                <w:color w:val="auto"/>
                <w:sz w:val="24"/>
                <w:highlight w:val="none"/>
              </w:rPr>
              <w:t>对小型和微型企业产品的价格给予10%的扣除后参与评审</w:t>
            </w:r>
            <w:r>
              <w:rPr>
                <w:rFonts w:hint="eastAsia" w:ascii="宋体" w:hAnsi="宋体" w:eastAsia="宋体"/>
                <w:b w:val="0"/>
                <w:color w:val="auto"/>
                <w:sz w:val="24"/>
                <w:highlight w:val="none"/>
              </w:rPr>
              <w:t>。</w:t>
            </w:r>
          </w:p>
          <w:p w14:paraId="7EDFBE31">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68906A10">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0741E938">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p>
          <w:p w14:paraId="069CB10F">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1FEC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17CAE6ED">
            <w:pPr>
              <w:pStyle w:val="49"/>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17.4</w:t>
            </w:r>
          </w:p>
        </w:tc>
        <w:tc>
          <w:tcPr>
            <w:tcW w:w="1594" w:type="dxa"/>
            <w:vAlign w:val="center"/>
          </w:tcPr>
          <w:p w14:paraId="5E09CBDE">
            <w:pPr>
              <w:spacing w:line="360" w:lineRule="auto"/>
              <w:rPr>
                <w:rFonts w:ascii="宋体" w:hAnsi="宋体" w:eastAsia="宋体"/>
                <w:i/>
                <w:color w:val="auto"/>
                <w:sz w:val="24"/>
                <w:highlight w:val="none"/>
              </w:rPr>
            </w:pPr>
            <w:r>
              <w:rPr>
                <w:rFonts w:hint="eastAsia" w:ascii="宋体" w:hAnsi="宋体" w:eastAsia="宋体"/>
                <w:color w:val="auto"/>
                <w:sz w:val="24"/>
                <w:highlight w:val="none"/>
              </w:rPr>
              <w:t>本国产品价格扣除</w:t>
            </w:r>
            <w:r>
              <w:rPr>
                <w:rFonts w:hint="eastAsia" w:ascii="宋体" w:hAnsi="宋体" w:eastAsia="宋体" w:cs="Times New Roman"/>
                <w:i/>
                <w:iCs/>
                <w:color w:val="auto"/>
                <w:sz w:val="24"/>
                <w:highlight w:val="none"/>
              </w:rPr>
              <w:t>（适用于</w:t>
            </w:r>
            <w:r>
              <w:rPr>
                <w:rFonts w:hint="eastAsia" w:ascii="宋体" w:hAnsi="宋体" w:eastAsia="宋体" w:cs="宋体"/>
                <w:i/>
                <w:iCs/>
                <w:color w:val="auto"/>
                <w:sz w:val="24"/>
                <w:szCs w:val="24"/>
                <w:highlight w:val="none"/>
                <w:shd w:val="clear" w:color="auto" w:fill="FFFFFF"/>
              </w:rPr>
              <w:t>既有本国产品又有非本国产品参与竞争的货物项目</w:t>
            </w:r>
            <w:r>
              <w:rPr>
                <w:rFonts w:hint="eastAsia" w:ascii="宋体" w:hAnsi="宋体" w:eastAsia="宋体" w:cs="Times New Roman"/>
                <w:i/>
                <w:iCs/>
                <w:color w:val="auto"/>
                <w:sz w:val="24"/>
                <w:highlight w:val="none"/>
              </w:rPr>
              <w:t>）</w:t>
            </w:r>
          </w:p>
        </w:tc>
        <w:tc>
          <w:tcPr>
            <w:tcW w:w="6339" w:type="dxa"/>
            <w:vAlign w:val="center"/>
          </w:tcPr>
          <w:p w14:paraId="38DEDF36">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（1）项目或者采购包中采购内容为单一产品的，既有本国产品又有非本国产品参与竞争的，对本国产品给予价格扣除</w:t>
            </w:r>
            <w:r>
              <w:rPr>
                <w:rFonts w:hint="eastAsia" w:ascii="宋体" w:hAnsi="宋体" w:eastAsia="宋体"/>
                <w:b w:val="0"/>
                <w:color w:val="auto"/>
                <w:sz w:val="24"/>
                <w:highlight w:val="none"/>
                <w:u w:val="single"/>
              </w:rPr>
              <w:t>20%</w:t>
            </w:r>
            <w:r>
              <w:rPr>
                <w:rFonts w:hint="eastAsia" w:ascii="宋体" w:hAnsi="宋体" w:eastAsia="宋体"/>
                <w:b w:val="0"/>
                <w:color w:val="auto"/>
                <w:sz w:val="24"/>
                <w:highlight w:val="none"/>
              </w:rPr>
              <w:t>。</w:t>
            </w:r>
          </w:p>
          <w:p w14:paraId="5925F31B">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（2）项目或者采购包中含有多种产品的，符合本国产品标准的产品成本之和占该投标人提供的全部产品成本之和的比例≥80%，所有产品价格扣除</w:t>
            </w:r>
            <w:r>
              <w:rPr>
                <w:rFonts w:hint="eastAsia" w:ascii="宋体" w:hAnsi="宋体" w:eastAsia="宋体"/>
                <w:b w:val="0"/>
                <w:color w:val="auto"/>
                <w:sz w:val="24"/>
                <w:highlight w:val="none"/>
                <w:u w:val="single"/>
              </w:rPr>
              <w:t>20%</w:t>
            </w:r>
            <w:r>
              <w:rPr>
                <w:rFonts w:hint="eastAsia" w:ascii="宋体" w:hAnsi="宋体" w:eastAsia="宋体"/>
                <w:b w:val="0"/>
                <w:color w:val="auto"/>
                <w:sz w:val="24"/>
                <w:highlight w:val="none"/>
              </w:rPr>
              <w:t>。</w:t>
            </w:r>
          </w:p>
        </w:tc>
      </w:tr>
      <w:tr w14:paraId="0A5A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45736BB5">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594" w:type="dxa"/>
            <w:vAlign w:val="center"/>
          </w:tcPr>
          <w:p w14:paraId="77F7C63B">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6339" w:type="dxa"/>
            <w:vAlign w:val="center"/>
          </w:tcPr>
          <w:p w14:paraId="777CD093">
            <w:pPr>
              <w:pStyle w:val="48"/>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评</w:t>
            </w:r>
            <w:r>
              <w:rPr>
                <w:rFonts w:hint="eastAsia" w:ascii="宋体" w:hAnsi="宋体" w:eastAsia="宋体"/>
                <w:b w:val="0"/>
                <w:color w:val="auto"/>
                <w:sz w:val="24"/>
                <w:highlight w:val="none"/>
              </w:rPr>
              <w:t>标委员会推荐3名中标候选人</w:t>
            </w:r>
          </w:p>
        </w:tc>
      </w:tr>
      <w:tr w14:paraId="4A25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4C7D54D6">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594" w:type="dxa"/>
            <w:vAlign w:val="center"/>
          </w:tcPr>
          <w:p w14:paraId="7F2C7725">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6339" w:type="dxa"/>
            <w:vAlign w:val="center"/>
          </w:tcPr>
          <w:p w14:paraId="67E3CBBD">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290BF0E5">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7871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155BBC81">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rPr>
              <w:t>3</w:t>
            </w:r>
            <w:r>
              <w:rPr>
                <w:rFonts w:ascii="宋体" w:hAnsi="宋体" w:eastAsia="宋体"/>
                <w:bCs/>
                <w:color w:val="auto"/>
                <w:kern w:val="2"/>
                <w:highlight w:val="none"/>
              </w:rPr>
              <w:t>.3</w:t>
            </w:r>
          </w:p>
        </w:tc>
        <w:tc>
          <w:tcPr>
            <w:tcW w:w="1594" w:type="dxa"/>
            <w:vAlign w:val="center"/>
          </w:tcPr>
          <w:p w14:paraId="7B5B63B2">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随中标结果公告同时公告的内容</w:t>
            </w:r>
          </w:p>
        </w:tc>
        <w:tc>
          <w:tcPr>
            <w:tcW w:w="6339" w:type="dxa"/>
            <w:vAlign w:val="center"/>
          </w:tcPr>
          <w:p w14:paraId="7C0CA4C3">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（1）中小企业声明函；</w:t>
            </w:r>
            <w:r>
              <w:rPr>
                <w:rFonts w:hint="eastAsia" w:ascii="宋体" w:hAnsi="宋体" w:eastAsia="宋体"/>
                <w:b w:val="0"/>
                <w:i/>
                <w:iCs/>
                <w:color w:val="auto"/>
                <w:sz w:val="24"/>
                <w:highlight w:val="none"/>
              </w:rPr>
              <w:t>（如有）</w:t>
            </w:r>
          </w:p>
          <w:p w14:paraId="0C19CBD9">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（2）残疾人福利性单位声明函；</w:t>
            </w:r>
            <w:r>
              <w:rPr>
                <w:rFonts w:hint="eastAsia" w:ascii="宋体" w:hAnsi="宋体" w:eastAsia="宋体"/>
                <w:b w:val="0"/>
                <w:i/>
                <w:iCs/>
                <w:color w:val="auto"/>
                <w:sz w:val="24"/>
                <w:highlight w:val="none"/>
              </w:rPr>
              <w:t>（如有）</w:t>
            </w:r>
          </w:p>
          <w:p w14:paraId="54ADF2D0">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（3）中标（成交）供应商的评审总得分</w:t>
            </w:r>
          </w:p>
          <w:p w14:paraId="3048EB22">
            <w:pPr>
              <w:pStyle w:val="48"/>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rPr>
              <w:t>（4）</w:t>
            </w:r>
            <w:r>
              <w:rPr>
                <w:rFonts w:hint="eastAsia" w:ascii="宋体" w:hAnsi="宋体" w:eastAsia="宋体"/>
                <w:b w:val="0"/>
                <w:bCs w:val="0"/>
                <w:color w:val="auto"/>
                <w:sz w:val="24"/>
                <w:szCs w:val="20"/>
                <w:highlight w:val="none"/>
              </w:rPr>
              <w:t>符合本国产品标准的声明函；</w:t>
            </w:r>
            <w:r>
              <w:rPr>
                <w:rFonts w:hint="eastAsia" w:ascii="宋体" w:hAnsi="宋体" w:eastAsia="宋体"/>
                <w:b w:val="0"/>
                <w:bCs w:val="0"/>
                <w:i/>
                <w:iCs/>
                <w:color w:val="auto"/>
                <w:sz w:val="24"/>
                <w:szCs w:val="20"/>
                <w:highlight w:val="none"/>
              </w:rPr>
              <w:t>（如有）</w:t>
            </w:r>
          </w:p>
        </w:tc>
      </w:tr>
      <w:tr w14:paraId="60EE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2B02FBFB">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1594" w:type="dxa"/>
            <w:vAlign w:val="center"/>
          </w:tcPr>
          <w:p w14:paraId="2C89850E">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6339" w:type="dxa"/>
            <w:vAlign w:val="center"/>
          </w:tcPr>
          <w:p w14:paraId="32C23EC2">
            <w:pPr>
              <w:pStyle w:val="48"/>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7185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325A5080">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1594" w:type="dxa"/>
            <w:vAlign w:val="center"/>
          </w:tcPr>
          <w:p w14:paraId="4DCF193D">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6339" w:type="dxa"/>
            <w:vAlign w:val="center"/>
          </w:tcPr>
          <w:p w14:paraId="1D0811BA">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color w:val="auto"/>
                <w:sz w:val="24"/>
                <w:szCs w:val="24"/>
                <w:highlight w:val="none"/>
              </w:rPr>
              <w:t>交易</w:t>
            </w:r>
            <w:r>
              <w:rPr>
                <w:rFonts w:hint="eastAsia" w:asciiTheme="minorEastAsia" w:hAnsiTheme="minorEastAsia" w:eastAsiaTheme="minorEastAsia"/>
                <w:color w:val="auto"/>
                <w:kern w:val="0"/>
                <w:sz w:val="24"/>
                <w:szCs w:val="24"/>
                <w:highlight w:val="none"/>
              </w:rPr>
              <w:t>系统查看</w:t>
            </w:r>
          </w:p>
          <w:p w14:paraId="599CDADF">
            <w:pPr>
              <w:pStyle w:val="48"/>
              <w:widowControl w:val="0"/>
              <w:spacing w:before="0" w:beforeAutospacing="0" w:after="0" w:afterAutospacing="0" w:line="360" w:lineRule="auto"/>
              <w:jc w:val="both"/>
              <w:rPr>
                <w:rFonts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tc>
      </w:tr>
      <w:tr w14:paraId="3130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32" w:type="dxa"/>
            <w:vAlign w:val="center"/>
          </w:tcPr>
          <w:p w14:paraId="271C4728">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1594" w:type="dxa"/>
            <w:vAlign w:val="center"/>
          </w:tcPr>
          <w:p w14:paraId="02E28481">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6339" w:type="dxa"/>
          </w:tcPr>
          <w:p w14:paraId="4701FA77">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31F28A84">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40B8A7EB">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☑合同价的</w:t>
            </w:r>
            <w:r>
              <w:rPr>
                <w:rFonts w:hint="eastAsia" w:ascii="宋体" w:hAnsi="宋体" w:eastAsia="宋体"/>
                <w:bCs/>
                <w:color w:val="auto"/>
                <w:kern w:val="0"/>
                <w:sz w:val="24"/>
                <w:szCs w:val="28"/>
                <w:highlight w:val="none"/>
                <w:u w:val="single"/>
              </w:rPr>
              <w:t>2.5</w:t>
            </w:r>
            <w:r>
              <w:rPr>
                <w:rFonts w:ascii="宋体" w:hAnsi="宋体" w:eastAsia="宋体"/>
                <w:bCs/>
                <w:color w:val="auto"/>
                <w:kern w:val="0"/>
                <w:sz w:val="24"/>
                <w:szCs w:val="28"/>
                <w:highlight w:val="none"/>
              </w:rPr>
              <w:t>%</w:t>
            </w:r>
          </w:p>
          <w:p w14:paraId="070EC488">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5C9646E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0C2C1B2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319DF2A">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另行通知    </w:t>
            </w:r>
            <w:r>
              <w:rPr>
                <w:rFonts w:hint="eastAsia" w:ascii="宋体" w:hAnsi="宋体" w:eastAsia="宋体"/>
                <w:bCs/>
                <w:color w:val="auto"/>
                <w:kern w:val="0"/>
                <w:sz w:val="24"/>
                <w:szCs w:val="28"/>
                <w:highlight w:val="none"/>
              </w:rPr>
              <w:t xml:space="preserve">         </w:t>
            </w:r>
          </w:p>
          <w:p w14:paraId="629312B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另行通知</w:t>
            </w:r>
          </w:p>
          <w:p w14:paraId="3F42DD9D">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highlight w:val="none"/>
              </w:rPr>
              <w:t>退还时间：</w:t>
            </w:r>
            <w:r>
              <w:rPr>
                <w:rFonts w:hint="eastAsia" w:ascii="宋体" w:hAnsi="宋体" w:eastAsia="宋体"/>
                <w:color w:val="auto"/>
                <w:sz w:val="24"/>
                <w:highlight w:val="none"/>
                <w:u w:val="single"/>
              </w:rPr>
              <w:t>验收合格后 7 个工作日内一次性退还</w:t>
            </w:r>
          </w:p>
          <w:p w14:paraId="033C9AA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706424D">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62A55F2">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565E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32" w:type="dxa"/>
            <w:vAlign w:val="center"/>
          </w:tcPr>
          <w:p w14:paraId="1B1BCEF7">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1594" w:type="dxa"/>
            <w:vAlign w:val="center"/>
          </w:tcPr>
          <w:p w14:paraId="14DFA7CF">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6339" w:type="dxa"/>
          </w:tcPr>
          <w:p w14:paraId="63356E03">
            <w:pPr>
              <w:pStyle w:val="22"/>
              <w:widowControl/>
              <w:spacing w:before="0" w:beforeAutospacing="0" w:after="0" w:afterAutospacing="0"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（1）采购人与中标人应当自发出中标通知书之日起7个工作日内签订合同，采购合同签订之日起2个工作日内完成政府采购合同公开。</w:t>
            </w:r>
          </w:p>
          <w:p w14:paraId="13CA63AD">
            <w:pPr>
              <w:pStyle w:val="22"/>
              <w:widowControl/>
              <w:spacing w:before="0" w:beforeAutospacing="0" w:after="0" w:afterAutospacing="0" w:line="360" w:lineRule="auto"/>
              <w:rPr>
                <w:rFonts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ascii="宋体" w:hAnsi="宋体" w:eastAsia="宋体" w:cs="宋体"/>
                <w:color w:val="auto"/>
                <w:szCs w:val="24"/>
                <w:highlight w:val="none"/>
              </w:rPr>
              <w:t>不得擅自变更合同，依照政府采购法确需变更政府采购合同内容的，采购人应当自合同变更之日起2个工作日内</w:t>
            </w:r>
            <w:r>
              <w:rPr>
                <w:rFonts w:hint="eastAsia" w:ascii="宋体" w:hAnsi="宋体" w:eastAsia="宋体" w:cs="宋体"/>
                <w:color w:val="auto"/>
                <w:szCs w:val="24"/>
                <w:highlight w:val="none"/>
              </w:rPr>
              <w:t>在安徽省政府采购网</w:t>
            </w:r>
            <w:r>
              <w:rPr>
                <w:rFonts w:ascii="宋体" w:hAnsi="宋体" w:eastAsia="宋体" w:cs="宋体"/>
                <w:color w:val="auto"/>
                <w:szCs w:val="24"/>
                <w:highlight w:val="none"/>
              </w:rPr>
              <w:t>发布政府采购合同变更公告</w:t>
            </w:r>
            <w:r>
              <w:rPr>
                <w:rFonts w:hint="eastAsia" w:ascii="宋体" w:hAnsi="宋体" w:eastAsia="宋体" w:cs="宋体"/>
                <w:color w:val="auto"/>
                <w:szCs w:val="24"/>
                <w:highlight w:val="none"/>
              </w:rPr>
              <w:t>，</w:t>
            </w:r>
            <w:r>
              <w:rPr>
                <w:rFonts w:ascii="宋体" w:hAnsi="宋体" w:eastAsia="宋体" w:cs="宋体"/>
                <w:color w:val="auto"/>
                <w:szCs w:val="24"/>
                <w:highlight w:val="none"/>
              </w:rPr>
              <w:t>但涉及国家秘密、商业秘密的信息和其他依法不得公开的信息除外。</w:t>
            </w:r>
          </w:p>
        </w:tc>
      </w:tr>
      <w:tr w14:paraId="1AF1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06D191F7">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1594" w:type="dxa"/>
            <w:vAlign w:val="center"/>
          </w:tcPr>
          <w:p w14:paraId="30D962DC">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6339" w:type="dxa"/>
            <w:vAlign w:val="center"/>
          </w:tcPr>
          <w:p w14:paraId="1EB25942">
            <w:pPr>
              <w:spacing w:before="39" w:line="360" w:lineRule="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3B16E975">
            <w:pPr>
              <w:spacing w:before="24" w:line="360" w:lineRule="auto"/>
              <w:rPr>
                <w:rFonts w:hint="default" w:ascii="宋体" w:hAnsi="宋体" w:eastAsia="宋体"/>
                <w:bCs/>
                <w:color w:val="auto"/>
                <w:kern w:val="0"/>
                <w:sz w:val="24"/>
                <w:szCs w:val="28"/>
                <w:highlight w:val="none"/>
                <w:u w:val="single"/>
                <w:lang w:val="en-US" w:eastAsia="zh-CN"/>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银行转账</w:t>
            </w:r>
          </w:p>
          <w:p w14:paraId="7906F4FB">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ascii="宋体" w:hAnsi="宋体" w:eastAsia="宋体"/>
                <w:b w:val="0"/>
                <w:color w:val="auto"/>
                <w:sz w:val="24"/>
                <w:highlight w:val="none"/>
                <w:u w:val="single"/>
              </w:rPr>
              <w:t>参考计价格【2002】1980号文件规定的</w:t>
            </w:r>
            <w:r>
              <w:rPr>
                <w:rFonts w:hint="eastAsia" w:ascii="宋体" w:hAnsi="宋体" w:eastAsia="宋体"/>
                <w:b w:val="0"/>
                <w:color w:val="auto"/>
                <w:sz w:val="24"/>
                <w:highlight w:val="none"/>
                <w:u w:val="single"/>
              </w:rPr>
              <w:t>50</w:t>
            </w:r>
            <w:r>
              <w:rPr>
                <w:rFonts w:ascii="宋体" w:hAnsi="宋体" w:eastAsia="宋体"/>
                <w:b w:val="0"/>
                <w:color w:val="auto"/>
                <w:sz w:val="24"/>
                <w:highlight w:val="none"/>
                <w:u w:val="single"/>
              </w:rPr>
              <w:t>%（</w:t>
            </w:r>
            <w:r>
              <w:rPr>
                <w:rFonts w:hint="eastAsia" w:ascii="宋体" w:hAnsi="宋体" w:eastAsia="宋体"/>
                <w:b w:val="0"/>
                <w:color w:val="auto"/>
                <w:sz w:val="24"/>
                <w:highlight w:val="none"/>
                <w:u w:val="single"/>
                <w:lang w:val="en-US" w:eastAsia="zh-CN"/>
              </w:rPr>
              <w:t>4500</w:t>
            </w:r>
            <w:r>
              <w:rPr>
                <w:rFonts w:ascii="宋体" w:hAnsi="宋体" w:eastAsia="宋体"/>
                <w:b w:val="0"/>
                <w:color w:val="auto"/>
                <w:sz w:val="24"/>
                <w:highlight w:val="none"/>
                <w:u w:val="single"/>
              </w:rPr>
              <w:t>元）</w:t>
            </w:r>
          </w:p>
        </w:tc>
      </w:tr>
      <w:tr w14:paraId="596D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3609F1D5">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1594" w:type="dxa"/>
            <w:vAlign w:val="center"/>
          </w:tcPr>
          <w:p w14:paraId="368F3E83">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6339" w:type="dxa"/>
            <w:vAlign w:val="center"/>
          </w:tcPr>
          <w:p w14:paraId="305E0208">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供应商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2180A99A">
            <w:pPr>
              <w:pStyle w:val="48"/>
              <w:widowControl w:val="0"/>
              <w:spacing w:before="0" w:beforeAutospacing="0" w:after="0" w:afterAutospacing="0" w:line="360" w:lineRule="auto"/>
              <w:jc w:val="both"/>
              <w:rPr>
                <w:rFonts w:hint="eastAsia" w:ascii="宋体" w:hAnsi="宋体" w:eastAsia="宋体" w:cs="宋体"/>
                <w:b w:val="0"/>
                <w:bCs w:val="0"/>
                <w:color w:val="auto"/>
                <w:sz w:val="24"/>
                <w:szCs w:val="24"/>
                <w:highlight w:val="none"/>
                <w:u w:val="single"/>
                <w:lang w:eastAsia="zh-CN"/>
              </w:rPr>
            </w:pPr>
            <w:r>
              <w:rPr>
                <w:rFonts w:hint="eastAsia" w:ascii="宋体" w:hAnsi="宋体" w:eastAsia="宋体"/>
                <w:b w:val="0"/>
                <w:color w:val="auto"/>
                <w:sz w:val="24"/>
                <w:highlight w:val="none"/>
              </w:rPr>
              <w:t>接收部门：</w:t>
            </w:r>
            <w:r>
              <w:rPr>
                <w:rFonts w:hint="eastAsia" w:ascii="宋体" w:hAnsi="宋体" w:eastAsia="宋体" w:cs="宋体"/>
                <w:b w:val="0"/>
                <w:bCs w:val="0"/>
                <w:color w:val="auto"/>
                <w:sz w:val="24"/>
                <w:szCs w:val="24"/>
                <w:highlight w:val="none"/>
                <w:u w:val="single"/>
                <w:lang w:eastAsia="zh-CN"/>
              </w:rPr>
              <w:t>滁州市琅琊区应急管理局</w:t>
            </w:r>
            <w:r>
              <w:rPr>
                <w:rFonts w:hint="eastAsia" w:ascii="宋体" w:hAnsi="宋体" w:eastAsia="宋体" w:cs="宋体"/>
                <w:b w:val="0"/>
                <w:bCs w:val="0"/>
                <w:color w:val="auto"/>
                <w:sz w:val="24"/>
                <w:szCs w:val="24"/>
                <w:highlight w:val="none"/>
                <w:u w:val="single"/>
              </w:rPr>
              <w:t>、</w:t>
            </w:r>
            <w:r>
              <w:rPr>
                <w:rFonts w:hint="eastAsia" w:ascii="宋体" w:hAnsi="宋体" w:eastAsia="宋体" w:cs="宋体"/>
                <w:b w:val="0"/>
                <w:bCs w:val="0"/>
                <w:color w:val="auto"/>
                <w:sz w:val="24"/>
                <w:szCs w:val="24"/>
                <w:highlight w:val="none"/>
                <w:u w:val="single"/>
                <w:lang w:eastAsia="zh-CN"/>
              </w:rPr>
              <w:t>滁州市城投工程咨询管理有限公司</w:t>
            </w:r>
          </w:p>
          <w:p w14:paraId="5FF7315D">
            <w:pPr>
              <w:pStyle w:val="48"/>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cs="宋体"/>
                <w:b w:val="0"/>
                <w:color w:val="auto"/>
                <w:sz w:val="24"/>
                <w:szCs w:val="24"/>
                <w:highlight w:val="none"/>
                <w:u w:val="single"/>
                <w:lang w:eastAsia="zh-CN"/>
              </w:rPr>
              <w:t>18712014092</w:t>
            </w:r>
            <w:r>
              <w:rPr>
                <w:rFonts w:hint="eastAsia" w:ascii="宋体" w:hAnsi="宋体" w:eastAsia="宋体" w:cs="宋体"/>
                <w:b w:val="0"/>
                <w:color w:val="auto"/>
                <w:sz w:val="24"/>
                <w:szCs w:val="24"/>
                <w:highlight w:val="none"/>
                <w:u w:val="single"/>
              </w:rPr>
              <w:t>、0550-35</w:t>
            </w:r>
            <w:r>
              <w:rPr>
                <w:rFonts w:hint="eastAsia" w:ascii="宋体" w:hAnsi="宋体" w:eastAsia="宋体" w:cs="宋体"/>
                <w:b w:val="0"/>
                <w:color w:val="auto"/>
                <w:sz w:val="24"/>
                <w:szCs w:val="24"/>
                <w:highlight w:val="none"/>
                <w:u w:val="single"/>
                <w:lang w:val="en-US" w:eastAsia="zh-CN"/>
              </w:rPr>
              <w:t>1</w:t>
            </w:r>
            <w:r>
              <w:rPr>
                <w:rFonts w:hint="eastAsia" w:ascii="宋体" w:hAnsi="宋体" w:eastAsia="宋体" w:cs="宋体"/>
                <w:b w:val="0"/>
                <w:color w:val="auto"/>
                <w:sz w:val="24"/>
                <w:szCs w:val="24"/>
                <w:highlight w:val="none"/>
                <w:u w:val="single"/>
              </w:rPr>
              <w:t>9590</w:t>
            </w:r>
          </w:p>
          <w:p w14:paraId="292DB45F">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cs="宋体"/>
                <w:b w:val="0"/>
                <w:color w:val="auto"/>
                <w:sz w:val="24"/>
                <w:szCs w:val="24"/>
                <w:highlight w:val="none"/>
                <w:u w:val="single"/>
              </w:rPr>
              <w:t>滁州市琅琊区濠河路99号、滁州市龙蟠大道109号房产大厦</w:t>
            </w:r>
            <w:r>
              <w:rPr>
                <w:rFonts w:hint="eastAsia" w:ascii="宋体" w:hAnsi="宋体" w:eastAsia="宋体" w:cs="宋体"/>
                <w:b w:val="0"/>
                <w:color w:val="auto"/>
                <w:sz w:val="24"/>
                <w:szCs w:val="24"/>
                <w:highlight w:val="none"/>
                <w:u w:val="single"/>
                <w:lang w:val="en-US" w:eastAsia="zh-CN"/>
              </w:rPr>
              <w:t>6</w:t>
            </w:r>
            <w:r>
              <w:rPr>
                <w:rFonts w:hint="eastAsia" w:ascii="宋体" w:hAnsi="宋体" w:eastAsia="宋体" w:cs="宋体"/>
                <w:b w:val="0"/>
                <w:color w:val="auto"/>
                <w:sz w:val="24"/>
                <w:szCs w:val="24"/>
                <w:highlight w:val="none"/>
                <w:u w:val="single"/>
              </w:rPr>
              <w:t>楼</w:t>
            </w:r>
          </w:p>
        </w:tc>
      </w:tr>
      <w:tr w14:paraId="2034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32" w:type="dxa"/>
            <w:vAlign w:val="center"/>
          </w:tcPr>
          <w:p w14:paraId="57662717">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32</w:t>
            </w:r>
          </w:p>
        </w:tc>
        <w:tc>
          <w:tcPr>
            <w:tcW w:w="1594" w:type="dxa"/>
            <w:vAlign w:val="center"/>
          </w:tcPr>
          <w:p w14:paraId="04F68D3A">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6339" w:type="dxa"/>
            <w:vAlign w:val="center"/>
          </w:tcPr>
          <w:p w14:paraId="0194A4D1">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1、解释权：</w:t>
            </w:r>
          </w:p>
          <w:p w14:paraId="3E83A8F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5BF6BB3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23781E78">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5235A90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FA142CF">
            <w:pPr>
              <w:pStyle w:val="48"/>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（5）</w:t>
            </w:r>
            <w:r>
              <w:rPr>
                <w:rFonts w:asciiTheme="minorEastAsia" w:hAnsiTheme="minorEastAsia" w:eastAsiaTheme="minorEastAsia"/>
                <w:b w:val="0"/>
                <w:color w:val="auto"/>
                <w:kern w:val="2"/>
                <w:sz w:val="24"/>
                <w:szCs w:val="24"/>
                <w:highlight w:val="none"/>
              </w:rPr>
              <w:t>按本款前述规定仍不能形成结论的，由</w:t>
            </w:r>
            <w:r>
              <w:rPr>
                <w:rFonts w:hint="eastAsia" w:asciiTheme="minorEastAsia" w:hAnsiTheme="minorEastAsia" w:eastAsiaTheme="minorEastAsia"/>
                <w:b w:val="0"/>
                <w:color w:val="auto"/>
                <w:kern w:val="2"/>
                <w:sz w:val="24"/>
                <w:szCs w:val="24"/>
                <w:highlight w:val="none"/>
              </w:rPr>
              <w:t>采购</w:t>
            </w:r>
            <w:r>
              <w:rPr>
                <w:rFonts w:asciiTheme="minorEastAsia" w:hAnsiTheme="minorEastAsia" w:eastAsiaTheme="minorEastAsia"/>
                <w:b w:val="0"/>
                <w:color w:val="auto"/>
                <w:kern w:val="2"/>
                <w:sz w:val="24"/>
                <w:szCs w:val="24"/>
                <w:highlight w:val="none"/>
              </w:rPr>
              <w:t>人负责解释。</w:t>
            </w:r>
          </w:p>
          <w:p w14:paraId="188CE8E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70D08AF6">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left"/>
              <w:textAlignment w:val="auto"/>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3、电子保函指引：中标人可访问安徽省政府采购网“融资/保函”栏目，申请办理电子保函（包括：履约保函、预付款保函）。</w:t>
            </w:r>
          </w:p>
          <w:p w14:paraId="0B6FE86C">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left"/>
              <w:textAlignment w:val="auto"/>
              <w:rPr>
                <w:rFonts w:asciiTheme="minorEastAsia" w:hAnsiTheme="minorEastAsia" w:eastAsiaTheme="minorEastAsia"/>
                <w:b w:val="0"/>
                <w:color w:val="auto"/>
                <w:kern w:val="2"/>
                <w:sz w:val="24"/>
                <w:szCs w:val="24"/>
                <w:highlight w:val="none"/>
              </w:rPr>
            </w:pPr>
            <w:r>
              <w:rPr>
                <w:rFonts w:asciiTheme="minorEastAsia" w:hAnsiTheme="minorEastAsia" w:eastAsiaTheme="minorEastAsia"/>
                <w:b w:val="0"/>
                <w:color w:val="auto"/>
                <w:kern w:val="2"/>
                <w:sz w:val="24"/>
                <w:szCs w:val="24"/>
                <w:highlight w:val="none"/>
              </w:rPr>
              <w:t>4、部分可提供线下政采贷的金融机构</w:t>
            </w:r>
          </w:p>
          <w:p w14:paraId="5DC0D0F7">
            <w:pPr>
              <w:pStyle w:val="73"/>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琅琊区</w:t>
            </w:r>
          </w:p>
          <w:p w14:paraId="510C9DCD">
            <w:pPr>
              <w:pStyle w:val="73"/>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金融机构名称：滁州皖东农村商业银行城中支行</w:t>
            </w:r>
          </w:p>
          <w:p w14:paraId="20E3D190">
            <w:pPr>
              <w:pStyle w:val="73"/>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地址：滁州经济技术开发区清流西路248号</w:t>
            </w:r>
          </w:p>
          <w:p w14:paraId="19CC1C5F">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left"/>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联系人及电话：杨行长 13855011150 刘经理 18019805345</w:t>
            </w:r>
          </w:p>
          <w:p w14:paraId="24CC93C4">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left"/>
              <w:textAlignment w:val="auto"/>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5、特别提示：</w:t>
            </w:r>
          </w:p>
          <w:p w14:paraId="574D7D6D">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left"/>
              <w:textAlignment w:val="auto"/>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52D1936A">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4D113B06">
            <w:pPr>
              <w:pStyle w:val="48"/>
              <w:widowControl w:val="0"/>
              <w:wordWrap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p>
          <w:p w14:paraId="29123623">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3AB3B834">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 xml:space="preserve">（4）投标人应当用本单位CA数字证书制作投标文件，制作成功后进行投标文件上传。 </w:t>
            </w:r>
          </w:p>
          <w:p w14:paraId="1BAE746A">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0EB4D1F7">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49E7A0D6">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5611FCBF">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0B19FE69">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7F41BF82">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185CD55E">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6、评标过程中的澄清、说明或补正：</w:t>
            </w:r>
          </w:p>
          <w:p w14:paraId="3C72236E">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01C61A37">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27E86EFF">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7、同义词语：</w:t>
            </w:r>
          </w:p>
          <w:p w14:paraId="1AF6FD44">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  投标文件格式、附件1“关于联合惩戒失信行为 加强信用查询管理的通知”等章节中 “招标人”、“供应商”，等同于“采购人”、“投标人”。</w:t>
            </w:r>
          </w:p>
          <w:p w14:paraId="105ECEE8">
            <w:pPr>
              <w:pStyle w:val="48"/>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宋体" w:hAnsi="宋体" w:eastAsia="宋体" w:cs="宋体"/>
                <w:b w:val="0"/>
                <w:color w:val="auto"/>
                <w:kern w:val="2"/>
                <w:sz w:val="24"/>
                <w:szCs w:val="24"/>
                <w:highlight w:val="none"/>
              </w:rPr>
              <w:t>8、落实政府采购支持节能产品、环境标志产品政策。</w:t>
            </w:r>
          </w:p>
        </w:tc>
      </w:tr>
    </w:tbl>
    <w:p w14:paraId="11641F7B">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4" w:name="_Toc24882"/>
      <w:bookmarkStart w:id="25"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4"/>
      <w:bookmarkEnd w:id="25"/>
    </w:p>
    <w:p w14:paraId="4918622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477AACB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4841B37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1B8DB54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2670BD6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4E1F43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2075331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4B351BD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3</w:t>
      </w:r>
      <w:r>
        <w:rPr>
          <w:rFonts w:ascii="宋体" w:hAnsi="宋体" w:eastAsia="宋体"/>
          <w:color w:val="auto"/>
          <w:sz w:val="24"/>
          <w:highlight w:val="none"/>
        </w:rPr>
        <w:t>若</w:t>
      </w:r>
      <w:r>
        <w:rPr>
          <w:rFonts w:hint="eastAsia" w:ascii="宋体" w:hAnsi="宋体" w:eastAsia="宋体"/>
          <w:color w:val="auto"/>
          <w:sz w:val="24"/>
          <w:highlight w:val="none"/>
        </w:rPr>
        <w:t>采购需求</w:t>
      </w:r>
      <w:r>
        <w:rPr>
          <w:rFonts w:ascii="宋体" w:hAnsi="宋体" w:eastAsia="宋体"/>
          <w:color w:val="auto"/>
          <w:sz w:val="24"/>
          <w:highlight w:val="none"/>
        </w:rPr>
        <w:t>中写明允许采购进口产品，投标人应保证所投产品可履行合法报通关手续进入中国关境内。</w:t>
      </w:r>
    </w:p>
    <w:p w14:paraId="4F7A13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若采购需求中未写明允许采购进口产品，如投标人所投产品为进口产品，其投标将被认定为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9431EA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3EFCCB6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031438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39CBAA3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554E8E2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1B11EA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42F2B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73EBA13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3193C89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0D822E9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5641BDA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331694D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0459447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FA457D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0ECA4E9D">
      <w:pPr>
        <w:spacing w:line="360" w:lineRule="auto"/>
        <w:ind w:firstLine="435"/>
        <w:rPr>
          <w:rFonts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0236946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02E83C8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5.1招标文件包括下列内容：</w:t>
      </w:r>
    </w:p>
    <w:p w14:paraId="22673D0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6D9DC7B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5903082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645B954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2879D274">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648B7EE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56918C0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28B52C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496E7E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2EF598E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1EF8C12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48177F3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487921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69FC6E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141FB38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F37D136">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3B61C5C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30EE4A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40B581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E3DE92E">
      <w:pPr>
        <w:spacing w:line="360" w:lineRule="auto"/>
        <w:ind w:firstLine="435"/>
        <w:rPr>
          <w:rFonts w:asciiTheme="minorEastAsia" w:hAnsiTheme="minorEastAsia" w:eastAsiaTheme="minorEastAsia"/>
          <w:color w:val="auto"/>
          <w:sz w:val="24"/>
          <w:highlight w:val="none"/>
        </w:rPr>
      </w:pPr>
      <w:bookmarkStart w:id="26"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6"/>
    <w:p w14:paraId="782736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136ED7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1E3EDEE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6CFB2C2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7ADA7A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27" w:name="_Hlk11703583"/>
      <w:r>
        <w:rPr>
          <w:rFonts w:hint="eastAsia" w:asciiTheme="minorEastAsia" w:hAnsiTheme="minorEastAsia" w:eastAsiaTheme="minorEastAsia"/>
          <w:color w:val="auto"/>
          <w:sz w:val="24"/>
          <w:highlight w:val="none"/>
        </w:rPr>
        <w:t>等。</w:t>
      </w:r>
    </w:p>
    <w:bookmarkEnd w:id="27"/>
    <w:p w14:paraId="2A96F3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C0EEC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638524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05D7ED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47B364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83439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采购人不接受具有附加条件的报价。</w:t>
      </w:r>
    </w:p>
    <w:p w14:paraId="169C6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09CBC7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69C3851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0CD63A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1A208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102C00D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032A289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036481A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2.1投标人应当在招标公告规定的投标截止时间前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41CD9D4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0816DE6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705F2C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0E485E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095823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13.3采购人或采购代理机构将对开标过程进行记录，由参加开标的各投标人代表和相关工作人员签字确认，并存档备查。</w:t>
      </w:r>
    </w:p>
    <w:p w14:paraId="1562FE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11CCBAE6">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762AC23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616904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14E46AB0">
      <w:pPr>
        <w:spacing w:line="360" w:lineRule="auto"/>
        <w:ind w:firstLine="435"/>
        <w:rPr>
          <w:rFonts w:ascii="宋体" w:hAnsi="宋体" w:eastAsia="宋体" w:cs="宋体"/>
          <w:color w:val="auto"/>
          <w:sz w:val="24"/>
          <w:szCs w:val="24"/>
          <w:highlight w:val="none"/>
        </w:rPr>
      </w:pPr>
      <w:bookmarkStart w:id="28" w:name="_Hlk24663244"/>
      <w:r>
        <w:rPr>
          <w:rFonts w:hint="eastAsia" w:ascii="宋体" w:hAnsi="宋体" w:eastAsia="宋体" w:cs="宋体"/>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19DDAA9F">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7E75094">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8"/>
    <w:p w14:paraId="300B2E29">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14.3按照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37F6A00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B6705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0A5116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63DF2B4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rPr>
        <w:t>、</w:t>
      </w:r>
      <w:r>
        <w:rPr>
          <w:rFonts w:hint="eastAsia" w:ascii="宋体" w:hAnsi="宋体" w:eastAsia="宋体" w:cs="Times New Roman"/>
          <w:color w:val="auto"/>
          <w:sz w:val="24"/>
          <w:highlight w:val="none"/>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038D4E5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rPr>
        <w:t>、</w:t>
      </w:r>
      <w:r>
        <w:rPr>
          <w:rFonts w:hint="eastAsia" w:ascii="宋体" w:hAnsi="宋体" w:eastAsia="宋体" w:cs="Times New Roman"/>
          <w:color w:val="auto"/>
          <w:sz w:val="24"/>
          <w:highlight w:val="none"/>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5F0334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中载明核心产品，多家投标人提供的核心产品品牌相同的，按第</w:t>
      </w: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191043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200C960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1DE54E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00FFC1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6EA5EA4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6E187AF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5投标文件报价出现前后不一致的，按照下列规定修正：</w:t>
      </w:r>
    </w:p>
    <w:p w14:paraId="3C31E8FD">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61C3FF9C">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731EB60">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111F845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0124B58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853DCA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44457EE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3922A0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0074A2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59270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DE2EB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7576A3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637B4C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0C307A0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3AC5EC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55FCBD0E">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5BEDAD3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481BA6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17.1经符合性审查合格</w:t>
      </w:r>
      <w:r>
        <w:rPr>
          <w:rFonts w:hint="eastAsia" w:ascii="宋体" w:hAnsi="宋体" w:eastAsia="宋体" w:cs="Times New Roman"/>
          <w:color w:val="auto"/>
          <w:sz w:val="24"/>
          <w:highlight w:val="none"/>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7DE7F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5DD5CE11">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E4F4C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333BAC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2292362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5E34040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0C8B718A">
      <w:pPr>
        <w:pStyle w:val="48"/>
        <w:widowControl w:val="0"/>
        <w:spacing w:before="0" w:beforeAutospacing="0" w:after="0" w:afterAutospacing="0" w:line="360" w:lineRule="auto"/>
        <w:ind w:firstLine="480" w:firstLineChars="200"/>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5C8F6B4F">
      <w:pPr>
        <w:pStyle w:val="48"/>
        <w:widowControl w:val="0"/>
        <w:spacing w:before="0" w:beforeAutospacing="0" w:after="0" w:afterAutospacing="0" w:line="360" w:lineRule="auto"/>
        <w:ind w:firstLine="480" w:firstLineChars="200"/>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0514AE0A">
      <w:pPr>
        <w:pStyle w:val="48"/>
        <w:widowControl w:val="0"/>
        <w:spacing w:before="0" w:beforeAutospacing="0" w:after="0" w:afterAutospacing="0" w:line="360" w:lineRule="auto"/>
        <w:ind w:firstLine="240" w:firstLineChars="100"/>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5655E2C">
      <w:pPr>
        <w:pStyle w:val="48"/>
        <w:widowControl w:val="0"/>
        <w:spacing w:before="0" w:beforeAutospacing="0" w:after="0" w:afterAutospacing="0" w:line="360" w:lineRule="auto"/>
        <w:ind w:firstLine="240" w:firstLineChars="100"/>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17.5同时符合17.4和17.5的价格评审优惠时，评标价为投标报价分别扣除促进中小企业发展政策的价格评审优惠和本国产品支持政策的价格评审优惠后的价格。</w:t>
      </w:r>
    </w:p>
    <w:p w14:paraId="1CDA7BB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04C95B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3BD46B8B">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5F2E8EA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824AB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1D775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51C0D1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6D4270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28E4A9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color w:val="auto"/>
          <w:sz w:val="24"/>
          <w:szCs w:val="24"/>
          <w:highlight w:val="none"/>
        </w:rPr>
        <w:t>政府采购监督管理部门</w:t>
      </w:r>
      <w:r>
        <w:rPr>
          <w:rFonts w:hint="eastAsia" w:asciiTheme="minorEastAsia" w:hAnsiTheme="minorEastAsia" w:eastAsiaTheme="minorEastAsia"/>
          <w:color w:val="auto"/>
          <w:sz w:val="24"/>
          <w:highlight w:val="none"/>
        </w:rPr>
        <w:t>批准。</w:t>
      </w:r>
    </w:p>
    <w:p w14:paraId="6758386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3E7978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55005FD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0A6AC83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3D90273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5E3D7A7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779103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114E628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0726605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64B6D4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76AD38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E6CE18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6214587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4193EE5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632BFA5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92EC66D">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027F04A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5DE1AE2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35E3700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714CB2A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266F684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B00F02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0E0A832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445742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29435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6ACC19CA">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33063B0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113D4C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40D606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6DC11E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24CD0F3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27.4依据《政府采购促进中小企业发展管理办法》（财库〔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69CDA0F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10A645A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55CC0564">
      <w:pPr>
        <w:spacing w:line="360" w:lineRule="auto"/>
        <w:ind w:firstLine="437"/>
        <w:outlineLvl w:val="2"/>
        <w:rPr>
          <w:rFonts w:asciiTheme="minorEastAsia" w:hAnsiTheme="minorEastAsia" w:eastAsiaTheme="minorEastAsia"/>
          <w:b/>
          <w:color w:val="auto"/>
          <w:sz w:val="24"/>
          <w:highlight w:val="none"/>
        </w:rPr>
      </w:pPr>
      <w:bookmarkStart w:id="29" w:name="_Toc2583661"/>
      <w:bookmarkStart w:id="30" w:name="_Toc518923100"/>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29"/>
      <w:bookmarkEnd w:id="30"/>
    </w:p>
    <w:p w14:paraId="0EF7BDB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513627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25910DBA">
      <w:pPr>
        <w:spacing w:line="360" w:lineRule="auto"/>
        <w:ind w:firstLine="437"/>
        <w:outlineLvl w:val="2"/>
        <w:rPr>
          <w:rFonts w:asciiTheme="minorEastAsia" w:hAnsiTheme="minorEastAsia" w:eastAsiaTheme="minorEastAsia"/>
          <w:b/>
          <w:color w:val="auto"/>
          <w:sz w:val="24"/>
          <w:highlight w:val="none"/>
        </w:rPr>
      </w:pPr>
      <w:bookmarkStart w:id="31" w:name="_Toc518923101"/>
      <w:bookmarkStart w:id="32" w:name="_Toc2583662"/>
      <w:r>
        <w:rPr>
          <w:rFonts w:hint="eastAsia" w:asciiTheme="minorEastAsia" w:hAnsiTheme="minorEastAsia" w:eastAsiaTheme="minorEastAsia"/>
          <w:b/>
          <w:color w:val="auto"/>
          <w:sz w:val="24"/>
          <w:highlight w:val="none"/>
        </w:rPr>
        <w:t>30.人员回避</w:t>
      </w:r>
      <w:bookmarkEnd w:id="31"/>
      <w:bookmarkEnd w:id="32"/>
    </w:p>
    <w:p w14:paraId="48C86479">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AC34FD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1DBF6A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2E9239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AC57AC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45045F9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注：上述条款中所要求的书面形式包含通过电子交易系统递交方式。</w:t>
      </w:r>
    </w:p>
    <w:p w14:paraId="288DB2E5">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hint="eastAsia" w:asciiTheme="minorEastAsia" w:hAnsiTheme="minorEastAsia" w:eastAsiaTheme="minorEastAsia"/>
          <w:b/>
          <w:color w:val="auto"/>
          <w:sz w:val="24"/>
          <w:highlight w:val="none"/>
        </w:rPr>
        <w:t>.投诉</w:t>
      </w:r>
    </w:p>
    <w:p w14:paraId="2BE74EEC">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w:t>
      </w:r>
    </w:p>
    <w:p w14:paraId="530D06D4">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5C0F938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32.3政府采购监督管理部门在处理投诉事项期间，可以视具体情况书面通知采购人暂停采购活动，但暂停时间最长不得超过30日。</w:t>
      </w:r>
    </w:p>
    <w:p w14:paraId="78A9EB33">
      <w:pPr>
        <w:spacing w:line="360" w:lineRule="auto"/>
        <w:ind w:firstLine="437"/>
        <w:outlineLvl w:val="2"/>
        <w:rPr>
          <w:rFonts w:asciiTheme="minorEastAsia" w:hAnsiTheme="minorEastAsia" w:eastAsiaTheme="minorEastAsia"/>
          <w:b/>
          <w:color w:val="auto"/>
          <w:sz w:val="24"/>
          <w:highlight w:val="none"/>
        </w:rPr>
      </w:pPr>
      <w:r>
        <w:rPr>
          <w:rFonts w:hint="eastAsia" w:ascii="宋体" w:hAnsi="宋体" w:eastAsia="宋体" w:cs="宋体"/>
          <w:b/>
          <w:color w:val="auto"/>
          <w:sz w:val="24"/>
          <w:szCs w:val="24"/>
          <w:highlight w:val="none"/>
        </w:rPr>
        <w:t>33.</w:t>
      </w:r>
      <w:r>
        <w:rPr>
          <w:rFonts w:hint="eastAsia" w:asciiTheme="minorEastAsia" w:hAnsiTheme="minorEastAsia" w:eastAsiaTheme="minorEastAsia"/>
          <w:b/>
          <w:color w:val="auto"/>
          <w:sz w:val="24"/>
          <w:highlight w:val="none"/>
        </w:rPr>
        <w:t>需要补充的其他内容</w:t>
      </w:r>
    </w:p>
    <w:p w14:paraId="66136C40">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EA55A11">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87CF985">
      <w:pPr>
        <w:spacing w:line="360" w:lineRule="auto"/>
        <w:jc w:val="center"/>
        <w:outlineLvl w:val="0"/>
        <w:rPr>
          <w:rFonts w:asciiTheme="minorEastAsia" w:hAnsiTheme="minorEastAsia" w:eastAsiaTheme="minorEastAsia"/>
          <w:b/>
          <w:color w:val="auto"/>
          <w:sz w:val="28"/>
          <w:highlight w:val="none"/>
        </w:rPr>
      </w:pPr>
      <w:bookmarkStart w:id="33" w:name="_Toc10891"/>
      <w:r>
        <w:rPr>
          <w:rFonts w:hint="eastAsia" w:asciiTheme="minorEastAsia" w:hAnsiTheme="minorEastAsia" w:eastAsiaTheme="minorEastAsia"/>
          <w:b/>
          <w:color w:val="auto"/>
          <w:sz w:val="28"/>
          <w:highlight w:val="none"/>
        </w:rPr>
        <w:t>第三章  采购需求</w:t>
      </w:r>
      <w:bookmarkEnd w:id="33"/>
    </w:p>
    <w:p w14:paraId="7D7D37C2">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47D1028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85A514E">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18"/>
          <w:highlight w:val="none"/>
        </w:rPr>
        <w:t>：</w:t>
      </w:r>
    </w:p>
    <w:p w14:paraId="7BEDDE85">
      <w:pPr>
        <w:spacing w:line="360" w:lineRule="auto"/>
        <w:ind w:firstLine="435"/>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
          <w:bCs/>
          <w:color w:val="auto"/>
          <w:sz w:val="24"/>
          <w:szCs w:val="24"/>
          <w:highlight w:val="none"/>
        </w:rPr>
        <w:t>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F7E9591">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63CC240">
      <w:pPr>
        <w:spacing w:line="360" w:lineRule="auto"/>
        <w:ind w:firstLine="435"/>
        <w:rPr>
          <w:color w:val="auto"/>
          <w:highlight w:val="none"/>
        </w:rPr>
      </w:pPr>
      <w:r>
        <w:rPr>
          <w:rFonts w:hint="eastAsia" w:ascii="宋体" w:hAnsi="宋体" w:eastAsia="宋体" w:cs="宋体"/>
          <w:color w:val="auto"/>
          <w:sz w:val="24"/>
          <w:szCs w:val="24"/>
          <w:highlight w:val="none"/>
        </w:rPr>
        <w:t>3.</w:t>
      </w:r>
      <w:r>
        <w:rPr>
          <w:rFonts w:hint="eastAsia" w:ascii="宋体" w:hAnsi="宋体" w:eastAsia="宋体"/>
          <w:color w:val="auto"/>
          <w:sz w:val="24"/>
          <w:szCs w:val="18"/>
          <w:highlight w:val="none"/>
        </w:rPr>
        <w:t>如采购人允许采用分包方式履行合同的，应当明确可以分包履行的相关内容。</w:t>
      </w:r>
    </w:p>
    <w:p w14:paraId="43F504B7">
      <w:pPr>
        <w:spacing w:line="360" w:lineRule="auto"/>
        <w:ind w:firstLine="437"/>
        <w:outlineLvl w:val="1"/>
        <w:rPr>
          <w:rFonts w:ascii="宋体" w:hAnsi="宋体" w:eastAsia="宋体"/>
          <w:b/>
          <w:color w:val="auto"/>
          <w:sz w:val="24"/>
          <w:szCs w:val="18"/>
          <w:highlight w:val="none"/>
        </w:rPr>
      </w:pPr>
      <w:bookmarkStart w:id="34" w:name="_Toc32151"/>
      <w:bookmarkStart w:id="35" w:name="_Toc2554"/>
      <w:r>
        <w:rPr>
          <w:rFonts w:hint="eastAsia" w:ascii="宋体" w:hAnsi="宋体" w:eastAsia="宋体"/>
          <w:b/>
          <w:color w:val="auto"/>
          <w:sz w:val="24"/>
          <w:szCs w:val="18"/>
          <w:highlight w:val="none"/>
        </w:rPr>
        <w:t>一、采购需求前附表</w:t>
      </w:r>
      <w:bookmarkEnd w:id="34"/>
      <w:bookmarkEnd w:id="35"/>
    </w:p>
    <w:tbl>
      <w:tblPr>
        <w:tblStyle w:val="27"/>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755"/>
        <w:gridCol w:w="6839"/>
      </w:tblGrid>
      <w:tr w14:paraId="171E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8" w:type="dxa"/>
            <w:vAlign w:val="center"/>
          </w:tcPr>
          <w:p w14:paraId="29C2B6CD">
            <w:pPr>
              <w:pStyle w:val="4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cs="宋体"/>
                <w:b/>
                <w:color w:val="auto"/>
                <w:kern w:val="2"/>
                <w:highlight w:val="none"/>
              </w:rPr>
            </w:pPr>
            <w:r>
              <w:rPr>
                <w:rFonts w:hint="eastAsia" w:ascii="宋体" w:hAnsi="宋体" w:eastAsia="宋体" w:cs="宋体"/>
                <w:b/>
                <w:color w:val="auto"/>
                <w:kern w:val="2"/>
                <w:highlight w:val="none"/>
              </w:rPr>
              <w:t>序号</w:t>
            </w:r>
          </w:p>
        </w:tc>
        <w:tc>
          <w:tcPr>
            <w:tcW w:w="1755" w:type="dxa"/>
            <w:vAlign w:val="center"/>
          </w:tcPr>
          <w:p w14:paraId="2DEB938A">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6839" w:type="dxa"/>
            <w:vAlign w:val="center"/>
          </w:tcPr>
          <w:p w14:paraId="4187F065">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618A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768" w:type="dxa"/>
            <w:vAlign w:val="center"/>
          </w:tcPr>
          <w:p w14:paraId="7CFDDF4C">
            <w:pPr>
              <w:pStyle w:val="4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1755" w:type="dxa"/>
            <w:vAlign w:val="center"/>
          </w:tcPr>
          <w:p w14:paraId="326C6251">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6839" w:type="dxa"/>
            <w:vAlign w:val="center"/>
          </w:tcPr>
          <w:p w14:paraId="51E3C93B">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lang w:eastAsia="zh-CN"/>
              </w:rPr>
              <w:t>合同签订后</w:t>
            </w:r>
            <w:r>
              <w:rPr>
                <w:rFonts w:hint="eastAsia" w:ascii="宋体" w:hAnsi="宋体" w:eastAsia="宋体" w:cs="宋体"/>
                <w:b w:val="0"/>
                <w:color w:val="auto"/>
                <w:sz w:val="24"/>
                <w:highlight w:val="none"/>
                <w:lang w:val="en-US" w:eastAsia="zh-CN"/>
              </w:rPr>
              <w:t>7个工作日内支付</w:t>
            </w:r>
            <w:r>
              <w:rPr>
                <w:rFonts w:hint="eastAsia" w:ascii="宋体" w:hAnsi="宋体" w:eastAsia="宋体" w:cs="宋体"/>
                <w:b w:val="0"/>
                <w:color w:val="auto"/>
                <w:sz w:val="24"/>
                <w:highlight w:val="none"/>
                <w:lang w:eastAsia="zh-CN"/>
              </w:rPr>
              <w:t>合同价的40%预付款（预付款支付前，中标人须提供同等金额的见索即付保函），全部供货安装调试完毕并由采购人验收合格后，一次性付清合同款。</w:t>
            </w:r>
          </w:p>
        </w:tc>
      </w:tr>
      <w:tr w14:paraId="03FC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8" w:type="dxa"/>
            <w:vAlign w:val="center"/>
          </w:tcPr>
          <w:p w14:paraId="28715B64">
            <w:pPr>
              <w:pStyle w:val="4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1755" w:type="dxa"/>
            <w:vAlign w:val="center"/>
          </w:tcPr>
          <w:p w14:paraId="1FCBDB94">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供货及安装地点</w:t>
            </w:r>
          </w:p>
        </w:tc>
        <w:tc>
          <w:tcPr>
            <w:tcW w:w="6839" w:type="dxa"/>
            <w:vAlign w:val="center"/>
          </w:tcPr>
          <w:p w14:paraId="6AB384D8">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lang w:eastAsia="zh-CN"/>
              </w:rPr>
              <w:t>滁州市琅琊区应急管理局，采购人指定地点。</w:t>
            </w:r>
          </w:p>
        </w:tc>
      </w:tr>
      <w:tr w14:paraId="39E6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8" w:type="dxa"/>
            <w:vAlign w:val="center"/>
          </w:tcPr>
          <w:p w14:paraId="007B337D">
            <w:pPr>
              <w:pStyle w:val="4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3</w:t>
            </w:r>
          </w:p>
        </w:tc>
        <w:tc>
          <w:tcPr>
            <w:tcW w:w="1755" w:type="dxa"/>
            <w:vAlign w:val="center"/>
          </w:tcPr>
          <w:p w14:paraId="11730493">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供货及安装期限</w:t>
            </w:r>
          </w:p>
        </w:tc>
        <w:tc>
          <w:tcPr>
            <w:tcW w:w="6839" w:type="dxa"/>
            <w:vAlign w:val="center"/>
          </w:tcPr>
          <w:p w14:paraId="3FFA2042">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合同签订后25个日历天内完成设备供货、安装、调试、培训、试运行等内容，达到验收条件，满足采购文件所提供的功能、指标、性能。</w:t>
            </w:r>
          </w:p>
          <w:p w14:paraId="33893B73">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注：未能按期完成施工的，对中标人处以每日合同金额的1%违约金。</w:t>
            </w:r>
          </w:p>
        </w:tc>
      </w:tr>
      <w:tr w14:paraId="68F5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8" w:type="dxa"/>
            <w:vAlign w:val="center"/>
          </w:tcPr>
          <w:p w14:paraId="53C504EC">
            <w:pPr>
              <w:pStyle w:val="4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4</w:t>
            </w:r>
          </w:p>
        </w:tc>
        <w:tc>
          <w:tcPr>
            <w:tcW w:w="1755" w:type="dxa"/>
            <w:vAlign w:val="center"/>
          </w:tcPr>
          <w:p w14:paraId="485AC486">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免费质保期</w:t>
            </w:r>
          </w:p>
        </w:tc>
        <w:tc>
          <w:tcPr>
            <w:tcW w:w="6839" w:type="dxa"/>
            <w:vAlign w:val="center"/>
          </w:tcPr>
          <w:p w14:paraId="1272E867">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自项目验收通过之日起中标人提供五年质保期。质保期内免费提供运维服务。</w:t>
            </w:r>
          </w:p>
        </w:tc>
      </w:tr>
      <w:tr w14:paraId="61BA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8" w:type="dxa"/>
            <w:vAlign w:val="center"/>
          </w:tcPr>
          <w:p w14:paraId="22833261">
            <w:pPr>
              <w:pStyle w:val="4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default" w:ascii="宋体" w:hAnsi="宋体" w:eastAsia="宋体" w:cs="宋体"/>
                <w:bCs/>
                <w:color w:val="auto"/>
                <w:kern w:val="2"/>
                <w:highlight w:val="none"/>
                <w:lang w:val="en-US" w:eastAsia="zh-CN"/>
              </w:rPr>
            </w:pPr>
            <w:bookmarkStart w:id="36" w:name="_Toc5944"/>
            <w:bookmarkStart w:id="37" w:name="_Toc7671"/>
            <w:r>
              <w:rPr>
                <w:rFonts w:hint="eastAsia" w:ascii="宋体" w:hAnsi="宋体" w:eastAsia="宋体" w:cs="宋体"/>
                <w:bCs/>
                <w:color w:val="auto"/>
                <w:kern w:val="2"/>
                <w:highlight w:val="none"/>
                <w:lang w:val="en-US" w:eastAsia="zh-CN"/>
              </w:rPr>
              <w:t>5</w:t>
            </w:r>
          </w:p>
        </w:tc>
        <w:tc>
          <w:tcPr>
            <w:tcW w:w="1755" w:type="dxa"/>
            <w:vAlign w:val="center"/>
          </w:tcPr>
          <w:p w14:paraId="07C58884">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商品包装要求</w:t>
            </w:r>
          </w:p>
        </w:tc>
        <w:tc>
          <w:tcPr>
            <w:tcW w:w="6839" w:type="dxa"/>
            <w:vAlign w:val="center"/>
          </w:tcPr>
          <w:p w14:paraId="3BA29A0A">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除另有约定外，投标人交付全部货物的包装要求严格按照国家强制标准执行。</w:t>
            </w:r>
          </w:p>
        </w:tc>
      </w:tr>
    </w:tbl>
    <w:p w14:paraId="2E6AC0FE">
      <w:pPr>
        <w:numPr>
          <w:ilvl w:val="0"/>
          <w:numId w:val="2"/>
        </w:num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6"/>
      <w:bookmarkEnd w:id="37"/>
    </w:p>
    <w:p w14:paraId="00121F62">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1"/>
        <w:rPr>
          <w:rFonts w:hint="default" w:ascii="宋体" w:hAnsi="宋体" w:eastAsia="宋体"/>
          <w:b/>
          <w:bCs/>
          <w:color w:val="auto"/>
          <w:sz w:val="24"/>
          <w:szCs w:val="18"/>
          <w:highlight w:val="none"/>
          <w:lang w:val="en-US" w:eastAsia="zh-CN"/>
        </w:rPr>
      </w:pPr>
      <w:bookmarkStart w:id="38" w:name="_Toc4843"/>
      <w:bookmarkStart w:id="39" w:name="_Toc7421"/>
      <w:r>
        <w:rPr>
          <w:rFonts w:hint="eastAsia" w:ascii="宋体" w:hAnsi="宋体" w:eastAsia="宋体"/>
          <w:b/>
          <w:bCs/>
          <w:color w:val="auto"/>
          <w:sz w:val="24"/>
          <w:szCs w:val="18"/>
          <w:highlight w:val="none"/>
          <w:lang w:val="en-US" w:eastAsia="zh-CN"/>
        </w:rPr>
        <w:t>1.项目概况</w:t>
      </w:r>
    </w:p>
    <w:p w14:paraId="0825396D">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项目基于电子政务外网，</w:t>
      </w:r>
      <w:r>
        <w:rPr>
          <w:rFonts w:hint="eastAsia" w:ascii="宋体" w:hAnsi="宋体" w:eastAsia="宋体"/>
          <w:bCs/>
          <w:color w:val="auto"/>
          <w:sz w:val="24"/>
          <w:szCs w:val="18"/>
          <w:highlight w:val="none"/>
          <w:lang w:eastAsia="zh-CN"/>
        </w:rPr>
        <w:t>为全区10</w:t>
      </w:r>
      <w:r>
        <w:rPr>
          <w:rFonts w:hint="eastAsia" w:ascii="宋体" w:hAnsi="宋体" w:eastAsia="宋体"/>
          <w:bCs/>
          <w:color w:val="auto"/>
          <w:sz w:val="24"/>
          <w:szCs w:val="18"/>
          <w:highlight w:val="none"/>
        </w:rPr>
        <w:t>个</w:t>
      </w:r>
      <w:r>
        <w:rPr>
          <w:rFonts w:hint="eastAsia" w:ascii="宋体" w:hAnsi="宋体" w:eastAsia="宋体"/>
          <w:bCs/>
          <w:color w:val="auto"/>
          <w:sz w:val="24"/>
          <w:szCs w:val="18"/>
          <w:highlight w:val="none"/>
          <w:lang w:eastAsia="zh-CN"/>
        </w:rPr>
        <w:t>街道</w:t>
      </w:r>
      <w:r>
        <w:rPr>
          <w:rFonts w:hint="eastAsia" w:ascii="宋体" w:hAnsi="宋体" w:eastAsia="宋体"/>
          <w:bCs/>
          <w:color w:val="auto"/>
          <w:sz w:val="24"/>
          <w:szCs w:val="18"/>
          <w:highlight w:val="none"/>
        </w:rPr>
        <w:t>各配备</w:t>
      </w:r>
      <w:r>
        <w:rPr>
          <w:rFonts w:hint="eastAsia" w:ascii="宋体" w:hAnsi="宋体" w:eastAsia="宋体"/>
          <w:bCs/>
          <w:color w:val="auto"/>
          <w:sz w:val="24"/>
          <w:szCs w:val="18"/>
          <w:highlight w:val="none"/>
          <w:lang w:eastAsia="zh-CN"/>
        </w:rPr>
        <w:t>1套应急通讯视频</w:t>
      </w:r>
      <w:r>
        <w:rPr>
          <w:rFonts w:hint="eastAsia" w:ascii="宋体" w:hAnsi="宋体" w:eastAsia="宋体"/>
          <w:bCs/>
          <w:color w:val="auto"/>
          <w:sz w:val="24"/>
          <w:szCs w:val="18"/>
          <w:highlight w:val="none"/>
        </w:rPr>
        <w:t>终端及配套设备，接入市级MCU平台。</w:t>
      </w:r>
      <w:r>
        <w:rPr>
          <w:rFonts w:hint="eastAsia" w:ascii="宋体" w:hAnsi="宋体" w:eastAsia="宋体"/>
          <w:bCs/>
          <w:color w:val="auto"/>
          <w:sz w:val="24"/>
          <w:szCs w:val="18"/>
          <w:highlight w:val="none"/>
          <w:lang w:eastAsia="zh-CN"/>
        </w:rPr>
        <w:t>街道应急通讯视频</w:t>
      </w:r>
      <w:r>
        <w:rPr>
          <w:rFonts w:hint="eastAsia" w:ascii="宋体" w:hAnsi="宋体" w:eastAsia="宋体"/>
          <w:bCs/>
          <w:color w:val="auto"/>
          <w:sz w:val="24"/>
          <w:szCs w:val="18"/>
          <w:highlight w:val="none"/>
        </w:rPr>
        <w:t>终端采用一体化设备，包含视频会议编解码器、</w:t>
      </w:r>
      <w:r>
        <w:rPr>
          <w:rFonts w:hint="eastAsia" w:ascii="宋体" w:hAnsi="宋体" w:eastAsia="宋体"/>
          <w:bCs/>
          <w:color w:val="auto"/>
          <w:sz w:val="24"/>
          <w:szCs w:val="18"/>
          <w:highlight w:val="none"/>
          <w:lang w:val="en-US" w:eastAsia="zh-CN"/>
        </w:rPr>
        <w:t>不低于</w:t>
      </w:r>
      <w:r>
        <w:rPr>
          <w:rFonts w:hint="eastAsia" w:ascii="宋体" w:hAnsi="宋体" w:eastAsia="宋体"/>
          <w:bCs/>
          <w:color w:val="auto"/>
          <w:sz w:val="24"/>
          <w:szCs w:val="18"/>
          <w:highlight w:val="none"/>
        </w:rPr>
        <w:t>86寸触控屏、全向麦克风</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4K摄像机</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扬声器。配套设备包含支架、触控笔、配套线缆等，并按需购置所需交换机等设备。</w:t>
      </w:r>
    </w:p>
    <w:p w14:paraId="40100F3D">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1"/>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2.建设标准要求</w:t>
      </w:r>
    </w:p>
    <w:p w14:paraId="21397E45">
      <w:pPr>
        <w:pStyle w:val="10"/>
        <w:keepNext w:val="0"/>
        <w:keepLines w:val="0"/>
        <w:pageBreakBefore w:val="0"/>
        <w:widowControl w:val="0"/>
        <w:kinsoku/>
        <w:wordWrap/>
        <w:overflowPunct/>
        <w:topLinePunct w:val="0"/>
        <w:autoSpaceDE/>
        <w:autoSpaceDN/>
        <w:bidi w:val="0"/>
        <w:adjustRightInd/>
        <w:snapToGrid/>
        <w:spacing w:after="0" w:line="360" w:lineRule="auto"/>
        <w:ind w:left="430"/>
        <w:jc w:val="left"/>
        <w:textAlignment w:val="auto"/>
        <w:outlineLvl w:val="0"/>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2.1建设范围</w:t>
      </w:r>
    </w:p>
    <w:p w14:paraId="40DB5616">
      <w:pPr>
        <w:pStyle w:val="10"/>
        <w:keepNext w:val="0"/>
        <w:keepLines w:val="0"/>
        <w:pageBreakBefore w:val="0"/>
        <w:widowControl w:val="0"/>
        <w:kinsoku/>
        <w:wordWrap/>
        <w:overflowPunct/>
        <w:topLinePunct w:val="0"/>
        <w:autoSpaceDE/>
        <w:autoSpaceDN/>
        <w:bidi w:val="0"/>
        <w:adjustRightInd/>
        <w:snapToGrid/>
        <w:spacing w:after="0" w:line="360" w:lineRule="auto"/>
        <w:ind w:left="2" w:right="65" w:firstLine="478"/>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滁州市琅琊区应急通讯视频终端的设备采购、安装调试、市区联调、系统对接、响应保障、应用对接服务、售后运维等，详见需求清单和服务保证。</w:t>
      </w:r>
    </w:p>
    <w:p w14:paraId="55942CF7">
      <w:pPr>
        <w:pStyle w:val="10"/>
        <w:keepNext w:val="0"/>
        <w:keepLines w:val="0"/>
        <w:pageBreakBefore w:val="0"/>
        <w:widowControl w:val="0"/>
        <w:kinsoku/>
        <w:wordWrap/>
        <w:overflowPunct/>
        <w:topLinePunct w:val="0"/>
        <w:autoSpaceDE/>
        <w:autoSpaceDN/>
        <w:bidi w:val="0"/>
        <w:adjustRightInd/>
        <w:snapToGrid/>
        <w:spacing w:after="0" w:line="360" w:lineRule="auto"/>
        <w:ind w:left="430"/>
        <w:jc w:val="left"/>
        <w:textAlignment w:val="auto"/>
        <w:outlineLvl w:val="0"/>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2.2建设质量标准</w:t>
      </w:r>
    </w:p>
    <w:p w14:paraId="35797CD0">
      <w:pPr>
        <w:pStyle w:val="10"/>
        <w:keepNext w:val="0"/>
        <w:keepLines w:val="0"/>
        <w:pageBreakBefore w:val="0"/>
        <w:widowControl w:val="0"/>
        <w:kinsoku/>
        <w:wordWrap/>
        <w:overflowPunct/>
        <w:topLinePunct w:val="0"/>
        <w:autoSpaceDE/>
        <w:autoSpaceDN/>
        <w:bidi w:val="0"/>
        <w:adjustRightInd/>
        <w:snapToGrid/>
        <w:spacing w:after="0" w:line="360" w:lineRule="auto"/>
        <w:ind w:left="482"/>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参照国家及行业建设及服务标准，质量合格。</w:t>
      </w:r>
    </w:p>
    <w:p w14:paraId="71C95F20">
      <w:pPr>
        <w:pStyle w:val="10"/>
        <w:keepNext w:val="0"/>
        <w:keepLines w:val="0"/>
        <w:pageBreakBefore w:val="0"/>
        <w:widowControl w:val="0"/>
        <w:kinsoku/>
        <w:wordWrap/>
        <w:overflowPunct/>
        <w:topLinePunct w:val="0"/>
        <w:autoSpaceDE/>
        <w:autoSpaceDN/>
        <w:bidi w:val="0"/>
        <w:adjustRightInd/>
        <w:snapToGrid/>
        <w:spacing w:after="0" w:line="360" w:lineRule="auto"/>
        <w:ind w:left="2" w:right="65" w:firstLine="478"/>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针对应急指挥、突发事件特点，制定详细的服务质量保障计划及故障应急处置方案，接到故障报告后15分钟内必须响应，对于无法远程处理的紧急问题须在30分钟内到达现场。</w:t>
      </w:r>
    </w:p>
    <w:p w14:paraId="5A8A81A2">
      <w:pPr>
        <w:pStyle w:val="10"/>
        <w:keepNext w:val="0"/>
        <w:keepLines w:val="0"/>
        <w:pageBreakBefore w:val="0"/>
        <w:widowControl w:val="0"/>
        <w:kinsoku/>
        <w:wordWrap/>
        <w:overflowPunct/>
        <w:topLinePunct w:val="0"/>
        <w:autoSpaceDE/>
        <w:autoSpaceDN/>
        <w:bidi w:val="0"/>
        <w:adjustRightInd/>
        <w:snapToGrid/>
        <w:spacing w:after="0" w:line="360" w:lineRule="auto"/>
        <w:ind w:firstLine="480"/>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针对应急指挥、突发事件特点，中标人须具备区、街道服务能力，且所投产品具有较强的稳定性、兼容性、保密性、自主性、拓展性。产品采用自主可控技术，能够将现网主流应急通讯视频终端设备进行统一融合管理，为保证系统性能稳定，设备终端和系统平台需支持远程升级，并支持终端、平台系统软件的终身升级和扩容服务。</w:t>
      </w:r>
    </w:p>
    <w:p w14:paraId="5D59F332">
      <w:pPr>
        <w:pStyle w:val="10"/>
        <w:keepNext w:val="0"/>
        <w:keepLines w:val="0"/>
        <w:pageBreakBefore w:val="0"/>
        <w:widowControl w:val="0"/>
        <w:kinsoku/>
        <w:wordWrap/>
        <w:overflowPunct/>
        <w:topLinePunct w:val="0"/>
        <w:autoSpaceDE/>
        <w:autoSpaceDN/>
        <w:bidi w:val="0"/>
        <w:adjustRightInd/>
        <w:snapToGrid/>
        <w:spacing w:after="0" w:line="360" w:lineRule="auto"/>
        <w:ind w:left="430"/>
        <w:jc w:val="left"/>
        <w:textAlignment w:val="auto"/>
        <w:outlineLvl w:val="0"/>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2.3建设进度要求</w:t>
      </w:r>
    </w:p>
    <w:p w14:paraId="17131981">
      <w:pPr>
        <w:pStyle w:val="10"/>
        <w:keepNext w:val="0"/>
        <w:keepLines w:val="0"/>
        <w:pageBreakBefore w:val="0"/>
        <w:widowControl w:val="0"/>
        <w:kinsoku/>
        <w:wordWrap/>
        <w:overflowPunct/>
        <w:topLinePunct w:val="0"/>
        <w:autoSpaceDE/>
        <w:autoSpaceDN/>
        <w:bidi w:val="0"/>
        <w:adjustRightInd/>
        <w:snapToGrid/>
        <w:spacing w:after="0" w:line="360" w:lineRule="auto"/>
        <w:ind w:left="7" w:right="64" w:firstLine="474"/>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合同签订后25个日历天内完成设备供货、安装、调试、培训、试运行等内容，达到验收条件，满足采购文件所提供的功能、指标、性能。</w:t>
      </w:r>
    </w:p>
    <w:p w14:paraId="6B2CE11A">
      <w:pPr>
        <w:pStyle w:val="10"/>
        <w:keepNext w:val="0"/>
        <w:keepLines w:val="0"/>
        <w:pageBreakBefore w:val="0"/>
        <w:widowControl w:val="0"/>
        <w:kinsoku/>
        <w:wordWrap/>
        <w:overflowPunct/>
        <w:topLinePunct w:val="0"/>
        <w:autoSpaceDE/>
        <w:autoSpaceDN/>
        <w:bidi w:val="0"/>
        <w:adjustRightInd/>
        <w:snapToGrid/>
        <w:spacing w:after="0" w:line="360" w:lineRule="auto"/>
        <w:ind w:left="430"/>
        <w:jc w:val="left"/>
        <w:textAlignment w:val="auto"/>
        <w:outlineLvl w:val="0"/>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2.4免费质保期要求</w:t>
      </w:r>
    </w:p>
    <w:p w14:paraId="33C1B165">
      <w:pPr>
        <w:pStyle w:val="10"/>
        <w:keepNext w:val="0"/>
        <w:keepLines w:val="0"/>
        <w:pageBreakBefore w:val="0"/>
        <w:widowControl w:val="0"/>
        <w:kinsoku/>
        <w:wordWrap/>
        <w:overflowPunct/>
        <w:topLinePunct w:val="0"/>
        <w:autoSpaceDE/>
        <w:autoSpaceDN/>
        <w:bidi w:val="0"/>
        <w:adjustRightInd/>
        <w:snapToGrid/>
        <w:spacing w:after="0" w:line="360" w:lineRule="auto"/>
        <w:ind w:left="400"/>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自项目验收通过后提供五年质保期。</w:t>
      </w:r>
      <w:r>
        <w:rPr>
          <w:rFonts w:hint="eastAsia" w:ascii="宋体" w:hAnsi="宋体" w:eastAsia="宋体" w:cs="宋体"/>
          <w:b w:val="0"/>
          <w:color w:val="auto"/>
          <w:sz w:val="24"/>
          <w:highlight w:val="none"/>
          <w:lang w:val="en-US" w:eastAsia="zh-CN"/>
        </w:rPr>
        <w:t>质保期内免费提供运维服务。</w:t>
      </w:r>
    </w:p>
    <w:p w14:paraId="0AEE82B2">
      <w:pPr>
        <w:pStyle w:val="10"/>
        <w:keepNext w:val="0"/>
        <w:keepLines w:val="0"/>
        <w:pageBreakBefore w:val="0"/>
        <w:widowControl w:val="0"/>
        <w:kinsoku/>
        <w:wordWrap/>
        <w:overflowPunct/>
        <w:topLinePunct w:val="0"/>
        <w:autoSpaceDE/>
        <w:autoSpaceDN/>
        <w:bidi w:val="0"/>
        <w:adjustRightInd/>
        <w:snapToGrid/>
        <w:spacing w:after="0" w:line="360" w:lineRule="auto"/>
        <w:ind w:left="430"/>
        <w:jc w:val="left"/>
        <w:textAlignment w:val="auto"/>
        <w:outlineLvl w:val="0"/>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2.5技术性能指标</w:t>
      </w:r>
    </w:p>
    <w:p w14:paraId="78774486">
      <w:pPr>
        <w:pStyle w:val="10"/>
        <w:keepNext w:val="0"/>
        <w:keepLines w:val="0"/>
        <w:pageBreakBefore w:val="0"/>
        <w:widowControl w:val="0"/>
        <w:kinsoku/>
        <w:wordWrap/>
        <w:overflowPunct/>
        <w:topLinePunct w:val="0"/>
        <w:autoSpaceDE/>
        <w:autoSpaceDN/>
        <w:bidi w:val="0"/>
        <w:adjustRightInd/>
        <w:snapToGrid/>
        <w:spacing w:after="0" w:line="360" w:lineRule="auto"/>
        <w:ind w:left="1" w:right="65" w:firstLine="485"/>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（1）为鼓励不同品牌的充分竞争，如某货物的某技术参数或要求属于个别品牌专有，则该技术参数及要求不具有限制性，投标人可对该参数或要求的响应情况进行说明，该说明须经评标委员会审核认可。</w:t>
      </w:r>
    </w:p>
    <w:p w14:paraId="3B8F6944">
      <w:pPr>
        <w:pStyle w:val="10"/>
        <w:keepNext w:val="0"/>
        <w:keepLines w:val="0"/>
        <w:pageBreakBefore w:val="0"/>
        <w:widowControl w:val="0"/>
        <w:kinsoku/>
        <w:wordWrap/>
        <w:overflowPunct/>
        <w:topLinePunct w:val="0"/>
        <w:autoSpaceDE/>
        <w:autoSpaceDN/>
        <w:bidi w:val="0"/>
        <w:adjustRightInd/>
        <w:snapToGrid/>
        <w:spacing w:after="0" w:line="360" w:lineRule="auto"/>
        <w:ind w:left="4" w:right="74" w:firstLine="482"/>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2）如货物需求中提供了推荐品牌（或型号）、参考品牌（或型号）等，为有助于投标人选择投标产品，上述品牌（或型号）仅供参考，并无限制性。投标人可以选择性能不低于推荐（或参考）的品牌（或型号）的其他品牌产品，但投标时应当提供有关技术证明资料，未提供的可能导致投标无效。</w:t>
      </w:r>
    </w:p>
    <w:p w14:paraId="5390D1A3">
      <w:pPr>
        <w:pStyle w:val="10"/>
        <w:keepNext w:val="0"/>
        <w:keepLines w:val="0"/>
        <w:pageBreakBefore w:val="0"/>
        <w:widowControl w:val="0"/>
        <w:kinsoku/>
        <w:wordWrap/>
        <w:overflowPunct/>
        <w:topLinePunct w:val="0"/>
        <w:autoSpaceDE/>
        <w:autoSpaceDN/>
        <w:bidi w:val="0"/>
        <w:adjustRightInd/>
        <w:snapToGrid/>
        <w:spacing w:after="0" w:line="360" w:lineRule="auto"/>
        <w:ind w:left="2" w:right="82" w:firstLine="484"/>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3）投标人自行踏勘本项目实施现场，参与投标即认定投标人对该项目现场现状况周边相关社会环境已充分了解，不对场地现状提出异议，不以场地存在瑕疵为由拒绝签署项目合同书或履行所约定的各项义务，核对货物安装现场的土建尺寸等可能影响后期安装的全部因素，确保所投货物满足现场实际安装要求。</w:t>
      </w:r>
    </w:p>
    <w:p w14:paraId="0EE50787">
      <w:pPr>
        <w:keepNext w:val="0"/>
        <w:keepLines w:val="0"/>
        <w:pageBreakBefore w:val="0"/>
        <w:widowControl w:val="0"/>
        <w:kinsoku/>
        <w:wordWrap/>
        <w:overflowPunct/>
        <w:topLinePunct w:val="0"/>
        <w:autoSpaceDE/>
        <w:autoSpaceDN/>
        <w:bidi w:val="0"/>
        <w:adjustRightInd/>
        <w:snapToGrid/>
        <w:spacing w:line="360" w:lineRule="auto"/>
        <w:ind w:firstLine="437"/>
        <w:jc w:val="left"/>
        <w:textAlignment w:val="auto"/>
        <w:outlineLvl w:val="1"/>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3.建设需求</w:t>
      </w:r>
    </w:p>
    <w:p w14:paraId="308E1D50">
      <w:pPr>
        <w:pStyle w:val="10"/>
        <w:keepNext w:val="0"/>
        <w:keepLines w:val="0"/>
        <w:pageBreakBefore w:val="0"/>
        <w:widowControl w:val="0"/>
        <w:kinsoku/>
        <w:wordWrap/>
        <w:overflowPunct/>
        <w:topLinePunct w:val="0"/>
        <w:autoSpaceDE/>
        <w:autoSpaceDN/>
        <w:bidi w:val="0"/>
        <w:adjustRightInd/>
        <w:snapToGrid/>
        <w:spacing w:after="0" w:line="360" w:lineRule="auto"/>
        <w:ind w:left="2" w:right="82" w:firstLine="484"/>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3.1基本功能需求</w:t>
      </w:r>
    </w:p>
    <w:p w14:paraId="7DD8EC38">
      <w:pPr>
        <w:pStyle w:val="10"/>
        <w:keepNext w:val="0"/>
        <w:keepLines w:val="0"/>
        <w:pageBreakBefore w:val="0"/>
        <w:widowControl w:val="0"/>
        <w:kinsoku/>
        <w:wordWrap/>
        <w:overflowPunct/>
        <w:topLinePunct w:val="0"/>
        <w:autoSpaceDE/>
        <w:autoSpaceDN/>
        <w:bidi w:val="0"/>
        <w:adjustRightInd/>
        <w:snapToGrid/>
        <w:spacing w:after="0" w:line="360" w:lineRule="auto"/>
        <w:ind w:left="2" w:right="82" w:firstLine="484"/>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通过本次建设项目，建成贯通部、省、市、区、街道五级的应急指挥视频调度系统，扩大视频会商接入范围、增加视频接入方式、简化视频调度操作，实现应急指挥视频调度的扁平化、移动化、规范化，达到任意时间、任意地点、任意形式高效可视化指挥调度，提高应急指挥视频调度能力，提高指挥效率，使应急指令和视频会商能快速直达基层单位、一线人员。</w:t>
      </w:r>
    </w:p>
    <w:p w14:paraId="26E14158">
      <w:pPr>
        <w:pStyle w:val="10"/>
        <w:keepNext w:val="0"/>
        <w:keepLines w:val="0"/>
        <w:pageBreakBefore w:val="0"/>
        <w:widowControl w:val="0"/>
        <w:kinsoku/>
        <w:wordWrap/>
        <w:overflowPunct/>
        <w:topLinePunct w:val="0"/>
        <w:autoSpaceDE/>
        <w:autoSpaceDN/>
        <w:bidi w:val="0"/>
        <w:adjustRightInd/>
        <w:snapToGrid/>
        <w:spacing w:after="0" w:line="360" w:lineRule="auto"/>
        <w:ind w:left="2" w:right="82" w:firstLine="484"/>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基于电子政务外网，为全区所有街道配备一体化应急通讯视频终端，终端接入至本市级视频会议 MCU，实现部、省、市、区、街道五级应急指挥调度系统贯通联动的功能。</w:t>
      </w:r>
    </w:p>
    <w:p w14:paraId="2AC95D16">
      <w:pPr>
        <w:pStyle w:val="10"/>
        <w:keepNext w:val="0"/>
        <w:keepLines w:val="0"/>
        <w:pageBreakBefore w:val="0"/>
        <w:widowControl w:val="0"/>
        <w:kinsoku/>
        <w:wordWrap/>
        <w:overflowPunct/>
        <w:topLinePunct w:val="0"/>
        <w:autoSpaceDE/>
        <w:autoSpaceDN/>
        <w:bidi w:val="0"/>
        <w:adjustRightInd/>
        <w:snapToGrid/>
        <w:spacing w:after="0" w:line="360" w:lineRule="auto"/>
        <w:ind w:left="2" w:right="82" w:firstLine="484"/>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实现区应急管理部门通过市级在电子政务外网上所建的会议管理平台可以自主召开和调度所辖街道已接入至市级视频会议MCU的应急通讯视频终端。系统具有分域分权，市级管理员账号能够管理和调度所辖市、区县、乡镇所有已接入的应急通讯视频终端，区会议管理员账号仅能调度所辖区街道应急通讯视频终端。</w:t>
      </w:r>
    </w:p>
    <w:p w14:paraId="2603847B">
      <w:pPr>
        <w:pStyle w:val="10"/>
        <w:keepNext w:val="0"/>
        <w:keepLines w:val="0"/>
        <w:pageBreakBefore w:val="0"/>
        <w:widowControl w:val="0"/>
        <w:kinsoku/>
        <w:wordWrap/>
        <w:overflowPunct/>
        <w:topLinePunct w:val="0"/>
        <w:autoSpaceDE/>
        <w:autoSpaceDN/>
        <w:bidi w:val="0"/>
        <w:adjustRightInd/>
        <w:snapToGrid/>
        <w:spacing w:after="0" w:line="360" w:lineRule="auto"/>
        <w:ind w:left="2" w:right="82" w:firstLine="484"/>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通过省市二级会议管理平台级联，实现省、市、县、乡镇（街道）四级视频会议。省应急管理厅视频会议MCU可以呼叫全省任意乡镇（街道）已接入的应急通讯视频终端，实现扁平化跨级调度。</w:t>
      </w:r>
    </w:p>
    <w:p w14:paraId="1E6D8B5B">
      <w:pPr>
        <w:pStyle w:val="10"/>
        <w:keepNext w:val="0"/>
        <w:keepLines w:val="0"/>
        <w:pageBreakBefore w:val="0"/>
        <w:widowControl w:val="0"/>
        <w:kinsoku/>
        <w:wordWrap/>
        <w:overflowPunct/>
        <w:topLinePunct w:val="0"/>
        <w:autoSpaceDE/>
        <w:autoSpaceDN/>
        <w:bidi w:val="0"/>
        <w:adjustRightInd/>
        <w:snapToGrid/>
        <w:spacing w:after="0" w:line="360" w:lineRule="auto"/>
        <w:ind w:left="2" w:right="82" w:firstLine="484"/>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本次应急通讯视频终端的建设要充分考虑与现有系统标准兼容、利旧现有视频会议系统设备，最大化保护现有投资。</w:t>
      </w:r>
    </w:p>
    <w:p w14:paraId="1690201D">
      <w:pPr>
        <w:pStyle w:val="10"/>
        <w:keepNext w:val="0"/>
        <w:keepLines w:val="0"/>
        <w:pageBreakBefore w:val="0"/>
        <w:widowControl w:val="0"/>
        <w:kinsoku/>
        <w:wordWrap/>
        <w:overflowPunct/>
        <w:topLinePunct w:val="0"/>
        <w:autoSpaceDE/>
        <w:autoSpaceDN/>
        <w:bidi w:val="0"/>
        <w:adjustRightInd/>
        <w:snapToGrid/>
        <w:spacing w:after="0" w:line="360" w:lineRule="auto"/>
        <w:ind w:left="2" w:right="82" w:firstLine="484"/>
        <w:jc w:val="left"/>
        <w:textAlignment w:val="auto"/>
        <w:rPr>
          <w:rFonts w:hint="eastAsia" w:ascii="宋体" w:hAnsi="宋体" w:eastAsia="宋体" w:cs="@仿宋_GB2312"/>
          <w:bCs/>
          <w:color w:val="auto"/>
          <w:kern w:val="2"/>
          <w:sz w:val="24"/>
          <w:szCs w:val="18"/>
          <w:highlight w:val="none"/>
          <w:lang w:val="en-US" w:eastAsia="zh-CN" w:bidi="ar-SA"/>
        </w:rPr>
      </w:pPr>
      <w:r>
        <w:rPr>
          <w:rFonts w:hint="eastAsia" w:ascii="宋体" w:hAnsi="宋体" w:eastAsia="宋体" w:cs="@仿宋_GB2312"/>
          <w:bCs/>
          <w:color w:val="auto"/>
          <w:kern w:val="2"/>
          <w:sz w:val="24"/>
          <w:szCs w:val="18"/>
          <w:highlight w:val="none"/>
          <w:lang w:val="en-US" w:eastAsia="zh-CN" w:bidi="ar-SA"/>
        </w:rPr>
        <w:t>根据滁州市应急指挥协调能力提升一期项目建设的安全边界和密码应用系统，做好视频会议系统和安全和密码设备的对接工作，并配合第三方测评机构，完成视频会议系统网络安全等保测评和商用密码应用安全性评估。</w:t>
      </w:r>
    </w:p>
    <w:p w14:paraId="43D79EBE">
      <w:pPr>
        <w:spacing w:line="360" w:lineRule="auto"/>
        <w:ind w:firstLine="437"/>
        <w:outlineLvl w:val="1"/>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3.2设备需求清单</w:t>
      </w:r>
    </w:p>
    <w:tbl>
      <w:tblPr>
        <w:tblStyle w:val="28"/>
        <w:tblW w:w="10635" w:type="dxa"/>
        <w:tblInd w:w="-10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45"/>
        <w:gridCol w:w="5880"/>
        <w:gridCol w:w="600"/>
        <w:gridCol w:w="555"/>
        <w:gridCol w:w="855"/>
        <w:gridCol w:w="720"/>
      </w:tblGrid>
      <w:tr w14:paraId="6158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shd w:val="clear" w:color="auto" w:fill="auto"/>
            <w:vAlign w:val="center"/>
          </w:tcPr>
          <w:p w14:paraId="41F3DDBB">
            <w:pPr>
              <w:pStyle w:val="73"/>
              <w:keepNext w:val="0"/>
              <w:keepLines w:val="0"/>
              <w:pageBreakBefore w:val="0"/>
              <w:widowControl/>
              <w:kinsoku w:val="0"/>
              <w:wordWrap/>
              <w:overflowPunct/>
              <w:topLinePunct w:val="0"/>
              <w:autoSpaceDE w:val="0"/>
              <w:autoSpaceDN w:val="0"/>
              <w:bidi w:val="0"/>
              <w:adjustRightInd w:val="0"/>
              <w:snapToGrid w:val="0"/>
              <w:spacing w:line="440" w:lineRule="exact"/>
              <w:ind w:left="131" w:leftChars="0"/>
              <w:jc w:val="center"/>
              <w:textAlignment w:val="baseline"/>
              <w:rPr>
                <w:rFonts w:hint="eastAsia" w:ascii="宋体" w:hAnsi="宋体" w:eastAsia="宋体" w:cs="宋体"/>
                <w:snapToGrid w:val="0"/>
                <w:color w:val="auto"/>
                <w:sz w:val="21"/>
                <w:szCs w:val="21"/>
                <w:highlight w:val="none"/>
                <w:lang w:val="en-US" w:eastAsia="en-US" w:bidi="ar-SA"/>
              </w:rPr>
            </w:pPr>
            <w:r>
              <w:rPr>
                <w:rFonts w:hint="eastAsia" w:ascii="宋体" w:hAnsi="宋体" w:eastAsia="宋体" w:cs="宋体"/>
                <w:b/>
                <w:bCs/>
                <w:color w:val="auto"/>
                <w:spacing w:val="-4"/>
                <w:sz w:val="21"/>
                <w:szCs w:val="21"/>
                <w:highlight w:val="none"/>
              </w:rPr>
              <w:t>序号</w:t>
            </w:r>
          </w:p>
        </w:tc>
        <w:tc>
          <w:tcPr>
            <w:tcW w:w="1245" w:type="dxa"/>
            <w:shd w:val="clear" w:color="auto" w:fill="auto"/>
            <w:vAlign w:val="center"/>
          </w:tcPr>
          <w:p w14:paraId="25BD1D5C">
            <w:pPr>
              <w:pStyle w:val="73"/>
              <w:keepNext w:val="0"/>
              <w:keepLines w:val="0"/>
              <w:pageBreakBefore w:val="0"/>
              <w:widowControl/>
              <w:kinsoku w:val="0"/>
              <w:wordWrap/>
              <w:overflowPunct/>
              <w:topLinePunct w:val="0"/>
              <w:autoSpaceDE w:val="0"/>
              <w:autoSpaceDN w:val="0"/>
              <w:bidi w:val="0"/>
              <w:adjustRightInd w:val="0"/>
              <w:snapToGrid w:val="0"/>
              <w:spacing w:line="440" w:lineRule="exact"/>
              <w:ind w:right="-31" w:rightChars="0"/>
              <w:jc w:val="center"/>
              <w:textAlignment w:val="baseline"/>
              <w:rPr>
                <w:rFonts w:hint="eastAsia" w:ascii="宋体" w:hAnsi="宋体" w:eastAsia="宋体" w:cs="宋体"/>
                <w:snapToGrid w:val="0"/>
                <w:color w:val="auto"/>
                <w:sz w:val="21"/>
                <w:szCs w:val="21"/>
                <w:highlight w:val="none"/>
                <w:lang w:val="en-US" w:eastAsia="en-US" w:bidi="ar-SA"/>
              </w:rPr>
            </w:pPr>
            <w:r>
              <w:rPr>
                <w:rFonts w:hint="eastAsia" w:ascii="宋体" w:hAnsi="宋体" w:eastAsia="宋体" w:cs="宋体"/>
                <w:b/>
                <w:bCs/>
                <w:color w:val="auto"/>
                <w:spacing w:val="-4"/>
                <w:sz w:val="21"/>
                <w:szCs w:val="21"/>
                <w:highlight w:val="none"/>
              </w:rPr>
              <w:t>设备及系统</w:t>
            </w:r>
            <w:r>
              <w:rPr>
                <w:rFonts w:hint="eastAsia" w:ascii="宋体" w:hAnsi="宋体" w:eastAsia="宋体" w:cs="宋体"/>
                <w:b/>
                <w:bCs/>
                <w:color w:val="auto"/>
                <w:spacing w:val="-5"/>
                <w:sz w:val="21"/>
                <w:szCs w:val="21"/>
                <w:highlight w:val="none"/>
              </w:rPr>
              <w:t>名称</w:t>
            </w:r>
          </w:p>
        </w:tc>
        <w:tc>
          <w:tcPr>
            <w:tcW w:w="5880" w:type="dxa"/>
            <w:shd w:val="clear" w:color="auto" w:fill="auto"/>
            <w:vAlign w:val="center"/>
          </w:tcPr>
          <w:p w14:paraId="321AD0A5">
            <w:pPr>
              <w:pStyle w:val="73"/>
              <w:keepNext w:val="0"/>
              <w:keepLines w:val="0"/>
              <w:pageBreakBefore w:val="0"/>
              <w:widowControl/>
              <w:kinsoku w:val="0"/>
              <w:wordWrap/>
              <w:overflowPunct/>
              <w:topLinePunct w:val="0"/>
              <w:autoSpaceDE w:val="0"/>
              <w:autoSpaceDN w:val="0"/>
              <w:bidi w:val="0"/>
              <w:adjustRightInd w:val="0"/>
              <w:snapToGrid w:val="0"/>
              <w:spacing w:line="440" w:lineRule="exact"/>
              <w:ind w:left="1568" w:leftChars="0"/>
              <w:jc w:val="center"/>
              <w:textAlignment w:val="baseline"/>
              <w:rPr>
                <w:rFonts w:hint="eastAsia" w:ascii="宋体" w:hAnsi="宋体" w:eastAsia="宋体" w:cs="宋体"/>
                <w:snapToGrid w:val="0"/>
                <w:color w:val="auto"/>
                <w:sz w:val="21"/>
                <w:szCs w:val="21"/>
                <w:highlight w:val="none"/>
                <w:lang w:val="en-US" w:eastAsia="en-US" w:bidi="ar-SA"/>
              </w:rPr>
            </w:pPr>
            <w:r>
              <w:rPr>
                <w:rFonts w:hint="eastAsia" w:ascii="宋体" w:hAnsi="宋体" w:eastAsia="宋体" w:cs="宋体"/>
                <w:b/>
                <w:bCs/>
                <w:color w:val="auto"/>
                <w:spacing w:val="-3"/>
                <w:sz w:val="21"/>
                <w:szCs w:val="21"/>
                <w:highlight w:val="none"/>
              </w:rPr>
              <w:t>主要性能/功能指标</w:t>
            </w:r>
          </w:p>
        </w:tc>
        <w:tc>
          <w:tcPr>
            <w:tcW w:w="600" w:type="dxa"/>
            <w:shd w:val="clear" w:color="auto" w:fill="auto"/>
            <w:vAlign w:val="center"/>
          </w:tcPr>
          <w:p w14:paraId="561172D2">
            <w:pPr>
              <w:pStyle w:val="73"/>
              <w:keepNext w:val="0"/>
              <w:keepLines w:val="0"/>
              <w:pageBreakBefore w:val="0"/>
              <w:widowControl/>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snapToGrid w:val="0"/>
                <w:color w:val="auto"/>
                <w:sz w:val="21"/>
                <w:szCs w:val="21"/>
                <w:highlight w:val="none"/>
                <w:lang w:val="en-US" w:eastAsia="en-US" w:bidi="ar-SA"/>
              </w:rPr>
            </w:pPr>
            <w:r>
              <w:rPr>
                <w:rFonts w:hint="eastAsia" w:ascii="宋体" w:hAnsi="宋体" w:eastAsia="宋体" w:cs="宋体"/>
                <w:b/>
                <w:bCs/>
                <w:color w:val="auto"/>
                <w:spacing w:val="-5"/>
                <w:sz w:val="21"/>
                <w:szCs w:val="21"/>
                <w:highlight w:val="none"/>
              </w:rPr>
              <w:t>单位</w:t>
            </w:r>
          </w:p>
        </w:tc>
        <w:tc>
          <w:tcPr>
            <w:tcW w:w="555" w:type="dxa"/>
            <w:shd w:val="clear" w:color="auto" w:fill="auto"/>
            <w:vAlign w:val="center"/>
          </w:tcPr>
          <w:p w14:paraId="75BC53EE">
            <w:pPr>
              <w:pStyle w:val="73"/>
              <w:keepNext w:val="0"/>
              <w:keepLines w:val="0"/>
              <w:pageBreakBefore w:val="0"/>
              <w:widowControl/>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snapToGrid w:val="0"/>
                <w:color w:val="auto"/>
                <w:sz w:val="21"/>
                <w:szCs w:val="21"/>
                <w:highlight w:val="none"/>
                <w:lang w:val="en-US" w:eastAsia="en-US" w:bidi="ar-SA"/>
              </w:rPr>
            </w:pPr>
            <w:r>
              <w:rPr>
                <w:rFonts w:hint="eastAsia" w:ascii="宋体" w:hAnsi="宋体" w:eastAsia="宋体" w:cs="宋体"/>
                <w:b/>
                <w:bCs/>
                <w:color w:val="auto"/>
                <w:spacing w:val="-5"/>
                <w:sz w:val="21"/>
                <w:szCs w:val="21"/>
                <w:highlight w:val="none"/>
              </w:rPr>
              <w:t>数量</w:t>
            </w:r>
          </w:p>
        </w:tc>
        <w:tc>
          <w:tcPr>
            <w:tcW w:w="855" w:type="dxa"/>
            <w:shd w:val="clear" w:color="auto" w:fill="auto"/>
            <w:vAlign w:val="center"/>
          </w:tcPr>
          <w:p w14:paraId="437DE689">
            <w:pPr>
              <w:pStyle w:val="73"/>
              <w:keepNext w:val="0"/>
              <w:keepLines w:val="0"/>
              <w:pageBreakBefore w:val="0"/>
              <w:widowControl/>
              <w:kinsoku w:val="0"/>
              <w:wordWrap/>
              <w:overflowPunct/>
              <w:topLinePunct w:val="0"/>
              <w:autoSpaceDE w:val="0"/>
              <w:autoSpaceDN w:val="0"/>
              <w:bidi w:val="0"/>
              <w:adjustRightInd w:val="0"/>
              <w:snapToGrid w:val="0"/>
              <w:spacing w:line="440" w:lineRule="exact"/>
              <w:ind w:right="151" w:rightChars="0"/>
              <w:jc w:val="both"/>
              <w:textAlignment w:val="baseline"/>
              <w:rPr>
                <w:rFonts w:hint="eastAsia" w:ascii="宋体" w:hAnsi="宋体" w:eastAsia="宋体" w:cs="宋体"/>
                <w:snapToGrid w:val="0"/>
                <w:color w:val="auto"/>
                <w:sz w:val="21"/>
                <w:szCs w:val="21"/>
                <w:highlight w:val="none"/>
                <w:lang w:val="en-US" w:eastAsia="en-US" w:bidi="ar-SA"/>
              </w:rPr>
            </w:pPr>
            <w:r>
              <w:rPr>
                <w:rFonts w:hint="eastAsia" w:ascii="宋体" w:hAnsi="宋体" w:eastAsia="宋体" w:cs="宋体"/>
                <w:b/>
                <w:bCs/>
                <w:color w:val="auto"/>
                <w:spacing w:val="-6"/>
                <w:sz w:val="21"/>
                <w:szCs w:val="21"/>
                <w:highlight w:val="none"/>
              </w:rPr>
              <w:t>所属</w:t>
            </w:r>
            <w:r>
              <w:rPr>
                <w:rFonts w:hint="eastAsia" w:ascii="宋体" w:hAnsi="宋体" w:eastAsia="宋体" w:cs="宋体"/>
                <w:b/>
                <w:bCs/>
                <w:color w:val="auto"/>
                <w:spacing w:val="-7"/>
                <w:sz w:val="21"/>
                <w:szCs w:val="21"/>
                <w:highlight w:val="none"/>
              </w:rPr>
              <w:t>行业</w:t>
            </w:r>
          </w:p>
        </w:tc>
        <w:tc>
          <w:tcPr>
            <w:tcW w:w="720" w:type="dxa"/>
            <w:vAlign w:val="center"/>
          </w:tcPr>
          <w:p w14:paraId="3CA6277A">
            <w:pPr>
              <w:pStyle w:val="73"/>
              <w:keepNext w:val="0"/>
              <w:keepLines w:val="0"/>
              <w:pageBreakBefore w:val="0"/>
              <w:widowControl/>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auto"/>
                <w:sz w:val="21"/>
                <w:szCs w:val="21"/>
                <w:highlight w:val="none"/>
                <w:vertAlign w:val="baseline"/>
              </w:rPr>
            </w:pPr>
            <w:r>
              <w:rPr>
                <w:rFonts w:hint="eastAsia" w:ascii="宋体" w:hAnsi="宋体" w:eastAsia="宋体" w:cs="宋体"/>
                <w:b/>
                <w:bCs/>
                <w:color w:val="auto"/>
                <w:spacing w:val="-4"/>
                <w:sz w:val="21"/>
                <w:szCs w:val="21"/>
                <w:highlight w:val="none"/>
              </w:rPr>
              <w:t>是否为</w:t>
            </w:r>
            <w:r>
              <w:rPr>
                <w:rFonts w:hint="eastAsia" w:ascii="宋体" w:hAnsi="宋体" w:eastAsia="宋体" w:cs="宋体"/>
                <w:b/>
                <w:bCs/>
                <w:color w:val="auto"/>
                <w:spacing w:val="-5"/>
                <w:sz w:val="21"/>
                <w:szCs w:val="21"/>
                <w:highlight w:val="none"/>
              </w:rPr>
              <w:t>核心产</w:t>
            </w:r>
            <w:r>
              <w:rPr>
                <w:rFonts w:hint="eastAsia" w:ascii="宋体" w:hAnsi="宋体" w:eastAsia="宋体" w:cs="宋体"/>
                <w:b/>
                <w:bCs/>
                <w:color w:val="auto"/>
                <w:spacing w:val="-3"/>
                <w:sz w:val="21"/>
                <w:szCs w:val="21"/>
                <w:highlight w:val="none"/>
              </w:rPr>
              <w:t>品</w:t>
            </w:r>
          </w:p>
        </w:tc>
      </w:tr>
      <w:tr w14:paraId="7DB3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7" w:hRule="atLeast"/>
        </w:trPr>
        <w:tc>
          <w:tcPr>
            <w:tcW w:w="780" w:type="dxa"/>
            <w:shd w:val="clear" w:color="auto" w:fill="auto"/>
            <w:vAlign w:val="center"/>
          </w:tcPr>
          <w:p w14:paraId="095EB49F">
            <w:pPr>
              <w:pStyle w:val="73"/>
              <w:keepNext w:val="0"/>
              <w:keepLines w:val="0"/>
              <w:pageBreakBefore w:val="0"/>
              <w:widowControl/>
              <w:kinsoku w:val="0"/>
              <w:wordWrap/>
              <w:overflowPunct/>
              <w:topLinePunct w:val="0"/>
              <w:autoSpaceDE w:val="0"/>
              <w:autoSpaceDN w:val="0"/>
              <w:bidi w:val="0"/>
              <w:adjustRightInd w:val="0"/>
              <w:snapToGrid w:val="0"/>
              <w:spacing w:line="440" w:lineRule="exact"/>
              <w:ind w:left="295" w:leftChars="0"/>
              <w:jc w:val="center"/>
              <w:textAlignment w:val="baseline"/>
              <w:rPr>
                <w:rFonts w:hint="eastAsia" w:ascii="宋体" w:hAnsi="宋体" w:eastAsia="宋体" w:cs="宋体"/>
                <w:snapToGrid w:val="0"/>
                <w:color w:val="auto"/>
                <w:sz w:val="21"/>
                <w:szCs w:val="21"/>
                <w:highlight w:val="none"/>
                <w:lang w:val="en-US" w:eastAsia="en-US" w:bidi="ar-SA"/>
              </w:rPr>
            </w:pPr>
            <w:r>
              <w:rPr>
                <w:rFonts w:hint="eastAsia" w:ascii="宋体" w:hAnsi="宋体" w:eastAsia="宋体" w:cs="宋体"/>
                <w:color w:val="auto"/>
                <w:sz w:val="21"/>
                <w:szCs w:val="21"/>
                <w:highlight w:val="none"/>
              </w:rPr>
              <w:t>1</w:t>
            </w:r>
          </w:p>
        </w:tc>
        <w:tc>
          <w:tcPr>
            <w:tcW w:w="1245" w:type="dxa"/>
            <w:shd w:val="clear" w:color="auto" w:fill="auto"/>
            <w:vAlign w:val="center"/>
          </w:tcPr>
          <w:p w14:paraId="59C55F7D">
            <w:pPr>
              <w:pStyle w:val="73"/>
              <w:keepNext w:val="0"/>
              <w:keepLines w:val="0"/>
              <w:pageBreakBefore w:val="0"/>
              <w:widowControl/>
              <w:kinsoku w:val="0"/>
              <w:wordWrap/>
              <w:overflowPunct/>
              <w:topLinePunct w:val="0"/>
              <w:autoSpaceDE w:val="0"/>
              <w:autoSpaceDN w:val="0"/>
              <w:bidi w:val="0"/>
              <w:adjustRightInd w:val="0"/>
              <w:snapToGrid w:val="0"/>
              <w:spacing w:line="440" w:lineRule="exact"/>
              <w:ind w:left="112" w:leftChars="0" w:right="-31" w:rightChars="0" w:firstLine="7" w:firstLineChars="0"/>
              <w:jc w:val="center"/>
              <w:textAlignment w:val="baseline"/>
              <w:rPr>
                <w:rFonts w:hint="eastAsia" w:ascii="宋体" w:hAnsi="宋体" w:eastAsia="宋体" w:cs="宋体"/>
                <w:snapToGrid w:val="0"/>
                <w:color w:val="auto"/>
                <w:sz w:val="21"/>
                <w:szCs w:val="21"/>
                <w:highlight w:val="none"/>
                <w:lang w:val="en-US" w:eastAsia="en-US" w:bidi="ar-SA"/>
              </w:rPr>
            </w:pPr>
            <w:r>
              <w:rPr>
                <w:rFonts w:hint="eastAsia" w:ascii="宋体" w:hAnsi="宋体" w:eastAsia="宋体" w:cs="宋体"/>
                <w:color w:val="auto"/>
                <w:spacing w:val="-3"/>
                <w:sz w:val="21"/>
                <w:szCs w:val="21"/>
                <w:highlight w:val="none"/>
                <w:lang w:eastAsia="zh-CN"/>
              </w:rPr>
              <w:t>应急通讯视频</w:t>
            </w:r>
            <w:r>
              <w:rPr>
                <w:rFonts w:hint="eastAsia" w:ascii="宋体" w:hAnsi="宋体" w:eastAsia="宋体" w:cs="宋体"/>
                <w:color w:val="auto"/>
                <w:spacing w:val="-2"/>
                <w:sz w:val="21"/>
                <w:szCs w:val="21"/>
                <w:highlight w:val="none"/>
              </w:rPr>
              <w:t>终端</w:t>
            </w:r>
          </w:p>
        </w:tc>
        <w:tc>
          <w:tcPr>
            <w:tcW w:w="5880" w:type="dxa"/>
          </w:tcPr>
          <w:p w14:paraId="000AEED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z w:val="21"/>
                <w:szCs w:val="21"/>
                <w:highlight w:val="none"/>
              </w:rPr>
              <w:t>采用安全可靠操作系统，主要元器件包括音</w:t>
            </w:r>
            <w:r>
              <w:rPr>
                <w:rFonts w:hint="eastAsia" w:ascii="宋体" w:hAnsi="宋体" w:eastAsia="宋体" w:cs="宋体"/>
                <w:color w:val="auto"/>
                <w:spacing w:val="-1"/>
                <w:sz w:val="21"/>
                <w:szCs w:val="21"/>
                <w:highlight w:val="none"/>
              </w:rPr>
              <w:t>视频编</w:t>
            </w:r>
            <w:r>
              <w:rPr>
                <w:rFonts w:hint="eastAsia" w:ascii="宋体" w:hAnsi="宋体" w:eastAsia="宋体" w:cs="宋体"/>
                <w:color w:val="auto"/>
                <w:spacing w:val="-4"/>
                <w:sz w:val="21"/>
                <w:szCs w:val="21"/>
                <w:highlight w:val="none"/>
              </w:rPr>
              <w:t>解码单元、CPU</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4"/>
                <w:sz w:val="21"/>
                <w:szCs w:val="21"/>
                <w:highlight w:val="none"/>
              </w:rPr>
              <w:t>处理单元、电源模块、视频输入输出</w:t>
            </w:r>
            <w:r>
              <w:rPr>
                <w:rFonts w:hint="eastAsia" w:ascii="宋体" w:hAnsi="宋体" w:eastAsia="宋体" w:cs="宋体"/>
                <w:color w:val="auto"/>
                <w:sz w:val="21"/>
                <w:szCs w:val="21"/>
                <w:highlight w:val="none"/>
              </w:rPr>
              <w:t>芯片等。系统配置处理性能要求：处理内存</w:t>
            </w:r>
            <w:r>
              <w:rPr>
                <w:rFonts w:hint="eastAsia" w:ascii="宋体" w:hAnsi="宋体" w:eastAsia="宋体" w:cs="宋体"/>
                <w:color w:val="auto"/>
                <w:spacing w:val="-1"/>
                <w:sz w:val="21"/>
                <w:szCs w:val="21"/>
                <w:highlight w:val="none"/>
              </w:rPr>
              <w:t>不低于</w:t>
            </w:r>
            <w:r>
              <w:rPr>
                <w:rFonts w:hint="eastAsia" w:ascii="宋体" w:hAnsi="宋体" w:eastAsia="宋体" w:cs="宋体"/>
                <w:color w:val="auto"/>
                <w:spacing w:val="-4"/>
                <w:sz w:val="21"/>
                <w:szCs w:val="21"/>
                <w:highlight w:val="none"/>
              </w:rPr>
              <w:t>8GB，内部存储不低于</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4"/>
                <w:sz w:val="21"/>
                <w:szCs w:val="21"/>
                <w:highlight w:val="none"/>
              </w:rPr>
              <w:t>64GB。</w:t>
            </w:r>
            <w:r>
              <w:rPr>
                <w:rFonts w:hint="eastAsia" w:ascii="宋体" w:hAnsi="宋体" w:eastAsia="宋体" w:cs="宋体"/>
                <w:color w:val="auto"/>
                <w:spacing w:val="-4"/>
                <w:sz w:val="21"/>
                <w:szCs w:val="21"/>
                <w:highlight w:val="none"/>
                <w:lang w:eastAsia="zh-CN"/>
              </w:rPr>
              <w:t>街道应急通讯视频</w:t>
            </w:r>
            <w:r>
              <w:rPr>
                <w:rFonts w:hint="eastAsia" w:ascii="宋体" w:hAnsi="宋体" w:eastAsia="宋体" w:cs="宋体"/>
                <w:color w:val="auto"/>
                <w:spacing w:val="-4"/>
                <w:sz w:val="21"/>
                <w:szCs w:val="21"/>
                <w:highlight w:val="none"/>
              </w:rPr>
              <w:t>终端采用</w:t>
            </w:r>
            <w:r>
              <w:rPr>
                <w:rFonts w:hint="eastAsia" w:ascii="宋体" w:hAnsi="宋体" w:eastAsia="宋体" w:cs="宋体"/>
                <w:color w:val="auto"/>
                <w:spacing w:val="-1"/>
                <w:sz w:val="21"/>
                <w:szCs w:val="21"/>
                <w:highlight w:val="none"/>
              </w:rPr>
              <w:t>一体化集成设计，内置摄像头、麦克风、扬声器、</w:t>
            </w:r>
            <w:r>
              <w:rPr>
                <w:rFonts w:hint="eastAsia" w:ascii="宋体" w:hAnsi="宋体" w:eastAsia="宋体" w:cs="宋体"/>
                <w:color w:val="auto"/>
                <w:spacing w:val="-3"/>
                <w:sz w:val="21"/>
                <w:szCs w:val="21"/>
                <w:highlight w:val="none"/>
              </w:rPr>
              <w:t>编解码器等，配套落地支架，具备超高清编码能力。需满足以下指标</w:t>
            </w:r>
            <w:r>
              <w:rPr>
                <w:rFonts w:hint="eastAsia" w:ascii="宋体" w:hAnsi="宋体" w:eastAsia="宋体" w:cs="宋体"/>
                <w:color w:val="auto"/>
                <w:spacing w:val="-3"/>
                <w:sz w:val="21"/>
                <w:szCs w:val="21"/>
                <w:highlight w:val="none"/>
                <w:lang w:eastAsia="zh-CN"/>
              </w:rPr>
              <w:t>：</w:t>
            </w:r>
          </w:p>
          <w:p w14:paraId="56B2557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lang w:val="en-US" w:eastAsia="zh-CN"/>
              </w:rPr>
              <w:t>1.</w:t>
            </w:r>
            <w:r>
              <w:rPr>
                <w:rFonts w:hint="eastAsia" w:ascii="宋体" w:hAnsi="宋体" w:eastAsia="宋体" w:cs="宋体"/>
                <w:color w:val="auto"/>
                <w:spacing w:val="-5"/>
                <w:sz w:val="21"/>
                <w:szCs w:val="21"/>
                <w:highlight w:val="none"/>
              </w:rPr>
              <w:t>屏幕尺寸≥ 86英寸；</w:t>
            </w:r>
          </w:p>
          <w:p w14:paraId="42DADE11">
            <w:pPr>
              <w:pStyle w:val="73"/>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2.屏幕分辨率≥4K触控屏；</w:t>
            </w:r>
          </w:p>
          <w:p w14:paraId="7A9AFE6C">
            <w:pPr>
              <w:pStyle w:val="73"/>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3.摄像机采集分辨率≥4K30fps；</w:t>
            </w:r>
          </w:p>
          <w:p w14:paraId="5B217D9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val="en-US" w:eastAsia="zh-CN"/>
              </w:rPr>
              <w:t>4.</w:t>
            </w:r>
            <w:r>
              <w:rPr>
                <w:rFonts w:hint="eastAsia" w:ascii="宋体" w:hAnsi="宋体" w:eastAsia="宋体" w:cs="宋体"/>
                <w:color w:val="auto"/>
                <w:spacing w:val="-3"/>
                <w:sz w:val="21"/>
                <w:szCs w:val="21"/>
                <w:highlight w:val="none"/>
              </w:rPr>
              <w:t>摄像机变焦能力≥2</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倍；</w:t>
            </w:r>
          </w:p>
          <w:p w14:paraId="67D901F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val="en-US" w:eastAsia="zh-CN"/>
              </w:rPr>
              <w:t>5.</w:t>
            </w:r>
            <w:r>
              <w:rPr>
                <w:rFonts w:hint="eastAsia" w:ascii="宋体" w:hAnsi="宋体" w:eastAsia="宋体" w:cs="宋体"/>
                <w:color w:val="auto"/>
                <w:spacing w:val="-1"/>
                <w:sz w:val="21"/>
                <w:szCs w:val="21"/>
                <w:highlight w:val="none"/>
              </w:rPr>
              <w:t>麦克风拾音能力：内置多阵列麦克风，支持声源</w:t>
            </w:r>
            <w:r>
              <w:rPr>
                <w:rFonts w:hint="eastAsia" w:ascii="宋体" w:hAnsi="宋体" w:eastAsia="宋体" w:cs="宋体"/>
                <w:color w:val="auto"/>
                <w:spacing w:val="-3"/>
                <w:sz w:val="21"/>
                <w:szCs w:val="21"/>
                <w:highlight w:val="none"/>
              </w:rPr>
              <w:t>定位、发言人跟踪，拾音≥6</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3"/>
                <w:sz w:val="21"/>
                <w:szCs w:val="21"/>
                <w:highlight w:val="none"/>
              </w:rPr>
              <w:t>米；</w:t>
            </w:r>
          </w:p>
          <w:p w14:paraId="75AD56B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6.</w:t>
            </w:r>
            <w:r>
              <w:rPr>
                <w:rFonts w:hint="eastAsia" w:ascii="宋体" w:hAnsi="宋体" w:eastAsia="宋体" w:cs="宋体"/>
                <w:color w:val="auto"/>
                <w:spacing w:val="-2"/>
                <w:sz w:val="21"/>
                <w:szCs w:val="21"/>
                <w:highlight w:val="none"/>
              </w:rPr>
              <w:t>通信协议：支持ITU-TH.323、IETF SIP通信标</w:t>
            </w:r>
            <w:r>
              <w:rPr>
                <w:rFonts w:hint="eastAsia" w:ascii="宋体" w:hAnsi="宋体" w:eastAsia="宋体" w:cs="宋体"/>
                <w:color w:val="auto"/>
                <w:spacing w:val="-1"/>
                <w:sz w:val="21"/>
                <w:szCs w:val="21"/>
                <w:highlight w:val="none"/>
              </w:rPr>
              <w:t>准，会议速率支持128Kbps-8Mbps；</w:t>
            </w:r>
          </w:p>
          <w:p w14:paraId="77437D0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7.</w:t>
            </w:r>
            <w:r>
              <w:rPr>
                <w:rFonts w:hint="eastAsia" w:ascii="宋体" w:hAnsi="宋体" w:eastAsia="宋体" w:cs="宋体"/>
                <w:color w:val="auto"/>
                <w:spacing w:val="-1"/>
                <w:sz w:val="21"/>
                <w:szCs w:val="21"/>
                <w:highlight w:val="none"/>
              </w:rPr>
              <w:t>视频协议：支持H.264、H.264 High Pr</w:t>
            </w:r>
            <w:r>
              <w:rPr>
                <w:rFonts w:hint="eastAsia" w:ascii="宋体" w:hAnsi="宋体" w:eastAsia="宋体" w:cs="宋体"/>
                <w:color w:val="auto"/>
                <w:spacing w:val="-2"/>
                <w:sz w:val="21"/>
                <w:szCs w:val="21"/>
                <w:highlight w:val="none"/>
              </w:rPr>
              <w:t>ofile、</w:t>
            </w:r>
            <w:r>
              <w:rPr>
                <w:rFonts w:hint="eastAsia" w:ascii="宋体" w:hAnsi="宋体" w:eastAsia="宋体" w:cs="宋体"/>
                <w:color w:val="auto"/>
                <w:spacing w:val="-1"/>
                <w:sz w:val="21"/>
                <w:szCs w:val="21"/>
                <w:highlight w:val="none"/>
              </w:rPr>
              <w:t>H.265</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
                <w:sz w:val="21"/>
                <w:szCs w:val="21"/>
                <w:highlight w:val="none"/>
              </w:rPr>
              <w:t>视频协议；</w:t>
            </w:r>
          </w:p>
          <w:p w14:paraId="0F2A98C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8.</w:t>
            </w:r>
            <w:r>
              <w:rPr>
                <w:rFonts w:hint="eastAsia" w:ascii="宋体" w:hAnsi="宋体" w:eastAsia="宋体" w:cs="宋体"/>
                <w:color w:val="auto"/>
                <w:spacing w:val="-1"/>
                <w:sz w:val="21"/>
                <w:szCs w:val="21"/>
                <w:highlight w:val="none"/>
              </w:rPr>
              <w:t>编解码能力：支持</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 xml:space="preserve">4K30fps、1080p60fps、1080p30fps、720p60fps、720p30fps </w:t>
            </w:r>
            <w:r>
              <w:rPr>
                <w:rFonts w:hint="eastAsia" w:ascii="宋体" w:hAnsi="宋体" w:eastAsia="宋体" w:cs="宋体"/>
                <w:color w:val="auto"/>
                <w:spacing w:val="-2"/>
                <w:sz w:val="21"/>
                <w:szCs w:val="21"/>
                <w:highlight w:val="none"/>
              </w:rPr>
              <w:t>高清分辨率编</w:t>
            </w:r>
            <w:r>
              <w:rPr>
                <w:rFonts w:hint="eastAsia" w:ascii="宋体" w:hAnsi="宋体" w:eastAsia="宋体" w:cs="宋体"/>
                <w:color w:val="auto"/>
                <w:spacing w:val="-12"/>
                <w:sz w:val="21"/>
                <w:szCs w:val="21"/>
                <w:highlight w:val="none"/>
              </w:rPr>
              <w:t>解码；</w:t>
            </w:r>
          </w:p>
          <w:p w14:paraId="38B82BC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4"/>
                <w:sz w:val="21"/>
                <w:szCs w:val="21"/>
                <w:highlight w:val="none"/>
              </w:rPr>
            </w:pPr>
            <w:r>
              <w:rPr>
                <w:rFonts w:hint="eastAsia" w:ascii="宋体" w:hAnsi="宋体" w:eastAsia="宋体" w:cs="宋体"/>
                <w:color w:val="auto"/>
                <w:spacing w:val="-5"/>
                <w:sz w:val="21"/>
                <w:szCs w:val="21"/>
                <w:highlight w:val="none"/>
                <w:lang w:val="en-US" w:eastAsia="zh-CN"/>
              </w:rPr>
              <w:t>9.</w:t>
            </w:r>
            <w:r>
              <w:rPr>
                <w:rFonts w:hint="eastAsia" w:ascii="宋体" w:hAnsi="宋体" w:eastAsia="宋体" w:cs="宋体"/>
                <w:color w:val="auto"/>
                <w:spacing w:val="-6"/>
                <w:sz w:val="21"/>
                <w:szCs w:val="21"/>
                <w:highlight w:val="none"/>
              </w:rPr>
              <w:t>视频接口要求：HDMI视频输入接口≥1 路，HDMI</w:t>
            </w:r>
            <w:r>
              <w:rPr>
                <w:rFonts w:hint="eastAsia" w:ascii="宋体" w:hAnsi="宋体" w:eastAsia="宋体" w:cs="宋体"/>
                <w:color w:val="auto"/>
                <w:spacing w:val="-4"/>
                <w:sz w:val="21"/>
                <w:szCs w:val="21"/>
                <w:highlight w:val="none"/>
              </w:rPr>
              <w:t>视频输出接口≥1路；RJ45</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4"/>
                <w:sz w:val="21"/>
                <w:szCs w:val="21"/>
                <w:highlight w:val="none"/>
              </w:rPr>
              <w:t>接口≥1路；</w:t>
            </w:r>
          </w:p>
          <w:p w14:paraId="1F76989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4"/>
                <w:sz w:val="21"/>
                <w:szCs w:val="21"/>
                <w:highlight w:val="none"/>
                <w:lang w:val="en-US" w:eastAsia="zh-CN"/>
              </w:rPr>
            </w:pPr>
            <w:r>
              <w:rPr>
                <w:rFonts w:hint="eastAsia" w:ascii="宋体" w:hAnsi="宋体" w:eastAsia="宋体" w:cs="宋体"/>
                <w:color w:val="auto"/>
                <w:spacing w:val="-4"/>
                <w:sz w:val="21"/>
                <w:szCs w:val="21"/>
                <w:highlight w:val="none"/>
                <w:lang w:val="en-US" w:eastAsia="zh-CN"/>
              </w:rPr>
              <w:t>10.</w:t>
            </w:r>
            <w:r>
              <w:rPr>
                <w:rFonts w:hint="eastAsia" w:ascii="宋体" w:hAnsi="宋体" w:eastAsia="宋体" w:cs="宋体"/>
                <w:color w:val="auto"/>
                <w:spacing w:val="-2"/>
                <w:sz w:val="21"/>
                <w:szCs w:val="21"/>
                <w:highlight w:val="none"/>
              </w:rPr>
              <w:t>音频接口要求：音频输出接口≥2路，接口类</w:t>
            </w:r>
            <w:r>
              <w:rPr>
                <w:rFonts w:hint="eastAsia" w:ascii="宋体" w:hAnsi="宋体" w:eastAsia="宋体" w:cs="宋体"/>
                <w:color w:val="auto"/>
                <w:spacing w:val="-1"/>
                <w:sz w:val="21"/>
                <w:szCs w:val="21"/>
                <w:highlight w:val="none"/>
              </w:rPr>
              <w:t>型包括</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1"/>
                <w:sz w:val="21"/>
                <w:szCs w:val="21"/>
                <w:highlight w:val="none"/>
              </w:rPr>
              <w:t>3.5mm或</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USB数字音频等音频输</w:t>
            </w:r>
            <w:r>
              <w:rPr>
                <w:rFonts w:hint="eastAsia" w:ascii="宋体" w:hAnsi="宋体" w:eastAsia="宋体" w:cs="宋体"/>
                <w:color w:val="auto"/>
                <w:spacing w:val="-2"/>
                <w:sz w:val="21"/>
                <w:szCs w:val="21"/>
                <w:highlight w:val="none"/>
              </w:rPr>
              <w:t>入输出接</w:t>
            </w:r>
            <w:r>
              <w:rPr>
                <w:rFonts w:hint="eastAsia" w:ascii="宋体" w:hAnsi="宋体" w:eastAsia="宋体" w:cs="宋体"/>
                <w:color w:val="auto"/>
                <w:spacing w:val="-16"/>
                <w:sz w:val="21"/>
                <w:szCs w:val="21"/>
                <w:highlight w:val="none"/>
              </w:rPr>
              <w:t>口；</w:t>
            </w:r>
          </w:p>
          <w:p w14:paraId="0AB5A04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5"/>
                <w:sz w:val="21"/>
                <w:szCs w:val="21"/>
                <w:highlight w:val="none"/>
                <w:lang w:val="en-US" w:eastAsia="zh-CN"/>
              </w:rPr>
              <w:t>11.</w:t>
            </w:r>
            <w:r>
              <w:rPr>
                <w:rFonts w:hint="eastAsia" w:ascii="宋体" w:hAnsi="宋体" w:eastAsia="宋体" w:cs="宋体"/>
                <w:color w:val="auto"/>
                <w:spacing w:val="-2"/>
                <w:sz w:val="21"/>
                <w:szCs w:val="21"/>
                <w:highlight w:val="none"/>
              </w:rPr>
              <w:t>部署于</w:t>
            </w:r>
            <w:r>
              <w:rPr>
                <w:rFonts w:hint="eastAsia" w:ascii="宋体" w:hAnsi="宋体" w:eastAsia="宋体" w:cs="宋体"/>
                <w:color w:val="auto"/>
                <w:spacing w:val="-2"/>
                <w:sz w:val="21"/>
                <w:szCs w:val="21"/>
                <w:highlight w:val="none"/>
                <w:lang w:val="en-US" w:eastAsia="zh-CN"/>
              </w:rPr>
              <w:t>街道</w:t>
            </w:r>
            <w:r>
              <w:rPr>
                <w:rFonts w:hint="eastAsia" w:ascii="宋体" w:hAnsi="宋体" w:eastAsia="宋体" w:cs="宋体"/>
                <w:color w:val="auto"/>
                <w:spacing w:val="-2"/>
                <w:sz w:val="21"/>
                <w:szCs w:val="21"/>
                <w:highlight w:val="none"/>
              </w:rPr>
              <w:t>单位，实现部、省、市、</w:t>
            </w:r>
            <w:r>
              <w:rPr>
                <w:rFonts w:hint="eastAsia" w:ascii="宋体" w:hAnsi="宋体" w:eastAsia="宋体" w:cs="宋体"/>
                <w:color w:val="auto"/>
                <w:spacing w:val="-2"/>
                <w:sz w:val="21"/>
                <w:szCs w:val="21"/>
                <w:highlight w:val="none"/>
                <w:lang w:val="en-US" w:eastAsia="zh-CN"/>
              </w:rPr>
              <w:t>区</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街道</w:t>
            </w:r>
            <w:r>
              <w:rPr>
                <w:rFonts w:hint="eastAsia" w:ascii="宋体" w:hAnsi="宋体" w:eastAsia="宋体" w:cs="宋体"/>
                <w:color w:val="auto"/>
                <w:spacing w:val="-2"/>
                <w:sz w:val="21"/>
                <w:szCs w:val="21"/>
                <w:highlight w:val="none"/>
                <w:lang w:eastAsia="zh-CN"/>
              </w:rPr>
              <w:t>通讯</w:t>
            </w:r>
            <w:r>
              <w:rPr>
                <w:rFonts w:hint="eastAsia" w:ascii="宋体" w:hAnsi="宋体" w:eastAsia="宋体" w:cs="宋体"/>
                <w:color w:val="auto"/>
                <w:spacing w:val="-1"/>
                <w:sz w:val="21"/>
                <w:szCs w:val="21"/>
                <w:highlight w:val="none"/>
              </w:rPr>
              <w:t>系统贯通联动；</w:t>
            </w:r>
          </w:p>
          <w:p w14:paraId="10493AC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12.</w:t>
            </w:r>
            <w:r>
              <w:rPr>
                <w:rFonts w:hint="eastAsia" w:ascii="宋体" w:hAnsi="宋体" w:eastAsia="宋体" w:cs="宋体"/>
                <w:color w:val="auto"/>
                <w:spacing w:val="-1"/>
                <w:sz w:val="21"/>
                <w:szCs w:val="21"/>
                <w:highlight w:val="none"/>
              </w:rPr>
              <w:t>支持基于电子政务外网部署，支持通过会议号</w:t>
            </w:r>
            <w:r>
              <w:rPr>
                <w:rFonts w:hint="eastAsia" w:ascii="宋体" w:hAnsi="宋体" w:eastAsia="宋体" w:cs="宋体"/>
                <w:color w:val="auto"/>
                <w:spacing w:val="-2"/>
                <w:sz w:val="21"/>
                <w:szCs w:val="21"/>
                <w:highlight w:val="none"/>
              </w:rPr>
              <w:t>或</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
                <w:sz w:val="21"/>
                <w:szCs w:val="21"/>
                <w:highlight w:val="none"/>
              </w:rPr>
              <w:t>IP</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地址等多种方式接入到市级视频会议</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MCU</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平</w:t>
            </w:r>
            <w:r>
              <w:rPr>
                <w:rFonts w:hint="eastAsia" w:ascii="宋体" w:hAnsi="宋体" w:eastAsia="宋体" w:cs="宋体"/>
                <w:color w:val="auto"/>
                <w:spacing w:val="-10"/>
                <w:sz w:val="21"/>
                <w:szCs w:val="21"/>
                <w:highlight w:val="none"/>
              </w:rPr>
              <w:t>台。</w:t>
            </w:r>
          </w:p>
        </w:tc>
        <w:tc>
          <w:tcPr>
            <w:tcW w:w="600" w:type="dxa"/>
            <w:vAlign w:val="center"/>
          </w:tcPr>
          <w:p w14:paraId="10EEAE81">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555" w:type="dxa"/>
            <w:vAlign w:val="center"/>
          </w:tcPr>
          <w:p w14:paraId="2AE69A29">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w:t>
            </w:r>
          </w:p>
        </w:tc>
        <w:tc>
          <w:tcPr>
            <w:tcW w:w="855" w:type="dxa"/>
            <w:vAlign w:val="center"/>
          </w:tcPr>
          <w:p w14:paraId="400427EB">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工业</w:t>
            </w:r>
          </w:p>
        </w:tc>
        <w:tc>
          <w:tcPr>
            <w:tcW w:w="720" w:type="dxa"/>
            <w:vAlign w:val="center"/>
          </w:tcPr>
          <w:p w14:paraId="7CD769F1">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是</w:t>
            </w:r>
          </w:p>
        </w:tc>
      </w:tr>
      <w:tr w14:paraId="7F3D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55D8046A">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lang w:val="en-US" w:eastAsia="zh-CN"/>
              </w:rPr>
              <w:t>2</w:t>
            </w:r>
          </w:p>
        </w:tc>
        <w:tc>
          <w:tcPr>
            <w:tcW w:w="1245" w:type="dxa"/>
            <w:vAlign w:val="center"/>
          </w:tcPr>
          <w:p w14:paraId="4EAD3D2E">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color w:val="auto"/>
                <w:sz w:val="21"/>
                <w:szCs w:val="21"/>
                <w:highlight w:val="none"/>
                <w:vertAlign w:val="baseline"/>
              </w:rPr>
            </w:pPr>
            <w:r>
              <w:rPr>
                <w:rFonts w:hint="eastAsia" w:ascii="宋体" w:hAnsi="宋体" w:eastAsia="宋体" w:cs="宋体"/>
                <w:color w:val="auto"/>
                <w:spacing w:val="-1"/>
                <w:sz w:val="21"/>
                <w:szCs w:val="21"/>
                <w:highlight w:val="none"/>
              </w:rPr>
              <w:t>政务外网接入交换机</w:t>
            </w:r>
          </w:p>
        </w:tc>
        <w:tc>
          <w:tcPr>
            <w:tcW w:w="5880" w:type="dxa"/>
          </w:tcPr>
          <w:p w14:paraId="68698108">
            <w:pPr>
              <w:pStyle w:val="73"/>
              <w:keepNext w:val="0"/>
              <w:keepLines w:val="0"/>
              <w:pageBreakBefore w:val="0"/>
              <w:widowControl/>
              <w:kinsoku w:val="0"/>
              <w:wordWrap/>
              <w:overflowPunct/>
              <w:topLinePunct w:val="0"/>
              <w:autoSpaceDE w:val="0"/>
              <w:autoSpaceDN w:val="0"/>
              <w:bidi w:val="0"/>
              <w:adjustRightInd w:val="0"/>
              <w:snapToGrid w:val="0"/>
              <w:spacing w:line="440" w:lineRule="exact"/>
              <w:ind w:right="42"/>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vertAlign w:val="baseline"/>
                <w:lang w:val="en-US" w:eastAsia="zh-CN"/>
              </w:rPr>
              <w:t>1.</w:t>
            </w:r>
            <w:r>
              <w:rPr>
                <w:rFonts w:hint="eastAsia" w:ascii="宋体" w:hAnsi="宋体" w:eastAsia="宋体" w:cs="宋体"/>
                <w:color w:val="auto"/>
                <w:spacing w:val="-5"/>
                <w:sz w:val="21"/>
                <w:szCs w:val="21"/>
                <w:highlight w:val="none"/>
              </w:rPr>
              <w:t>千兆电接口≥24</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5"/>
                <w:sz w:val="21"/>
                <w:szCs w:val="21"/>
                <w:highlight w:val="none"/>
              </w:rPr>
              <w:t>个，独立千兆</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SFP</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5"/>
                <w:sz w:val="21"/>
                <w:szCs w:val="21"/>
                <w:highlight w:val="none"/>
              </w:rPr>
              <w:t>光接口≥4</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个，</w:t>
            </w:r>
            <w:r>
              <w:rPr>
                <w:rFonts w:hint="eastAsia" w:ascii="宋体" w:hAnsi="宋体" w:eastAsia="宋体" w:cs="宋体"/>
                <w:color w:val="auto"/>
                <w:spacing w:val="-6"/>
                <w:sz w:val="21"/>
                <w:szCs w:val="21"/>
                <w:highlight w:val="none"/>
              </w:rPr>
              <w:t>配置千兆光模块</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6"/>
                <w:sz w:val="21"/>
                <w:szCs w:val="21"/>
                <w:highlight w:val="none"/>
              </w:rPr>
              <w:t>个；</w:t>
            </w:r>
          </w:p>
          <w:p w14:paraId="12F5D3AD">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z w:val="21"/>
                <w:szCs w:val="21"/>
                <w:highlight w:val="none"/>
                <w:vertAlign w:val="baseline"/>
                <w:lang w:val="en-US" w:eastAsia="zh-CN"/>
              </w:rPr>
              <w:t>2.</w:t>
            </w:r>
            <w:r>
              <w:rPr>
                <w:rFonts w:hint="eastAsia" w:ascii="宋体" w:hAnsi="宋体" w:eastAsia="宋体" w:cs="宋体"/>
                <w:color w:val="auto"/>
                <w:spacing w:val="-1"/>
                <w:sz w:val="21"/>
                <w:szCs w:val="21"/>
                <w:highlight w:val="none"/>
              </w:rPr>
              <w:t>交换容量≥336Gbps，包转发率≥126Mpps；</w:t>
            </w:r>
          </w:p>
          <w:p w14:paraId="6B9835E0">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1"/>
                <w:sz w:val="21"/>
                <w:szCs w:val="21"/>
                <w:highlight w:val="none"/>
                <w:lang w:val="en-US" w:eastAsia="zh-CN"/>
              </w:rPr>
              <w:t>3.</w:t>
            </w:r>
            <w:r>
              <w:rPr>
                <w:rFonts w:hint="eastAsia" w:ascii="宋体" w:hAnsi="宋体" w:eastAsia="宋体" w:cs="宋体"/>
                <w:color w:val="auto"/>
                <w:spacing w:val="-6"/>
                <w:sz w:val="21"/>
                <w:szCs w:val="21"/>
                <w:highlight w:val="none"/>
              </w:rPr>
              <w:t>支持</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6"/>
                <w:sz w:val="21"/>
                <w:szCs w:val="21"/>
                <w:highlight w:val="none"/>
              </w:rPr>
              <w:t>IPv4、IPv6</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6"/>
                <w:sz w:val="21"/>
                <w:szCs w:val="21"/>
                <w:highlight w:val="none"/>
              </w:rPr>
              <w:t>静态路由、RIP、RIPng、OSPFv2、</w:t>
            </w:r>
            <w:r>
              <w:rPr>
                <w:rFonts w:hint="eastAsia" w:ascii="宋体" w:hAnsi="宋体" w:eastAsia="宋体" w:cs="宋体"/>
                <w:color w:val="auto"/>
                <w:spacing w:val="-3"/>
                <w:sz w:val="21"/>
                <w:szCs w:val="21"/>
                <w:highlight w:val="none"/>
              </w:rPr>
              <w:t>OSPFv3</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等三层路由和组播功能；</w:t>
            </w:r>
          </w:p>
          <w:p w14:paraId="14AFD105">
            <w:pPr>
              <w:pStyle w:val="73"/>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3"/>
                <w:sz w:val="21"/>
                <w:szCs w:val="21"/>
                <w:highlight w:val="none"/>
                <w:lang w:val="en-US" w:eastAsia="zh-CN"/>
              </w:rPr>
              <w:t>4.</w:t>
            </w:r>
            <w:r>
              <w:rPr>
                <w:rFonts w:hint="eastAsia" w:ascii="宋体" w:hAnsi="宋体" w:eastAsia="宋体" w:cs="宋体"/>
                <w:color w:val="auto"/>
                <w:sz w:val="21"/>
                <w:szCs w:val="21"/>
                <w:highlight w:val="none"/>
              </w:rPr>
              <w:t>为保证设备稳定运行、设备防浪涌≥1</w:t>
            </w:r>
            <w:r>
              <w:rPr>
                <w:rFonts w:hint="eastAsia" w:ascii="宋体" w:hAnsi="宋体" w:eastAsia="宋体" w:cs="宋体"/>
                <w:color w:val="auto"/>
                <w:spacing w:val="-1"/>
                <w:sz w:val="21"/>
                <w:szCs w:val="21"/>
                <w:highlight w:val="none"/>
              </w:rPr>
              <w:t>0kv</w:t>
            </w:r>
            <w:r>
              <w:rPr>
                <w:rFonts w:hint="eastAsia" w:ascii="宋体" w:hAnsi="宋体" w:eastAsia="宋体" w:cs="宋体"/>
                <w:color w:val="auto"/>
                <w:spacing w:val="-1"/>
                <w:sz w:val="21"/>
                <w:szCs w:val="21"/>
                <w:highlight w:val="none"/>
                <w:lang w:eastAsia="zh-CN"/>
              </w:rPr>
              <w:t>；</w:t>
            </w:r>
          </w:p>
          <w:p w14:paraId="578A76CD">
            <w:pPr>
              <w:pStyle w:val="73"/>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1"/>
                <w:sz w:val="21"/>
                <w:szCs w:val="21"/>
                <w:highlight w:val="none"/>
                <w:lang w:val="en-US" w:eastAsia="zh-CN"/>
              </w:rPr>
              <w:t>5.</w:t>
            </w:r>
            <w:r>
              <w:rPr>
                <w:rFonts w:hint="eastAsia" w:ascii="宋体" w:hAnsi="宋体" w:eastAsia="宋体" w:cs="宋体"/>
                <w:color w:val="auto"/>
                <w:spacing w:val="-1"/>
                <w:sz w:val="21"/>
                <w:szCs w:val="21"/>
                <w:highlight w:val="none"/>
              </w:rPr>
              <w:t>支持基础网络保护机制，能够限制用户向网络中</w:t>
            </w:r>
            <w:r>
              <w:rPr>
                <w:rFonts w:hint="eastAsia" w:ascii="宋体" w:hAnsi="宋体" w:eastAsia="宋体" w:cs="宋体"/>
                <w:color w:val="auto"/>
                <w:spacing w:val="-4"/>
                <w:sz w:val="21"/>
                <w:szCs w:val="21"/>
                <w:highlight w:val="none"/>
              </w:rPr>
              <w:t>发送数据包的速率，对有攻击行为的用户进行隔离，</w:t>
            </w:r>
            <w:r>
              <w:rPr>
                <w:rFonts w:hint="eastAsia" w:ascii="宋体" w:hAnsi="宋体" w:eastAsia="宋体" w:cs="宋体"/>
                <w:color w:val="auto"/>
                <w:spacing w:val="-1"/>
                <w:sz w:val="21"/>
                <w:szCs w:val="21"/>
                <w:highlight w:val="none"/>
              </w:rPr>
              <w:t>保证设备和整网的安全稳定运行。</w:t>
            </w:r>
          </w:p>
        </w:tc>
        <w:tc>
          <w:tcPr>
            <w:tcW w:w="600" w:type="dxa"/>
            <w:vAlign w:val="center"/>
          </w:tcPr>
          <w:p w14:paraId="23E7C750">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555" w:type="dxa"/>
            <w:vAlign w:val="center"/>
          </w:tcPr>
          <w:p w14:paraId="52D90132">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w:t>
            </w:r>
          </w:p>
        </w:tc>
        <w:tc>
          <w:tcPr>
            <w:tcW w:w="855" w:type="dxa"/>
            <w:shd w:val="clear" w:color="auto" w:fill="auto"/>
            <w:vAlign w:val="center"/>
          </w:tcPr>
          <w:p w14:paraId="3305BD42">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snapToGrid w:val="0"/>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工业</w:t>
            </w:r>
          </w:p>
        </w:tc>
        <w:tc>
          <w:tcPr>
            <w:tcW w:w="720" w:type="dxa"/>
            <w:shd w:val="clear" w:color="auto" w:fill="auto"/>
            <w:vAlign w:val="center"/>
          </w:tcPr>
          <w:p w14:paraId="424CF836">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snapToGrid w:val="0"/>
                <w:color w:val="auto"/>
                <w:sz w:val="21"/>
                <w:szCs w:val="21"/>
                <w:highlight w:val="none"/>
                <w:vertAlign w:val="baseline"/>
                <w:lang w:val="en-US" w:eastAsia="zh-CN" w:bidi="ar-SA"/>
              </w:rPr>
            </w:pPr>
            <w:r>
              <w:rPr>
                <w:rFonts w:hint="eastAsia" w:ascii="宋体" w:hAnsi="宋体" w:eastAsia="宋体" w:cs="宋体"/>
                <w:snapToGrid w:val="0"/>
                <w:color w:val="auto"/>
                <w:sz w:val="21"/>
                <w:szCs w:val="21"/>
                <w:highlight w:val="none"/>
                <w:vertAlign w:val="baseline"/>
                <w:lang w:val="en-US" w:eastAsia="zh-CN" w:bidi="ar-SA"/>
              </w:rPr>
              <w:t>否</w:t>
            </w:r>
          </w:p>
        </w:tc>
      </w:tr>
    </w:tbl>
    <w:p w14:paraId="4B57EF2C">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三、报价要求</w:t>
      </w:r>
      <w:bookmarkEnd w:id="38"/>
      <w:bookmarkEnd w:id="39"/>
    </w:p>
    <w:p w14:paraId="3C37BDEB">
      <w:pPr>
        <w:spacing w:line="360" w:lineRule="auto"/>
        <w:ind w:firstLine="437"/>
        <w:rPr>
          <w:rFonts w:hint="eastAsia" w:ascii="宋体" w:hAnsi="宋体" w:eastAsia="宋体"/>
          <w:bCs/>
          <w:color w:val="auto"/>
          <w:sz w:val="24"/>
          <w:szCs w:val="18"/>
          <w:highlight w:val="none"/>
        </w:rPr>
      </w:pPr>
      <w:bookmarkStart w:id="40" w:name="_Toc16417"/>
      <w:r>
        <w:rPr>
          <w:rFonts w:hint="eastAsia" w:ascii="宋体" w:hAnsi="宋体" w:eastAsia="宋体"/>
          <w:bCs/>
          <w:color w:val="auto"/>
          <w:sz w:val="24"/>
          <w:szCs w:val="18"/>
          <w:highlight w:val="none"/>
          <w:lang w:val="en-US" w:eastAsia="zh-CN"/>
        </w:rPr>
        <w:t>1.</w:t>
      </w:r>
      <w:r>
        <w:rPr>
          <w:rFonts w:hint="eastAsia" w:ascii="宋体" w:hAnsi="宋体" w:eastAsia="宋体"/>
          <w:bCs/>
          <w:color w:val="auto"/>
          <w:sz w:val="24"/>
          <w:szCs w:val="18"/>
          <w:highlight w:val="none"/>
        </w:rPr>
        <w:t>本项目报投标总价，投标总价包括但不限于采购及服务需求清单中设备、系统和工程的采购运输、预备工程、检测与测试、产品质保、服务保证中所要求的服务内容，即为完成招标文件要求的采购、</w:t>
      </w:r>
      <w:r>
        <w:rPr>
          <w:rFonts w:hint="eastAsia" w:ascii="宋体" w:hAnsi="宋体" w:eastAsia="宋体"/>
          <w:bCs/>
          <w:color w:val="auto"/>
          <w:sz w:val="24"/>
          <w:szCs w:val="18"/>
          <w:highlight w:val="none"/>
          <w:lang w:val="en-US" w:eastAsia="zh-CN"/>
        </w:rPr>
        <w:t>采购</w:t>
      </w:r>
      <w:r>
        <w:rPr>
          <w:rFonts w:hint="eastAsia" w:ascii="宋体" w:hAnsi="宋体" w:eastAsia="宋体"/>
          <w:bCs/>
          <w:color w:val="auto"/>
          <w:sz w:val="24"/>
          <w:szCs w:val="18"/>
          <w:highlight w:val="none"/>
        </w:rPr>
        <w:t>需求所包含的一切应有费用。投标人应充分考虑项目实施、</w:t>
      </w:r>
      <w:r>
        <w:rPr>
          <w:rFonts w:hint="eastAsia" w:ascii="宋体" w:hAnsi="宋体" w:eastAsia="宋体"/>
          <w:bCs/>
          <w:color w:val="auto"/>
          <w:sz w:val="24"/>
          <w:szCs w:val="18"/>
          <w:highlight w:val="none"/>
          <w:lang w:val="en-US" w:eastAsia="zh-CN"/>
        </w:rPr>
        <w:t>质保期内</w:t>
      </w:r>
      <w:r>
        <w:rPr>
          <w:rFonts w:hint="eastAsia" w:ascii="宋体" w:hAnsi="宋体" w:eastAsia="宋体"/>
          <w:bCs/>
          <w:color w:val="auto"/>
          <w:sz w:val="24"/>
          <w:szCs w:val="18"/>
          <w:highlight w:val="none"/>
        </w:rPr>
        <w:t>运维服务时各环节所发生的费用（包括电子政务外网的联通），并计入投标报价。</w:t>
      </w:r>
    </w:p>
    <w:p w14:paraId="635FF02A">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rPr>
        <w:t>中标人所提供的软、硬件产品及服务须配齐以构成一套完整实用系统和体系。如果在本招标文件中未列明而投标人又认为确实需要的，投标人应在投标文件中予以列明并计入投标报价。项目实施和后续服务中所出现的任何遗漏，必须由中标人免费提供，采购人将不再支付任何费用，投标人须自行考虑投标风险。除非特别要求，该项目只允许有唯一方案、唯一报价，多方案、多报价的投标文件将不被接受。</w:t>
      </w:r>
    </w:p>
    <w:p w14:paraId="41665785">
      <w:pPr>
        <w:spacing w:line="360" w:lineRule="auto"/>
        <w:ind w:firstLine="437"/>
        <w:rPr>
          <w:rFonts w:hint="eastAsia" w:asciiTheme="minorEastAsia" w:hAnsiTheme="minorEastAsia" w:eastAsiaTheme="minorEastAsia"/>
          <w:b/>
          <w:color w:val="auto"/>
          <w:sz w:val="28"/>
          <w:highlight w:val="none"/>
          <w:lang w:val="en-US" w:eastAsia="zh-CN"/>
        </w:rPr>
      </w:pPr>
      <w:r>
        <w:rPr>
          <w:rFonts w:hint="eastAsia" w:asciiTheme="minorEastAsia" w:hAnsiTheme="minorEastAsia" w:eastAsiaTheme="minorEastAsia"/>
          <w:b/>
          <w:color w:val="auto"/>
          <w:sz w:val="28"/>
          <w:highlight w:val="none"/>
          <w:lang w:val="en-US" w:eastAsia="zh-CN"/>
        </w:rPr>
        <w:t>四、其他要求</w:t>
      </w:r>
    </w:p>
    <w:p w14:paraId="26BAA237">
      <w:pPr>
        <w:spacing w:line="360" w:lineRule="auto"/>
        <w:ind w:firstLine="437"/>
        <w:rPr>
          <w:rFonts w:hint="eastAsia" w:ascii="宋体" w:hAnsi="宋体" w:eastAsia="宋体"/>
          <w:b/>
          <w:bCs w:val="0"/>
          <w:color w:val="auto"/>
          <w:sz w:val="24"/>
          <w:szCs w:val="18"/>
          <w:highlight w:val="none"/>
        </w:rPr>
      </w:pPr>
      <w:r>
        <w:rPr>
          <w:rFonts w:hint="eastAsia" w:ascii="宋体" w:hAnsi="宋体" w:eastAsia="宋体"/>
          <w:b/>
          <w:bCs w:val="0"/>
          <w:color w:val="auto"/>
          <w:sz w:val="24"/>
          <w:szCs w:val="18"/>
          <w:highlight w:val="none"/>
          <w:lang w:val="en-US" w:eastAsia="zh-CN"/>
        </w:rPr>
        <w:t>1.</w:t>
      </w:r>
      <w:r>
        <w:rPr>
          <w:rFonts w:hint="eastAsia" w:ascii="宋体" w:hAnsi="宋体" w:eastAsia="宋体"/>
          <w:b/>
          <w:bCs w:val="0"/>
          <w:color w:val="auto"/>
          <w:sz w:val="24"/>
          <w:szCs w:val="18"/>
          <w:highlight w:val="none"/>
        </w:rPr>
        <w:t>真实性要求</w:t>
      </w:r>
    </w:p>
    <w:p w14:paraId="5D924720">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投标人中标后，必须确保实现部、省、市、</w:t>
      </w:r>
      <w:r>
        <w:rPr>
          <w:rFonts w:hint="eastAsia" w:ascii="宋体" w:hAnsi="宋体" w:eastAsia="宋体"/>
          <w:bCs/>
          <w:color w:val="auto"/>
          <w:sz w:val="24"/>
          <w:szCs w:val="18"/>
          <w:highlight w:val="none"/>
          <w:lang w:val="en-US" w:eastAsia="zh-CN"/>
        </w:rPr>
        <w:t>区</w:t>
      </w:r>
      <w:r>
        <w:rPr>
          <w:rFonts w:hint="eastAsia" w:ascii="宋体" w:hAnsi="宋体" w:eastAsia="宋体"/>
          <w:bCs/>
          <w:color w:val="auto"/>
          <w:sz w:val="24"/>
          <w:szCs w:val="18"/>
          <w:highlight w:val="none"/>
        </w:rPr>
        <w:t>、</w:t>
      </w:r>
      <w:r>
        <w:rPr>
          <w:rFonts w:hint="eastAsia" w:ascii="宋体" w:hAnsi="宋体" w:eastAsia="宋体"/>
          <w:bCs/>
          <w:color w:val="auto"/>
          <w:sz w:val="24"/>
          <w:szCs w:val="18"/>
          <w:highlight w:val="none"/>
          <w:lang w:val="en-US" w:eastAsia="zh-CN"/>
        </w:rPr>
        <w:t>街道</w:t>
      </w:r>
      <w:r>
        <w:rPr>
          <w:rFonts w:hint="eastAsia" w:ascii="宋体" w:hAnsi="宋体" w:eastAsia="宋体"/>
          <w:bCs/>
          <w:color w:val="auto"/>
          <w:sz w:val="24"/>
          <w:szCs w:val="18"/>
          <w:highlight w:val="none"/>
          <w:lang w:eastAsia="zh-CN"/>
        </w:rPr>
        <w:t>五</w:t>
      </w:r>
      <w:r>
        <w:rPr>
          <w:rFonts w:hint="eastAsia" w:ascii="宋体" w:hAnsi="宋体" w:eastAsia="宋体"/>
          <w:bCs/>
          <w:color w:val="auto"/>
          <w:sz w:val="24"/>
          <w:szCs w:val="18"/>
          <w:highlight w:val="none"/>
        </w:rPr>
        <w:t>级应急指挥调度系统贯通联动，</w:t>
      </w:r>
      <w:r>
        <w:rPr>
          <w:rFonts w:hint="eastAsia" w:ascii="宋体" w:hAnsi="宋体" w:eastAsia="宋体"/>
          <w:bCs/>
          <w:color w:val="auto"/>
          <w:sz w:val="24"/>
          <w:szCs w:val="18"/>
          <w:highlight w:val="none"/>
          <w:lang w:val="en-US" w:eastAsia="zh-CN"/>
        </w:rPr>
        <w:t>签订合同前</w:t>
      </w:r>
      <w:r>
        <w:rPr>
          <w:rFonts w:hint="eastAsia" w:ascii="宋体" w:hAnsi="宋体" w:eastAsia="宋体"/>
          <w:bCs/>
          <w:color w:val="auto"/>
          <w:sz w:val="24"/>
          <w:szCs w:val="18"/>
          <w:highlight w:val="none"/>
        </w:rPr>
        <w:t>出具保证所投设备原厂质保的承诺书。中标人必须对投标文件中提供的产品资料的真实性、有效性负责，包括：产品彩页、检测报告、功能截图、产品证书等证明文件。中标后，采购人有权核验所投资料的真实性，若中标人提供虚假文件，采购人有权报财政监管部门。</w:t>
      </w:r>
    </w:p>
    <w:p w14:paraId="4B289A96">
      <w:pPr>
        <w:spacing w:line="360" w:lineRule="auto"/>
        <w:ind w:firstLine="437"/>
        <w:rPr>
          <w:rFonts w:hint="eastAsia" w:ascii="宋体" w:hAnsi="宋体" w:eastAsia="宋体"/>
          <w:b/>
          <w:bCs w:val="0"/>
          <w:color w:val="auto"/>
          <w:sz w:val="24"/>
          <w:szCs w:val="18"/>
          <w:highlight w:val="none"/>
        </w:rPr>
      </w:pPr>
      <w:r>
        <w:rPr>
          <w:rFonts w:hint="eastAsia" w:ascii="宋体" w:hAnsi="宋体" w:eastAsia="宋体"/>
          <w:b/>
          <w:bCs w:val="0"/>
          <w:color w:val="auto"/>
          <w:sz w:val="24"/>
          <w:szCs w:val="18"/>
          <w:highlight w:val="none"/>
          <w:lang w:val="en-US" w:eastAsia="zh-CN"/>
        </w:rPr>
        <w:t>2.</w:t>
      </w:r>
      <w:r>
        <w:rPr>
          <w:rFonts w:hint="eastAsia" w:ascii="宋体" w:hAnsi="宋体" w:eastAsia="宋体"/>
          <w:b/>
          <w:bCs w:val="0"/>
          <w:color w:val="auto"/>
          <w:sz w:val="24"/>
          <w:szCs w:val="18"/>
          <w:highlight w:val="none"/>
        </w:rPr>
        <w:t>服务保证</w:t>
      </w:r>
    </w:p>
    <w:p w14:paraId="2F1A401E">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2.1技术响应服务</w:t>
      </w:r>
    </w:p>
    <w:p w14:paraId="09A7104A">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投标人中标后，须保证完全响应以下服务要求，应充分考虑服务成本，招标人不再支付任何费用。</w:t>
      </w:r>
    </w:p>
    <w:p w14:paraId="1BB1EE09">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为应对突发情况下应急响应处置，增强应急处置能力</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以确保其技术响应服务能力。</w:t>
      </w:r>
    </w:p>
    <w:p w14:paraId="77407636">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由于应急指挥、指挥调度工作的特殊性，常态与非常态并存。特别是重大敏感时期（防汛、防火期等），重大自然灾害和安全生产事故发生时，</w:t>
      </w:r>
      <w:r>
        <w:rPr>
          <w:rFonts w:hint="eastAsia" w:ascii="宋体" w:hAnsi="宋体" w:eastAsia="宋体"/>
          <w:bCs/>
          <w:color w:val="auto"/>
          <w:sz w:val="24"/>
          <w:szCs w:val="18"/>
          <w:highlight w:val="none"/>
          <w:lang w:eastAsia="zh-CN"/>
        </w:rPr>
        <w:t>质保期</w:t>
      </w:r>
      <w:r>
        <w:rPr>
          <w:rFonts w:hint="eastAsia" w:ascii="宋体" w:hAnsi="宋体" w:eastAsia="宋体"/>
          <w:bCs/>
          <w:color w:val="auto"/>
          <w:sz w:val="24"/>
          <w:szCs w:val="18"/>
          <w:highlight w:val="none"/>
        </w:rPr>
        <w:t>内，中标人须随时按照采购人要求增派运维人员，无条件、免费提供售后服务，着重加强</w:t>
      </w:r>
      <w:r>
        <w:rPr>
          <w:rFonts w:hint="eastAsia" w:ascii="宋体" w:hAnsi="宋体" w:eastAsia="宋体"/>
          <w:bCs/>
          <w:color w:val="auto"/>
          <w:sz w:val="24"/>
          <w:szCs w:val="18"/>
          <w:highlight w:val="none"/>
          <w:lang w:eastAsia="zh-CN"/>
        </w:rPr>
        <w:t>街道</w:t>
      </w:r>
      <w:r>
        <w:rPr>
          <w:rFonts w:hint="eastAsia" w:ascii="宋体" w:hAnsi="宋体" w:eastAsia="宋体"/>
          <w:bCs/>
          <w:color w:val="auto"/>
          <w:sz w:val="24"/>
          <w:szCs w:val="18"/>
          <w:highlight w:val="none"/>
        </w:rPr>
        <w:t>指挥部保障、灾害一线保障，必要时进行伴随保障，60分钟内响应到位。</w:t>
      </w:r>
    </w:p>
    <w:p w14:paraId="39BEB521">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在免费</w:t>
      </w:r>
      <w:r>
        <w:rPr>
          <w:rFonts w:hint="eastAsia" w:ascii="宋体" w:hAnsi="宋体" w:eastAsia="宋体"/>
          <w:bCs/>
          <w:color w:val="auto"/>
          <w:sz w:val="24"/>
          <w:szCs w:val="18"/>
          <w:highlight w:val="none"/>
          <w:lang w:val="en-US" w:eastAsia="zh-CN"/>
        </w:rPr>
        <w:t>质保期</w:t>
      </w:r>
      <w:r>
        <w:rPr>
          <w:rFonts w:hint="eastAsia" w:ascii="宋体" w:hAnsi="宋体" w:eastAsia="宋体"/>
          <w:bCs/>
          <w:color w:val="auto"/>
          <w:sz w:val="24"/>
          <w:szCs w:val="18"/>
          <w:highlight w:val="none"/>
        </w:rPr>
        <w:t>内，投标人应储备充足的备品备件，以保障硬件设备发生故障时能够及时提供备品备件更换。接到故障报告后最晚15分钟内必须响应，对于紧急的问题在30分钟内到达现场并及时修复。</w:t>
      </w:r>
    </w:p>
    <w:p w14:paraId="190AD748">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2.</w:t>
      </w: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rPr>
        <w:t>.培训指导服务</w:t>
      </w:r>
    </w:p>
    <w:p w14:paraId="2FAB77D5">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中标人在项目实施过程中充分重视对采购人的技术赋能，对本项目中所涉及到的软、硬件须对采购人进行技术培训。所有培训费用（含培训资源及其他相关费用）包含在投标总价中。</w:t>
      </w:r>
    </w:p>
    <w:p w14:paraId="732F9226">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（1）培训目标人员</w:t>
      </w:r>
    </w:p>
    <w:p w14:paraId="138AE922">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区</w:t>
      </w:r>
      <w:r>
        <w:rPr>
          <w:rFonts w:hint="eastAsia" w:ascii="宋体" w:hAnsi="宋体" w:eastAsia="宋体"/>
          <w:bCs/>
          <w:color w:val="auto"/>
          <w:sz w:val="24"/>
          <w:szCs w:val="18"/>
          <w:highlight w:val="none"/>
        </w:rPr>
        <w:t>级应急管理部门业务相关人员及</w:t>
      </w:r>
      <w:r>
        <w:rPr>
          <w:rFonts w:hint="eastAsia" w:ascii="宋体" w:hAnsi="宋体" w:eastAsia="宋体"/>
          <w:bCs/>
          <w:color w:val="auto"/>
          <w:sz w:val="24"/>
          <w:szCs w:val="18"/>
          <w:highlight w:val="none"/>
          <w:lang w:val="en-US" w:eastAsia="zh-CN"/>
        </w:rPr>
        <w:t>街道</w:t>
      </w:r>
      <w:r>
        <w:rPr>
          <w:rFonts w:hint="eastAsia" w:ascii="宋体" w:hAnsi="宋体" w:eastAsia="宋体"/>
          <w:bCs/>
          <w:color w:val="auto"/>
          <w:sz w:val="24"/>
          <w:szCs w:val="18"/>
          <w:highlight w:val="none"/>
        </w:rPr>
        <w:t>使用人员。</w:t>
      </w:r>
    </w:p>
    <w:p w14:paraId="779EC7EE">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（2）培训内容</w:t>
      </w:r>
    </w:p>
    <w:p w14:paraId="04B6F5E3">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培训是一个非常重要的环节，是整个项目管理工作的重要组成部分。通过培训使得培训后的人员能了解和掌握系统及产品结构和工作原理、设备性能、设备操作，并能排除一般的系统故障，使得这些管理人员能担负起产品和系统的日常运行、维修、维护和保养工作，保障系统正常运行。</w:t>
      </w:r>
    </w:p>
    <w:p w14:paraId="4F3DB3BD">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计划安排二个层次的培训：一是针对工程师的培训，另一个是对应用操作人员的培训。</w:t>
      </w:r>
    </w:p>
    <w:p w14:paraId="1DFACF5B">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工程师和技术人员培训：在整个</w:t>
      </w:r>
      <w:r>
        <w:rPr>
          <w:rFonts w:hint="eastAsia" w:ascii="宋体" w:hAnsi="宋体" w:eastAsia="宋体"/>
          <w:bCs/>
          <w:color w:val="auto"/>
          <w:sz w:val="24"/>
          <w:szCs w:val="18"/>
          <w:highlight w:val="none"/>
          <w:lang w:val="en-US" w:eastAsia="zh-CN"/>
        </w:rPr>
        <w:t>项目建设</w:t>
      </w:r>
      <w:r>
        <w:rPr>
          <w:rFonts w:hint="eastAsia" w:ascii="宋体" w:hAnsi="宋体" w:eastAsia="宋体"/>
          <w:bCs/>
          <w:color w:val="auto"/>
          <w:sz w:val="24"/>
          <w:szCs w:val="18"/>
          <w:highlight w:val="none"/>
        </w:rPr>
        <w:t>期间，应急管理部门有关的技术人员与系统承建单位的工程师共同工作，使他们熟悉整个</w:t>
      </w:r>
      <w:r>
        <w:rPr>
          <w:rFonts w:hint="eastAsia" w:ascii="宋体" w:hAnsi="宋体" w:eastAsia="宋体"/>
          <w:bCs/>
          <w:color w:val="auto"/>
          <w:sz w:val="24"/>
          <w:szCs w:val="18"/>
          <w:highlight w:val="none"/>
          <w:lang w:val="en-US" w:eastAsia="zh-CN"/>
        </w:rPr>
        <w:t>项目</w:t>
      </w:r>
      <w:r>
        <w:rPr>
          <w:rFonts w:hint="eastAsia" w:ascii="宋体" w:hAnsi="宋体" w:eastAsia="宋体"/>
          <w:bCs/>
          <w:color w:val="auto"/>
          <w:sz w:val="24"/>
          <w:szCs w:val="18"/>
          <w:highlight w:val="none"/>
        </w:rPr>
        <w:t>的原理、实际的安装施工的技能、查找问题与解决问题的技巧。培训方法应以实际操作为主，使维护人员熟悉全系统，具备实际的操作技能。</w:t>
      </w:r>
    </w:p>
    <w:p w14:paraId="6743088B">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一般应用人员的培训：各个</w:t>
      </w:r>
      <w:r>
        <w:rPr>
          <w:rFonts w:hint="eastAsia" w:ascii="宋体" w:hAnsi="宋体" w:eastAsia="宋体"/>
          <w:bCs/>
          <w:color w:val="auto"/>
          <w:sz w:val="24"/>
          <w:szCs w:val="18"/>
          <w:highlight w:val="none"/>
          <w:lang w:val="en-US" w:eastAsia="zh-CN"/>
        </w:rPr>
        <w:t>设备</w:t>
      </w:r>
      <w:r>
        <w:rPr>
          <w:rFonts w:hint="eastAsia" w:ascii="宋体" w:hAnsi="宋体" w:eastAsia="宋体"/>
          <w:bCs/>
          <w:color w:val="auto"/>
          <w:sz w:val="24"/>
          <w:szCs w:val="18"/>
          <w:highlight w:val="none"/>
        </w:rPr>
        <w:t>的使用操作均备有详细的使用说明书，可使不具备经验的人员能在短时间内掌握整个系统的使用。使他们了解产品和系统的功能、熟练掌握系统操作方法，通过系统提高工作效率和质量，充分体现信息化建设成效。</w:t>
      </w:r>
    </w:p>
    <w:p w14:paraId="7D52C8E4">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（3）培训方式</w:t>
      </w:r>
    </w:p>
    <w:p w14:paraId="7123B6C2">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以现场集中培训为主。相关硬件产品，在项目实施的现场，结合安装、调试等实际工作，由项目技术人员提供现场培训。软件系统，项目施工完成后，由系统承建单位安排专门的技术工程师，对用户进行集中培训，并提供相关培训材料。</w:t>
      </w:r>
    </w:p>
    <w:p w14:paraId="3CC597B7">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（4）培训计划</w:t>
      </w:r>
    </w:p>
    <w:p w14:paraId="4E51BFA2">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为了保证培训的质量，制定详细的培训课程计划，如下表：</w:t>
      </w:r>
    </w:p>
    <w:tbl>
      <w:tblPr>
        <w:tblStyle w:val="52"/>
        <w:tblW w:w="91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8"/>
        <w:gridCol w:w="3335"/>
        <w:gridCol w:w="2346"/>
        <w:gridCol w:w="2157"/>
      </w:tblGrid>
      <w:tr w14:paraId="6C36C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338" w:type="dxa"/>
          </w:tcPr>
          <w:p w14:paraId="407AA6D0">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序号</w:t>
            </w:r>
          </w:p>
        </w:tc>
        <w:tc>
          <w:tcPr>
            <w:tcW w:w="3335" w:type="dxa"/>
          </w:tcPr>
          <w:p w14:paraId="4546FFC5">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培训内容</w:t>
            </w:r>
          </w:p>
        </w:tc>
        <w:tc>
          <w:tcPr>
            <w:tcW w:w="2346" w:type="dxa"/>
          </w:tcPr>
          <w:p w14:paraId="7B0C5C94">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培训学时</w:t>
            </w:r>
          </w:p>
        </w:tc>
        <w:tc>
          <w:tcPr>
            <w:tcW w:w="2157" w:type="dxa"/>
          </w:tcPr>
          <w:p w14:paraId="51F96F6B">
            <w:pPr>
              <w:spacing w:line="360" w:lineRule="auto"/>
              <w:ind w:firstLine="437"/>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rPr>
              <w:t>培训</w:t>
            </w:r>
            <w:r>
              <w:rPr>
                <w:rFonts w:hint="eastAsia" w:ascii="宋体" w:hAnsi="宋体" w:eastAsia="宋体"/>
                <w:bCs/>
                <w:color w:val="auto"/>
                <w:sz w:val="24"/>
                <w:szCs w:val="18"/>
                <w:highlight w:val="none"/>
                <w:lang w:val="en-US" w:eastAsia="zh-CN"/>
              </w:rPr>
              <w:t>天数</w:t>
            </w:r>
          </w:p>
        </w:tc>
      </w:tr>
      <w:tr w14:paraId="69F60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338" w:type="dxa"/>
          </w:tcPr>
          <w:p w14:paraId="0901A603">
            <w:pPr>
              <w:spacing w:line="360" w:lineRule="auto"/>
              <w:ind w:firstLine="437"/>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1</w:t>
            </w:r>
          </w:p>
        </w:tc>
        <w:tc>
          <w:tcPr>
            <w:tcW w:w="3335" w:type="dxa"/>
          </w:tcPr>
          <w:p w14:paraId="49BCC078">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应急通讯视频</w:t>
            </w:r>
            <w:r>
              <w:rPr>
                <w:rFonts w:hint="eastAsia" w:ascii="宋体" w:hAnsi="宋体" w:eastAsia="宋体"/>
                <w:bCs/>
                <w:color w:val="auto"/>
                <w:sz w:val="24"/>
                <w:szCs w:val="18"/>
                <w:highlight w:val="none"/>
              </w:rPr>
              <w:t>终端</w:t>
            </w:r>
          </w:p>
        </w:tc>
        <w:tc>
          <w:tcPr>
            <w:tcW w:w="2346" w:type="dxa"/>
          </w:tcPr>
          <w:p w14:paraId="6CC1E0C0">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6学时/天</w:t>
            </w:r>
          </w:p>
        </w:tc>
        <w:tc>
          <w:tcPr>
            <w:tcW w:w="2157" w:type="dxa"/>
          </w:tcPr>
          <w:p w14:paraId="4B456A26">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0.5天</w:t>
            </w:r>
          </w:p>
        </w:tc>
      </w:tr>
    </w:tbl>
    <w:p w14:paraId="7F46619C">
      <w:pPr>
        <w:spacing w:line="360" w:lineRule="auto"/>
        <w:ind w:firstLine="437"/>
        <w:rPr>
          <w:rFonts w:hint="eastAsia" w:ascii="宋体" w:hAnsi="宋体" w:eastAsia="宋体"/>
          <w:b/>
          <w:bCs w:val="0"/>
          <w:color w:val="auto"/>
          <w:sz w:val="24"/>
          <w:szCs w:val="18"/>
          <w:highlight w:val="none"/>
        </w:rPr>
      </w:pPr>
      <w:r>
        <w:rPr>
          <w:rFonts w:hint="eastAsia" w:ascii="宋体" w:hAnsi="宋体" w:eastAsia="宋体"/>
          <w:b/>
          <w:bCs w:val="0"/>
          <w:color w:val="auto"/>
          <w:sz w:val="24"/>
          <w:szCs w:val="18"/>
          <w:highlight w:val="none"/>
        </w:rPr>
        <w:t>3.系统对接保证</w:t>
      </w:r>
    </w:p>
    <w:p w14:paraId="7D135657">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投标人必须保证本项目建成后，完成</w:t>
      </w:r>
      <w:r>
        <w:rPr>
          <w:rFonts w:hint="eastAsia" w:ascii="宋体" w:hAnsi="宋体" w:eastAsia="宋体"/>
          <w:bCs/>
          <w:color w:val="auto"/>
          <w:sz w:val="24"/>
          <w:szCs w:val="18"/>
          <w:highlight w:val="none"/>
          <w:lang w:val="en-US" w:eastAsia="zh-CN"/>
        </w:rPr>
        <w:t>省、</w:t>
      </w:r>
      <w:r>
        <w:rPr>
          <w:rFonts w:hint="eastAsia" w:ascii="宋体" w:hAnsi="宋体" w:eastAsia="宋体"/>
          <w:bCs/>
          <w:color w:val="auto"/>
          <w:sz w:val="24"/>
          <w:szCs w:val="18"/>
          <w:highlight w:val="none"/>
        </w:rPr>
        <w:t>市、区、</w:t>
      </w:r>
      <w:r>
        <w:rPr>
          <w:rFonts w:hint="eastAsia" w:ascii="宋体" w:hAnsi="宋体" w:eastAsia="宋体"/>
          <w:bCs/>
          <w:color w:val="auto"/>
          <w:sz w:val="24"/>
          <w:szCs w:val="18"/>
          <w:highlight w:val="none"/>
          <w:lang w:val="en-US" w:eastAsia="zh-CN"/>
        </w:rPr>
        <w:t>街道四</w:t>
      </w:r>
      <w:r>
        <w:rPr>
          <w:rFonts w:hint="eastAsia" w:ascii="宋体" w:hAnsi="宋体" w:eastAsia="宋体"/>
          <w:bCs/>
          <w:color w:val="auto"/>
          <w:sz w:val="24"/>
          <w:szCs w:val="18"/>
          <w:highlight w:val="none"/>
        </w:rPr>
        <w:t>级视频调度系统的业务、功能的对接，实现与市指挥中心建设的视频调度系统相融合，并实现可被省厅视频调度系统实时调度，保证省</w:t>
      </w:r>
      <w:r>
        <w:rPr>
          <w:rFonts w:hint="eastAsia" w:ascii="宋体" w:hAnsi="宋体" w:eastAsia="宋体"/>
          <w:bCs/>
          <w:color w:val="auto"/>
          <w:sz w:val="24"/>
          <w:szCs w:val="18"/>
          <w:highlight w:val="none"/>
          <w:lang w:eastAsia="zh-CN"/>
        </w:rPr>
        <w:t>应急管理</w:t>
      </w:r>
      <w:r>
        <w:rPr>
          <w:rFonts w:hint="eastAsia" w:ascii="宋体" w:hAnsi="宋体" w:eastAsia="宋体"/>
          <w:bCs/>
          <w:color w:val="auto"/>
          <w:sz w:val="24"/>
          <w:szCs w:val="18"/>
          <w:highlight w:val="none"/>
        </w:rPr>
        <w:t>厅</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市应急管理局</w:t>
      </w:r>
      <w:r>
        <w:rPr>
          <w:rFonts w:hint="eastAsia" w:ascii="宋体" w:hAnsi="宋体" w:eastAsia="宋体"/>
          <w:bCs/>
          <w:color w:val="auto"/>
          <w:sz w:val="24"/>
          <w:szCs w:val="18"/>
          <w:highlight w:val="none"/>
        </w:rPr>
        <w:t>视频调度系统迭代升级后，亦能实现同步升级，确保与省</w:t>
      </w:r>
      <w:r>
        <w:rPr>
          <w:rFonts w:hint="eastAsia" w:ascii="宋体" w:hAnsi="宋体" w:eastAsia="宋体"/>
          <w:bCs/>
          <w:color w:val="auto"/>
          <w:sz w:val="24"/>
          <w:szCs w:val="18"/>
          <w:highlight w:val="none"/>
          <w:lang w:eastAsia="zh-CN"/>
        </w:rPr>
        <w:t>应急管理</w:t>
      </w:r>
      <w:r>
        <w:rPr>
          <w:rFonts w:hint="eastAsia" w:ascii="宋体" w:hAnsi="宋体" w:eastAsia="宋体"/>
          <w:bCs/>
          <w:color w:val="auto"/>
          <w:sz w:val="24"/>
          <w:szCs w:val="18"/>
          <w:highlight w:val="none"/>
        </w:rPr>
        <w:t>厅</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市应急管理局</w:t>
      </w:r>
      <w:r>
        <w:rPr>
          <w:rFonts w:hint="eastAsia" w:ascii="宋体" w:hAnsi="宋体" w:eastAsia="宋体"/>
          <w:bCs/>
          <w:color w:val="auto"/>
          <w:sz w:val="24"/>
          <w:szCs w:val="18"/>
          <w:highlight w:val="none"/>
        </w:rPr>
        <w:t>视频调度系统随时保持互联互通。</w:t>
      </w:r>
    </w:p>
    <w:p w14:paraId="01D359A1">
      <w:pPr>
        <w:spacing w:line="360" w:lineRule="auto"/>
        <w:ind w:firstLine="437"/>
        <w:rPr>
          <w:rFonts w:hint="eastAsia" w:ascii="宋体" w:hAnsi="宋体" w:eastAsia="宋体"/>
          <w:b/>
          <w:bCs w:val="0"/>
          <w:color w:val="auto"/>
          <w:sz w:val="24"/>
          <w:szCs w:val="18"/>
          <w:highlight w:val="none"/>
        </w:rPr>
      </w:pPr>
      <w:r>
        <w:rPr>
          <w:rFonts w:hint="eastAsia" w:ascii="宋体" w:hAnsi="宋体" w:eastAsia="宋体"/>
          <w:b/>
          <w:bCs w:val="0"/>
          <w:color w:val="auto"/>
          <w:sz w:val="24"/>
          <w:szCs w:val="18"/>
          <w:highlight w:val="none"/>
        </w:rPr>
        <w:t>4.验收要求</w:t>
      </w:r>
    </w:p>
    <w:p w14:paraId="302E482C">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（1）调试及试运行：试运行期限，自设备安装调试、上下级联、系统对接完成之日起不少于</w:t>
      </w:r>
      <w:r>
        <w:rPr>
          <w:rFonts w:hint="eastAsia" w:ascii="宋体" w:hAnsi="宋体" w:eastAsia="宋体"/>
          <w:bCs/>
          <w:color w:val="auto"/>
          <w:sz w:val="24"/>
          <w:szCs w:val="18"/>
          <w:highlight w:val="none"/>
          <w:lang w:val="en-US" w:eastAsia="zh-CN"/>
        </w:rPr>
        <w:t>10</w:t>
      </w:r>
      <w:r>
        <w:rPr>
          <w:rFonts w:hint="eastAsia" w:ascii="宋体" w:hAnsi="宋体" w:eastAsia="宋体"/>
          <w:bCs/>
          <w:color w:val="auto"/>
          <w:sz w:val="24"/>
          <w:szCs w:val="18"/>
          <w:highlight w:val="none"/>
        </w:rPr>
        <w:t>日。试运行期间，中标人应做好系统功能检测，其性能指标应该符合相关技术规范的要求。系统试运行各项指标达到设计要求、试运行推广使用达到预期效果后再进行项目验收，以保障系统运行安全稳定。</w:t>
      </w:r>
    </w:p>
    <w:p w14:paraId="2294070A">
      <w:pPr>
        <w:spacing w:line="360" w:lineRule="auto"/>
        <w:ind w:firstLine="437"/>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rPr>
        <w:t>（2）项目验收：中标人需提供第三方检测机构对本项目软件性能、功能检测合格的报告，</w:t>
      </w:r>
      <w:r>
        <w:rPr>
          <w:rFonts w:hint="eastAsia" w:ascii="宋体" w:hAnsi="宋体" w:eastAsia="宋体"/>
          <w:bCs/>
          <w:color w:val="auto"/>
          <w:sz w:val="24"/>
          <w:szCs w:val="18"/>
          <w:highlight w:val="none"/>
          <w:lang w:val="en-US" w:eastAsia="zh-CN"/>
        </w:rPr>
        <w:t>设备接入已建成视频调度系统，待省、市、区、街道四级视频联通测试合格，并由市应急管理局组织并出具联通测试合格说明后，提交申请验收。采购人收到中标人提供的检测合格的报告和验收申请5个工作日内按合同组织验收，出具验收合格证明。</w:t>
      </w:r>
    </w:p>
    <w:p w14:paraId="638F1755">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5.开放及升级承诺要求</w:t>
      </w:r>
    </w:p>
    <w:p w14:paraId="66F54141">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投标人中标后，须保证所投的产品或系统API、SDK等对接接口，永久、无偿向采购人开放对接接口，积极配合相关业务应用系统调用和相关系统平台的对接。</w:t>
      </w:r>
    </w:p>
    <w:p w14:paraId="2C67E3FC">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保证在质保期内所投产品（含软、硬件）按照原厂的升级策略免费提供原厂升级、版本更新及利于系统运行与维护有用的技术改进，免费提供最新版本配套软件升级服务，包括固件和管理软件。</w:t>
      </w:r>
    </w:p>
    <w:p w14:paraId="662B6499">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6</w:t>
      </w: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rPr>
        <w:t>项目组人员要求</w:t>
      </w:r>
    </w:p>
    <w:p w14:paraId="752CD073">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6.1人员配置要求</w:t>
      </w:r>
    </w:p>
    <w:p w14:paraId="704268E7">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中标单位成立项目组，含项目经理1名，项目施工技术负责人1名及其他成员若干。项目实施期间以上人员不得兼职其他项目。项目组成员应具有项目需求所涉及的专业资质，由招标人在进场前进行核查，经招标人确认后才能正式进场。</w:t>
      </w:r>
    </w:p>
    <w:p w14:paraId="72F7C56F">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项目组在项目建设及试运行期间，应常驻项目现场，未经书面批准不得以任何理由擅自更换项目经理，不得在建设期（试运行期）内擅自离开施工现场，不得无故缺岗、离岗。</w:t>
      </w:r>
    </w:p>
    <w:p w14:paraId="24A2AD35">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6.2保密要求</w:t>
      </w:r>
    </w:p>
    <w:p w14:paraId="2A1B0785">
      <w:pPr>
        <w:spacing w:line="360" w:lineRule="auto"/>
        <w:ind w:firstLine="437"/>
        <w:rPr>
          <w:rFonts w:hint="eastAsia" w:asciiTheme="minorEastAsia" w:hAnsiTheme="minorEastAsia" w:eastAsiaTheme="minorEastAsia"/>
          <w:b/>
          <w:color w:val="auto"/>
          <w:sz w:val="28"/>
          <w:highlight w:val="none"/>
        </w:rPr>
      </w:pPr>
      <w:r>
        <w:rPr>
          <w:rFonts w:hint="eastAsia" w:ascii="宋体" w:hAnsi="宋体" w:eastAsia="宋体"/>
          <w:bCs/>
          <w:color w:val="auto"/>
          <w:sz w:val="24"/>
          <w:szCs w:val="18"/>
          <w:highlight w:val="none"/>
        </w:rPr>
        <w:t>项目组须严格执行各项保密制度，保证各种运维记录、各类数据、分析报告、会议保障、会议内容、建设资料、设计资料等资料、信息不对外扩散、不对外传播，如发生泄露，采购人有权解除合同，同时报政府采购监管部门并对因此产生的损失要求中标人赔偿，视情况追究其连带责任、法律责任。</w:t>
      </w:r>
      <w:r>
        <w:rPr>
          <w:rFonts w:hint="eastAsia" w:asciiTheme="minorEastAsia" w:hAnsiTheme="minorEastAsia" w:eastAsiaTheme="minorEastAsia"/>
          <w:b/>
          <w:color w:val="auto"/>
          <w:sz w:val="28"/>
          <w:highlight w:val="none"/>
        </w:rPr>
        <w:br w:type="page"/>
      </w:r>
    </w:p>
    <w:p w14:paraId="7194ADE2">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评标方法和标准（综合评分法）</w:t>
      </w:r>
      <w:bookmarkEnd w:id="40"/>
    </w:p>
    <w:p w14:paraId="6FDFB6ED">
      <w:pPr>
        <w:spacing w:line="360" w:lineRule="auto"/>
        <w:ind w:firstLine="437"/>
        <w:outlineLvl w:val="1"/>
        <w:rPr>
          <w:rFonts w:asciiTheme="minorEastAsia" w:hAnsiTheme="minorEastAsia" w:eastAsiaTheme="minorEastAsia"/>
          <w:b/>
          <w:color w:val="auto"/>
          <w:sz w:val="24"/>
          <w:highlight w:val="none"/>
        </w:rPr>
      </w:pPr>
      <w:bookmarkStart w:id="41" w:name="_Toc11823"/>
      <w:bookmarkStart w:id="42" w:name="_Toc1246"/>
      <w:r>
        <w:rPr>
          <w:rFonts w:hint="eastAsia" w:asciiTheme="minorEastAsia" w:hAnsiTheme="minorEastAsia" w:eastAsiaTheme="minorEastAsia"/>
          <w:b/>
          <w:color w:val="auto"/>
          <w:sz w:val="24"/>
          <w:highlight w:val="none"/>
        </w:rPr>
        <w:t>一、总则</w:t>
      </w:r>
      <w:bookmarkEnd w:id="41"/>
      <w:bookmarkEnd w:id="42"/>
    </w:p>
    <w:p w14:paraId="74799D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78A7BD7A">
      <w:pPr>
        <w:spacing w:line="360" w:lineRule="auto"/>
        <w:ind w:firstLine="437"/>
        <w:outlineLvl w:val="1"/>
        <w:rPr>
          <w:rFonts w:asciiTheme="minorEastAsia" w:hAnsiTheme="minorEastAsia" w:eastAsiaTheme="minorEastAsia"/>
          <w:b/>
          <w:color w:val="auto"/>
          <w:sz w:val="24"/>
          <w:highlight w:val="none"/>
        </w:rPr>
      </w:pPr>
      <w:bookmarkStart w:id="43" w:name="_Toc31871"/>
      <w:bookmarkStart w:id="44" w:name="_Toc13117"/>
      <w:r>
        <w:rPr>
          <w:rFonts w:hint="eastAsia" w:asciiTheme="minorEastAsia" w:hAnsiTheme="minorEastAsia" w:eastAsiaTheme="minorEastAsia"/>
          <w:b/>
          <w:color w:val="auto"/>
          <w:sz w:val="24"/>
          <w:highlight w:val="none"/>
        </w:rPr>
        <w:t>二、评标方法</w:t>
      </w:r>
      <w:bookmarkEnd w:id="43"/>
      <w:bookmarkEnd w:id="44"/>
    </w:p>
    <w:p w14:paraId="561CE2D6">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547"/>
        <w:gridCol w:w="4247"/>
        <w:gridCol w:w="2366"/>
      </w:tblGrid>
      <w:tr w14:paraId="33F1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99" w:type="dxa"/>
            <w:gridSpan w:val="4"/>
            <w:tcBorders>
              <w:bottom w:val="single" w:color="auto" w:sz="4" w:space="0"/>
            </w:tcBorders>
            <w:vAlign w:val="center"/>
          </w:tcPr>
          <w:p w14:paraId="2D370CC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14EC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tcBorders>
              <w:bottom w:val="single" w:color="auto" w:sz="4" w:space="0"/>
            </w:tcBorders>
            <w:vAlign w:val="center"/>
          </w:tcPr>
          <w:p w14:paraId="62B9A55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547" w:type="dxa"/>
            <w:tcBorders>
              <w:bottom w:val="single" w:color="auto" w:sz="4" w:space="0"/>
            </w:tcBorders>
            <w:vAlign w:val="center"/>
          </w:tcPr>
          <w:p w14:paraId="0709D2FB">
            <w:pPr>
              <w:pStyle w:val="49"/>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审查因素</w:t>
            </w:r>
          </w:p>
        </w:tc>
        <w:tc>
          <w:tcPr>
            <w:tcW w:w="4247" w:type="dxa"/>
            <w:tcBorders>
              <w:bottom w:val="single" w:color="auto" w:sz="4" w:space="0"/>
            </w:tcBorders>
            <w:vAlign w:val="center"/>
          </w:tcPr>
          <w:p w14:paraId="1EEF93C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审查内容</w:t>
            </w:r>
          </w:p>
        </w:tc>
        <w:tc>
          <w:tcPr>
            <w:tcW w:w="2366" w:type="dxa"/>
            <w:tcBorders>
              <w:bottom w:val="single" w:color="auto" w:sz="4" w:space="0"/>
            </w:tcBorders>
            <w:vAlign w:val="center"/>
          </w:tcPr>
          <w:p w14:paraId="6804A2F6">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4D6E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39" w:type="dxa"/>
            <w:tcBorders>
              <w:bottom w:val="single" w:color="auto" w:sz="4" w:space="0"/>
            </w:tcBorders>
            <w:vAlign w:val="center"/>
          </w:tcPr>
          <w:p w14:paraId="578D763F">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1547" w:type="dxa"/>
            <w:tcBorders>
              <w:bottom w:val="single" w:color="auto" w:sz="4" w:space="0"/>
            </w:tcBorders>
            <w:vAlign w:val="center"/>
          </w:tcPr>
          <w:p w14:paraId="68FE2BB8">
            <w:pPr>
              <w:spacing w:after="50" w:line="360" w:lineRule="auto"/>
              <w:ind w:right="-10"/>
              <w:jc w:val="center"/>
              <w:rPr>
                <w:rFonts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247" w:type="dxa"/>
            <w:tcBorders>
              <w:bottom w:val="single" w:color="auto" w:sz="4" w:space="0"/>
            </w:tcBorders>
            <w:vAlign w:val="center"/>
          </w:tcPr>
          <w:p w14:paraId="79E03411">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293A648B">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402FDF6B">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079AEB2F">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5D3D1F59">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p>
        </w:tc>
        <w:tc>
          <w:tcPr>
            <w:tcW w:w="2366" w:type="dxa"/>
            <w:vAlign w:val="center"/>
          </w:tcPr>
          <w:p w14:paraId="0CE878CB">
            <w:pPr>
              <w:spacing w:line="360" w:lineRule="auto"/>
              <w:jc w:val="left"/>
              <w:rPr>
                <w:rFonts w:ascii="宋体" w:hAnsi="宋体" w:eastAsia="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410A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39" w:type="dxa"/>
            <w:tcBorders>
              <w:bottom w:val="single" w:color="auto" w:sz="4" w:space="0"/>
            </w:tcBorders>
            <w:vAlign w:val="center"/>
          </w:tcPr>
          <w:p w14:paraId="2DD37C3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547" w:type="dxa"/>
            <w:tcBorders>
              <w:bottom w:val="single" w:color="auto" w:sz="4" w:space="0"/>
            </w:tcBorders>
            <w:vAlign w:val="center"/>
          </w:tcPr>
          <w:p w14:paraId="25515AAB">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4247" w:type="dxa"/>
            <w:tcBorders>
              <w:bottom w:val="single" w:color="auto" w:sz="4" w:space="0"/>
            </w:tcBorders>
            <w:vAlign w:val="center"/>
          </w:tcPr>
          <w:p w14:paraId="3D10224B">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2366" w:type="dxa"/>
            <w:vAlign w:val="center"/>
          </w:tcPr>
          <w:p w14:paraId="2F007EB9">
            <w:pPr>
              <w:spacing w:line="360" w:lineRule="auto"/>
              <w:jc w:val="left"/>
              <w:rPr>
                <w:rFonts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67EE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tcBorders>
              <w:bottom w:val="single" w:color="auto" w:sz="4" w:space="0"/>
            </w:tcBorders>
            <w:vAlign w:val="center"/>
          </w:tcPr>
          <w:p w14:paraId="4423DD3F">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547" w:type="dxa"/>
            <w:tcBorders>
              <w:bottom w:val="single" w:color="auto" w:sz="4" w:space="0"/>
            </w:tcBorders>
            <w:vAlign w:val="center"/>
          </w:tcPr>
          <w:p w14:paraId="2EEBA5EF">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4247" w:type="dxa"/>
            <w:tcBorders>
              <w:bottom w:val="single" w:color="auto" w:sz="4" w:space="0"/>
            </w:tcBorders>
            <w:vAlign w:val="center"/>
          </w:tcPr>
          <w:p w14:paraId="214998D1">
            <w:pPr>
              <w:spacing w:after="50" w:line="360" w:lineRule="auto"/>
              <w:ind w:right="-10"/>
              <w:jc w:val="left"/>
              <w:rPr>
                <w:color w:val="auto"/>
                <w:highlight w:val="none"/>
              </w:rPr>
            </w:pPr>
            <w:r>
              <w:rPr>
                <w:rFonts w:hint="eastAsia" w:ascii="宋体" w:hAnsi="宋体" w:eastAsia="宋体" w:cs="宋体"/>
                <w:color w:val="auto"/>
                <w:sz w:val="24"/>
                <w:szCs w:val="24"/>
                <w:highlight w:val="none"/>
                <w:lang w:val="zh-CN"/>
              </w:rPr>
              <w:t>投标人不得存在投标人须知正文第1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2366" w:type="dxa"/>
            <w:tcBorders>
              <w:bottom w:val="single" w:color="auto" w:sz="4" w:space="0"/>
            </w:tcBorders>
            <w:vAlign w:val="center"/>
          </w:tcPr>
          <w:p w14:paraId="1F785F59">
            <w:pPr>
              <w:spacing w:line="360" w:lineRule="auto"/>
              <w:jc w:val="left"/>
              <w:rPr>
                <w:color w:val="auto"/>
                <w:highlight w:val="none"/>
              </w:rPr>
            </w:pPr>
            <w:r>
              <w:rPr>
                <w:rFonts w:hint="eastAsia" w:ascii="宋体" w:hAnsi="宋体" w:eastAsia="宋体" w:cs="宋体"/>
                <w:color w:val="auto"/>
                <w:sz w:val="24"/>
                <w:szCs w:val="24"/>
                <w:highlight w:val="none"/>
              </w:rPr>
              <w:t>无须投标人提供，由采购人或采购代理机构查询。</w:t>
            </w:r>
          </w:p>
        </w:tc>
      </w:tr>
      <w:tr w14:paraId="36AF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tcBorders>
              <w:bottom w:val="single" w:color="auto" w:sz="4" w:space="0"/>
            </w:tcBorders>
            <w:vAlign w:val="center"/>
          </w:tcPr>
          <w:p w14:paraId="46042E3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4</w:t>
            </w:r>
          </w:p>
        </w:tc>
        <w:tc>
          <w:tcPr>
            <w:tcW w:w="1547" w:type="dxa"/>
            <w:tcBorders>
              <w:bottom w:val="single" w:color="auto" w:sz="4" w:space="0"/>
            </w:tcBorders>
            <w:vAlign w:val="center"/>
          </w:tcPr>
          <w:p w14:paraId="296DD277">
            <w:pPr>
              <w:spacing w:after="50" w:line="360" w:lineRule="auto"/>
              <w:ind w:right="-10"/>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4247" w:type="dxa"/>
            <w:tcBorders>
              <w:bottom w:val="single" w:color="auto" w:sz="4" w:space="0"/>
            </w:tcBorders>
            <w:vAlign w:val="center"/>
          </w:tcPr>
          <w:p w14:paraId="752FFAF1">
            <w:pPr>
              <w:spacing w:after="50" w:line="360" w:lineRule="auto"/>
              <w:ind w:right="-1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2366" w:type="dxa"/>
            <w:tcBorders>
              <w:bottom w:val="single" w:color="auto" w:sz="4" w:space="0"/>
            </w:tcBorders>
            <w:vAlign w:val="center"/>
          </w:tcPr>
          <w:p w14:paraId="4CBAD5FA">
            <w:pPr>
              <w:spacing w:after="50" w:line="360" w:lineRule="auto"/>
              <w:ind w:right="-10"/>
              <w:rPr>
                <w:rFonts w:ascii="宋体" w:hAnsi="宋体" w:eastAsia="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r w14:paraId="4CAA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vAlign w:val="center"/>
          </w:tcPr>
          <w:p w14:paraId="0EFFDDE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5</w:t>
            </w:r>
          </w:p>
        </w:tc>
        <w:tc>
          <w:tcPr>
            <w:tcW w:w="1547" w:type="dxa"/>
            <w:vAlign w:val="center"/>
          </w:tcPr>
          <w:p w14:paraId="08F05683">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本项目的特定资格要求</w:t>
            </w:r>
          </w:p>
        </w:tc>
        <w:tc>
          <w:tcPr>
            <w:tcW w:w="4247" w:type="dxa"/>
            <w:vAlign w:val="center"/>
          </w:tcPr>
          <w:p w14:paraId="07339B89">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2366" w:type="dxa"/>
            <w:vAlign w:val="center"/>
          </w:tcPr>
          <w:p w14:paraId="61E2963B">
            <w:pPr>
              <w:spacing w:after="50" w:line="360" w:lineRule="auto"/>
              <w:ind w:right="-10"/>
              <w:rPr>
                <w:rFonts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r w14:paraId="3EF8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vAlign w:val="center"/>
          </w:tcPr>
          <w:p w14:paraId="3CC6C9D8">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6</w:t>
            </w:r>
          </w:p>
        </w:tc>
        <w:tc>
          <w:tcPr>
            <w:tcW w:w="1547" w:type="dxa"/>
            <w:shd w:val="clear" w:color="auto" w:fill="auto"/>
            <w:vAlign w:val="center"/>
          </w:tcPr>
          <w:p w14:paraId="313A4746">
            <w:pPr>
              <w:wordWrap w:val="0"/>
              <w:spacing w:after="50" w:line="360" w:lineRule="auto"/>
              <w:ind w:right="-10"/>
              <w:jc w:val="center"/>
              <w:rPr>
                <w:rFonts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诚信投标承诺书</w:t>
            </w:r>
          </w:p>
        </w:tc>
        <w:tc>
          <w:tcPr>
            <w:tcW w:w="4247" w:type="dxa"/>
            <w:shd w:val="clear" w:color="auto" w:fill="auto"/>
            <w:vAlign w:val="center"/>
          </w:tcPr>
          <w:p w14:paraId="23CD202C">
            <w:pPr>
              <w:wordWrap w:val="0"/>
              <w:spacing w:after="50" w:line="360" w:lineRule="auto"/>
              <w:ind w:right="-10"/>
              <w:rPr>
                <w:rFonts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格式、填写要求符合招标文件规定并加盖投标人电子签章</w:t>
            </w:r>
          </w:p>
        </w:tc>
        <w:tc>
          <w:tcPr>
            <w:tcW w:w="2366" w:type="dxa"/>
            <w:shd w:val="clear" w:color="auto" w:fill="auto"/>
            <w:vAlign w:val="center"/>
          </w:tcPr>
          <w:p w14:paraId="0F58065D">
            <w:pPr>
              <w:wordWrap w:val="0"/>
              <w:spacing w:after="50" w:line="360" w:lineRule="auto"/>
              <w:ind w:right="-10"/>
              <w:rPr>
                <w:rFonts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bl>
    <w:p w14:paraId="6A7B0945">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0D1F7DB4">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0C26098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9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1522"/>
        <w:gridCol w:w="3462"/>
        <w:gridCol w:w="3318"/>
      </w:tblGrid>
      <w:tr w14:paraId="1120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013" w:type="dxa"/>
            <w:gridSpan w:val="4"/>
            <w:tcBorders>
              <w:bottom w:val="single" w:color="auto" w:sz="4" w:space="0"/>
            </w:tcBorders>
            <w:vAlign w:val="center"/>
          </w:tcPr>
          <w:p w14:paraId="2A476CA9">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35B5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11" w:type="dxa"/>
            <w:tcBorders>
              <w:bottom w:val="single" w:color="auto" w:sz="4" w:space="0"/>
            </w:tcBorders>
            <w:vAlign w:val="center"/>
          </w:tcPr>
          <w:p w14:paraId="21CB677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522" w:type="dxa"/>
            <w:tcBorders>
              <w:bottom w:val="single" w:color="auto" w:sz="4" w:space="0"/>
            </w:tcBorders>
            <w:vAlign w:val="center"/>
          </w:tcPr>
          <w:p w14:paraId="134DAB0F">
            <w:pPr>
              <w:pStyle w:val="49"/>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highlight w:val="none"/>
              </w:rPr>
            </w:pPr>
            <w:r>
              <w:rPr>
                <w:rFonts w:hint="eastAsia" w:ascii="宋体" w:hAnsi="宋体" w:eastAsia="宋体"/>
                <w:color w:val="auto"/>
                <w:kern w:val="2"/>
                <w:highlight w:val="none"/>
              </w:rPr>
              <w:t>审查指标</w:t>
            </w:r>
          </w:p>
        </w:tc>
        <w:tc>
          <w:tcPr>
            <w:tcW w:w="3462" w:type="dxa"/>
            <w:tcBorders>
              <w:bottom w:val="single" w:color="auto" w:sz="4" w:space="0"/>
            </w:tcBorders>
            <w:vAlign w:val="center"/>
          </w:tcPr>
          <w:p w14:paraId="25A81BF8">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审查标准</w:t>
            </w:r>
          </w:p>
        </w:tc>
        <w:tc>
          <w:tcPr>
            <w:tcW w:w="3318" w:type="dxa"/>
            <w:tcBorders>
              <w:bottom w:val="single" w:color="auto" w:sz="4" w:space="0"/>
            </w:tcBorders>
            <w:vAlign w:val="center"/>
          </w:tcPr>
          <w:p w14:paraId="3D45B17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23C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7CBFB865">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22" w:type="dxa"/>
            <w:vAlign w:val="center"/>
          </w:tcPr>
          <w:p w14:paraId="621207A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3462" w:type="dxa"/>
            <w:vAlign w:val="center"/>
          </w:tcPr>
          <w:p w14:paraId="68BB9EF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318" w:type="dxa"/>
            <w:vAlign w:val="center"/>
          </w:tcPr>
          <w:p w14:paraId="00CDCCF6">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3050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1E2F9B97">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22" w:type="dxa"/>
            <w:vAlign w:val="center"/>
          </w:tcPr>
          <w:p w14:paraId="2370B80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3462" w:type="dxa"/>
            <w:vAlign w:val="center"/>
          </w:tcPr>
          <w:p w14:paraId="365021DC">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318" w:type="dxa"/>
            <w:vAlign w:val="center"/>
          </w:tcPr>
          <w:p w14:paraId="3B2FB57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1965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13890BF0">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522" w:type="dxa"/>
            <w:vAlign w:val="center"/>
          </w:tcPr>
          <w:p w14:paraId="0B9BB8E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3462" w:type="dxa"/>
            <w:vAlign w:val="center"/>
          </w:tcPr>
          <w:p w14:paraId="7010362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318" w:type="dxa"/>
            <w:vAlign w:val="center"/>
          </w:tcPr>
          <w:p w14:paraId="38FB3D2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w:t>
            </w:r>
          </w:p>
        </w:tc>
      </w:tr>
      <w:tr w14:paraId="6422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7778006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22" w:type="dxa"/>
            <w:vAlign w:val="center"/>
          </w:tcPr>
          <w:p w14:paraId="51B3ED6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3462" w:type="dxa"/>
            <w:vAlign w:val="center"/>
          </w:tcPr>
          <w:p w14:paraId="7EA7194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招标文件投标人须知正文第9条要求</w:t>
            </w:r>
          </w:p>
        </w:tc>
        <w:tc>
          <w:tcPr>
            <w:tcW w:w="3318" w:type="dxa"/>
            <w:vAlign w:val="center"/>
          </w:tcPr>
          <w:p w14:paraId="6B818D9C">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08FA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1C42917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522" w:type="dxa"/>
            <w:vAlign w:val="center"/>
          </w:tcPr>
          <w:p w14:paraId="40D38B0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62" w:type="dxa"/>
            <w:vAlign w:val="center"/>
          </w:tcPr>
          <w:p w14:paraId="0E8A3F2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符合招标文件采购需求中对付款方式、供货及安装期限、供货及安装地点、免费质保期等实质性要求</w:t>
            </w:r>
          </w:p>
        </w:tc>
        <w:tc>
          <w:tcPr>
            <w:tcW w:w="3318" w:type="dxa"/>
            <w:vAlign w:val="center"/>
          </w:tcPr>
          <w:p w14:paraId="68A47A7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646F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0E1D33C2">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522" w:type="dxa"/>
            <w:vAlign w:val="center"/>
          </w:tcPr>
          <w:p w14:paraId="1157480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3462" w:type="dxa"/>
            <w:vAlign w:val="center"/>
          </w:tcPr>
          <w:p w14:paraId="5C7246D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符合招标文件采购需求中货物技术参数等实质性要求</w:t>
            </w:r>
          </w:p>
        </w:tc>
        <w:tc>
          <w:tcPr>
            <w:tcW w:w="3318" w:type="dxa"/>
            <w:vAlign w:val="center"/>
          </w:tcPr>
          <w:p w14:paraId="2714CFAC">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03C0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2B98C78C">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1522" w:type="dxa"/>
            <w:vAlign w:val="center"/>
          </w:tcPr>
          <w:p w14:paraId="1F2C231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62" w:type="dxa"/>
            <w:vAlign w:val="center"/>
          </w:tcPr>
          <w:p w14:paraId="7B4A41E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3318" w:type="dxa"/>
            <w:vAlign w:val="center"/>
          </w:tcPr>
          <w:p w14:paraId="6ACE347F">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1646D0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5B0382A">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2.3异常低价投标审查</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390"/>
        <w:gridCol w:w="4207"/>
        <w:gridCol w:w="2140"/>
      </w:tblGrid>
      <w:tr w14:paraId="4D26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3" w:type="dxa"/>
            <w:gridSpan w:val="4"/>
            <w:tcBorders>
              <w:bottom w:val="single" w:color="auto" w:sz="4" w:space="0"/>
            </w:tcBorders>
            <w:vAlign w:val="center"/>
          </w:tcPr>
          <w:p w14:paraId="446761F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s="Times New Roman"/>
                <w:b/>
                <w:bCs/>
                <w:color w:val="auto"/>
                <w:sz w:val="24"/>
                <w:highlight w:val="none"/>
              </w:rPr>
              <w:t>异常低价投标审查表</w:t>
            </w:r>
          </w:p>
        </w:tc>
      </w:tr>
      <w:tr w14:paraId="4E37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55867E15">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rPr>
              <w:t>序号</w:t>
            </w:r>
          </w:p>
        </w:tc>
        <w:tc>
          <w:tcPr>
            <w:tcW w:w="1450" w:type="dxa"/>
            <w:tcBorders>
              <w:bottom w:val="single" w:color="auto" w:sz="4" w:space="0"/>
            </w:tcBorders>
            <w:vAlign w:val="center"/>
          </w:tcPr>
          <w:p w14:paraId="239FCBB0">
            <w:pPr>
              <w:spacing w:line="360" w:lineRule="auto"/>
              <w:ind w:firstLine="240" w:firstLineChars="100"/>
              <w:jc w:val="center"/>
              <w:rPr>
                <w:rFonts w:ascii="宋体" w:hAnsi="宋体" w:eastAsia="宋体"/>
                <w:color w:val="auto"/>
                <w:szCs w:val="24"/>
                <w:highlight w:val="none"/>
              </w:rPr>
            </w:pPr>
            <w:r>
              <w:rPr>
                <w:rFonts w:hint="eastAsia" w:ascii="宋体" w:hAnsi="宋体" w:eastAsia="宋体" w:cs="Times New Roman"/>
                <w:color w:val="auto"/>
                <w:sz w:val="24"/>
                <w:highlight w:val="none"/>
              </w:rPr>
              <w:t>评审指标</w:t>
            </w:r>
          </w:p>
        </w:tc>
        <w:tc>
          <w:tcPr>
            <w:tcW w:w="4438" w:type="dxa"/>
            <w:tcBorders>
              <w:bottom w:val="single" w:color="auto" w:sz="4" w:space="0"/>
            </w:tcBorders>
            <w:vAlign w:val="center"/>
          </w:tcPr>
          <w:p w14:paraId="4455F388">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rPr>
              <w:t>评审标准</w:t>
            </w:r>
          </w:p>
        </w:tc>
        <w:tc>
          <w:tcPr>
            <w:tcW w:w="2260" w:type="dxa"/>
            <w:tcBorders>
              <w:bottom w:val="single" w:color="auto" w:sz="4" w:space="0"/>
            </w:tcBorders>
            <w:vAlign w:val="center"/>
          </w:tcPr>
          <w:p w14:paraId="306C8505">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rPr>
              <w:t>格式及材料要求</w:t>
            </w:r>
          </w:p>
        </w:tc>
      </w:tr>
      <w:tr w14:paraId="5A84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4F5DA14B">
            <w:pPr>
              <w:spacing w:line="360" w:lineRule="auto"/>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w:t>
            </w:r>
          </w:p>
        </w:tc>
        <w:tc>
          <w:tcPr>
            <w:tcW w:w="1450" w:type="dxa"/>
            <w:tcBorders>
              <w:bottom w:val="single" w:color="auto" w:sz="4" w:space="0"/>
            </w:tcBorders>
            <w:vAlign w:val="center"/>
          </w:tcPr>
          <w:p w14:paraId="56019655">
            <w:pPr>
              <w:spacing w:line="360" w:lineRule="auto"/>
              <w:rPr>
                <w:rFonts w:ascii="宋体" w:hAnsi="宋体" w:eastAsia="宋体" w:cs="宋体"/>
                <w:color w:val="auto"/>
                <w:sz w:val="24"/>
                <w:szCs w:val="28"/>
                <w:highlight w:val="none"/>
              </w:rPr>
            </w:pPr>
            <w:r>
              <w:rPr>
                <w:rFonts w:hint="eastAsia" w:ascii="宋体" w:hAnsi="宋体" w:eastAsia="宋体" w:cs="宋体"/>
                <w:color w:val="auto"/>
                <w:sz w:val="24"/>
                <w:highlight w:val="none"/>
              </w:rPr>
              <w:t>异常低价投标审查</w:t>
            </w:r>
          </w:p>
        </w:tc>
        <w:tc>
          <w:tcPr>
            <w:tcW w:w="4438" w:type="dxa"/>
            <w:tcBorders>
              <w:bottom w:val="single" w:color="auto" w:sz="4" w:space="0"/>
            </w:tcBorders>
            <w:vAlign w:val="center"/>
          </w:tcPr>
          <w:p w14:paraId="15F11DCA">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（1）投标报价＜全部通过符合性审查投标人投标报价平均值×</w:t>
            </w:r>
            <w:r>
              <w:rPr>
                <w:rFonts w:hint="eastAsia" w:ascii="宋体" w:hAnsi="宋体" w:eastAsia="宋体" w:cs="宋体"/>
                <w:color w:val="auto"/>
                <w:sz w:val="24"/>
                <w:szCs w:val="24"/>
                <w:highlight w:val="none"/>
                <w:u w:val="single"/>
              </w:rPr>
              <w:t>50%</w:t>
            </w:r>
            <w:r>
              <w:rPr>
                <w:rFonts w:hint="eastAsia" w:ascii="宋体" w:hAnsi="宋体" w:eastAsia="宋体" w:cs="宋体"/>
                <w:color w:val="auto"/>
                <w:sz w:val="24"/>
                <w:szCs w:val="24"/>
                <w:highlight w:val="none"/>
              </w:rPr>
              <w:t>；</w:t>
            </w:r>
          </w:p>
          <w:p w14:paraId="5E1078DE">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（2）投标报价＜通过符合性审查的次低报价投标人投标报价×</w:t>
            </w:r>
            <w:r>
              <w:rPr>
                <w:rFonts w:hint="eastAsia" w:ascii="宋体" w:hAnsi="宋体" w:eastAsia="宋体" w:cs="宋体"/>
                <w:color w:val="auto"/>
                <w:sz w:val="24"/>
                <w:szCs w:val="24"/>
                <w:highlight w:val="none"/>
                <w:u w:val="single"/>
              </w:rPr>
              <w:t>50%</w:t>
            </w:r>
            <w:r>
              <w:rPr>
                <w:rFonts w:hint="eastAsia" w:ascii="宋体" w:hAnsi="宋体" w:eastAsia="宋体" w:cs="宋体"/>
                <w:color w:val="auto"/>
                <w:sz w:val="24"/>
                <w:szCs w:val="24"/>
                <w:highlight w:val="none"/>
              </w:rPr>
              <w:t>；</w:t>
            </w:r>
          </w:p>
          <w:p w14:paraId="38F9B61D">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（3）投标报价＜采购项目最高限价（</w:t>
            </w:r>
            <w:r>
              <w:rPr>
                <w:rFonts w:hint="eastAsia" w:ascii="宋体" w:hAnsi="宋体" w:eastAsia="宋体" w:cs="宋体"/>
                <w:color w:val="auto"/>
                <w:sz w:val="24"/>
                <w:highlight w:val="none"/>
              </w:rPr>
              <w:t>如采购项目未设定最高限价的，以采购项目预算金额作为最高限价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45%</w:t>
            </w:r>
            <w:r>
              <w:rPr>
                <w:rFonts w:hint="eastAsia" w:ascii="宋体" w:hAnsi="宋体" w:eastAsia="宋体" w:cs="宋体"/>
                <w:color w:val="auto"/>
                <w:sz w:val="24"/>
                <w:szCs w:val="24"/>
                <w:highlight w:val="none"/>
              </w:rPr>
              <w:t>；</w:t>
            </w:r>
          </w:p>
          <w:p w14:paraId="5ECC4BBA">
            <w:pPr>
              <w:pStyle w:val="9"/>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（4）评标委员会基于专业判断，认为投标人报价过低，有可能影响产品质量或者不能诚信履约的其他情形。</w:t>
            </w:r>
          </w:p>
          <w:p w14:paraId="5E820C90">
            <w:pPr>
              <w:pStyle w:val="9"/>
              <w:spacing w:line="360" w:lineRule="auto"/>
              <w:rPr>
                <w:rFonts w:ascii="宋体" w:hAnsi="宋体" w:eastAsia="宋体" w:cs="宋体"/>
                <w:b/>
                <w:bCs/>
                <w:color w:val="auto"/>
                <w:sz w:val="24"/>
                <w:highlight w:val="none"/>
              </w:rPr>
            </w:pPr>
            <w:r>
              <w:rPr>
                <w:rFonts w:hint="eastAsia" w:ascii="宋体" w:hAnsi="宋体" w:eastAsia="宋体" w:cs="宋体"/>
                <w:b/>
                <w:bCs/>
                <w:color w:val="auto"/>
                <w:sz w:val="24"/>
                <w:highlight w:val="none"/>
              </w:rPr>
              <w:t>提醒：</w:t>
            </w:r>
          </w:p>
          <w:p w14:paraId="3E28E307">
            <w:pPr>
              <w:pStyle w:val="9"/>
              <w:spacing w:line="360" w:lineRule="auto"/>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上述</w:t>
            </w:r>
            <w:r>
              <w:rPr>
                <w:rFonts w:hint="eastAsia" w:ascii="宋体" w:hAnsi="宋体" w:eastAsia="宋体"/>
                <w:color w:val="auto"/>
                <w:sz w:val="24"/>
                <w:highlight w:val="none"/>
              </w:rPr>
              <w:t>第（1）项数值计算：涉及总价、单价的精确到“分”并四舍五入，涉及费率的精确到小数点后两位，第三位四舍五入（例：如平均值为123.456元，即为123.46元；如平均值为80.126%，即为80.13%）。</w:t>
            </w:r>
          </w:p>
        </w:tc>
        <w:tc>
          <w:tcPr>
            <w:tcW w:w="2260" w:type="dxa"/>
            <w:vAlign w:val="center"/>
          </w:tcPr>
          <w:p w14:paraId="419A60E7">
            <w:pPr>
              <w:spacing w:line="360" w:lineRule="auto"/>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投标人在评审现场合理的时间内对投标价格作出解释，提供项目具体成本测算等与报价合理性相关的书面说明及必要的证明材料，包括但不限于原材料成本、人工成本、制造费用等。</w:t>
            </w:r>
          </w:p>
        </w:tc>
      </w:tr>
    </w:tbl>
    <w:p w14:paraId="2404A9AF">
      <w:pPr>
        <w:spacing w:line="360" w:lineRule="auto"/>
        <w:rPr>
          <w:rFonts w:ascii="宋体" w:hAnsi="宋体" w:eastAsia="宋体" w:cs="Arial"/>
          <w:color w:val="auto"/>
          <w:sz w:val="24"/>
          <w:highlight w:val="none"/>
        </w:rPr>
      </w:pPr>
      <w:r>
        <w:rPr>
          <w:rFonts w:hint="eastAsia" w:ascii="宋体" w:hAnsi="宋体" w:eastAsia="宋体" w:cs="Times New Roman"/>
          <w:color w:val="auto"/>
          <w:sz w:val="24"/>
          <w:highlight w:val="none"/>
        </w:rPr>
        <w:t>注：</w:t>
      </w:r>
    </w:p>
    <w:p w14:paraId="61EE580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根据《关于推进解决政府采购异常低价问题的通知》（财库〔</w:t>
      </w:r>
      <w:r>
        <w:rPr>
          <w:rFonts w:ascii="宋体" w:hAnsi="宋体" w:eastAsia="宋体"/>
          <w:color w:val="auto"/>
          <w:sz w:val="24"/>
          <w:highlight w:val="none"/>
        </w:rPr>
        <w:t>202</w:t>
      </w:r>
      <w:r>
        <w:rPr>
          <w:rFonts w:hint="eastAsia" w:ascii="宋体" w:hAnsi="宋体" w:eastAsia="宋体"/>
          <w:color w:val="auto"/>
          <w:sz w:val="24"/>
          <w:highlight w:val="none"/>
        </w:rPr>
        <w:t>6</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号</w:t>
      </w:r>
      <w:r>
        <w:rPr>
          <w:rFonts w:hint="eastAsia" w:ascii="宋体" w:hAnsi="宋体" w:eastAsia="宋体"/>
          <w:color w:val="auto"/>
          <w:sz w:val="24"/>
          <w:highlight w:val="none"/>
        </w:rPr>
        <w:t>），采购人可以结合具体项目实际情况，提高上述</w:t>
      </w:r>
      <w:r>
        <w:rPr>
          <w:rFonts w:hint="eastAsia" w:ascii="宋体" w:hAnsi="宋体" w:eastAsia="宋体" w:cs="Times New Roman"/>
          <w:color w:val="auto"/>
          <w:sz w:val="24"/>
          <w:highlight w:val="none"/>
        </w:rPr>
        <w:t>评审标准</w:t>
      </w:r>
      <w:r>
        <w:rPr>
          <w:rFonts w:hint="eastAsia" w:ascii="宋体" w:hAnsi="宋体" w:eastAsia="宋体"/>
          <w:color w:val="auto"/>
          <w:sz w:val="24"/>
          <w:highlight w:val="none"/>
        </w:rPr>
        <w:t>第（1）项至第（3）项中的数值标准，但是最高不得超过65%。</w:t>
      </w:r>
    </w:p>
    <w:p w14:paraId="0FB4840D">
      <w:pPr>
        <w:spacing w:line="360" w:lineRule="auto"/>
        <w:ind w:firstLine="480" w:firstLineChars="200"/>
        <w:rPr>
          <w:rFonts w:ascii="宋体" w:hAnsi="宋体" w:eastAsia="宋体" w:cs="Arial"/>
          <w:color w:val="auto"/>
          <w:sz w:val="24"/>
          <w:highlight w:val="none"/>
        </w:rPr>
      </w:pPr>
      <w:r>
        <w:rPr>
          <w:rFonts w:hint="eastAsia" w:ascii="宋体" w:hAnsi="宋体" w:eastAsia="宋体" w:cs="Arial"/>
          <w:color w:val="auto"/>
          <w:sz w:val="24"/>
          <w:highlight w:val="none"/>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rPr>
        <w:t>（3）</w:t>
      </w:r>
      <w:r>
        <w:rPr>
          <w:rFonts w:hint="eastAsia" w:ascii="宋体" w:hAnsi="宋体" w:eastAsia="宋体" w:cs="Arial"/>
          <w:color w:val="auto"/>
          <w:sz w:val="24"/>
          <w:highlight w:val="none"/>
        </w:rPr>
        <w:t>项情形，投标人已随投标文件一并提交相关书面说明及必要的证明材料的，在评审现场可不再重复提交。</w:t>
      </w:r>
    </w:p>
    <w:p w14:paraId="1B3AA956">
      <w:pPr>
        <w:pStyle w:val="9"/>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b/>
          <w:bCs/>
          <w:color w:val="auto"/>
          <w:sz w:val="24"/>
          <w:highlight w:val="none"/>
        </w:rPr>
        <w:t>无效投标</w:t>
      </w:r>
      <w:r>
        <w:rPr>
          <w:rFonts w:hint="eastAsia" w:ascii="宋体" w:hAnsi="宋体" w:eastAsia="宋体"/>
          <w:color w:val="auto"/>
          <w:sz w:val="24"/>
          <w:highlight w:val="none"/>
        </w:rPr>
        <w:t>处理。</w:t>
      </w:r>
    </w:p>
    <w:p w14:paraId="347F0E14">
      <w:pPr>
        <w:pStyle w:val="9"/>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094BD3D6">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2.4详细审查</w:t>
      </w:r>
    </w:p>
    <w:p w14:paraId="3D0A5F8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5200A7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60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40</w:t>
      </w:r>
      <w:r>
        <w:rPr>
          <w:rFonts w:asciiTheme="minorEastAsia" w:hAnsiTheme="minorEastAsia" w:eastAsiaTheme="minorEastAsia"/>
          <w:color w:val="auto"/>
          <w:sz w:val="24"/>
          <w:highlight w:val="none"/>
        </w:rPr>
        <w:t>%。具体评分细则如下：</w:t>
      </w:r>
    </w:p>
    <w:tbl>
      <w:tblPr>
        <w:tblStyle w:val="27"/>
        <w:tblW w:w="8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3"/>
        <w:gridCol w:w="1280"/>
        <w:gridCol w:w="5260"/>
        <w:gridCol w:w="1207"/>
      </w:tblGrid>
      <w:tr w14:paraId="2070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14:paraId="7E34F551">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1280" w:type="dxa"/>
            <w:tcBorders>
              <w:top w:val="single" w:color="auto" w:sz="4" w:space="0"/>
              <w:left w:val="single" w:color="auto" w:sz="4" w:space="0"/>
              <w:bottom w:val="single" w:color="auto" w:sz="4" w:space="0"/>
              <w:right w:val="single" w:color="auto" w:sz="4" w:space="0"/>
            </w:tcBorders>
            <w:vAlign w:val="center"/>
          </w:tcPr>
          <w:p w14:paraId="50B4266D">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5260" w:type="dxa"/>
            <w:tcBorders>
              <w:top w:val="single" w:color="auto" w:sz="4" w:space="0"/>
              <w:left w:val="single" w:color="auto" w:sz="4" w:space="0"/>
              <w:bottom w:val="single" w:color="auto" w:sz="4" w:space="0"/>
              <w:right w:val="single" w:color="auto" w:sz="4" w:space="0"/>
            </w:tcBorders>
            <w:vAlign w:val="center"/>
          </w:tcPr>
          <w:p w14:paraId="2A330322">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1207" w:type="dxa"/>
            <w:tcBorders>
              <w:top w:val="single" w:color="auto" w:sz="4" w:space="0"/>
              <w:left w:val="single" w:color="auto" w:sz="4" w:space="0"/>
              <w:bottom w:val="single" w:color="auto" w:sz="4" w:space="0"/>
              <w:right w:val="single" w:color="auto" w:sz="4" w:space="0"/>
            </w:tcBorders>
            <w:vAlign w:val="center"/>
          </w:tcPr>
          <w:p w14:paraId="020BF989">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727D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Merge w:val="restart"/>
            <w:tcBorders>
              <w:top w:val="single" w:color="auto" w:sz="4" w:space="0"/>
              <w:left w:val="single" w:color="auto" w:sz="4" w:space="0"/>
              <w:right w:val="single" w:color="auto" w:sz="4" w:space="0"/>
            </w:tcBorders>
            <w:vAlign w:val="center"/>
          </w:tcPr>
          <w:p w14:paraId="1D237E34">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58FC685B">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60</w:t>
            </w:r>
            <w:r>
              <w:rPr>
                <w:rFonts w:hint="eastAsia" w:ascii="宋体" w:hAnsi="宋体" w:eastAsia="宋体" w:cs="宋体"/>
                <w:color w:val="auto"/>
                <w:sz w:val="24"/>
                <w:szCs w:val="24"/>
                <w:highlight w:val="none"/>
              </w:rPr>
              <w:t>分）</w:t>
            </w:r>
          </w:p>
        </w:tc>
        <w:tc>
          <w:tcPr>
            <w:tcW w:w="1280" w:type="dxa"/>
            <w:tcBorders>
              <w:top w:val="single" w:color="auto" w:sz="4" w:space="0"/>
              <w:left w:val="single" w:color="auto" w:sz="4" w:space="0"/>
              <w:bottom w:val="single" w:color="auto" w:sz="4" w:space="0"/>
              <w:right w:val="single" w:color="auto" w:sz="4" w:space="0"/>
            </w:tcBorders>
            <w:shd w:val="clear" w:color="auto" w:fill="auto"/>
            <w:vAlign w:val="center"/>
          </w:tcPr>
          <w:p w14:paraId="5929421F">
            <w:pPr>
              <w:pStyle w:val="73"/>
              <w:keepNext w:val="0"/>
              <w:keepLines w:val="0"/>
              <w:pageBreakBefore w:val="0"/>
              <w:widowControl w:val="0"/>
              <w:kinsoku/>
              <w:wordWrap/>
              <w:overflowPunct/>
              <w:topLinePunct w:val="0"/>
              <w:autoSpaceDE/>
              <w:autoSpaceDN/>
              <w:bidi w:val="0"/>
              <w:adjustRightInd/>
              <w:spacing w:line="500" w:lineRule="exact"/>
              <w:ind w:right="4" w:rightChars="0"/>
              <w:jc w:val="center"/>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建设团队</w:t>
            </w:r>
          </w:p>
        </w:tc>
        <w:tc>
          <w:tcPr>
            <w:tcW w:w="5260" w:type="dxa"/>
            <w:tcBorders>
              <w:top w:val="single" w:color="auto" w:sz="4" w:space="0"/>
              <w:left w:val="single" w:color="auto" w:sz="4" w:space="0"/>
              <w:bottom w:val="single" w:color="auto" w:sz="4" w:space="0"/>
              <w:right w:val="single" w:color="auto" w:sz="4" w:space="0"/>
            </w:tcBorders>
            <w:shd w:val="clear" w:color="auto" w:fill="auto"/>
            <w:vAlign w:val="top"/>
          </w:tcPr>
          <w:p w14:paraId="6DF9DA63">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投标人拟为本项目配备的建设团队：</w:t>
            </w:r>
          </w:p>
          <w:p w14:paraId="2D19422D">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1.拟派项目负责人（仅限1人），具有下列证书的每项得2分，满分4分。</w:t>
            </w:r>
          </w:p>
          <w:p w14:paraId="0C771794">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（1）具有二级（或以上）注册建造师证书（机电工程专业）或机电类相关专业中级及以上职称证书；</w:t>
            </w:r>
          </w:p>
          <w:p w14:paraId="78193C7B">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（2）具有计算机技术与软件专业技术资格（水平）考试的信息系统专业高级资格证书；</w:t>
            </w:r>
          </w:p>
          <w:p w14:paraId="4ACD2DCD">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（3）具有注册信息安全管理人员证书的；</w:t>
            </w:r>
          </w:p>
          <w:p w14:paraId="75983B3E">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（4）具有计算机网络专业高级工程师证书。</w:t>
            </w:r>
          </w:p>
          <w:p w14:paraId="7EEEB10F">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2.拟派技术负责人（仅限1人），具有下列证书的每项得2分，满分4分。</w:t>
            </w:r>
          </w:p>
          <w:p w14:paraId="1D378C9B">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（1）具有注册信息安全工程师证书；</w:t>
            </w:r>
          </w:p>
          <w:p w14:paraId="0F8C1012">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（2）具有通信工程师及以上证书；</w:t>
            </w:r>
          </w:p>
          <w:p w14:paraId="6D70653C">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（3）具有信息安全保障人员安全集成证书；</w:t>
            </w:r>
          </w:p>
          <w:p w14:paraId="77891238">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（4）具有信息安全保障人员风险管理证书。</w:t>
            </w:r>
          </w:p>
          <w:p w14:paraId="2564E665">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3.拟派其他人员（不含项目负责人及技术负责人，下同），具有下列证书，满分6分。</w:t>
            </w:r>
          </w:p>
          <w:p w14:paraId="2501710E">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（1）拟派其他人员具有计算机类(或电子信息类或通信类)专业中级及以上工程师职称证书的，每提供一个证书的2分，满分6分。</w:t>
            </w:r>
          </w:p>
          <w:p w14:paraId="726DF837">
            <w:pPr>
              <w:pStyle w:val="73"/>
              <w:keepNext w:val="0"/>
              <w:keepLines w:val="0"/>
              <w:pageBreakBefore w:val="0"/>
              <w:widowControl w:val="0"/>
              <w:kinsoku/>
              <w:wordWrap/>
              <w:overflowPunct/>
              <w:topLinePunct w:val="0"/>
              <w:autoSpaceDE/>
              <w:autoSpaceDN/>
              <w:bidi w:val="0"/>
              <w:adjustRightInd/>
              <w:spacing w:line="500" w:lineRule="exact"/>
              <w:ind w:right="173" w:righ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注：投标文件中提供以上证书扫描件及投标人为以上人员缴纳的近三个月内（任意一个月即可）的社保缴纳证明，含官网在线打印件，证明文件两个月内有效）或投标人提供已为上述人员缴纳养老保险证明的承诺书（格式自拟）。</w:t>
            </w:r>
          </w:p>
        </w:tc>
        <w:tc>
          <w:tcPr>
            <w:tcW w:w="1207" w:type="dxa"/>
            <w:tcBorders>
              <w:top w:val="single" w:color="auto" w:sz="4" w:space="0"/>
              <w:left w:val="single" w:color="auto" w:sz="4" w:space="0"/>
              <w:bottom w:val="single" w:color="auto" w:sz="4" w:space="0"/>
              <w:right w:val="single" w:color="auto" w:sz="4" w:space="0"/>
            </w:tcBorders>
            <w:shd w:val="clear" w:color="auto" w:fill="auto"/>
            <w:vAlign w:val="center"/>
          </w:tcPr>
          <w:p w14:paraId="2E7647F7">
            <w:pPr>
              <w:pStyle w:val="73"/>
              <w:keepNext w:val="0"/>
              <w:keepLines w:val="0"/>
              <w:pageBreakBefore w:val="0"/>
              <w:widowControl w:val="0"/>
              <w:kinsoku/>
              <w:wordWrap/>
              <w:overflowPunct/>
              <w:topLinePunct w:val="0"/>
              <w:autoSpaceDE/>
              <w:autoSpaceDN/>
              <w:bidi w:val="0"/>
              <w:adjustRightInd/>
              <w:spacing w:line="500" w:lineRule="exact"/>
              <w:ind w:left="140" w:leftChars="0"/>
              <w:jc w:val="center"/>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0-14分</w:t>
            </w:r>
          </w:p>
        </w:tc>
      </w:tr>
      <w:tr w14:paraId="6554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Merge w:val="continue"/>
            <w:tcBorders>
              <w:left w:val="single" w:color="auto" w:sz="4" w:space="0"/>
              <w:right w:val="single" w:color="auto" w:sz="4" w:space="0"/>
            </w:tcBorders>
            <w:vAlign w:val="center"/>
          </w:tcPr>
          <w:p w14:paraId="2CDC1D13">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auto"/>
                <w:sz w:val="24"/>
                <w:szCs w:val="24"/>
                <w:highlight w:val="none"/>
              </w:rPr>
            </w:pPr>
          </w:p>
        </w:tc>
        <w:tc>
          <w:tcPr>
            <w:tcW w:w="1280" w:type="dxa"/>
            <w:tcBorders>
              <w:top w:val="single" w:color="auto" w:sz="4" w:space="0"/>
              <w:left w:val="single" w:color="auto" w:sz="4" w:space="0"/>
              <w:bottom w:val="single" w:color="auto" w:sz="4" w:space="0"/>
              <w:right w:val="single" w:color="auto" w:sz="4" w:space="0"/>
            </w:tcBorders>
            <w:shd w:val="clear" w:color="auto" w:fill="auto"/>
            <w:vAlign w:val="top"/>
          </w:tcPr>
          <w:p w14:paraId="5373CB35">
            <w:pPr>
              <w:pStyle w:val="73"/>
              <w:keepNext w:val="0"/>
              <w:keepLines w:val="0"/>
              <w:pageBreakBefore w:val="0"/>
              <w:widowControl w:val="0"/>
              <w:kinsoku/>
              <w:wordWrap/>
              <w:overflowPunct/>
              <w:topLinePunct w:val="0"/>
              <w:autoSpaceDE/>
              <w:autoSpaceDN/>
              <w:bidi w:val="0"/>
              <w:adjustRightInd/>
              <w:spacing w:line="500" w:lineRule="exact"/>
              <w:ind w:left="16" w:leftChars="0" w:hanging="16" w:hangingChars="7"/>
              <w:jc w:val="center"/>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3"/>
                <w:sz w:val="24"/>
                <w:szCs w:val="24"/>
                <w:highlight w:val="none"/>
              </w:rPr>
              <w:t>投标人业</w:t>
            </w:r>
            <w:r>
              <w:rPr>
                <w:rFonts w:hint="eastAsia" w:ascii="宋体" w:hAnsi="宋体" w:eastAsia="宋体" w:cs="宋体"/>
                <w:color w:val="auto"/>
                <w:sz w:val="24"/>
                <w:szCs w:val="24"/>
                <w:highlight w:val="none"/>
              </w:rPr>
              <w:t>绩</w:t>
            </w:r>
          </w:p>
        </w:tc>
        <w:tc>
          <w:tcPr>
            <w:tcW w:w="5260" w:type="dxa"/>
            <w:tcBorders>
              <w:top w:val="single" w:color="auto" w:sz="4" w:space="0"/>
              <w:left w:val="single" w:color="auto" w:sz="4" w:space="0"/>
              <w:bottom w:val="single" w:color="auto" w:sz="4" w:space="0"/>
              <w:right w:val="single" w:color="auto" w:sz="4" w:space="0"/>
            </w:tcBorders>
            <w:shd w:val="clear" w:color="auto" w:fill="auto"/>
            <w:vAlign w:val="top"/>
          </w:tcPr>
          <w:p w14:paraId="22C41885">
            <w:pPr>
              <w:pStyle w:val="73"/>
              <w:keepNext w:val="0"/>
              <w:keepLines w:val="0"/>
              <w:pageBreakBefore w:val="0"/>
              <w:widowControl w:val="0"/>
              <w:tabs>
                <w:tab w:val="left" w:pos="6519"/>
              </w:tabs>
              <w:kinsoku/>
              <w:wordWrap/>
              <w:overflowPunct/>
              <w:topLinePunct w:val="0"/>
              <w:autoSpaceDE/>
              <w:autoSpaceDN/>
              <w:bidi w:val="0"/>
              <w:adjustRightInd/>
              <w:spacing w:line="500" w:lineRule="exact"/>
              <w:ind w:left="116" w:firstLine="3"/>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自</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9"/>
                <w:sz w:val="24"/>
                <w:szCs w:val="24"/>
                <w:highlight w:val="none"/>
              </w:rPr>
              <w:t>202</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9"/>
                <w:sz w:val="24"/>
                <w:szCs w:val="24"/>
                <w:highlight w:val="none"/>
              </w:rPr>
              <w:t>1</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9"/>
                <w:sz w:val="24"/>
                <w:szCs w:val="24"/>
                <w:highlight w:val="none"/>
              </w:rPr>
              <w:t>1 日以来，投标人具有视频调度</w:t>
            </w:r>
            <w:r>
              <w:rPr>
                <w:rFonts w:hint="eastAsia" w:ascii="宋体" w:hAnsi="宋体" w:eastAsia="宋体" w:cs="宋体"/>
                <w:color w:val="auto"/>
                <w:spacing w:val="-3"/>
                <w:sz w:val="24"/>
                <w:szCs w:val="24"/>
                <w:highlight w:val="none"/>
              </w:rPr>
              <w:t>（或视频会议）项目业绩，业绩合同内容须包含“视频会议”</w:t>
            </w:r>
            <w:r>
              <w:rPr>
                <w:rFonts w:hint="eastAsia" w:ascii="宋体" w:hAnsi="宋体" w:eastAsia="宋体" w:cs="宋体"/>
                <w:color w:val="auto"/>
                <w:spacing w:val="-7"/>
                <w:sz w:val="24"/>
                <w:szCs w:val="24"/>
                <w:highlight w:val="none"/>
              </w:rPr>
              <w:t>或“视频会商”或“视频调度”，每提供</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7"/>
                <w:sz w:val="24"/>
                <w:szCs w:val="24"/>
                <w:highlight w:val="none"/>
              </w:rPr>
              <w:t>1</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7"/>
                <w:sz w:val="24"/>
                <w:szCs w:val="24"/>
                <w:highlight w:val="none"/>
              </w:rPr>
              <w:t>个有效业绩得</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lang w:val="en-US" w:eastAsia="zh-CN"/>
              </w:rPr>
              <w:t>2</w:t>
            </w:r>
            <w:r>
              <w:rPr>
                <w:rFonts w:hint="eastAsia" w:ascii="宋体" w:hAnsi="宋体" w:eastAsia="宋体" w:cs="宋体"/>
                <w:color w:val="auto"/>
                <w:spacing w:val="-10"/>
                <w:sz w:val="24"/>
                <w:szCs w:val="24"/>
                <w:highlight w:val="none"/>
              </w:rPr>
              <w:t>分，满分</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0"/>
                <w:sz w:val="24"/>
                <w:szCs w:val="24"/>
                <w:highlight w:val="none"/>
                <w:lang w:val="en-US" w:eastAsia="zh-CN"/>
              </w:rPr>
              <w:t>4</w:t>
            </w:r>
            <w:r>
              <w:rPr>
                <w:rFonts w:hint="eastAsia" w:ascii="宋体" w:hAnsi="宋体" w:eastAsia="宋体" w:cs="宋体"/>
                <w:color w:val="auto"/>
                <w:spacing w:val="-10"/>
                <w:sz w:val="24"/>
                <w:szCs w:val="24"/>
                <w:highlight w:val="none"/>
              </w:rPr>
              <w:t>分。</w:t>
            </w:r>
          </w:p>
          <w:p w14:paraId="7A55B9A0">
            <w:pPr>
              <w:pStyle w:val="73"/>
              <w:keepNext w:val="0"/>
              <w:keepLines w:val="0"/>
              <w:pageBreakBefore w:val="0"/>
              <w:widowControl w:val="0"/>
              <w:kinsoku/>
              <w:wordWrap/>
              <w:overflowPunct/>
              <w:topLinePunct w:val="0"/>
              <w:autoSpaceDE/>
              <w:autoSpaceDN/>
              <w:bidi w:val="0"/>
              <w:adjustRightInd/>
              <w:spacing w:line="500" w:lineRule="exact"/>
              <w:ind w:left="111" w:right="114" w:firstLine="8"/>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注：1）业绩时间以合同签订时间为准，以上业绩包含已完成和正在履约项目；</w:t>
            </w:r>
          </w:p>
          <w:p w14:paraId="6ADBE7E3">
            <w:pPr>
              <w:pStyle w:val="73"/>
              <w:keepNext w:val="0"/>
              <w:keepLines w:val="0"/>
              <w:pageBreakBefore w:val="0"/>
              <w:widowControl w:val="0"/>
              <w:numPr>
                <w:ilvl w:val="0"/>
                <w:numId w:val="0"/>
              </w:numPr>
              <w:kinsoku/>
              <w:wordWrap/>
              <w:overflowPunct/>
              <w:topLinePunct w:val="0"/>
              <w:autoSpaceDE/>
              <w:autoSpaceDN/>
              <w:bidi w:val="0"/>
              <w:adjustRightInd/>
              <w:spacing w:line="500" w:lineRule="exact"/>
              <w:ind w:right="114" w:rightChars="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2）</w:t>
            </w:r>
            <w:r>
              <w:rPr>
                <w:rFonts w:hint="eastAsia" w:ascii="宋体" w:hAnsi="宋体" w:eastAsia="宋体" w:cs="宋体"/>
                <w:color w:val="auto"/>
                <w:spacing w:val="-3"/>
                <w:sz w:val="24"/>
                <w:szCs w:val="24"/>
                <w:highlight w:val="none"/>
              </w:rPr>
              <w:t>投标文件中提供以上业绩合同扫描件，以上材料须能体现项目内容、合同签订时间等关键评审因素的，否则须另附业主盖章证明材料扫描件证明。</w:t>
            </w:r>
          </w:p>
          <w:p w14:paraId="7AF58875">
            <w:pPr>
              <w:pStyle w:val="73"/>
              <w:keepNext w:val="0"/>
              <w:keepLines w:val="0"/>
              <w:pageBreakBefore w:val="0"/>
              <w:widowControl w:val="0"/>
              <w:numPr>
                <w:ilvl w:val="0"/>
                <w:numId w:val="0"/>
              </w:numPr>
              <w:kinsoku/>
              <w:wordWrap/>
              <w:overflowPunct/>
              <w:topLinePunct w:val="0"/>
              <w:autoSpaceDE/>
              <w:autoSpaceDN/>
              <w:bidi w:val="0"/>
              <w:adjustRightInd/>
              <w:spacing w:line="500" w:lineRule="exact"/>
              <w:ind w:right="114" w:rightChars="0"/>
              <w:textAlignment w:val="auto"/>
              <w:rPr>
                <w:rFonts w:hint="eastAsia" w:ascii="宋体" w:hAnsi="宋体" w:eastAsia="宋体" w:cs="宋体"/>
                <w:color w:val="auto"/>
                <w:spacing w:val="-3"/>
                <w:sz w:val="24"/>
                <w:szCs w:val="24"/>
                <w:highlight w:val="none"/>
                <w:lang w:val="en-US" w:eastAsia="en-US"/>
              </w:rPr>
            </w:pP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lang w:val="en-US" w:eastAsia="en-US"/>
              </w:rPr>
              <w:t>如因名称表述不同，但业绩内容满足上述要求的，此类业绩予以认可。</w:t>
            </w:r>
          </w:p>
        </w:tc>
        <w:tc>
          <w:tcPr>
            <w:tcW w:w="1207" w:type="dxa"/>
            <w:tcBorders>
              <w:top w:val="single" w:color="auto" w:sz="4" w:space="0"/>
              <w:left w:val="single" w:color="auto" w:sz="4" w:space="0"/>
              <w:bottom w:val="single" w:color="auto" w:sz="4" w:space="0"/>
              <w:right w:val="single" w:color="auto" w:sz="4" w:space="0"/>
            </w:tcBorders>
            <w:shd w:val="clear" w:color="auto" w:fill="auto"/>
            <w:vAlign w:val="center"/>
          </w:tcPr>
          <w:p w14:paraId="7D884DA9">
            <w:pPr>
              <w:pStyle w:val="73"/>
              <w:keepNext w:val="0"/>
              <w:keepLines w:val="0"/>
              <w:pageBreakBefore w:val="0"/>
              <w:widowControl w:val="0"/>
              <w:kinsoku/>
              <w:wordWrap/>
              <w:overflowPunct/>
              <w:topLinePunct w:val="0"/>
              <w:autoSpaceDE/>
              <w:autoSpaceDN/>
              <w:bidi w:val="0"/>
              <w:adjustRightInd/>
              <w:spacing w:line="500" w:lineRule="exact"/>
              <w:ind w:left="138" w:leftChars="0"/>
              <w:jc w:val="center"/>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b/>
                <w:bCs/>
                <w:color w:val="auto"/>
                <w:spacing w:val="-5"/>
                <w:sz w:val="24"/>
                <w:szCs w:val="24"/>
                <w:highlight w:val="none"/>
              </w:rPr>
              <w:t>0-</w:t>
            </w:r>
            <w:r>
              <w:rPr>
                <w:rFonts w:hint="eastAsia" w:ascii="宋体" w:hAnsi="宋体" w:eastAsia="宋体" w:cs="宋体"/>
                <w:b/>
                <w:bCs/>
                <w:color w:val="auto"/>
                <w:spacing w:val="-5"/>
                <w:sz w:val="24"/>
                <w:szCs w:val="24"/>
                <w:highlight w:val="none"/>
                <w:lang w:val="en-US" w:eastAsia="zh-CN"/>
              </w:rPr>
              <w:t>4</w:t>
            </w:r>
            <w:r>
              <w:rPr>
                <w:rFonts w:hint="eastAsia" w:ascii="宋体" w:hAnsi="宋体" w:eastAsia="宋体" w:cs="宋体"/>
                <w:b/>
                <w:bCs/>
                <w:color w:val="auto"/>
                <w:spacing w:val="-5"/>
                <w:sz w:val="24"/>
                <w:szCs w:val="24"/>
                <w:highlight w:val="none"/>
              </w:rPr>
              <w:t>分</w:t>
            </w:r>
          </w:p>
        </w:tc>
      </w:tr>
      <w:tr w14:paraId="05DE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Merge w:val="continue"/>
            <w:tcBorders>
              <w:left w:val="single" w:color="auto" w:sz="4" w:space="0"/>
              <w:right w:val="single" w:color="auto" w:sz="4" w:space="0"/>
            </w:tcBorders>
            <w:vAlign w:val="center"/>
          </w:tcPr>
          <w:p w14:paraId="5E8F610B">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auto"/>
                <w:sz w:val="24"/>
                <w:szCs w:val="24"/>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21249673">
            <w:pPr>
              <w:pStyle w:val="73"/>
              <w:keepNext w:val="0"/>
              <w:keepLines w:val="0"/>
              <w:pageBreakBefore w:val="0"/>
              <w:widowControl w:val="0"/>
              <w:kinsoku/>
              <w:wordWrap/>
              <w:overflowPunct/>
              <w:topLinePunct w:val="0"/>
              <w:autoSpaceDE/>
              <w:autoSpaceDN/>
              <w:bidi w:val="0"/>
              <w:adjustRightInd/>
              <w:spacing w:line="500" w:lineRule="exact"/>
              <w:ind w:left="0" w:leftChars="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pacing w:val="-2"/>
                <w:sz w:val="24"/>
                <w:szCs w:val="24"/>
                <w:highlight w:val="none"/>
              </w:rPr>
              <w:t>集成软硬件的优质</w:t>
            </w:r>
            <w:r>
              <w:rPr>
                <w:rFonts w:hint="eastAsia" w:ascii="宋体" w:hAnsi="宋体" w:eastAsia="宋体" w:cs="宋体"/>
                <w:color w:val="auto"/>
                <w:spacing w:val="-3"/>
                <w:sz w:val="24"/>
                <w:szCs w:val="24"/>
                <w:highlight w:val="none"/>
              </w:rPr>
              <w:t>指标项技术参数及</w:t>
            </w:r>
            <w:r>
              <w:rPr>
                <w:rFonts w:hint="eastAsia" w:ascii="宋体" w:hAnsi="宋体" w:eastAsia="宋体" w:cs="宋体"/>
                <w:color w:val="auto"/>
                <w:spacing w:val="-2"/>
                <w:sz w:val="24"/>
                <w:szCs w:val="24"/>
                <w:highlight w:val="none"/>
              </w:rPr>
              <w:t>要求响应</w:t>
            </w:r>
            <w:r>
              <w:rPr>
                <w:rFonts w:hint="eastAsia" w:ascii="宋体" w:hAnsi="宋体" w:eastAsia="宋体" w:cs="宋体"/>
                <w:color w:val="auto"/>
                <w:spacing w:val="-3"/>
                <w:sz w:val="24"/>
                <w:szCs w:val="24"/>
                <w:highlight w:val="none"/>
              </w:rPr>
              <w:t>情况</w:t>
            </w:r>
          </w:p>
        </w:tc>
        <w:tc>
          <w:tcPr>
            <w:tcW w:w="5260" w:type="dxa"/>
            <w:tcBorders>
              <w:top w:val="single" w:color="auto" w:sz="4" w:space="0"/>
              <w:left w:val="single" w:color="auto" w:sz="4" w:space="0"/>
              <w:bottom w:val="single" w:color="auto" w:sz="4" w:space="0"/>
              <w:right w:val="single" w:color="auto" w:sz="4" w:space="0"/>
            </w:tcBorders>
            <w:vAlign w:val="center"/>
          </w:tcPr>
          <w:p w14:paraId="659BB53D">
            <w:pPr>
              <w:keepNext w:val="0"/>
              <w:keepLines w:val="0"/>
              <w:pageBreakBefore w:val="0"/>
              <w:widowControl w:val="0"/>
              <w:kinsoku/>
              <w:wordWrap/>
              <w:overflowPunct/>
              <w:topLinePunct w:val="0"/>
              <w:autoSpaceDE/>
              <w:autoSpaceDN/>
              <w:bidi w:val="0"/>
              <w:adjustRightInd/>
              <w:spacing w:line="500" w:lineRule="exact"/>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所投设备所有参数为符合性评审，所有参数必须满足设备需求清单所列参数要求，否则按无效标处理。</w:t>
            </w:r>
          </w:p>
          <w:p w14:paraId="4C024B0C">
            <w:pPr>
              <w:keepNext w:val="0"/>
              <w:keepLines w:val="0"/>
              <w:pageBreakBefore w:val="0"/>
              <w:widowControl w:val="0"/>
              <w:kinsoku/>
              <w:wordWrap/>
              <w:overflowPunct/>
              <w:topLinePunct w:val="0"/>
              <w:autoSpaceDE/>
              <w:autoSpaceDN/>
              <w:bidi w:val="0"/>
              <w:adjustRightInd/>
              <w:spacing w:line="500" w:lineRule="exact"/>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应急通讯视频终端采用安全可靠操作系统，主要元器件包括音视频编解码单元、CPU处理单元、电源模块、视频输入输出芯片等。并提供上述元器件有资质的第三方检测机构出具的检测报告扫描件，每提供一个得2分，满分</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分。</w:t>
            </w:r>
          </w:p>
        </w:tc>
        <w:tc>
          <w:tcPr>
            <w:tcW w:w="1207" w:type="dxa"/>
            <w:tcBorders>
              <w:top w:val="single" w:color="auto" w:sz="4" w:space="0"/>
              <w:left w:val="single" w:color="auto" w:sz="4" w:space="0"/>
              <w:bottom w:val="single" w:color="auto" w:sz="4" w:space="0"/>
              <w:right w:val="single" w:color="auto" w:sz="4" w:space="0"/>
            </w:tcBorders>
            <w:vAlign w:val="center"/>
          </w:tcPr>
          <w:p w14:paraId="7CACA08C">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0-8分</w:t>
            </w:r>
          </w:p>
        </w:tc>
      </w:tr>
      <w:tr w14:paraId="5ADA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Merge w:val="continue"/>
            <w:tcBorders>
              <w:left w:val="single" w:color="auto" w:sz="4" w:space="0"/>
              <w:right w:val="single" w:color="auto" w:sz="4" w:space="0"/>
            </w:tcBorders>
            <w:vAlign w:val="center"/>
          </w:tcPr>
          <w:p w14:paraId="18E52983">
            <w:pPr>
              <w:keepNext w:val="0"/>
              <w:keepLines w:val="0"/>
              <w:pageBreakBefore w:val="0"/>
              <w:widowControl w:val="0"/>
              <w:kinsoku/>
              <w:wordWrap/>
              <w:overflowPunct/>
              <w:topLinePunct w:val="0"/>
              <w:autoSpaceDE/>
              <w:autoSpaceDN/>
              <w:bidi w:val="0"/>
              <w:adjustRightInd/>
              <w:spacing w:line="500" w:lineRule="exact"/>
              <w:ind w:firstLine="435"/>
              <w:jc w:val="center"/>
              <w:textAlignment w:val="auto"/>
              <w:rPr>
                <w:rFonts w:hint="eastAsia" w:ascii="宋体" w:hAnsi="宋体" w:eastAsia="宋体" w:cs="宋体"/>
                <w:b/>
                <w:bCs/>
                <w:color w:val="auto"/>
                <w:sz w:val="24"/>
                <w:szCs w:val="24"/>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3389EDB0">
            <w:pPr>
              <w:pStyle w:val="73"/>
              <w:keepNext w:val="0"/>
              <w:keepLines w:val="0"/>
              <w:pageBreakBefore w:val="0"/>
              <w:widowControl w:val="0"/>
              <w:kinsoku/>
              <w:wordWrap/>
              <w:overflowPunct/>
              <w:topLinePunct w:val="0"/>
              <w:autoSpaceDE/>
              <w:autoSpaceDN/>
              <w:bidi w:val="0"/>
              <w:adjustRightInd/>
              <w:spacing w:line="500" w:lineRule="exact"/>
              <w:ind w:left="0" w:leftChars="0" w:right="4"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实施方案</w:t>
            </w:r>
          </w:p>
        </w:tc>
        <w:tc>
          <w:tcPr>
            <w:tcW w:w="5260" w:type="dxa"/>
            <w:tcBorders>
              <w:top w:val="single" w:color="auto" w:sz="4" w:space="0"/>
              <w:left w:val="single" w:color="auto" w:sz="4" w:space="0"/>
              <w:bottom w:val="single" w:color="auto" w:sz="4" w:space="0"/>
              <w:right w:val="single" w:color="auto" w:sz="4" w:space="0"/>
            </w:tcBorders>
            <w:vAlign w:val="top"/>
          </w:tcPr>
          <w:p w14:paraId="3E09FD27">
            <w:pPr>
              <w:pStyle w:val="73"/>
              <w:keepNext w:val="0"/>
              <w:keepLines w:val="0"/>
              <w:pageBreakBefore w:val="0"/>
              <w:widowControl w:val="0"/>
              <w:kinsoku/>
              <w:wordWrap/>
              <w:overflowPunct/>
              <w:topLinePunct w:val="0"/>
              <w:autoSpaceDE/>
              <w:autoSpaceDN/>
              <w:bidi w:val="0"/>
              <w:adjustRightInd/>
              <w:spacing w:line="500" w:lineRule="exact"/>
              <w:ind w:right="176"/>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对投标人提供的项目实施方案完整性、科学合理性、可实施性进行综合评分，实施方案包括项目组织架构、实施人员、</w:t>
            </w:r>
            <w:r>
              <w:rPr>
                <w:rFonts w:hint="eastAsia" w:ascii="宋体" w:hAnsi="宋体" w:eastAsia="宋体" w:cs="宋体"/>
                <w:color w:val="auto"/>
                <w:spacing w:val="-3"/>
                <w:sz w:val="24"/>
                <w:szCs w:val="24"/>
                <w:highlight w:val="none"/>
              </w:rPr>
              <w:t>供货安装调试、全市联调、系统对接、项目验收等内容：</w:t>
            </w:r>
          </w:p>
          <w:p w14:paraId="41952983">
            <w:pPr>
              <w:pStyle w:val="73"/>
              <w:keepNext w:val="0"/>
              <w:keepLines w:val="0"/>
              <w:pageBreakBefore w:val="0"/>
              <w:widowControl w:val="0"/>
              <w:kinsoku/>
              <w:wordWrap/>
              <w:overflowPunct/>
              <w:topLinePunct w:val="0"/>
              <w:autoSpaceDE/>
              <w:autoSpaceDN/>
              <w:bidi w:val="0"/>
              <w:adjustRightInd/>
              <w:spacing w:line="500" w:lineRule="exact"/>
              <w:ind w:right="118"/>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（1）项目方案全面细致、思路清晰并具有逻辑性、针对性强</w:t>
            </w:r>
            <w:r>
              <w:rPr>
                <w:rFonts w:hint="eastAsia" w:ascii="宋体" w:hAnsi="宋体" w:eastAsia="宋体" w:cs="宋体"/>
                <w:color w:val="auto"/>
                <w:spacing w:val="-1"/>
                <w:sz w:val="24"/>
                <w:szCs w:val="24"/>
                <w:highlight w:val="none"/>
              </w:rPr>
              <w:t>并具有实施性、技术支持能力强、调试方案科学合理、能够</w:t>
            </w:r>
            <w:r>
              <w:rPr>
                <w:rFonts w:hint="eastAsia" w:ascii="宋体" w:hAnsi="宋体" w:eastAsia="宋体" w:cs="宋体"/>
                <w:color w:val="auto"/>
                <w:spacing w:val="-5"/>
                <w:sz w:val="24"/>
                <w:szCs w:val="24"/>
                <w:highlight w:val="none"/>
              </w:rPr>
              <w:t>充分结合实际建设要求得</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5"/>
                <w:sz w:val="24"/>
                <w:szCs w:val="24"/>
                <w:highlight w:val="none"/>
              </w:rPr>
              <w:t>5</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5"/>
                <w:sz w:val="24"/>
                <w:szCs w:val="24"/>
                <w:highlight w:val="none"/>
              </w:rPr>
              <w:t>分；</w:t>
            </w:r>
          </w:p>
          <w:p w14:paraId="418641DC">
            <w:pPr>
              <w:pStyle w:val="73"/>
              <w:keepNext w:val="0"/>
              <w:keepLines w:val="0"/>
              <w:pageBreakBefore w:val="0"/>
              <w:widowControl w:val="0"/>
              <w:kinsoku/>
              <w:wordWrap/>
              <w:overflowPunct/>
              <w:topLinePunct w:val="0"/>
              <w:autoSpaceDE/>
              <w:autoSpaceDN/>
              <w:bidi w:val="0"/>
              <w:adjustRightInd/>
              <w:spacing w:line="500" w:lineRule="exact"/>
              <w:ind w:right="114"/>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（2）项目实施方案全面、无明显逻辑错误、可实施、人员配置合理、能够基本结合实际建设要求得</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分；</w:t>
            </w:r>
          </w:p>
          <w:p w14:paraId="79082310">
            <w:pPr>
              <w:pStyle w:val="73"/>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（3）项目实施方案及包含内容均有待调整完善的得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分；</w:t>
            </w:r>
          </w:p>
          <w:p w14:paraId="3F9D3588">
            <w:pPr>
              <w:pStyle w:val="73"/>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（4）较差或未提供不得分。</w:t>
            </w:r>
          </w:p>
        </w:tc>
        <w:tc>
          <w:tcPr>
            <w:tcW w:w="1207" w:type="dxa"/>
            <w:tcBorders>
              <w:top w:val="single" w:color="auto" w:sz="4" w:space="0"/>
              <w:left w:val="single" w:color="auto" w:sz="4" w:space="0"/>
              <w:bottom w:val="single" w:color="auto" w:sz="4" w:space="0"/>
              <w:right w:val="single" w:color="auto" w:sz="4" w:space="0"/>
            </w:tcBorders>
            <w:vAlign w:val="center"/>
          </w:tcPr>
          <w:p w14:paraId="7C645DAE">
            <w:pPr>
              <w:pStyle w:val="73"/>
              <w:keepNext w:val="0"/>
              <w:keepLines w:val="0"/>
              <w:pageBreakBefore w:val="0"/>
              <w:widowControl w:val="0"/>
              <w:kinsoku/>
              <w:wordWrap/>
              <w:overflowPunct/>
              <w:topLinePunct w:val="0"/>
              <w:autoSpaceDE/>
              <w:autoSpaceDN/>
              <w:bidi w:val="0"/>
              <w:adjustRightInd/>
              <w:spacing w:line="500" w:lineRule="exact"/>
              <w:ind w:left="140" w:lef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rPr>
              <w:t>0-5</w:t>
            </w:r>
            <w:r>
              <w:rPr>
                <w:rFonts w:hint="eastAsia" w:ascii="宋体" w:hAnsi="宋体" w:eastAsia="宋体" w:cs="宋体"/>
                <w:b/>
                <w:bCs/>
                <w:color w:val="auto"/>
                <w:spacing w:val="-48"/>
                <w:sz w:val="24"/>
                <w:szCs w:val="24"/>
                <w:highlight w:val="none"/>
              </w:rPr>
              <w:t xml:space="preserve"> </w:t>
            </w:r>
            <w:r>
              <w:rPr>
                <w:rFonts w:hint="eastAsia" w:ascii="宋体" w:hAnsi="宋体" w:eastAsia="宋体" w:cs="宋体"/>
                <w:b/>
                <w:bCs/>
                <w:color w:val="auto"/>
                <w:spacing w:val="-3"/>
                <w:sz w:val="24"/>
                <w:szCs w:val="24"/>
                <w:highlight w:val="none"/>
              </w:rPr>
              <w:t>分</w:t>
            </w:r>
          </w:p>
        </w:tc>
      </w:tr>
      <w:tr w14:paraId="4FDF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Merge w:val="continue"/>
            <w:tcBorders>
              <w:left w:val="single" w:color="auto" w:sz="4" w:space="0"/>
              <w:right w:val="single" w:color="auto" w:sz="4" w:space="0"/>
            </w:tcBorders>
            <w:vAlign w:val="center"/>
          </w:tcPr>
          <w:p w14:paraId="06243CDE">
            <w:pPr>
              <w:keepNext w:val="0"/>
              <w:keepLines w:val="0"/>
              <w:pageBreakBefore w:val="0"/>
              <w:widowControl w:val="0"/>
              <w:kinsoku/>
              <w:wordWrap/>
              <w:overflowPunct/>
              <w:topLinePunct w:val="0"/>
              <w:autoSpaceDE/>
              <w:autoSpaceDN/>
              <w:bidi w:val="0"/>
              <w:adjustRightInd/>
              <w:spacing w:line="500" w:lineRule="exact"/>
              <w:ind w:firstLine="435"/>
              <w:jc w:val="center"/>
              <w:textAlignment w:val="auto"/>
              <w:rPr>
                <w:rFonts w:hint="eastAsia" w:ascii="宋体" w:hAnsi="宋体" w:eastAsia="宋体" w:cs="宋体"/>
                <w:b/>
                <w:bCs/>
                <w:color w:val="auto"/>
                <w:sz w:val="24"/>
                <w:szCs w:val="24"/>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1B226CAF">
            <w:pPr>
              <w:pStyle w:val="73"/>
              <w:keepNext w:val="0"/>
              <w:keepLines w:val="0"/>
              <w:pageBreakBefore w:val="0"/>
              <w:widowControl w:val="0"/>
              <w:kinsoku/>
              <w:wordWrap/>
              <w:overflowPunct/>
              <w:topLinePunct w:val="0"/>
              <w:autoSpaceDE/>
              <w:autoSpaceDN/>
              <w:bidi w:val="0"/>
              <w:adjustRightInd/>
              <w:spacing w:line="500" w:lineRule="exact"/>
              <w:ind w:left="111" w:leftChars="0" w:right="4" w:rightChars="0" w:firstLine="11"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街道</w:t>
            </w:r>
            <w:r>
              <w:rPr>
                <w:rFonts w:hint="eastAsia" w:ascii="宋体" w:hAnsi="宋体" w:eastAsia="宋体" w:cs="宋体"/>
                <w:color w:val="auto"/>
                <w:spacing w:val="-4"/>
                <w:sz w:val="24"/>
                <w:szCs w:val="24"/>
                <w:highlight w:val="none"/>
              </w:rPr>
              <w:t>终端接</w:t>
            </w:r>
            <w:r>
              <w:rPr>
                <w:rFonts w:hint="eastAsia" w:ascii="宋体" w:hAnsi="宋体" w:eastAsia="宋体" w:cs="宋体"/>
                <w:color w:val="auto"/>
                <w:spacing w:val="-2"/>
                <w:sz w:val="24"/>
                <w:szCs w:val="24"/>
                <w:highlight w:val="none"/>
              </w:rPr>
              <w:t>入方案</w:t>
            </w:r>
          </w:p>
        </w:tc>
        <w:tc>
          <w:tcPr>
            <w:tcW w:w="5260" w:type="dxa"/>
            <w:tcBorders>
              <w:top w:val="single" w:color="auto" w:sz="4" w:space="0"/>
              <w:left w:val="single" w:color="auto" w:sz="4" w:space="0"/>
              <w:bottom w:val="single" w:color="auto" w:sz="4" w:space="0"/>
              <w:right w:val="single" w:color="auto" w:sz="4" w:space="0"/>
            </w:tcBorders>
            <w:vAlign w:val="top"/>
          </w:tcPr>
          <w:p w14:paraId="0F1E36AB">
            <w:pPr>
              <w:pStyle w:val="73"/>
              <w:keepNext w:val="0"/>
              <w:keepLines w:val="0"/>
              <w:pageBreakBefore w:val="0"/>
              <w:widowControl w:val="0"/>
              <w:kinsoku/>
              <w:wordWrap/>
              <w:overflowPunct/>
              <w:topLinePunct w:val="0"/>
              <w:autoSpaceDE/>
              <w:autoSpaceDN/>
              <w:bidi w:val="0"/>
              <w:adjustRightInd/>
              <w:spacing w:line="500" w:lineRule="exact"/>
              <w:ind w:right="19"/>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投标人应就</w:t>
            </w:r>
            <w:r>
              <w:rPr>
                <w:rFonts w:hint="eastAsia" w:ascii="宋体" w:hAnsi="宋体" w:eastAsia="宋体" w:cs="宋体"/>
                <w:color w:val="auto"/>
                <w:spacing w:val="-1"/>
                <w:sz w:val="24"/>
                <w:szCs w:val="24"/>
                <w:highlight w:val="none"/>
                <w:lang w:val="en-US" w:eastAsia="zh-CN"/>
              </w:rPr>
              <w:t>街道</w:t>
            </w:r>
            <w:r>
              <w:rPr>
                <w:rFonts w:hint="eastAsia" w:ascii="宋体" w:hAnsi="宋体" w:eastAsia="宋体" w:cs="宋体"/>
                <w:color w:val="auto"/>
                <w:spacing w:val="-1"/>
                <w:sz w:val="24"/>
                <w:szCs w:val="24"/>
                <w:highlight w:val="none"/>
              </w:rPr>
              <w:t>终端接入方案进行专门阐述，</w:t>
            </w:r>
            <w:r>
              <w:rPr>
                <w:rFonts w:hint="eastAsia" w:ascii="宋体" w:hAnsi="宋体" w:eastAsia="宋体" w:cs="宋体"/>
                <w:color w:val="auto"/>
                <w:spacing w:val="-1"/>
                <w:sz w:val="24"/>
                <w:szCs w:val="24"/>
                <w:highlight w:val="none"/>
                <w:lang w:val="en-US" w:eastAsia="zh-CN"/>
              </w:rPr>
              <w:t>街道</w:t>
            </w:r>
            <w:r>
              <w:rPr>
                <w:rFonts w:hint="eastAsia" w:ascii="宋体" w:hAnsi="宋体" w:eastAsia="宋体" w:cs="宋体"/>
                <w:color w:val="auto"/>
                <w:spacing w:val="-1"/>
                <w:sz w:val="24"/>
                <w:szCs w:val="24"/>
                <w:highlight w:val="none"/>
              </w:rPr>
              <w:t>终端接入方案应充分考虑多种网络环境下接入视频会议系统的方式，特别是处在非电子政务外网的环境下，应有完善的接入方案，确保可实时接入到</w:t>
            </w:r>
            <w:r>
              <w:rPr>
                <w:rFonts w:hint="eastAsia" w:ascii="宋体" w:hAnsi="宋体" w:eastAsia="宋体" w:cs="宋体"/>
                <w:color w:val="auto"/>
                <w:spacing w:val="-1"/>
                <w:sz w:val="24"/>
                <w:szCs w:val="24"/>
                <w:highlight w:val="none"/>
                <w:lang w:val="en-US" w:eastAsia="zh-CN"/>
              </w:rPr>
              <w:t>已有</w:t>
            </w:r>
            <w:r>
              <w:rPr>
                <w:rFonts w:hint="eastAsia" w:ascii="宋体" w:hAnsi="宋体" w:eastAsia="宋体" w:cs="宋体"/>
                <w:color w:val="auto"/>
                <w:spacing w:val="-1"/>
                <w:sz w:val="24"/>
                <w:szCs w:val="24"/>
                <w:highlight w:val="none"/>
              </w:rPr>
              <w:t>的指挥调度平台中，并可随时被</w:t>
            </w:r>
            <w:r>
              <w:rPr>
                <w:rFonts w:hint="eastAsia" w:ascii="宋体" w:hAnsi="宋体" w:eastAsia="宋体" w:cs="宋体"/>
                <w:color w:val="auto"/>
                <w:spacing w:val="-1"/>
                <w:sz w:val="24"/>
                <w:szCs w:val="24"/>
                <w:highlight w:val="none"/>
                <w:lang w:val="en-US" w:eastAsia="zh-CN"/>
              </w:rPr>
              <w:t>部、</w:t>
            </w:r>
            <w:r>
              <w:rPr>
                <w:rFonts w:hint="eastAsia" w:ascii="宋体" w:hAnsi="宋体" w:eastAsia="宋体" w:cs="宋体"/>
                <w:color w:val="auto"/>
                <w:spacing w:val="-1"/>
                <w:sz w:val="24"/>
                <w:szCs w:val="24"/>
                <w:highlight w:val="none"/>
              </w:rPr>
              <w:t>省、市、</w:t>
            </w:r>
            <w:r>
              <w:rPr>
                <w:rFonts w:hint="eastAsia" w:ascii="宋体" w:hAnsi="宋体" w:eastAsia="宋体" w:cs="宋体"/>
                <w:color w:val="auto"/>
                <w:spacing w:val="-1"/>
                <w:sz w:val="24"/>
                <w:szCs w:val="24"/>
                <w:highlight w:val="none"/>
                <w:lang w:val="en-US" w:eastAsia="zh-CN"/>
              </w:rPr>
              <w:t>区</w:t>
            </w:r>
            <w:r>
              <w:rPr>
                <w:rFonts w:hint="eastAsia" w:ascii="宋体" w:hAnsi="宋体" w:eastAsia="宋体" w:cs="宋体"/>
                <w:color w:val="auto"/>
                <w:spacing w:val="-1"/>
                <w:sz w:val="24"/>
                <w:szCs w:val="24"/>
                <w:highlight w:val="none"/>
              </w:rPr>
              <w:t>应急部门视频调度。在网</w:t>
            </w:r>
            <w:r>
              <w:rPr>
                <w:rFonts w:hint="eastAsia" w:ascii="宋体" w:hAnsi="宋体" w:eastAsia="宋体" w:cs="宋体"/>
                <w:color w:val="auto"/>
                <w:spacing w:val="-2"/>
                <w:sz w:val="24"/>
                <w:szCs w:val="24"/>
                <w:highlight w:val="none"/>
              </w:rPr>
              <w:t>络抢占的</w:t>
            </w:r>
            <w:r>
              <w:rPr>
                <w:rFonts w:hint="eastAsia" w:ascii="宋体" w:hAnsi="宋体" w:eastAsia="宋体" w:cs="宋体"/>
                <w:color w:val="auto"/>
                <w:spacing w:val="-4"/>
                <w:sz w:val="24"/>
                <w:szCs w:val="24"/>
                <w:highlight w:val="none"/>
              </w:rPr>
              <w:t>情况下，具备良好的抗丢包机制，与市级平台开会时不卡顿、</w:t>
            </w:r>
            <w:r>
              <w:rPr>
                <w:rFonts w:hint="eastAsia" w:ascii="宋体" w:hAnsi="宋体" w:eastAsia="宋体" w:cs="宋体"/>
                <w:color w:val="auto"/>
                <w:spacing w:val="-3"/>
                <w:sz w:val="24"/>
                <w:szCs w:val="24"/>
                <w:highlight w:val="none"/>
              </w:rPr>
              <w:t>不掉线，对方案实现技术细节进行论述。</w:t>
            </w:r>
            <w:r>
              <w:rPr>
                <w:rFonts w:hint="eastAsia" w:ascii="宋体" w:hAnsi="宋体" w:eastAsia="宋体" w:cs="宋体"/>
                <w:color w:val="auto"/>
                <w:spacing w:val="-1"/>
                <w:sz w:val="24"/>
                <w:szCs w:val="24"/>
                <w:highlight w:val="none"/>
                <w:lang w:val="en-US" w:eastAsia="zh-CN"/>
              </w:rPr>
              <w:t>街道</w:t>
            </w:r>
            <w:r>
              <w:rPr>
                <w:rFonts w:hint="eastAsia" w:ascii="宋体" w:hAnsi="宋体" w:eastAsia="宋体" w:cs="宋体"/>
                <w:color w:val="auto"/>
                <w:spacing w:val="-1"/>
                <w:sz w:val="24"/>
                <w:szCs w:val="24"/>
                <w:highlight w:val="none"/>
              </w:rPr>
              <w:t>终端接入，低码率下保障会议效果的方案及设备选</w:t>
            </w:r>
            <w:r>
              <w:rPr>
                <w:rFonts w:hint="eastAsia" w:ascii="宋体" w:hAnsi="宋体" w:eastAsia="宋体" w:cs="宋体"/>
                <w:color w:val="auto"/>
                <w:spacing w:val="-10"/>
                <w:sz w:val="24"/>
                <w:szCs w:val="24"/>
                <w:highlight w:val="none"/>
              </w:rPr>
              <w:t>型优先。</w:t>
            </w:r>
          </w:p>
          <w:p w14:paraId="4CA38834">
            <w:pPr>
              <w:pStyle w:val="73"/>
              <w:keepNext w:val="0"/>
              <w:keepLines w:val="0"/>
              <w:pageBreakBefore w:val="0"/>
              <w:widowControl w:val="0"/>
              <w:kinsoku/>
              <w:wordWrap/>
              <w:overflowPunct/>
              <w:topLinePunct w:val="0"/>
              <w:autoSpaceDE/>
              <w:autoSpaceDN/>
              <w:bidi w:val="0"/>
              <w:adjustRightInd/>
              <w:spacing w:line="500" w:lineRule="exact"/>
              <w:ind w:right="104"/>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(1)方案设计周全，设备选型合理，思路清晰并具有逻辑</w:t>
            </w:r>
            <w:r>
              <w:rPr>
                <w:rFonts w:hint="eastAsia" w:ascii="宋体" w:hAnsi="宋体" w:eastAsia="宋体" w:cs="宋体"/>
                <w:color w:val="auto"/>
                <w:spacing w:val="-6"/>
                <w:sz w:val="24"/>
                <w:szCs w:val="24"/>
                <w:highlight w:val="none"/>
              </w:rPr>
              <w:t>性、针对性强的得</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6"/>
                <w:sz w:val="24"/>
                <w:szCs w:val="24"/>
                <w:highlight w:val="none"/>
                <w:lang w:val="en-US" w:eastAsia="zh-CN"/>
              </w:rPr>
              <w:t>5</w:t>
            </w:r>
            <w:r>
              <w:rPr>
                <w:rFonts w:hint="eastAsia" w:ascii="宋体" w:hAnsi="宋体" w:eastAsia="宋体" w:cs="宋体"/>
                <w:color w:val="auto"/>
                <w:spacing w:val="-6"/>
                <w:sz w:val="24"/>
                <w:szCs w:val="24"/>
                <w:highlight w:val="none"/>
              </w:rPr>
              <w:t>分；</w:t>
            </w:r>
          </w:p>
          <w:p w14:paraId="5494D14A">
            <w:pPr>
              <w:pStyle w:val="73"/>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(2)方案可行，无明显逻辑错误、可实施</w:t>
            </w:r>
            <w:r>
              <w:rPr>
                <w:rFonts w:hint="eastAsia" w:ascii="宋体" w:hAnsi="宋体" w:eastAsia="宋体" w:cs="宋体"/>
                <w:color w:val="auto"/>
                <w:spacing w:val="-5"/>
                <w:sz w:val="24"/>
                <w:szCs w:val="24"/>
                <w:highlight w:val="none"/>
              </w:rPr>
              <w:t>得</w:t>
            </w:r>
            <w:r>
              <w:rPr>
                <w:rFonts w:hint="eastAsia" w:ascii="宋体" w:hAnsi="宋体" w:eastAsia="宋体" w:cs="宋体"/>
                <w:color w:val="auto"/>
                <w:spacing w:val="-51"/>
                <w:sz w:val="24"/>
                <w:szCs w:val="24"/>
                <w:highlight w:val="none"/>
                <w:lang w:val="en-US" w:eastAsia="zh-CN"/>
              </w:rPr>
              <w:t>4分</w:t>
            </w:r>
            <w:r>
              <w:rPr>
                <w:rFonts w:hint="eastAsia" w:ascii="宋体" w:hAnsi="宋体" w:eastAsia="宋体" w:cs="宋体"/>
                <w:color w:val="auto"/>
                <w:spacing w:val="-5"/>
                <w:sz w:val="24"/>
                <w:szCs w:val="24"/>
                <w:highlight w:val="none"/>
              </w:rPr>
              <w:t>；</w:t>
            </w:r>
          </w:p>
          <w:p w14:paraId="4137E629">
            <w:pPr>
              <w:pStyle w:val="73"/>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(3)方案有待调整提升的得</w:t>
            </w:r>
            <w:r>
              <w:rPr>
                <w:rFonts w:hint="eastAsia" w:ascii="宋体" w:hAnsi="宋体" w:eastAsia="宋体" w:cs="宋体"/>
                <w:color w:val="auto"/>
                <w:spacing w:val="-35"/>
                <w:sz w:val="24"/>
                <w:szCs w:val="24"/>
                <w:highlight w:val="none"/>
                <w:lang w:val="en-US" w:eastAsia="zh-CN"/>
              </w:rPr>
              <w:t>3</w:t>
            </w:r>
            <w:r>
              <w:rPr>
                <w:rFonts w:hint="eastAsia" w:ascii="宋体" w:hAnsi="宋体" w:eastAsia="宋体" w:cs="宋体"/>
                <w:color w:val="auto"/>
                <w:spacing w:val="-7"/>
                <w:sz w:val="24"/>
                <w:szCs w:val="24"/>
                <w:highlight w:val="none"/>
              </w:rPr>
              <w:t>分；</w:t>
            </w:r>
          </w:p>
          <w:p w14:paraId="418ED7F6">
            <w:pPr>
              <w:pStyle w:val="73"/>
              <w:keepNext w:val="0"/>
              <w:keepLines w:val="0"/>
              <w:pageBreakBefore w:val="0"/>
              <w:widowControl w:val="0"/>
              <w:kinsoku/>
              <w:wordWrap/>
              <w:overflowPunct/>
              <w:topLinePunct w:val="0"/>
              <w:autoSpaceDE/>
              <w:autoSpaceDN/>
              <w:bidi w:val="0"/>
              <w:adjustRightInd/>
              <w:spacing w:line="500" w:lineRule="exact"/>
              <w:ind w:right="176" w:rightChars="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pacing w:val="-5"/>
                <w:sz w:val="24"/>
                <w:szCs w:val="24"/>
                <w:highlight w:val="none"/>
              </w:rPr>
              <w:t>(4)方案不可行或未能提供的，不得分。</w:t>
            </w:r>
          </w:p>
        </w:tc>
        <w:tc>
          <w:tcPr>
            <w:tcW w:w="1207" w:type="dxa"/>
            <w:tcBorders>
              <w:top w:val="single" w:color="auto" w:sz="4" w:space="0"/>
              <w:left w:val="single" w:color="auto" w:sz="4" w:space="0"/>
              <w:bottom w:val="single" w:color="auto" w:sz="4" w:space="0"/>
              <w:right w:val="single" w:color="auto" w:sz="4" w:space="0"/>
            </w:tcBorders>
            <w:vAlign w:val="center"/>
          </w:tcPr>
          <w:p w14:paraId="74EB6B44">
            <w:pPr>
              <w:pStyle w:val="73"/>
              <w:keepNext w:val="0"/>
              <w:keepLines w:val="0"/>
              <w:pageBreakBefore w:val="0"/>
              <w:widowControl w:val="0"/>
              <w:kinsoku/>
              <w:wordWrap/>
              <w:overflowPunct/>
              <w:topLinePunct w:val="0"/>
              <w:autoSpaceDE/>
              <w:autoSpaceDN/>
              <w:bidi w:val="0"/>
              <w:adjustRightInd/>
              <w:spacing w:line="500" w:lineRule="exact"/>
              <w:ind w:left="140" w:lef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rPr>
              <w:t>0-</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分</w:t>
            </w:r>
          </w:p>
        </w:tc>
      </w:tr>
      <w:tr w14:paraId="4FD8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Merge w:val="continue"/>
            <w:tcBorders>
              <w:left w:val="single" w:color="auto" w:sz="4" w:space="0"/>
              <w:right w:val="single" w:color="auto" w:sz="4" w:space="0"/>
            </w:tcBorders>
            <w:vAlign w:val="center"/>
          </w:tcPr>
          <w:p w14:paraId="648B491D">
            <w:pPr>
              <w:keepNext w:val="0"/>
              <w:keepLines w:val="0"/>
              <w:pageBreakBefore w:val="0"/>
              <w:widowControl w:val="0"/>
              <w:kinsoku/>
              <w:wordWrap/>
              <w:overflowPunct/>
              <w:topLinePunct w:val="0"/>
              <w:autoSpaceDE/>
              <w:autoSpaceDN/>
              <w:bidi w:val="0"/>
              <w:adjustRightInd/>
              <w:spacing w:line="500" w:lineRule="exact"/>
              <w:ind w:firstLine="435"/>
              <w:jc w:val="center"/>
              <w:textAlignment w:val="auto"/>
              <w:rPr>
                <w:rFonts w:hint="eastAsia" w:ascii="宋体" w:hAnsi="宋体" w:eastAsia="宋体" w:cs="宋体"/>
                <w:b/>
                <w:bCs/>
                <w:color w:val="auto"/>
                <w:sz w:val="24"/>
                <w:szCs w:val="24"/>
                <w:highlight w:val="none"/>
                <w:lang w:eastAsia="zh-CN"/>
              </w:rPr>
            </w:pPr>
          </w:p>
        </w:tc>
        <w:tc>
          <w:tcPr>
            <w:tcW w:w="1280" w:type="dxa"/>
            <w:tcBorders>
              <w:top w:val="single" w:color="auto" w:sz="4" w:space="0"/>
              <w:left w:val="single" w:color="auto" w:sz="4" w:space="0"/>
              <w:bottom w:val="single" w:color="auto" w:sz="4" w:space="0"/>
              <w:right w:val="single" w:color="auto" w:sz="4" w:space="0"/>
            </w:tcBorders>
            <w:vAlign w:val="center"/>
          </w:tcPr>
          <w:p w14:paraId="78C39146">
            <w:pPr>
              <w:pStyle w:val="73"/>
              <w:keepNext w:val="0"/>
              <w:keepLines w:val="0"/>
              <w:pageBreakBefore w:val="0"/>
              <w:widowControl w:val="0"/>
              <w:tabs>
                <w:tab w:val="left" w:pos="840"/>
              </w:tabs>
              <w:kinsoku/>
              <w:wordWrap/>
              <w:overflowPunct/>
              <w:topLinePunct w:val="0"/>
              <w:autoSpaceDE/>
              <w:autoSpaceDN/>
              <w:bidi w:val="0"/>
              <w:adjustRightInd/>
              <w:spacing w:line="500" w:lineRule="exact"/>
              <w:ind w:right="4"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技术服务</w:t>
            </w:r>
            <w:r>
              <w:rPr>
                <w:rFonts w:hint="eastAsia" w:ascii="宋体" w:hAnsi="宋体" w:eastAsia="宋体" w:cs="宋体"/>
                <w:color w:val="auto"/>
                <w:spacing w:val="-6"/>
                <w:sz w:val="24"/>
                <w:szCs w:val="24"/>
                <w:highlight w:val="none"/>
              </w:rPr>
              <w:t>响应能力</w:t>
            </w:r>
          </w:p>
        </w:tc>
        <w:tc>
          <w:tcPr>
            <w:tcW w:w="5260" w:type="dxa"/>
            <w:tcBorders>
              <w:top w:val="single" w:color="auto" w:sz="4" w:space="0"/>
              <w:left w:val="single" w:color="auto" w:sz="4" w:space="0"/>
              <w:bottom w:val="single" w:color="auto" w:sz="4" w:space="0"/>
              <w:right w:val="single" w:color="auto" w:sz="4" w:space="0"/>
            </w:tcBorders>
            <w:vAlign w:val="top"/>
          </w:tcPr>
          <w:p w14:paraId="1F489FDC">
            <w:pPr>
              <w:pStyle w:val="73"/>
              <w:keepNext w:val="0"/>
              <w:keepLines w:val="0"/>
              <w:pageBreakBefore w:val="0"/>
              <w:widowControl w:val="0"/>
              <w:kinsoku/>
              <w:wordWrap/>
              <w:overflowPunct/>
              <w:topLinePunct w:val="0"/>
              <w:autoSpaceDE/>
              <w:autoSpaceDN/>
              <w:bidi w:val="0"/>
              <w:adjustRightInd/>
              <w:spacing w:line="500" w:lineRule="exact"/>
              <w:ind w:right="15"/>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为应对突发情况下应急响应处置，保障业务系统不间断，增</w:t>
            </w:r>
            <w:r>
              <w:rPr>
                <w:rFonts w:hint="eastAsia" w:ascii="宋体" w:hAnsi="宋体" w:eastAsia="宋体" w:cs="宋体"/>
                <w:color w:val="auto"/>
                <w:spacing w:val="-10"/>
                <w:sz w:val="24"/>
                <w:szCs w:val="24"/>
                <w:highlight w:val="none"/>
              </w:rPr>
              <w:t>强应急处置能力，更好的履行职能使命。</w:t>
            </w:r>
            <w:r>
              <w:rPr>
                <w:rFonts w:hint="eastAsia" w:ascii="宋体" w:hAnsi="宋体" w:eastAsia="宋体" w:cs="宋体"/>
                <w:color w:val="auto"/>
                <w:spacing w:val="-1"/>
                <w:sz w:val="24"/>
                <w:szCs w:val="24"/>
                <w:highlight w:val="none"/>
              </w:rPr>
              <w:t>投标人需编制技术服务相应保障方案，对投标人依托所投产品制造商形成的技术服务响应保障能力，</w:t>
            </w:r>
            <w:r>
              <w:rPr>
                <w:rFonts w:hint="eastAsia" w:ascii="宋体" w:hAnsi="宋体" w:eastAsia="宋体" w:cs="宋体"/>
                <w:color w:val="auto"/>
                <w:spacing w:val="-4"/>
                <w:sz w:val="24"/>
                <w:szCs w:val="24"/>
                <w:highlight w:val="none"/>
              </w:rPr>
              <w:t>技术服务响应能力方案应从服务网点、备品备件、</w:t>
            </w:r>
            <w:r>
              <w:rPr>
                <w:rFonts w:hint="eastAsia" w:ascii="宋体" w:hAnsi="宋体" w:eastAsia="宋体" w:cs="宋体"/>
                <w:color w:val="auto"/>
                <w:spacing w:val="-1"/>
                <w:sz w:val="24"/>
                <w:szCs w:val="24"/>
                <w:highlight w:val="none"/>
              </w:rPr>
              <w:t>物流（快递）方案、技术保障人员能力等方面证明其已建立</w:t>
            </w:r>
            <w:r>
              <w:rPr>
                <w:rFonts w:hint="eastAsia" w:ascii="宋体" w:hAnsi="宋体" w:eastAsia="宋体" w:cs="宋体"/>
                <w:color w:val="auto"/>
                <w:spacing w:val="-3"/>
                <w:sz w:val="24"/>
                <w:szCs w:val="24"/>
                <w:highlight w:val="none"/>
              </w:rPr>
              <w:t>或承诺中标后即建立的响应保障能力。</w:t>
            </w:r>
          </w:p>
          <w:p w14:paraId="0365DE8B">
            <w:pPr>
              <w:pStyle w:val="73"/>
              <w:keepNext w:val="0"/>
              <w:keepLines w:val="0"/>
              <w:pageBreakBefore w:val="0"/>
              <w:widowControl w:val="0"/>
              <w:kinsoku/>
              <w:wordWrap/>
              <w:overflowPunct/>
              <w:topLinePunct w:val="0"/>
              <w:autoSpaceDE/>
              <w:autoSpaceDN/>
              <w:bidi w:val="0"/>
              <w:adjustRightInd/>
              <w:spacing w:line="500" w:lineRule="exact"/>
              <w:ind w:right="175"/>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（1）技术服务响应能力方案详细，技术服务人员</w:t>
            </w:r>
            <w:r>
              <w:rPr>
                <w:rFonts w:hint="eastAsia" w:ascii="宋体" w:hAnsi="宋体" w:eastAsia="宋体" w:cs="宋体"/>
                <w:color w:val="auto"/>
                <w:spacing w:val="-1"/>
                <w:sz w:val="24"/>
                <w:szCs w:val="24"/>
                <w:highlight w:val="none"/>
              </w:rPr>
              <w:t>专业水平高且经验丰富，备品备件充足且运输方案安全可靠</w:t>
            </w:r>
            <w:r>
              <w:rPr>
                <w:rFonts w:hint="eastAsia" w:ascii="宋体" w:hAnsi="宋体" w:eastAsia="宋体" w:cs="宋体"/>
                <w:color w:val="auto"/>
                <w:spacing w:val="-10"/>
                <w:sz w:val="24"/>
                <w:szCs w:val="24"/>
                <w:highlight w:val="none"/>
              </w:rPr>
              <w:t>及时得</w:t>
            </w:r>
            <w:r>
              <w:rPr>
                <w:rFonts w:hint="eastAsia" w:ascii="宋体" w:hAnsi="宋体" w:eastAsia="宋体" w:cs="宋体"/>
                <w:color w:val="auto"/>
                <w:spacing w:val="-43"/>
                <w:sz w:val="24"/>
                <w:szCs w:val="24"/>
                <w:highlight w:val="none"/>
                <w:lang w:val="en-US" w:eastAsia="zh-CN"/>
              </w:rPr>
              <w:t>5</w:t>
            </w:r>
            <w:r>
              <w:rPr>
                <w:rFonts w:hint="eastAsia" w:ascii="宋体" w:hAnsi="宋体" w:eastAsia="宋体" w:cs="宋体"/>
                <w:color w:val="auto"/>
                <w:spacing w:val="-10"/>
                <w:sz w:val="24"/>
                <w:szCs w:val="24"/>
                <w:highlight w:val="none"/>
              </w:rPr>
              <w:t>分；</w:t>
            </w:r>
          </w:p>
          <w:p w14:paraId="4CCFA3D9">
            <w:pPr>
              <w:pStyle w:val="73"/>
              <w:keepNext w:val="0"/>
              <w:keepLines w:val="0"/>
              <w:pageBreakBefore w:val="0"/>
              <w:widowControl w:val="0"/>
              <w:kinsoku/>
              <w:wordWrap/>
              <w:overflowPunct/>
              <w:topLinePunct w:val="0"/>
              <w:autoSpaceDE/>
              <w:autoSpaceDN/>
              <w:bidi w:val="0"/>
              <w:adjustRightInd/>
              <w:spacing w:line="500" w:lineRule="exact"/>
              <w:ind w:right="175"/>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（2）技术服务响应能力方案全面，技术服务人员专业水平高，备品备件充足但运输方案有待提升得</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lang w:val="en-US" w:eastAsia="zh-CN"/>
              </w:rPr>
              <w:t>4</w:t>
            </w:r>
            <w:r>
              <w:rPr>
                <w:rFonts w:hint="eastAsia" w:ascii="宋体" w:hAnsi="宋体" w:eastAsia="宋体" w:cs="宋体"/>
                <w:color w:val="auto"/>
                <w:spacing w:val="-3"/>
                <w:sz w:val="24"/>
                <w:szCs w:val="24"/>
                <w:highlight w:val="none"/>
              </w:rPr>
              <w:t>分；</w:t>
            </w:r>
          </w:p>
          <w:p w14:paraId="16B70322">
            <w:pPr>
              <w:pStyle w:val="73"/>
              <w:keepNext w:val="0"/>
              <w:keepLines w:val="0"/>
              <w:pageBreakBefore w:val="0"/>
              <w:widowControl w:val="0"/>
              <w:kinsoku/>
              <w:wordWrap/>
              <w:overflowPunct/>
              <w:topLinePunct w:val="0"/>
              <w:autoSpaceDE/>
              <w:autoSpaceDN/>
              <w:bidi w:val="0"/>
              <w:adjustRightInd/>
              <w:spacing w:line="500" w:lineRule="exact"/>
              <w:ind w:right="176"/>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（3）技术服务响应能力方案不够细致，</w:t>
            </w:r>
            <w:r>
              <w:rPr>
                <w:rFonts w:hint="eastAsia" w:ascii="宋体" w:hAnsi="宋体" w:eastAsia="宋体" w:cs="宋体"/>
                <w:color w:val="auto"/>
                <w:spacing w:val="-1"/>
                <w:sz w:val="24"/>
                <w:szCs w:val="24"/>
                <w:highlight w:val="none"/>
              </w:rPr>
              <w:t>技术服务人员经验不足，备品备件不足存在</w:t>
            </w:r>
            <w:r>
              <w:rPr>
                <w:rFonts w:hint="eastAsia" w:ascii="宋体" w:hAnsi="宋体" w:eastAsia="宋体" w:cs="宋体"/>
                <w:color w:val="auto"/>
                <w:spacing w:val="-4"/>
                <w:sz w:val="24"/>
                <w:szCs w:val="24"/>
                <w:highlight w:val="none"/>
              </w:rPr>
              <w:t>无法满足项目需求的情况得</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分；</w:t>
            </w:r>
          </w:p>
          <w:p w14:paraId="40A644C8">
            <w:pPr>
              <w:pStyle w:val="73"/>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
                <w:sz w:val="24"/>
                <w:szCs w:val="24"/>
                <w:highlight w:val="none"/>
              </w:rPr>
              <w:t>较差或未提供不得分。</w:t>
            </w:r>
          </w:p>
        </w:tc>
        <w:tc>
          <w:tcPr>
            <w:tcW w:w="1207" w:type="dxa"/>
            <w:tcBorders>
              <w:top w:val="single" w:color="auto" w:sz="4" w:space="0"/>
              <w:left w:val="single" w:color="auto" w:sz="4" w:space="0"/>
              <w:bottom w:val="single" w:color="auto" w:sz="4" w:space="0"/>
              <w:right w:val="single" w:color="auto" w:sz="4" w:space="0"/>
            </w:tcBorders>
            <w:vAlign w:val="center"/>
          </w:tcPr>
          <w:p w14:paraId="13B4A92E">
            <w:pPr>
              <w:pStyle w:val="73"/>
              <w:keepNext w:val="0"/>
              <w:keepLines w:val="0"/>
              <w:pageBreakBefore w:val="0"/>
              <w:widowControl w:val="0"/>
              <w:kinsoku/>
              <w:wordWrap/>
              <w:overflowPunct/>
              <w:topLinePunct w:val="0"/>
              <w:autoSpaceDE/>
              <w:autoSpaceDN/>
              <w:bidi w:val="0"/>
              <w:adjustRightInd/>
              <w:spacing w:line="500" w:lineRule="exact"/>
              <w:ind w:left="140" w:lef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rPr>
              <w:t>0-</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分</w:t>
            </w:r>
          </w:p>
        </w:tc>
      </w:tr>
      <w:tr w14:paraId="504D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Merge w:val="continue"/>
            <w:tcBorders>
              <w:left w:val="single" w:color="auto" w:sz="4" w:space="0"/>
              <w:right w:val="single" w:color="auto" w:sz="4" w:space="0"/>
            </w:tcBorders>
            <w:vAlign w:val="center"/>
          </w:tcPr>
          <w:p w14:paraId="0094E348">
            <w:pPr>
              <w:keepNext w:val="0"/>
              <w:keepLines w:val="0"/>
              <w:pageBreakBefore w:val="0"/>
              <w:widowControl w:val="0"/>
              <w:kinsoku/>
              <w:wordWrap/>
              <w:overflowPunct/>
              <w:topLinePunct w:val="0"/>
              <w:autoSpaceDE/>
              <w:autoSpaceDN/>
              <w:bidi w:val="0"/>
              <w:adjustRightInd/>
              <w:spacing w:line="500" w:lineRule="exact"/>
              <w:ind w:firstLine="435"/>
              <w:jc w:val="center"/>
              <w:textAlignment w:val="auto"/>
              <w:rPr>
                <w:rFonts w:hint="eastAsia" w:ascii="宋体" w:hAnsi="宋体" w:eastAsia="宋体" w:cs="宋体"/>
                <w:b/>
                <w:bCs/>
                <w:color w:val="auto"/>
                <w:sz w:val="24"/>
                <w:szCs w:val="24"/>
                <w:highlight w:val="none"/>
                <w:lang w:eastAsia="zh-CN"/>
              </w:rPr>
            </w:pPr>
          </w:p>
        </w:tc>
        <w:tc>
          <w:tcPr>
            <w:tcW w:w="1280" w:type="dxa"/>
            <w:tcBorders>
              <w:top w:val="single" w:color="auto" w:sz="4" w:space="0"/>
              <w:left w:val="single" w:color="auto" w:sz="4" w:space="0"/>
              <w:bottom w:val="single" w:color="auto" w:sz="4" w:space="0"/>
              <w:right w:val="single" w:color="auto" w:sz="4" w:space="0"/>
            </w:tcBorders>
            <w:vAlign w:val="center"/>
          </w:tcPr>
          <w:p w14:paraId="304FD4AF">
            <w:pPr>
              <w:pStyle w:val="73"/>
              <w:keepNext w:val="0"/>
              <w:keepLines w:val="0"/>
              <w:pageBreakBefore w:val="0"/>
              <w:widowControl w:val="0"/>
              <w:tabs>
                <w:tab w:val="left" w:pos="840"/>
              </w:tabs>
              <w:kinsoku/>
              <w:wordWrap/>
              <w:overflowPunct/>
              <w:topLinePunct w:val="0"/>
              <w:autoSpaceDE/>
              <w:autoSpaceDN/>
              <w:bidi w:val="0"/>
              <w:adjustRightInd/>
              <w:spacing w:line="500" w:lineRule="exact"/>
              <w:ind w:right="4" w:rightChars="0"/>
              <w:jc w:val="center"/>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数据及网络安全维护方案</w:t>
            </w:r>
          </w:p>
        </w:tc>
        <w:tc>
          <w:tcPr>
            <w:tcW w:w="5260" w:type="dxa"/>
            <w:tcBorders>
              <w:top w:val="single" w:color="auto" w:sz="4" w:space="0"/>
              <w:left w:val="single" w:color="auto" w:sz="4" w:space="0"/>
              <w:bottom w:val="single" w:color="auto" w:sz="4" w:space="0"/>
              <w:right w:val="single" w:color="auto" w:sz="4" w:space="0"/>
            </w:tcBorders>
            <w:vAlign w:val="top"/>
          </w:tcPr>
          <w:p w14:paraId="50801BFD">
            <w:pPr>
              <w:pStyle w:val="73"/>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投标人需根据本项目特点结合企业自身情况提供数据及网络安全维护方案，由其评委会进行综合评分。</w:t>
            </w:r>
          </w:p>
          <w:p w14:paraId="4590E1E8">
            <w:pPr>
              <w:pStyle w:val="73"/>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投标人技术领先，综合实力强，人员和资源积累优秀，能全面抵御数据、网络安全风险，能对市场的数据安全产品进行功能分析，提出安全策略和解决方案，具有安全产品的系统集成部署能力，并对系统集成部署具有安全检测、验证和有效安全性维护能力得</w:t>
            </w:r>
            <w:r>
              <w:rPr>
                <w:rFonts w:hint="eastAsia" w:ascii="宋体" w:hAnsi="宋体" w:eastAsia="宋体" w:cs="宋体"/>
                <w:color w:val="auto"/>
                <w:spacing w:val="-3"/>
                <w:sz w:val="24"/>
                <w:szCs w:val="24"/>
                <w:highlight w:val="none"/>
                <w:lang w:val="en-US" w:eastAsia="zh-CN"/>
              </w:rPr>
              <w:t>5</w:t>
            </w:r>
            <w:r>
              <w:rPr>
                <w:rFonts w:hint="eastAsia" w:ascii="宋体" w:hAnsi="宋体" w:eastAsia="宋体" w:cs="宋体"/>
                <w:color w:val="auto"/>
                <w:spacing w:val="-3"/>
                <w:sz w:val="24"/>
                <w:szCs w:val="24"/>
                <w:highlight w:val="none"/>
              </w:rPr>
              <w:t>分。</w:t>
            </w:r>
          </w:p>
          <w:p w14:paraId="6E42AB93">
            <w:pPr>
              <w:pStyle w:val="73"/>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（2）投标人技术存在优势，人员和资源有积累，能较好的抵御数据、网络安全风险，对市场的数据安全产品进行分析判断，能完成安全产品的系统集成部署，保项目安全稳定持续运行得</w:t>
            </w:r>
            <w:r>
              <w:rPr>
                <w:rFonts w:hint="eastAsia" w:ascii="宋体" w:hAnsi="宋体" w:eastAsia="宋体" w:cs="宋体"/>
                <w:color w:val="auto"/>
                <w:spacing w:val="-3"/>
                <w:sz w:val="24"/>
                <w:szCs w:val="24"/>
                <w:highlight w:val="none"/>
                <w:lang w:val="en-US" w:eastAsia="zh-CN"/>
              </w:rPr>
              <w:t>4</w:t>
            </w:r>
            <w:r>
              <w:rPr>
                <w:rFonts w:hint="eastAsia" w:ascii="宋体" w:hAnsi="宋体" w:eastAsia="宋体" w:cs="宋体"/>
                <w:color w:val="auto"/>
                <w:spacing w:val="-3"/>
                <w:sz w:val="24"/>
                <w:szCs w:val="24"/>
                <w:highlight w:val="none"/>
              </w:rPr>
              <w:t>分。</w:t>
            </w:r>
          </w:p>
          <w:p w14:paraId="70E2012B">
            <w:pPr>
              <w:pStyle w:val="73"/>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（3）投标人技术满足项目正常使用要求，不能有效防范数据及网络安全风险，不具备系统集成部署得</w:t>
            </w: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分；</w:t>
            </w:r>
          </w:p>
          <w:p w14:paraId="0DD536CA">
            <w:pPr>
              <w:pStyle w:val="73"/>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（4）较差或未提供的不得分。</w:t>
            </w:r>
          </w:p>
        </w:tc>
        <w:tc>
          <w:tcPr>
            <w:tcW w:w="1207" w:type="dxa"/>
            <w:tcBorders>
              <w:top w:val="single" w:color="auto" w:sz="4" w:space="0"/>
              <w:left w:val="single" w:color="auto" w:sz="4" w:space="0"/>
              <w:bottom w:val="single" w:color="auto" w:sz="4" w:space="0"/>
              <w:right w:val="single" w:color="auto" w:sz="4" w:space="0"/>
            </w:tcBorders>
            <w:vAlign w:val="center"/>
          </w:tcPr>
          <w:p w14:paraId="35657BFD">
            <w:pPr>
              <w:pStyle w:val="73"/>
              <w:keepNext w:val="0"/>
              <w:keepLines w:val="0"/>
              <w:pageBreakBefore w:val="0"/>
              <w:widowControl w:val="0"/>
              <w:kinsoku/>
              <w:wordWrap/>
              <w:overflowPunct/>
              <w:topLinePunct w:val="0"/>
              <w:autoSpaceDE/>
              <w:autoSpaceDN/>
              <w:bidi w:val="0"/>
              <w:adjustRightInd/>
              <w:spacing w:line="500" w:lineRule="exact"/>
              <w:ind w:left="140" w:leftChars="0"/>
              <w:jc w:val="center"/>
              <w:textAlignment w:val="auto"/>
              <w:rPr>
                <w:rFonts w:hint="default"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lang w:val="en-US" w:eastAsia="zh-CN"/>
              </w:rPr>
              <w:t>0-5分</w:t>
            </w:r>
          </w:p>
        </w:tc>
      </w:tr>
      <w:tr w14:paraId="208B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Merge w:val="continue"/>
            <w:tcBorders>
              <w:left w:val="single" w:color="auto" w:sz="4" w:space="0"/>
              <w:right w:val="single" w:color="auto" w:sz="4" w:space="0"/>
            </w:tcBorders>
            <w:vAlign w:val="center"/>
          </w:tcPr>
          <w:p w14:paraId="08047555">
            <w:pPr>
              <w:keepNext w:val="0"/>
              <w:keepLines w:val="0"/>
              <w:pageBreakBefore w:val="0"/>
              <w:widowControl w:val="0"/>
              <w:kinsoku/>
              <w:wordWrap/>
              <w:overflowPunct/>
              <w:topLinePunct w:val="0"/>
              <w:autoSpaceDE/>
              <w:autoSpaceDN/>
              <w:bidi w:val="0"/>
              <w:adjustRightInd/>
              <w:spacing w:line="500" w:lineRule="exact"/>
              <w:ind w:firstLine="435"/>
              <w:jc w:val="center"/>
              <w:textAlignment w:val="auto"/>
              <w:rPr>
                <w:rFonts w:hint="eastAsia" w:ascii="宋体" w:hAnsi="宋体" w:eastAsia="宋体" w:cs="宋体"/>
                <w:b/>
                <w:bCs/>
                <w:color w:val="auto"/>
                <w:sz w:val="24"/>
                <w:szCs w:val="24"/>
                <w:highlight w:val="none"/>
                <w:lang w:eastAsia="zh-CN"/>
              </w:rPr>
            </w:pPr>
          </w:p>
        </w:tc>
        <w:tc>
          <w:tcPr>
            <w:tcW w:w="1280" w:type="dxa"/>
            <w:tcBorders>
              <w:top w:val="single" w:color="auto" w:sz="4" w:space="0"/>
              <w:left w:val="single" w:color="auto" w:sz="4" w:space="0"/>
              <w:bottom w:val="single" w:color="auto" w:sz="4" w:space="0"/>
              <w:right w:val="single" w:color="auto" w:sz="4" w:space="0"/>
            </w:tcBorders>
            <w:shd w:val="clear" w:color="auto" w:fill="auto"/>
            <w:vAlign w:val="center"/>
          </w:tcPr>
          <w:p w14:paraId="30CE2A5B">
            <w:pPr>
              <w:pStyle w:val="7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2"/>
                <w:sz w:val="24"/>
                <w:szCs w:val="24"/>
                <w:highlight w:val="none"/>
              </w:rPr>
              <w:t>培训方案</w:t>
            </w:r>
          </w:p>
        </w:tc>
        <w:tc>
          <w:tcPr>
            <w:tcW w:w="5260" w:type="dxa"/>
            <w:tcBorders>
              <w:top w:val="single" w:color="auto" w:sz="4" w:space="0"/>
              <w:left w:val="single" w:color="auto" w:sz="4" w:space="0"/>
              <w:bottom w:val="single" w:color="auto" w:sz="4" w:space="0"/>
              <w:right w:val="single" w:color="auto" w:sz="4" w:space="0"/>
            </w:tcBorders>
            <w:shd w:val="clear" w:color="auto" w:fill="auto"/>
            <w:vAlign w:val="top"/>
          </w:tcPr>
          <w:p w14:paraId="1A634272">
            <w:pPr>
              <w:pStyle w:val="73"/>
              <w:keepNext w:val="0"/>
              <w:keepLines w:val="0"/>
              <w:pageBreakBefore w:val="0"/>
              <w:widowControl w:val="0"/>
              <w:kinsoku/>
              <w:wordWrap/>
              <w:overflowPunct/>
              <w:topLinePunct w:val="0"/>
              <w:autoSpaceDE/>
              <w:autoSpaceDN/>
              <w:bidi w:val="0"/>
              <w:adjustRightInd/>
              <w:snapToGrid w:val="0"/>
              <w:spacing w:line="500" w:lineRule="exact"/>
              <w:ind w:right="19"/>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对投标人提供的培训方案，从培训对象分析、培训形式设计、</w:t>
            </w:r>
            <w:r>
              <w:rPr>
                <w:rFonts w:hint="eastAsia" w:ascii="宋体" w:hAnsi="宋体" w:eastAsia="宋体" w:cs="宋体"/>
                <w:color w:val="auto"/>
                <w:sz w:val="24"/>
                <w:szCs w:val="24"/>
                <w:highlight w:val="none"/>
              </w:rPr>
              <w:t>培训内容设计、培训计划制定、培训质量保证措施等方面，</w:t>
            </w:r>
            <w:r>
              <w:rPr>
                <w:rFonts w:hint="eastAsia" w:ascii="宋体" w:hAnsi="宋体" w:eastAsia="宋体" w:cs="宋体"/>
                <w:color w:val="auto"/>
                <w:spacing w:val="-6"/>
                <w:sz w:val="24"/>
                <w:szCs w:val="24"/>
                <w:highlight w:val="none"/>
              </w:rPr>
              <w:t>由评委会进行综合评分：</w:t>
            </w:r>
          </w:p>
          <w:p w14:paraId="3379A5AF">
            <w:pPr>
              <w:pStyle w:val="73"/>
              <w:keepNext w:val="0"/>
              <w:keepLines w:val="0"/>
              <w:pageBreakBefore w:val="0"/>
              <w:widowControl w:val="0"/>
              <w:kinsoku/>
              <w:wordWrap/>
              <w:overflowPunct/>
              <w:topLinePunct w:val="0"/>
              <w:autoSpaceDE/>
              <w:autoSpaceDN/>
              <w:bidi w:val="0"/>
              <w:adjustRightInd/>
              <w:snapToGrid w:val="0"/>
              <w:spacing w:line="500" w:lineRule="exact"/>
              <w:ind w:right="115"/>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（1）培训方案全面且细致、培训思路清晰明了、可根据招标</w:t>
            </w:r>
            <w:r>
              <w:rPr>
                <w:rFonts w:hint="eastAsia" w:ascii="宋体" w:hAnsi="宋体" w:eastAsia="宋体" w:cs="宋体"/>
                <w:color w:val="auto"/>
                <w:spacing w:val="-1"/>
                <w:sz w:val="24"/>
                <w:szCs w:val="24"/>
                <w:highlight w:val="none"/>
              </w:rPr>
              <w:t>人特殊要求制定特定培训方案、培训人员及培训内容优于采</w:t>
            </w:r>
            <w:r>
              <w:rPr>
                <w:rFonts w:hint="eastAsia" w:ascii="宋体" w:hAnsi="宋体" w:eastAsia="宋体" w:cs="宋体"/>
                <w:color w:val="auto"/>
                <w:spacing w:val="-4"/>
                <w:sz w:val="24"/>
                <w:szCs w:val="24"/>
                <w:highlight w:val="none"/>
              </w:rPr>
              <w:t>购需求、可实施性强得</w:t>
            </w:r>
            <w:r>
              <w:rPr>
                <w:rFonts w:hint="eastAsia" w:ascii="宋体" w:hAnsi="宋体" w:eastAsia="宋体" w:cs="宋体"/>
                <w:color w:val="auto"/>
                <w:spacing w:val="-51"/>
                <w:sz w:val="24"/>
                <w:szCs w:val="24"/>
                <w:highlight w:val="none"/>
                <w:lang w:val="en-US" w:eastAsia="zh-CN"/>
              </w:rPr>
              <w:t>5</w:t>
            </w:r>
            <w:r>
              <w:rPr>
                <w:rFonts w:hint="eastAsia" w:ascii="宋体" w:hAnsi="宋体" w:eastAsia="宋体" w:cs="宋体"/>
                <w:color w:val="auto"/>
                <w:spacing w:val="-4"/>
                <w:sz w:val="24"/>
                <w:szCs w:val="24"/>
                <w:highlight w:val="none"/>
              </w:rPr>
              <w:t>分；</w:t>
            </w:r>
          </w:p>
          <w:p w14:paraId="61BF4F5D">
            <w:pPr>
              <w:pStyle w:val="73"/>
              <w:keepNext w:val="0"/>
              <w:keepLines w:val="0"/>
              <w:pageBreakBefore w:val="0"/>
              <w:widowControl w:val="0"/>
              <w:kinsoku/>
              <w:wordWrap/>
              <w:overflowPunct/>
              <w:topLinePunct w:val="0"/>
              <w:autoSpaceDE/>
              <w:autoSpaceDN/>
              <w:bidi w:val="0"/>
              <w:adjustRightInd/>
              <w:snapToGrid w:val="0"/>
              <w:spacing w:line="500" w:lineRule="exact"/>
              <w:ind w:right="103"/>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（2）培训方案全面、无明显逻辑错误、对招标人的培训内容</w:t>
            </w:r>
            <w:r>
              <w:rPr>
                <w:rFonts w:hint="eastAsia" w:ascii="宋体" w:hAnsi="宋体" w:eastAsia="宋体" w:cs="宋体"/>
                <w:color w:val="auto"/>
                <w:spacing w:val="-1"/>
                <w:sz w:val="24"/>
                <w:szCs w:val="24"/>
                <w:highlight w:val="none"/>
              </w:rPr>
              <w:t>及场地和时间缺乏针对性、可实施，方案有待进行优化得</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7"/>
                <w:sz w:val="24"/>
                <w:szCs w:val="24"/>
                <w:highlight w:val="none"/>
              </w:rPr>
              <w:t>分；</w:t>
            </w:r>
          </w:p>
          <w:p w14:paraId="064FE5E3">
            <w:pPr>
              <w:pStyle w:val="7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（3）培训方案及包含内容不全得</w:t>
            </w:r>
            <w:r>
              <w:rPr>
                <w:rFonts w:hint="eastAsia" w:ascii="宋体" w:hAnsi="宋体" w:eastAsia="宋体" w:cs="宋体"/>
                <w:color w:val="auto"/>
                <w:spacing w:val="-38"/>
                <w:sz w:val="24"/>
                <w:szCs w:val="24"/>
                <w:highlight w:val="none"/>
                <w:lang w:val="en-US" w:eastAsia="zh-CN"/>
              </w:rPr>
              <w:t>3</w:t>
            </w:r>
            <w:r>
              <w:rPr>
                <w:rFonts w:hint="eastAsia" w:ascii="宋体" w:hAnsi="宋体" w:eastAsia="宋体" w:cs="宋体"/>
                <w:color w:val="auto"/>
                <w:spacing w:val="-4"/>
                <w:sz w:val="24"/>
                <w:szCs w:val="24"/>
                <w:highlight w:val="none"/>
              </w:rPr>
              <w:t>分；</w:t>
            </w:r>
          </w:p>
          <w:p w14:paraId="40E6FF7F">
            <w:pPr>
              <w:pStyle w:val="73"/>
              <w:keepNext w:val="0"/>
              <w:keepLines w:val="0"/>
              <w:pageBreakBefore w:val="0"/>
              <w:widowControl w:val="0"/>
              <w:kinsoku/>
              <w:wordWrap/>
              <w:overflowPunct/>
              <w:topLinePunct w:val="0"/>
              <w:autoSpaceDE/>
              <w:autoSpaceDN/>
              <w:bidi w:val="0"/>
              <w:adjustRightInd/>
              <w:snapToGrid w:val="0"/>
              <w:spacing w:line="500" w:lineRule="exact"/>
              <w:ind w:left="120" w:leftChars="0"/>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4"/>
                <w:sz w:val="24"/>
                <w:szCs w:val="24"/>
                <w:highlight w:val="none"/>
              </w:rPr>
              <w:t>（4）较差或未提供的不得分。</w:t>
            </w:r>
          </w:p>
        </w:tc>
        <w:tc>
          <w:tcPr>
            <w:tcW w:w="1207" w:type="dxa"/>
            <w:tcBorders>
              <w:top w:val="single" w:color="auto" w:sz="4" w:space="0"/>
              <w:left w:val="single" w:color="auto" w:sz="4" w:space="0"/>
              <w:bottom w:val="single" w:color="auto" w:sz="4" w:space="0"/>
              <w:right w:val="single" w:color="auto" w:sz="4" w:space="0"/>
            </w:tcBorders>
            <w:shd w:val="clear" w:color="auto" w:fill="auto"/>
            <w:vAlign w:val="center"/>
          </w:tcPr>
          <w:p w14:paraId="786C6E56">
            <w:pPr>
              <w:pStyle w:val="73"/>
              <w:keepNext w:val="0"/>
              <w:keepLines w:val="0"/>
              <w:pageBreakBefore w:val="0"/>
              <w:widowControl w:val="0"/>
              <w:kinsoku/>
              <w:wordWrap/>
              <w:overflowPunct/>
              <w:topLinePunct w:val="0"/>
              <w:autoSpaceDE/>
              <w:autoSpaceDN/>
              <w:bidi w:val="0"/>
              <w:adjustRightInd/>
              <w:snapToGrid w:val="0"/>
              <w:spacing w:line="500" w:lineRule="exact"/>
              <w:ind w:left="140" w:leftChars="0"/>
              <w:jc w:val="center"/>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b/>
                <w:bCs/>
                <w:color w:val="auto"/>
                <w:spacing w:val="-3"/>
                <w:sz w:val="24"/>
                <w:szCs w:val="24"/>
                <w:highlight w:val="none"/>
              </w:rPr>
              <w:t>0-</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分</w:t>
            </w:r>
          </w:p>
        </w:tc>
      </w:tr>
      <w:tr w14:paraId="433D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Merge w:val="continue"/>
            <w:tcBorders>
              <w:left w:val="single" w:color="auto" w:sz="4" w:space="0"/>
              <w:right w:val="single" w:color="auto" w:sz="4" w:space="0"/>
            </w:tcBorders>
            <w:vAlign w:val="center"/>
          </w:tcPr>
          <w:p w14:paraId="00310A69">
            <w:pPr>
              <w:keepNext w:val="0"/>
              <w:keepLines w:val="0"/>
              <w:pageBreakBefore w:val="0"/>
              <w:widowControl w:val="0"/>
              <w:kinsoku/>
              <w:wordWrap/>
              <w:overflowPunct/>
              <w:topLinePunct w:val="0"/>
              <w:autoSpaceDE/>
              <w:autoSpaceDN/>
              <w:bidi w:val="0"/>
              <w:adjustRightInd/>
              <w:spacing w:line="500" w:lineRule="exact"/>
              <w:ind w:firstLine="435"/>
              <w:jc w:val="center"/>
              <w:textAlignment w:val="auto"/>
              <w:rPr>
                <w:rFonts w:hint="eastAsia" w:ascii="宋体" w:hAnsi="宋体" w:eastAsia="宋体" w:cs="宋体"/>
                <w:b/>
                <w:bCs/>
                <w:color w:val="auto"/>
                <w:sz w:val="24"/>
                <w:szCs w:val="24"/>
                <w:highlight w:val="none"/>
                <w:lang w:eastAsia="zh-CN"/>
              </w:rPr>
            </w:pPr>
          </w:p>
        </w:tc>
        <w:tc>
          <w:tcPr>
            <w:tcW w:w="1280" w:type="dxa"/>
            <w:tcBorders>
              <w:top w:val="single" w:color="auto" w:sz="4" w:space="0"/>
              <w:left w:val="single" w:color="auto" w:sz="4" w:space="0"/>
              <w:bottom w:val="single" w:color="auto" w:sz="4" w:space="0"/>
              <w:right w:val="single" w:color="auto" w:sz="4" w:space="0"/>
            </w:tcBorders>
            <w:shd w:val="clear" w:color="auto" w:fill="auto"/>
            <w:vAlign w:val="center"/>
          </w:tcPr>
          <w:p w14:paraId="14C02225">
            <w:pPr>
              <w:pStyle w:val="7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2"/>
                <w:sz w:val="24"/>
                <w:szCs w:val="24"/>
                <w:highlight w:val="none"/>
              </w:rPr>
              <w:t>运维方案</w:t>
            </w:r>
          </w:p>
        </w:tc>
        <w:tc>
          <w:tcPr>
            <w:tcW w:w="5260" w:type="dxa"/>
            <w:tcBorders>
              <w:top w:val="single" w:color="auto" w:sz="4" w:space="0"/>
              <w:left w:val="single" w:color="auto" w:sz="4" w:space="0"/>
              <w:bottom w:val="single" w:color="auto" w:sz="4" w:space="0"/>
              <w:right w:val="single" w:color="auto" w:sz="4" w:space="0"/>
            </w:tcBorders>
            <w:shd w:val="clear" w:color="auto" w:fill="auto"/>
            <w:vAlign w:val="top"/>
          </w:tcPr>
          <w:p w14:paraId="0AF3E491">
            <w:pPr>
              <w:pStyle w:val="73"/>
              <w:keepNext w:val="0"/>
              <w:keepLines w:val="0"/>
              <w:pageBreakBefore w:val="0"/>
              <w:widowControl w:val="0"/>
              <w:kinsoku/>
              <w:wordWrap/>
              <w:overflowPunct/>
              <w:topLinePunct w:val="0"/>
              <w:autoSpaceDE/>
              <w:autoSpaceDN/>
              <w:bidi w:val="0"/>
              <w:adjustRightInd/>
              <w:snapToGrid w:val="0"/>
              <w:spacing w:line="500" w:lineRule="exact"/>
              <w:ind w:right="9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（1）运维服务方案详尽完整、可操作性强，服务配置完善、</w:t>
            </w:r>
            <w:r>
              <w:rPr>
                <w:rFonts w:hint="eastAsia" w:ascii="宋体" w:hAnsi="宋体" w:eastAsia="宋体" w:cs="宋体"/>
                <w:color w:val="auto"/>
                <w:spacing w:val="-1"/>
                <w:sz w:val="24"/>
                <w:szCs w:val="24"/>
                <w:highlight w:val="none"/>
              </w:rPr>
              <w:t>技术支持能力强、服务响应快、售后服务流程步骤完善清晰</w:t>
            </w:r>
            <w:r>
              <w:rPr>
                <w:rFonts w:hint="eastAsia" w:ascii="宋体" w:hAnsi="宋体" w:eastAsia="宋体" w:cs="宋体"/>
                <w:color w:val="auto"/>
                <w:spacing w:val="-10"/>
                <w:sz w:val="24"/>
                <w:szCs w:val="24"/>
                <w:highlight w:val="none"/>
              </w:rPr>
              <w:t>明了得</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0"/>
                <w:sz w:val="24"/>
                <w:szCs w:val="24"/>
                <w:highlight w:val="none"/>
                <w:lang w:val="en-US" w:eastAsia="zh-CN"/>
              </w:rPr>
              <w:t>5</w:t>
            </w:r>
            <w:r>
              <w:rPr>
                <w:rFonts w:hint="eastAsia" w:ascii="宋体" w:hAnsi="宋体" w:eastAsia="宋体" w:cs="宋体"/>
                <w:color w:val="auto"/>
                <w:spacing w:val="-10"/>
                <w:sz w:val="24"/>
                <w:szCs w:val="24"/>
                <w:highlight w:val="none"/>
              </w:rPr>
              <w:t>分；</w:t>
            </w:r>
          </w:p>
          <w:p w14:paraId="6722289F">
            <w:pPr>
              <w:pStyle w:val="73"/>
              <w:keepNext w:val="0"/>
              <w:keepLines w:val="0"/>
              <w:pageBreakBefore w:val="0"/>
              <w:widowControl w:val="0"/>
              <w:kinsoku/>
              <w:wordWrap/>
              <w:overflowPunct/>
              <w:topLinePunct w:val="0"/>
              <w:autoSpaceDE/>
              <w:autoSpaceDN/>
              <w:bidi w:val="0"/>
              <w:adjustRightInd/>
              <w:snapToGrid w:val="0"/>
              <w:spacing w:line="500" w:lineRule="exact"/>
              <w:ind w:right="18"/>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（2）运维服务方案详细、可行、服务配置满足基本使用需求、</w:t>
            </w:r>
            <w:r>
              <w:rPr>
                <w:rFonts w:hint="eastAsia" w:ascii="宋体" w:hAnsi="宋体" w:eastAsia="宋体" w:cs="宋体"/>
                <w:color w:val="auto"/>
                <w:spacing w:val="-1"/>
                <w:sz w:val="24"/>
                <w:szCs w:val="24"/>
                <w:highlight w:val="none"/>
              </w:rPr>
              <w:t>技术支持及服务响应时间满足采购需求、售后服务流程有待</w:t>
            </w:r>
            <w:r>
              <w:rPr>
                <w:rFonts w:hint="eastAsia" w:ascii="宋体" w:hAnsi="宋体" w:eastAsia="宋体" w:cs="宋体"/>
                <w:color w:val="auto"/>
                <w:spacing w:val="-7"/>
                <w:sz w:val="24"/>
                <w:szCs w:val="24"/>
                <w:highlight w:val="none"/>
              </w:rPr>
              <w:t>提升优化得</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7"/>
                <w:sz w:val="24"/>
                <w:szCs w:val="24"/>
                <w:highlight w:val="none"/>
                <w:lang w:val="en-US" w:eastAsia="zh-CN"/>
              </w:rPr>
              <w:t>4</w:t>
            </w:r>
            <w:r>
              <w:rPr>
                <w:rFonts w:hint="eastAsia" w:ascii="宋体" w:hAnsi="宋体" w:eastAsia="宋体" w:cs="宋体"/>
                <w:color w:val="auto"/>
                <w:spacing w:val="-7"/>
                <w:sz w:val="24"/>
                <w:szCs w:val="24"/>
                <w:highlight w:val="none"/>
              </w:rPr>
              <w:t>分；</w:t>
            </w:r>
          </w:p>
          <w:p w14:paraId="0291F64A">
            <w:pPr>
              <w:pStyle w:val="7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（3）运维服务方案及包含内容不全得</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分；</w:t>
            </w:r>
          </w:p>
          <w:p w14:paraId="75890336">
            <w:pPr>
              <w:pStyle w:val="7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4"/>
                <w:sz w:val="24"/>
                <w:szCs w:val="24"/>
                <w:highlight w:val="none"/>
              </w:rPr>
              <w:t>（4）较差或未提供的不得分。</w:t>
            </w:r>
          </w:p>
        </w:tc>
        <w:tc>
          <w:tcPr>
            <w:tcW w:w="1207" w:type="dxa"/>
            <w:tcBorders>
              <w:top w:val="single" w:color="auto" w:sz="4" w:space="0"/>
              <w:left w:val="single" w:color="auto" w:sz="4" w:space="0"/>
              <w:bottom w:val="single" w:color="auto" w:sz="4" w:space="0"/>
              <w:right w:val="single" w:color="auto" w:sz="4" w:space="0"/>
            </w:tcBorders>
            <w:shd w:val="clear" w:color="auto" w:fill="auto"/>
            <w:vAlign w:val="center"/>
          </w:tcPr>
          <w:p w14:paraId="48699171">
            <w:pPr>
              <w:pStyle w:val="73"/>
              <w:keepNext w:val="0"/>
              <w:keepLines w:val="0"/>
              <w:pageBreakBefore w:val="0"/>
              <w:widowControl w:val="0"/>
              <w:kinsoku/>
              <w:wordWrap/>
              <w:overflowPunct/>
              <w:topLinePunct w:val="0"/>
              <w:autoSpaceDE/>
              <w:autoSpaceDN/>
              <w:bidi w:val="0"/>
              <w:adjustRightInd/>
              <w:snapToGrid w:val="0"/>
              <w:spacing w:line="500" w:lineRule="exact"/>
              <w:ind w:left="140" w:leftChars="0"/>
              <w:jc w:val="center"/>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b/>
                <w:bCs/>
                <w:color w:val="auto"/>
                <w:spacing w:val="-3"/>
                <w:sz w:val="24"/>
                <w:szCs w:val="24"/>
                <w:highlight w:val="none"/>
              </w:rPr>
              <w:t>0-</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48"/>
                <w:sz w:val="24"/>
                <w:szCs w:val="24"/>
                <w:highlight w:val="none"/>
              </w:rPr>
              <w:t xml:space="preserve"> </w:t>
            </w:r>
            <w:r>
              <w:rPr>
                <w:rFonts w:hint="eastAsia" w:ascii="宋体" w:hAnsi="宋体" w:eastAsia="宋体" w:cs="宋体"/>
                <w:b/>
                <w:bCs/>
                <w:color w:val="auto"/>
                <w:spacing w:val="-3"/>
                <w:sz w:val="24"/>
                <w:szCs w:val="24"/>
                <w:highlight w:val="none"/>
              </w:rPr>
              <w:t>分</w:t>
            </w:r>
          </w:p>
        </w:tc>
      </w:tr>
      <w:tr w14:paraId="6731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1203" w:type="dxa"/>
            <w:vMerge w:val="continue"/>
            <w:tcBorders>
              <w:left w:val="single" w:color="auto" w:sz="4" w:space="0"/>
              <w:right w:val="single" w:color="auto" w:sz="4" w:space="0"/>
            </w:tcBorders>
            <w:vAlign w:val="center"/>
          </w:tcPr>
          <w:p w14:paraId="0B62A9A5">
            <w:pPr>
              <w:keepNext w:val="0"/>
              <w:keepLines w:val="0"/>
              <w:pageBreakBefore w:val="0"/>
              <w:widowControl w:val="0"/>
              <w:kinsoku/>
              <w:wordWrap/>
              <w:overflowPunct/>
              <w:topLinePunct w:val="0"/>
              <w:autoSpaceDE/>
              <w:autoSpaceDN/>
              <w:bidi w:val="0"/>
              <w:adjustRightInd/>
              <w:spacing w:line="500" w:lineRule="exact"/>
              <w:ind w:firstLine="435"/>
              <w:jc w:val="center"/>
              <w:textAlignment w:val="auto"/>
              <w:rPr>
                <w:rFonts w:hint="eastAsia" w:ascii="宋体" w:hAnsi="宋体" w:eastAsia="宋体" w:cs="宋体"/>
                <w:b/>
                <w:bCs/>
                <w:color w:val="auto"/>
                <w:sz w:val="24"/>
                <w:szCs w:val="24"/>
                <w:highlight w:val="none"/>
                <w:lang w:eastAsia="zh-CN"/>
              </w:rPr>
            </w:pPr>
          </w:p>
        </w:tc>
        <w:tc>
          <w:tcPr>
            <w:tcW w:w="1280" w:type="dxa"/>
            <w:tcBorders>
              <w:top w:val="single" w:color="auto" w:sz="4" w:space="0"/>
              <w:left w:val="single" w:color="auto" w:sz="4" w:space="0"/>
              <w:bottom w:val="single" w:color="auto" w:sz="4" w:space="0"/>
              <w:right w:val="single" w:color="auto" w:sz="4" w:space="0"/>
            </w:tcBorders>
            <w:shd w:val="clear" w:color="auto" w:fill="auto"/>
            <w:vAlign w:val="center"/>
          </w:tcPr>
          <w:p w14:paraId="219AF96D">
            <w:pPr>
              <w:pStyle w:val="73"/>
              <w:keepNext w:val="0"/>
              <w:keepLines w:val="0"/>
              <w:pageBreakBefore w:val="0"/>
              <w:widowControl w:val="0"/>
              <w:kinsoku/>
              <w:wordWrap/>
              <w:overflowPunct/>
              <w:topLinePunct w:val="0"/>
              <w:autoSpaceDE/>
              <w:autoSpaceDN/>
              <w:bidi w:val="0"/>
              <w:adjustRightInd/>
              <w:snapToGrid w:val="0"/>
              <w:spacing w:line="500" w:lineRule="exact"/>
              <w:ind w:right="4" w:rightChars="0"/>
              <w:jc w:val="center"/>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2"/>
                <w:sz w:val="24"/>
                <w:szCs w:val="24"/>
                <w:highlight w:val="none"/>
                <w:lang w:val="en-US" w:eastAsia="zh-CN"/>
              </w:rPr>
              <w:t>质保</w:t>
            </w:r>
            <w:r>
              <w:rPr>
                <w:rFonts w:hint="eastAsia" w:ascii="宋体" w:hAnsi="宋体" w:eastAsia="宋体" w:cs="宋体"/>
                <w:color w:val="auto"/>
                <w:spacing w:val="-2"/>
                <w:sz w:val="24"/>
                <w:szCs w:val="24"/>
                <w:highlight w:val="none"/>
              </w:rPr>
              <w:t>承</w:t>
            </w:r>
            <w:r>
              <w:rPr>
                <w:rFonts w:hint="eastAsia" w:ascii="宋体" w:hAnsi="宋体" w:eastAsia="宋体" w:cs="宋体"/>
                <w:color w:val="auto"/>
                <w:sz w:val="24"/>
                <w:szCs w:val="24"/>
                <w:highlight w:val="none"/>
              </w:rPr>
              <w:t>诺</w:t>
            </w:r>
          </w:p>
        </w:tc>
        <w:tc>
          <w:tcPr>
            <w:tcW w:w="5260" w:type="dxa"/>
            <w:tcBorders>
              <w:top w:val="single" w:color="auto" w:sz="4" w:space="0"/>
              <w:left w:val="single" w:color="auto" w:sz="4" w:space="0"/>
              <w:bottom w:val="single" w:color="auto" w:sz="4" w:space="0"/>
              <w:right w:val="single" w:color="auto" w:sz="4" w:space="0"/>
            </w:tcBorders>
            <w:shd w:val="clear" w:color="auto" w:fill="auto"/>
            <w:vAlign w:val="top"/>
          </w:tcPr>
          <w:p w14:paraId="7D480CAE">
            <w:pPr>
              <w:pStyle w:val="73"/>
              <w:keepNext w:val="0"/>
              <w:keepLines w:val="0"/>
              <w:pageBreakBefore w:val="0"/>
              <w:widowControl w:val="0"/>
              <w:kinsoku/>
              <w:wordWrap/>
              <w:overflowPunct/>
              <w:topLinePunct w:val="0"/>
              <w:autoSpaceDE/>
              <w:autoSpaceDN/>
              <w:bidi w:val="0"/>
              <w:adjustRightInd/>
              <w:snapToGrid w:val="0"/>
              <w:spacing w:line="500" w:lineRule="exact"/>
              <w:ind w:right="176"/>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1"/>
                <w:sz w:val="24"/>
                <w:szCs w:val="24"/>
                <w:highlight w:val="none"/>
                <w:lang w:val="en-US" w:eastAsia="zh-CN"/>
              </w:rPr>
              <w:t>承诺的</w:t>
            </w:r>
            <w:r>
              <w:rPr>
                <w:rFonts w:hint="eastAsia" w:ascii="宋体" w:hAnsi="宋体" w:eastAsia="宋体" w:cs="宋体"/>
                <w:color w:val="auto"/>
                <w:spacing w:val="-1"/>
                <w:sz w:val="24"/>
                <w:szCs w:val="24"/>
                <w:highlight w:val="none"/>
              </w:rPr>
              <w:t>质保期比招标文件规定免费质保期每延长1年得2分，最高得4分（</w:t>
            </w:r>
            <w:r>
              <w:rPr>
                <w:rFonts w:hint="eastAsia" w:ascii="宋体" w:hAnsi="宋体" w:eastAsia="宋体" w:cs="宋体"/>
                <w:color w:val="auto"/>
                <w:spacing w:val="-1"/>
                <w:sz w:val="24"/>
                <w:szCs w:val="24"/>
                <w:highlight w:val="none"/>
                <w:lang w:val="en-US" w:eastAsia="zh-CN"/>
              </w:rPr>
              <w:t>项目质保期</w:t>
            </w:r>
            <w:r>
              <w:rPr>
                <w:rFonts w:hint="eastAsia" w:ascii="宋体" w:hAnsi="宋体" w:eastAsia="宋体" w:cs="宋体"/>
                <w:color w:val="auto"/>
                <w:spacing w:val="-1"/>
                <w:sz w:val="24"/>
                <w:szCs w:val="24"/>
                <w:highlight w:val="none"/>
              </w:rPr>
              <w:t>），延长不足一年的部分不得分。</w:t>
            </w:r>
          </w:p>
          <w:p w14:paraId="3BF3A3AA">
            <w:pPr>
              <w:pStyle w:val="73"/>
              <w:keepNext w:val="0"/>
              <w:keepLines w:val="0"/>
              <w:pageBreakBefore w:val="0"/>
              <w:widowControl w:val="0"/>
              <w:kinsoku/>
              <w:wordWrap/>
              <w:overflowPunct/>
              <w:topLinePunct w:val="0"/>
              <w:autoSpaceDE/>
              <w:autoSpaceDN/>
              <w:bidi w:val="0"/>
              <w:adjustRightInd/>
              <w:snapToGrid w:val="0"/>
              <w:spacing w:line="500" w:lineRule="exact"/>
              <w:ind w:right="176"/>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b/>
                <w:bCs/>
                <w:color w:val="auto"/>
                <w:spacing w:val="-1"/>
                <w:sz w:val="24"/>
                <w:szCs w:val="24"/>
                <w:highlight w:val="none"/>
              </w:rPr>
              <w:t>注：以投标人承诺的免费质保期为准。提供承诺函扫描件。</w:t>
            </w:r>
          </w:p>
        </w:tc>
        <w:tc>
          <w:tcPr>
            <w:tcW w:w="1207" w:type="dxa"/>
            <w:tcBorders>
              <w:top w:val="single" w:color="auto" w:sz="4" w:space="0"/>
              <w:left w:val="single" w:color="auto" w:sz="4" w:space="0"/>
              <w:bottom w:val="single" w:color="auto" w:sz="4" w:space="0"/>
              <w:right w:val="single" w:color="auto" w:sz="4" w:space="0"/>
            </w:tcBorders>
            <w:shd w:val="clear" w:color="auto" w:fill="auto"/>
            <w:vAlign w:val="center"/>
          </w:tcPr>
          <w:p w14:paraId="52CA2B62">
            <w:pPr>
              <w:pStyle w:val="73"/>
              <w:keepNext w:val="0"/>
              <w:keepLines w:val="0"/>
              <w:pageBreakBefore w:val="0"/>
              <w:widowControl w:val="0"/>
              <w:kinsoku/>
              <w:wordWrap/>
              <w:overflowPunct/>
              <w:topLinePunct w:val="0"/>
              <w:autoSpaceDE/>
              <w:autoSpaceDN/>
              <w:bidi w:val="0"/>
              <w:adjustRightInd/>
              <w:snapToGrid w:val="0"/>
              <w:spacing w:line="500" w:lineRule="exact"/>
              <w:ind w:left="138" w:leftChars="0"/>
              <w:jc w:val="center"/>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b/>
                <w:bCs/>
                <w:color w:val="auto"/>
                <w:spacing w:val="-5"/>
                <w:sz w:val="24"/>
                <w:szCs w:val="24"/>
                <w:highlight w:val="none"/>
                <w:lang w:val="en-US" w:eastAsia="zh-CN"/>
              </w:rPr>
              <w:t>0</w:t>
            </w:r>
            <w:r>
              <w:rPr>
                <w:rFonts w:hint="eastAsia" w:ascii="宋体" w:hAnsi="宋体" w:eastAsia="宋体" w:cs="宋体"/>
                <w:b/>
                <w:bCs/>
                <w:color w:val="auto"/>
                <w:spacing w:val="-5"/>
                <w:sz w:val="24"/>
                <w:szCs w:val="24"/>
                <w:highlight w:val="none"/>
              </w:rPr>
              <w:t>-4</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pacing w:val="-5"/>
                <w:sz w:val="24"/>
                <w:szCs w:val="24"/>
                <w:highlight w:val="none"/>
              </w:rPr>
              <w:t>分</w:t>
            </w:r>
          </w:p>
        </w:tc>
      </w:tr>
      <w:tr w14:paraId="340A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tcBorders>
              <w:left w:val="single" w:color="auto" w:sz="4" w:space="0"/>
              <w:right w:val="single" w:color="auto" w:sz="4" w:space="0"/>
            </w:tcBorders>
            <w:vAlign w:val="center"/>
          </w:tcPr>
          <w:p w14:paraId="66313AA8">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09A4278F">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40</w:t>
            </w:r>
            <w:r>
              <w:rPr>
                <w:rFonts w:hint="eastAsia" w:ascii="宋体" w:hAnsi="宋体" w:eastAsia="宋体" w:cs="宋体"/>
                <w:color w:val="auto"/>
                <w:sz w:val="24"/>
                <w:szCs w:val="24"/>
                <w:highlight w:val="none"/>
              </w:rPr>
              <w:t>分）</w:t>
            </w:r>
          </w:p>
        </w:tc>
        <w:tc>
          <w:tcPr>
            <w:tcW w:w="7747" w:type="dxa"/>
            <w:gridSpan w:val="3"/>
            <w:tcBorders>
              <w:top w:val="single" w:color="auto" w:sz="4" w:space="0"/>
              <w:left w:val="single" w:color="auto" w:sz="4" w:space="0"/>
              <w:bottom w:val="single" w:color="auto" w:sz="4" w:space="0"/>
              <w:right w:val="single" w:color="auto" w:sz="4" w:space="0"/>
            </w:tcBorders>
            <w:vAlign w:val="center"/>
          </w:tcPr>
          <w:p w14:paraId="798E5B55">
            <w:pPr>
              <w:keepNext w:val="0"/>
              <w:keepLines w:val="0"/>
              <w:pageBreakBefore w:val="0"/>
              <w:widowControl w:val="0"/>
              <w:kinsoku/>
              <w:wordWrap/>
              <w:overflowPunct/>
              <w:topLinePunct w:val="0"/>
              <w:autoSpaceDE/>
              <w:autoSpaceDN/>
              <w:bidi w:val="0"/>
              <w:adjustRightIn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szCs w:val="24"/>
                <w:highlight w:val="none"/>
                <w:u w:val="single"/>
                <w:lang w:val="en-US" w:eastAsia="zh-CN"/>
              </w:rPr>
              <w:t>40</w:t>
            </w:r>
            <w:r>
              <w:rPr>
                <w:rFonts w:hint="eastAsia" w:ascii="宋体" w:hAnsi="宋体" w:eastAsia="宋体" w:cs="宋体"/>
                <w:color w:val="auto"/>
                <w:sz w:val="24"/>
                <w:szCs w:val="24"/>
                <w:highlight w:val="none"/>
              </w:rPr>
              <w:t>分。其他投标人的价格分统一按照下列公式计算：</w:t>
            </w:r>
          </w:p>
          <w:p w14:paraId="6552C988">
            <w:pPr>
              <w:keepNext w:val="0"/>
              <w:keepLines w:val="0"/>
              <w:pageBreakBefore w:val="0"/>
              <w:widowControl w:val="0"/>
              <w:kinsoku/>
              <w:wordWrap/>
              <w:overflowPunct/>
              <w:topLinePunct w:val="0"/>
              <w:autoSpaceDE/>
              <w:autoSpaceDN/>
              <w:bidi w:val="0"/>
              <w:adjustRightInd/>
              <w:spacing w:line="5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投标报价得分＝（评标基准价/投标报价）×</w:t>
            </w:r>
            <w:r>
              <w:rPr>
                <w:rFonts w:hint="eastAsia" w:ascii="宋体" w:hAnsi="宋体" w:eastAsia="宋体" w:cs="宋体"/>
                <w:color w:val="auto"/>
                <w:sz w:val="24"/>
                <w:szCs w:val="24"/>
                <w:highlight w:val="none"/>
                <w:u w:val="single"/>
                <w:lang w:val="en-US" w:eastAsia="zh-CN"/>
              </w:rPr>
              <w:t>40</w:t>
            </w:r>
            <w:r>
              <w:rPr>
                <w:rFonts w:hint="eastAsia" w:ascii="宋体" w:hAnsi="宋体" w:eastAsia="宋体" w:cs="宋体"/>
                <w:color w:val="auto"/>
                <w:sz w:val="24"/>
                <w:szCs w:val="24"/>
                <w:highlight w:val="none"/>
              </w:rPr>
              <w:t>％×100</w:t>
            </w:r>
          </w:p>
        </w:tc>
      </w:tr>
    </w:tbl>
    <w:p w14:paraId="0BD619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FAE63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501914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6D3444FE">
      <w:pPr>
        <w:spacing w:line="360" w:lineRule="auto"/>
        <w:ind w:firstLine="435"/>
        <w:rPr>
          <w:rFonts w:ascii="宋体" w:hAnsi="宋体" w:eastAsia="宋体" w:cs="宋体"/>
          <w:b/>
          <w:color w:val="auto"/>
          <w:sz w:val="24"/>
          <w:highlight w:val="none"/>
        </w:rPr>
      </w:pPr>
      <w:r>
        <w:rPr>
          <w:rFonts w:hint="eastAsia" w:ascii="宋体" w:hAnsi="宋体" w:eastAsia="宋体" w:cs="宋体"/>
          <w:b/>
          <w:color w:val="auto"/>
          <w:sz w:val="24"/>
          <w:highlight w:val="none"/>
        </w:rPr>
        <w:t>三、无效投标条款</w:t>
      </w:r>
    </w:p>
    <w:p w14:paraId="0947C3F4">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3.1投标文件有下列情形之一的,其投标文件拒收:</w:t>
      </w:r>
    </w:p>
    <w:p w14:paraId="21352EE6">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 未在开标截止时间前通过网上招标投标系统递交有效电子投标文件的，开标系统不予接收，投标将被拒绝。</w:t>
      </w:r>
    </w:p>
    <w:p w14:paraId="1054FD6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278B3091">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3.2投标人有下列情形之一的,资格审查后其投标作无效投标处理：</w:t>
      </w:r>
    </w:p>
    <w:p w14:paraId="21D2E8B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(1)投标人为本项目提供招标代理服务的；</w:t>
      </w:r>
    </w:p>
    <w:p w14:paraId="33369D9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(2)投标人与在本项目代理机构存在相互任职或工作的；</w:t>
      </w:r>
    </w:p>
    <w:p w14:paraId="51491714">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kern w:val="0"/>
          <w:sz w:val="24"/>
          <w:szCs w:val="24"/>
          <w:highlight w:val="none"/>
          <w:lang w:bidi="ar"/>
        </w:rPr>
        <w:t>与采购人存在利害关系可能影响采购公正性的法人、其他组织或者个人；</w:t>
      </w:r>
    </w:p>
    <w:p w14:paraId="7C0736F3">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(4)招标公告写明专门面向中小企业采购，投标人提供的货物非中小企业制造的；</w:t>
      </w:r>
    </w:p>
    <w:p w14:paraId="3BD3FC91">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(5)要求供应商以联合体形式参加采购活动，投标人非联合体或者联合协议中中小企业合同金额未达到应当达到的比例；</w:t>
      </w:r>
    </w:p>
    <w:p w14:paraId="4E8D1CE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(6)要求获得采购合同的供应商向中小企业分包，投标人未提供分包意向协议或者分包意向协议中中小企业合同金额未达到应当达到的比例；</w:t>
      </w:r>
    </w:p>
    <w:p w14:paraId="169B3FD6">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(7)评标专家无法查看并检验电子投标文件中相关资料的；</w:t>
      </w:r>
    </w:p>
    <w:p w14:paraId="5CECADC3">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(8)联合体投标未提交联合体协议的；</w:t>
      </w:r>
    </w:p>
    <w:p w14:paraId="7ED2F471">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(9)责令停产停业的；</w:t>
      </w:r>
    </w:p>
    <w:p w14:paraId="7DF894C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(10)暂停或者取消参与政府采购项目资格的；</w:t>
      </w:r>
    </w:p>
    <w:p w14:paraId="446F73C6">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(11)投标人单位负责人为同一人或者存在直接控股、管理关系的不同单位的；</w:t>
      </w:r>
    </w:p>
    <w:p w14:paraId="02B94DA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(12)投标人基本资格条件和特定资格条件中有一项及以上不符合要求的；</w:t>
      </w:r>
    </w:p>
    <w:p w14:paraId="19E571B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(13)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12473B3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(14)其它情形，经评标委员会委提出按无效投标处理，并经公共资源交易监督部门核准的；</w:t>
      </w:r>
    </w:p>
    <w:p w14:paraId="51B87CE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(15)投标人投标MAC地址一致，由评标委员会否决其投标；</w:t>
      </w:r>
    </w:p>
    <w:p w14:paraId="2D9BCF4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(16)投标人单方面出现其他投标人材料的；</w:t>
      </w:r>
    </w:p>
    <w:p w14:paraId="4D6AD2B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(17)投标人联系人或联系电话相同的，由评标委员会否决其投标，并报告监管部门作不良行为处理和进一步调查；</w:t>
      </w:r>
    </w:p>
    <w:p w14:paraId="1621C797">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(18)招标公告未写明允许采购进口产品，投标人所投产品为进口产品的；</w:t>
      </w:r>
    </w:p>
    <w:p w14:paraId="28F2A5ED">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(19)招标文件规定的其它无效投标情形。</w:t>
      </w:r>
    </w:p>
    <w:p w14:paraId="7FD4462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3.3 投标人有下列情形之一的,符合性审查后其投标按无效投标处理：</w:t>
      </w:r>
    </w:p>
    <w:p w14:paraId="0D94CDF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(1)投标文件签字、盖章不全，经评标委员会一致认定对开评标内容有实质性影响并经公共资源交易监督部门核准的；</w:t>
      </w:r>
    </w:p>
    <w:p w14:paraId="20AF522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(2)未按规定的格式填写导致实质性内容不全以及实质上不响应，或者关键字迹模糊、无法辨认； 经公共资源交易监督部门核准的；</w:t>
      </w:r>
    </w:p>
    <w:p w14:paraId="00F07E7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(3)同一投标人提交两个以上不同的投标文件或者投标报价，但招标文件规定提交备选方案的除外；</w:t>
      </w:r>
    </w:p>
    <w:p w14:paraId="252F4C5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(4)投标文件没有对招标文件的实质性要求和条件作出响应;</w:t>
      </w:r>
    </w:p>
    <w:p w14:paraId="2291055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(5)投标报价超出规定的投标限价或公布的采购预算的或投标人的投标报价各项单价高于招标文件给定的单价最高限价；</w:t>
      </w:r>
    </w:p>
    <w:p w14:paraId="3086CE7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(6)不按评标委员会要求澄清、说明或补正的，或者评标委员会根据招标文件的规定对投标文件的计算错误进行修正后，投标人不接受修正的投标报价的。</w:t>
      </w:r>
    </w:p>
    <w:p w14:paraId="3EAC2E25">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(7)其它情形，经评标委员会委提出按无效投标处理，并经公共资源交易监督部门核准的；</w:t>
      </w:r>
    </w:p>
    <w:p w14:paraId="6E73216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(8)投标文件含有采购人不能接受的附加条件的；</w:t>
      </w:r>
    </w:p>
    <w:p w14:paraId="51D4B053">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(9)招标文件规定的其它无效投标情形。</w:t>
      </w:r>
    </w:p>
    <w:p w14:paraId="677D4694">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3.4 投标人有下列情形之一的, 详细评审后其投标按无效投标处理：</w:t>
      </w:r>
    </w:p>
    <w:p w14:paraId="4C09813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(1)投标产品不符合必须强制执行的国家标准的；</w:t>
      </w:r>
    </w:p>
    <w:p w14:paraId="23AF18F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(2)投标人有串通投标、弄虚作假、行贿等违法行为；</w:t>
      </w:r>
    </w:p>
    <w:p w14:paraId="0F5C6FA1">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(3)投标文件含有违反国家法律、法规的内容，或附有采购人不能接受的条件的；</w:t>
      </w:r>
    </w:p>
    <w:p w14:paraId="68332F0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(4)拒不确认评标委员会评审修正的投标无效；</w:t>
      </w:r>
    </w:p>
    <w:p w14:paraId="0EA1157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(5)其它情形，经评标委员会委提出按无效投标处理，并经公共资源交易监督部门核准的；</w:t>
      </w:r>
    </w:p>
    <w:p w14:paraId="54C02C00">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(6)招标文件规定的其它无效投标情形。</w:t>
      </w:r>
      <w:r>
        <w:rPr>
          <w:rFonts w:asciiTheme="minorEastAsia" w:hAnsiTheme="minorEastAsia" w:eastAsiaTheme="minorEastAsia"/>
          <w:color w:val="auto"/>
          <w:sz w:val="24"/>
          <w:highlight w:val="none"/>
        </w:rPr>
        <w:br w:type="page"/>
      </w:r>
    </w:p>
    <w:p w14:paraId="6B64CC52">
      <w:pPr>
        <w:spacing w:line="360" w:lineRule="auto"/>
        <w:jc w:val="center"/>
        <w:outlineLvl w:val="0"/>
        <w:rPr>
          <w:rFonts w:asciiTheme="minorEastAsia" w:hAnsiTheme="minorEastAsia" w:eastAsiaTheme="minorEastAsia"/>
          <w:b/>
          <w:color w:val="auto"/>
          <w:sz w:val="28"/>
          <w:highlight w:val="none"/>
        </w:rPr>
      </w:pPr>
      <w:bookmarkStart w:id="45"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5"/>
    </w:p>
    <w:p w14:paraId="14FF5B34">
      <w:pPr>
        <w:pStyle w:val="10"/>
        <w:spacing w:after="0" w:line="360" w:lineRule="auto"/>
        <w:rPr>
          <w:rFonts w:ascii="宋体" w:hAnsi="宋体" w:eastAsia="宋体" w:cs="宋体"/>
          <w:b/>
          <w:bCs/>
          <w:color w:val="auto"/>
          <w:spacing w:val="-20"/>
          <w:kern w:val="44"/>
          <w:sz w:val="24"/>
          <w:highlight w:val="none"/>
        </w:rPr>
      </w:pPr>
    </w:p>
    <w:p w14:paraId="235AA5A5">
      <w:pPr>
        <w:pStyle w:val="10"/>
        <w:spacing w:after="0" w:line="360" w:lineRule="auto"/>
        <w:jc w:val="center"/>
        <w:rPr>
          <w:rFonts w:ascii="宋体" w:hAnsi="宋体" w:eastAsia="宋体" w:cs="宋体"/>
          <w:b/>
          <w:bCs/>
          <w:color w:val="auto"/>
          <w:spacing w:val="-20"/>
          <w:kern w:val="44"/>
          <w:sz w:val="24"/>
          <w:highlight w:val="none"/>
        </w:rPr>
      </w:pPr>
    </w:p>
    <w:p w14:paraId="679176EB">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第一部分 合同书</w:t>
      </w:r>
    </w:p>
    <w:p w14:paraId="528BF641">
      <w:pPr>
        <w:spacing w:line="480" w:lineRule="auto"/>
        <w:jc w:val="center"/>
        <w:rPr>
          <w:rFonts w:ascii="宋体" w:hAnsi="宋体" w:eastAsia="宋体" w:cs="Times New Roman"/>
          <w:b/>
          <w:color w:val="auto"/>
          <w:sz w:val="24"/>
          <w:szCs w:val="24"/>
          <w:highlight w:val="none"/>
        </w:rPr>
      </w:pPr>
    </w:p>
    <w:p w14:paraId="5E72F022">
      <w:pPr>
        <w:spacing w:line="480" w:lineRule="auto"/>
        <w:jc w:val="center"/>
        <w:rPr>
          <w:rFonts w:ascii="宋体" w:hAnsi="宋体" w:eastAsia="宋体" w:cs="Times New Roman"/>
          <w:b/>
          <w:color w:val="auto"/>
          <w:sz w:val="24"/>
          <w:szCs w:val="24"/>
          <w:highlight w:val="none"/>
        </w:rPr>
      </w:pPr>
    </w:p>
    <w:p w14:paraId="7A731DFE">
      <w:pPr>
        <w:spacing w:line="480" w:lineRule="auto"/>
        <w:jc w:val="center"/>
        <w:rPr>
          <w:rFonts w:ascii="宋体" w:hAnsi="宋体" w:eastAsia="宋体" w:cs="Times New Roman"/>
          <w:b/>
          <w:color w:val="auto"/>
          <w:sz w:val="24"/>
          <w:szCs w:val="24"/>
          <w:highlight w:val="none"/>
        </w:rPr>
      </w:pPr>
    </w:p>
    <w:p w14:paraId="2D528AB7">
      <w:pPr>
        <w:spacing w:before="120" w:line="480" w:lineRule="auto"/>
        <w:ind w:left="960"/>
        <w:rPr>
          <w:rFonts w:hint="default"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rPr>
        <w:t>滁州市琅琊区应急通讯视频终端采购项目</w:t>
      </w:r>
      <w:r>
        <w:rPr>
          <w:rFonts w:hint="eastAsia" w:ascii="宋体" w:hAnsi="宋体" w:eastAsia="宋体" w:cs="Times New Roman"/>
          <w:color w:val="auto"/>
          <w:sz w:val="24"/>
          <w:szCs w:val="24"/>
          <w:highlight w:val="none"/>
          <w:u w:val="single"/>
          <w:lang w:eastAsia="zh-CN"/>
        </w:rPr>
        <w:t>（</w:t>
      </w:r>
      <w:r>
        <w:rPr>
          <w:rFonts w:hint="eastAsia" w:ascii="宋体" w:hAnsi="宋体" w:eastAsia="宋体" w:cs="Times New Roman"/>
          <w:color w:val="auto"/>
          <w:sz w:val="24"/>
          <w:szCs w:val="24"/>
          <w:highlight w:val="none"/>
          <w:u w:val="single"/>
          <w:lang w:val="en-US" w:eastAsia="zh-CN"/>
        </w:rPr>
        <w:t>二次）</w:t>
      </w:r>
    </w:p>
    <w:p w14:paraId="57DC50CC">
      <w:pPr>
        <w:spacing w:before="120" w:line="480" w:lineRule="auto"/>
        <w:ind w:left="960"/>
        <w:rPr>
          <w:rFonts w:hint="eastAsia"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6EDA62F1">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Times New Roman"/>
          <w:color w:val="auto"/>
          <w:sz w:val="24"/>
          <w:szCs w:val="24"/>
          <w:highlight w:val="none"/>
          <w:u w:val="single"/>
        </w:rPr>
        <w:t xml:space="preserve">                              </w:t>
      </w:r>
    </w:p>
    <w:p w14:paraId="4B12A6D2">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25969617">
      <w:pPr>
        <w:spacing w:before="120" w:line="480" w:lineRule="auto"/>
        <w:ind w:firstLine="960" w:firstLineChars="4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p>
    <w:p w14:paraId="1D08B4FE">
      <w:pPr>
        <w:spacing w:before="120" w:line="480" w:lineRule="auto"/>
        <w:ind w:firstLine="960" w:firstLineChars="4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bookmarkStart w:id="296" w:name="_GoBack"/>
      <w:bookmarkEnd w:id="296"/>
    </w:p>
    <w:p w14:paraId="7214366F">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0C792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u w:val="single"/>
          <w:lang w:eastAsia="zh-CN"/>
        </w:rPr>
        <w:t>滁州市琅琊区应急管理局</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以下简称：甲方</w:t>
      </w:r>
      <w:r>
        <w:rPr>
          <w:rFonts w:hint="eastAsia" w:ascii="宋体" w:hAnsi="宋体" w:eastAsia="宋体"/>
          <w:color w:val="auto"/>
          <w:sz w:val="24"/>
          <w:highlight w:val="none"/>
        </w:rPr>
        <w:t>）通过</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组织的</w:t>
      </w:r>
      <w:r>
        <w:rPr>
          <w:rFonts w:hint="eastAsia" w:ascii="宋体" w:hAnsi="宋体" w:eastAsia="宋体"/>
          <w:color w:val="auto"/>
          <w:sz w:val="24"/>
          <w:highlight w:val="none"/>
          <w:u w:val="single"/>
        </w:rPr>
        <w:t>公开招标</w:t>
      </w:r>
      <w:r>
        <w:rPr>
          <w:rFonts w:hint="eastAsia" w:ascii="宋体" w:hAnsi="宋体" w:eastAsia="宋体"/>
          <w:color w:val="auto"/>
          <w:sz w:val="24"/>
          <w:highlight w:val="none"/>
        </w:rPr>
        <w:t>方式采购活动，经</w:t>
      </w:r>
      <w:r>
        <w:rPr>
          <w:rFonts w:hint="eastAsia" w:ascii="宋体" w:hAnsi="宋体" w:eastAsia="宋体"/>
          <w:color w:val="auto"/>
          <w:sz w:val="24"/>
          <w:highlight w:val="none"/>
          <w:u w:val="single"/>
        </w:rPr>
        <w:t>评标委员会</w:t>
      </w:r>
      <w:r>
        <w:rPr>
          <w:rFonts w:hint="eastAsia" w:ascii="宋体" w:hAnsi="宋体" w:eastAsia="宋体"/>
          <w:color w:val="auto"/>
          <w:sz w:val="24"/>
          <w:highlight w:val="none"/>
        </w:rPr>
        <w:t>评定，</w:t>
      </w:r>
      <w:r>
        <w:rPr>
          <w:rFonts w:hint="eastAsia" w:ascii="宋体" w:hAnsi="宋体" w:eastAsia="宋体" w:cs="Times New Roman"/>
          <w:i/>
          <w:iCs/>
          <w:color w:val="auto"/>
          <w:sz w:val="24"/>
          <w:szCs w:val="24"/>
          <w:highlight w:val="none"/>
          <w:u w:val="single"/>
        </w:rPr>
        <w:t>（中标人名称）</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以下简称：乙方</w:t>
      </w:r>
      <w:r>
        <w:rPr>
          <w:rFonts w:hint="eastAsia" w:ascii="宋体" w:hAnsi="宋体" w:eastAsia="宋体"/>
          <w:color w:val="auto"/>
          <w:sz w:val="24"/>
          <w:highlight w:val="none"/>
        </w:rPr>
        <w:t>）为本项目中标人，现</w:t>
      </w:r>
      <w:r>
        <w:rPr>
          <w:rFonts w:hint="eastAsia" w:ascii="宋体" w:hAnsi="宋体" w:eastAsia="宋体" w:cs="Times New Roman"/>
          <w:color w:val="auto"/>
          <w:sz w:val="24"/>
          <w:szCs w:val="24"/>
          <w:highlight w:val="none"/>
        </w:rPr>
        <w:t>按照采购文件确定的事项签订本合同。</w:t>
      </w:r>
    </w:p>
    <w:p w14:paraId="1F299559">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95329D6">
      <w:pPr>
        <w:spacing w:line="360" w:lineRule="auto"/>
        <w:ind w:firstLine="437"/>
        <w:outlineLvl w:val="2"/>
        <w:rPr>
          <w:rFonts w:ascii="宋体" w:hAnsi="宋体" w:eastAsia="宋体" w:cs="Times New Roman"/>
          <w:b/>
          <w:bCs/>
          <w:color w:val="auto"/>
          <w:sz w:val="24"/>
          <w:szCs w:val="24"/>
          <w:highlight w:val="none"/>
          <w:lang w:val="zh-CN"/>
        </w:rPr>
      </w:pPr>
      <w:bookmarkStart w:id="46" w:name="_Toc24059"/>
      <w:bookmarkStart w:id="47" w:name="_Toc3029"/>
      <w:bookmarkStart w:id="48" w:name="_Toc2232"/>
      <w:r>
        <w:rPr>
          <w:rFonts w:hint="eastAsia" w:ascii="宋体" w:hAnsi="宋体" w:eastAsia="宋体" w:cs="Times New Roman"/>
          <w:b/>
          <w:bCs/>
          <w:color w:val="auto"/>
          <w:sz w:val="24"/>
          <w:szCs w:val="24"/>
          <w:highlight w:val="none"/>
          <w:lang w:val="zh-CN"/>
        </w:rPr>
        <w:t>1.1</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合同组成部分</w:t>
      </w:r>
      <w:bookmarkEnd w:id="46"/>
      <w:bookmarkEnd w:id="47"/>
      <w:bookmarkEnd w:id="48"/>
    </w:p>
    <w:p w14:paraId="2678BA8E">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00999BD4">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1.1.1本合同及其补充合同、变更协议；</w:t>
      </w:r>
    </w:p>
    <w:p w14:paraId="1FFBB702">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1.1.2中标通知书；</w:t>
      </w:r>
    </w:p>
    <w:p w14:paraId="16A89AE7">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1.1.3投标文件（含澄清或者说明文件）；</w:t>
      </w:r>
    </w:p>
    <w:p w14:paraId="5D4B405C">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1.1.4招标文件（含澄清或者修改文件）；</w:t>
      </w:r>
    </w:p>
    <w:p w14:paraId="2AF0E09A">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1.1.5其他相关采购文件。</w:t>
      </w:r>
    </w:p>
    <w:p w14:paraId="75E54790">
      <w:pPr>
        <w:spacing w:line="360" w:lineRule="auto"/>
        <w:ind w:firstLine="437"/>
        <w:outlineLvl w:val="2"/>
        <w:rPr>
          <w:rFonts w:ascii="宋体" w:hAnsi="宋体" w:eastAsia="宋体" w:cs="Times New Roman"/>
          <w:b/>
          <w:bCs/>
          <w:color w:val="auto"/>
          <w:sz w:val="24"/>
          <w:szCs w:val="24"/>
          <w:highlight w:val="none"/>
          <w:lang w:val="zh-CN"/>
        </w:rPr>
      </w:pPr>
      <w:bookmarkStart w:id="49" w:name="_Toc24300"/>
      <w:bookmarkStart w:id="50" w:name="_Toc21295"/>
      <w:bookmarkStart w:id="51" w:name="_Toc27126"/>
      <w:r>
        <w:rPr>
          <w:rFonts w:hint="eastAsia" w:ascii="宋体" w:hAnsi="宋体" w:eastAsia="宋体" w:cs="Times New Roman"/>
          <w:b/>
          <w:bCs/>
          <w:color w:val="auto"/>
          <w:sz w:val="24"/>
          <w:szCs w:val="24"/>
          <w:highlight w:val="none"/>
          <w:lang w:val="zh-CN"/>
        </w:rPr>
        <w:t>1.2</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货物</w:t>
      </w:r>
      <w:bookmarkEnd w:id="49"/>
      <w:bookmarkEnd w:id="50"/>
      <w:bookmarkEnd w:id="51"/>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15"/>
        <w:gridCol w:w="1515"/>
        <w:gridCol w:w="1512"/>
        <w:gridCol w:w="1512"/>
        <w:gridCol w:w="1508"/>
      </w:tblGrid>
      <w:tr w14:paraId="5732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77F7546C">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序号</w:t>
            </w:r>
          </w:p>
        </w:tc>
        <w:tc>
          <w:tcPr>
            <w:tcW w:w="1515" w:type="dxa"/>
            <w:vAlign w:val="center"/>
          </w:tcPr>
          <w:p w14:paraId="666EAFD7">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货物名称</w:t>
            </w:r>
          </w:p>
        </w:tc>
        <w:tc>
          <w:tcPr>
            <w:tcW w:w="1515" w:type="dxa"/>
            <w:vAlign w:val="center"/>
          </w:tcPr>
          <w:p w14:paraId="3F5CA7A4">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规格型号</w:t>
            </w:r>
          </w:p>
        </w:tc>
        <w:tc>
          <w:tcPr>
            <w:tcW w:w="1512" w:type="dxa"/>
            <w:vAlign w:val="center"/>
          </w:tcPr>
          <w:p w14:paraId="609824EE">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单位</w:t>
            </w:r>
          </w:p>
        </w:tc>
        <w:tc>
          <w:tcPr>
            <w:tcW w:w="1512" w:type="dxa"/>
            <w:vAlign w:val="center"/>
          </w:tcPr>
          <w:p w14:paraId="47CD9CF2">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数量</w:t>
            </w:r>
          </w:p>
        </w:tc>
        <w:tc>
          <w:tcPr>
            <w:tcW w:w="1508" w:type="dxa"/>
            <w:vAlign w:val="center"/>
          </w:tcPr>
          <w:p w14:paraId="360ACBA1">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生产厂商</w:t>
            </w:r>
          </w:p>
        </w:tc>
      </w:tr>
      <w:tr w14:paraId="5780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4C1FC9AD">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w:t>
            </w:r>
          </w:p>
        </w:tc>
        <w:tc>
          <w:tcPr>
            <w:tcW w:w="1515" w:type="dxa"/>
            <w:vAlign w:val="center"/>
          </w:tcPr>
          <w:p w14:paraId="7A88C970">
            <w:pPr>
              <w:jc w:val="center"/>
              <w:rPr>
                <w:rFonts w:ascii="宋体" w:hAnsi="宋体" w:eastAsia="宋体" w:cs="Times New Roman"/>
                <w:color w:val="auto"/>
                <w:sz w:val="24"/>
                <w:szCs w:val="24"/>
                <w:highlight w:val="none"/>
                <w:lang w:val="zh-CN"/>
              </w:rPr>
            </w:pPr>
          </w:p>
        </w:tc>
        <w:tc>
          <w:tcPr>
            <w:tcW w:w="1515" w:type="dxa"/>
            <w:vAlign w:val="center"/>
          </w:tcPr>
          <w:p w14:paraId="6CA4B47D">
            <w:pPr>
              <w:jc w:val="center"/>
              <w:rPr>
                <w:rFonts w:ascii="宋体" w:hAnsi="宋体" w:eastAsia="宋体" w:cs="Times New Roman"/>
                <w:color w:val="auto"/>
                <w:sz w:val="24"/>
                <w:szCs w:val="24"/>
                <w:highlight w:val="none"/>
                <w:lang w:val="zh-CN"/>
              </w:rPr>
            </w:pPr>
          </w:p>
        </w:tc>
        <w:tc>
          <w:tcPr>
            <w:tcW w:w="1512" w:type="dxa"/>
            <w:vAlign w:val="center"/>
          </w:tcPr>
          <w:p w14:paraId="05AD0158">
            <w:pPr>
              <w:jc w:val="center"/>
              <w:rPr>
                <w:rFonts w:ascii="宋体" w:hAnsi="宋体" w:eastAsia="宋体" w:cs="Times New Roman"/>
                <w:color w:val="auto"/>
                <w:sz w:val="24"/>
                <w:szCs w:val="24"/>
                <w:highlight w:val="none"/>
                <w:lang w:val="zh-CN"/>
              </w:rPr>
            </w:pPr>
          </w:p>
        </w:tc>
        <w:tc>
          <w:tcPr>
            <w:tcW w:w="1512" w:type="dxa"/>
            <w:vAlign w:val="center"/>
          </w:tcPr>
          <w:p w14:paraId="59195007">
            <w:pPr>
              <w:jc w:val="center"/>
              <w:rPr>
                <w:rFonts w:ascii="宋体" w:hAnsi="宋体" w:eastAsia="宋体" w:cs="Times New Roman"/>
                <w:color w:val="auto"/>
                <w:sz w:val="24"/>
                <w:szCs w:val="24"/>
                <w:highlight w:val="none"/>
                <w:lang w:val="zh-CN"/>
              </w:rPr>
            </w:pPr>
          </w:p>
        </w:tc>
        <w:tc>
          <w:tcPr>
            <w:tcW w:w="1508" w:type="dxa"/>
            <w:vAlign w:val="center"/>
          </w:tcPr>
          <w:p w14:paraId="3B200C30">
            <w:pPr>
              <w:jc w:val="center"/>
              <w:rPr>
                <w:rFonts w:ascii="宋体" w:hAnsi="宋体" w:eastAsia="宋体" w:cs="Times New Roman"/>
                <w:color w:val="auto"/>
                <w:sz w:val="24"/>
                <w:szCs w:val="24"/>
                <w:highlight w:val="none"/>
                <w:lang w:val="zh-CN"/>
              </w:rPr>
            </w:pPr>
          </w:p>
        </w:tc>
      </w:tr>
      <w:tr w14:paraId="2FE0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71FBB800">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w:t>
            </w:r>
          </w:p>
        </w:tc>
        <w:tc>
          <w:tcPr>
            <w:tcW w:w="1515" w:type="dxa"/>
            <w:vAlign w:val="center"/>
          </w:tcPr>
          <w:p w14:paraId="60CEC684">
            <w:pPr>
              <w:jc w:val="center"/>
              <w:rPr>
                <w:rFonts w:ascii="宋体" w:hAnsi="宋体" w:eastAsia="宋体" w:cs="Times New Roman"/>
                <w:color w:val="auto"/>
                <w:sz w:val="24"/>
                <w:szCs w:val="24"/>
                <w:highlight w:val="none"/>
                <w:lang w:val="zh-CN"/>
              </w:rPr>
            </w:pPr>
          </w:p>
        </w:tc>
        <w:tc>
          <w:tcPr>
            <w:tcW w:w="1515" w:type="dxa"/>
            <w:vAlign w:val="center"/>
          </w:tcPr>
          <w:p w14:paraId="77A2B328">
            <w:pPr>
              <w:jc w:val="center"/>
              <w:rPr>
                <w:rFonts w:ascii="宋体" w:hAnsi="宋体" w:eastAsia="宋体" w:cs="Times New Roman"/>
                <w:color w:val="auto"/>
                <w:sz w:val="24"/>
                <w:szCs w:val="24"/>
                <w:highlight w:val="none"/>
                <w:lang w:val="zh-CN"/>
              </w:rPr>
            </w:pPr>
          </w:p>
        </w:tc>
        <w:tc>
          <w:tcPr>
            <w:tcW w:w="1512" w:type="dxa"/>
            <w:vAlign w:val="center"/>
          </w:tcPr>
          <w:p w14:paraId="37BFF361">
            <w:pPr>
              <w:jc w:val="center"/>
              <w:rPr>
                <w:rFonts w:ascii="宋体" w:hAnsi="宋体" w:eastAsia="宋体" w:cs="Times New Roman"/>
                <w:color w:val="auto"/>
                <w:sz w:val="24"/>
                <w:szCs w:val="24"/>
                <w:highlight w:val="none"/>
                <w:lang w:val="zh-CN"/>
              </w:rPr>
            </w:pPr>
          </w:p>
        </w:tc>
        <w:tc>
          <w:tcPr>
            <w:tcW w:w="1512" w:type="dxa"/>
            <w:vAlign w:val="center"/>
          </w:tcPr>
          <w:p w14:paraId="59E88ECD">
            <w:pPr>
              <w:jc w:val="center"/>
              <w:rPr>
                <w:rFonts w:ascii="宋体" w:hAnsi="宋体" w:eastAsia="宋体" w:cs="Times New Roman"/>
                <w:color w:val="auto"/>
                <w:sz w:val="24"/>
                <w:szCs w:val="24"/>
                <w:highlight w:val="none"/>
                <w:lang w:val="zh-CN"/>
              </w:rPr>
            </w:pPr>
          </w:p>
        </w:tc>
        <w:tc>
          <w:tcPr>
            <w:tcW w:w="1508" w:type="dxa"/>
            <w:vAlign w:val="center"/>
          </w:tcPr>
          <w:p w14:paraId="49BB4203">
            <w:pPr>
              <w:jc w:val="center"/>
              <w:rPr>
                <w:rFonts w:ascii="宋体" w:hAnsi="宋体" w:eastAsia="宋体" w:cs="Times New Roman"/>
                <w:color w:val="auto"/>
                <w:sz w:val="24"/>
                <w:szCs w:val="24"/>
                <w:highlight w:val="none"/>
                <w:lang w:val="zh-CN"/>
              </w:rPr>
            </w:pPr>
          </w:p>
        </w:tc>
      </w:tr>
      <w:tr w14:paraId="0F0A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4A92242F">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3</w:t>
            </w:r>
          </w:p>
        </w:tc>
        <w:tc>
          <w:tcPr>
            <w:tcW w:w="1515" w:type="dxa"/>
            <w:vAlign w:val="center"/>
          </w:tcPr>
          <w:p w14:paraId="6382FAB6">
            <w:pPr>
              <w:jc w:val="center"/>
              <w:rPr>
                <w:rFonts w:ascii="宋体" w:hAnsi="宋体" w:eastAsia="宋体" w:cs="Times New Roman"/>
                <w:color w:val="auto"/>
                <w:sz w:val="24"/>
                <w:szCs w:val="24"/>
                <w:highlight w:val="none"/>
                <w:lang w:val="zh-CN"/>
              </w:rPr>
            </w:pPr>
          </w:p>
        </w:tc>
        <w:tc>
          <w:tcPr>
            <w:tcW w:w="1515" w:type="dxa"/>
            <w:vAlign w:val="center"/>
          </w:tcPr>
          <w:p w14:paraId="32D8F794">
            <w:pPr>
              <w:jc w:val="center"/>
              <w:rPr>
                <w:rFonts w:ascii="宋体" w:hAnsi="宋体" w:eastAsia="宋体" w:cs="Times New Roman"/>
                <w:color w:val="auto"/>
                <w:sz w:val="24"/>
                <w:szCs w:val="24"/>
                <w:highlight w:val="none"/>
                <w:lang w:val="zh-CN"/>
              </w:rPr>
            </w:pPr>
          </w:p>
        </w:tc>
        <w:tc>
          <w:tcPr>
            <w:tcW w:w="1512" w:type="dxa"/>
            <w:vAlign w:val="center"/>
          </w:tcPr>
          <w:p w14:paraId="489EABFA">
            <w:pPr>
              <w:jc w:val="center"/>
              <w:rPr>
                <w:rFonts w:ascii="宋体" w:hAnsi="宋体" w:eastAsia="宋体" w:cs="Times New Roman"/>
                <w:color w:val="auto"/>
                <w:sz w:val="24"/>
                <w:szCs w:val="24"/>
                <w:highlight w:val="none"/>
                <w:lang w:val="zh-CN"/>
              </w:rPr>
            </w:pPr>
          </w:p>
        </w:tc>
        <w:tc>
          <w:tcPr>
            <w:tcW w:w="1512" w:type="dxa"/>
            <w:vAlign w:val="center"/>
          </w:tcPr>
          <w:p w14:paraId="0A386D0A">
            <w:pPr>
              <w:jc w:val="center"/>
              <w:rPr>
                <w:rFonts w:ascii="宋体" w:hAnsi="宋体" w:eastAsia="宋体" w:cs="Times New Roman"/>
                <w:color w:val="auto"/>
                <w:sz w:val="24"/>
                <w:szCs w:val="24"/>
                <w:highlight w:val="none"/>
                <w:lang w:val="zh-CN"/>
              </w:rPr>
            </w:pPr>
          </w:p>
        </w:tc>
        <w:tc>
          <w:tcPr>
            <w:tcW w:w="1508" w:type="dxa"/>
            <w:vAlign w:val="center"/>
          </w:tcPr>
          <w:p w14:paraId="31BBDC98">
            <w:pPr>
              <w:jc w:val="center"/>
              <w:rPr>
                <w:rFonts w:ascii="宋体" w:hAnsi="宋体" w:eastAsia="宋体" w:cs="Times New Roman"/>
                <w:color w:val="auto"/>
                <w:sz w:val="24"/>
                <w:szCs w:val="24"/>
                <w:highlight w:val="none"/>
                <w:lang w:val="zh-CN"/>
              </w:rPr>
            </w:pPr>
          </w:p>
        </w:tc>
      </w:tr>
      <w:tr w14:paraId="72EF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215F7ACE">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w:t>
            </w:r>
          </w:p>
        </w:tc>
        <w:tc>
          <w:tcPr>
            <w:tcW w:w="1515" w:type="dxa"/>
            <w:vAlign w:val="center"/>
          </w:tcPr>
          <w:p w14:paraId="66F704C1">
            <w:pPr>
              <w:jc w:val="center"/>
              <w:rPr>
                <w:rFonts w:ascii="宋体" w:hAnsi="宋体" w:eastAsia="宋体" w:cs="Times New Roman"/>
                <w:color w:val="auto"/>
                <w:sz w:val="24"/>
                <w:szCs w:val="24"/>
                <w:highlight w:val="none"/>
                <w:lang w:val="zh-CN"/>
              </w:rPr>
            </w:pPr>
          </w:p>
        </w:tc>
        <w:tc>
          <w:tcPr>
            <w:tcW w:w="1515" w:type="dxa"/>
            <w:vAlign w:val="center"/>
          </w:tcPr>
          <w:p w14:paraId="2D7E4ABD">
            <w:pPr>
              <w:jc w:val="center"/>
              <w:rPr>
                <w:rFonts w:ascii="宋体" w:hAnsi="宋体" w:eastAsia="宋体" w:cs="Times New Roman"/>
                <w:color w:val="auto"/>
                <w:sz w:val="24"/>
                <w:szCs w:val="24"/>
                <w:highlight w:val="none"/>
                <w:lang w:val="zh-CN"/>
              </w:rPr>
            </w:pPr>
          </w:p>
        </w:tc>
        <w:tc>
          <w:tcPr>
            <w:tcW w:w="1512" w:type="dxa"/>
            <w:vAlign w:val="center"/>
          </w:tcPr>
          <w:p w14:paraId="6105FA57">
            <w:pPr>
              <w:jc w:val="center"/>
              <w:rPr>
                <w:rFonts w:ascii="宋体" w:hAnsi="宋体" w:eastAsia="宋体" w:cs="Times New Roman"/>
                <w:color w:val="auto"/>
                <w:sz w:val="24"/>
                <w:szCs w:val="24"/>
                <w:highlight w:val="none"/>
                <w:lang w:val="zh-CN"/>
              </w:rPr>
            </w:pPr>
          </w:p>
        </w:tc>
        <w:tc>
          <w:tcPr>
            <w:tcW w:w="1512" w:type="dxa"/>
            <w:vAlign w:val="center"/>
          </w:tcPr>
          <w:p w14:paraId="3D61D8F6">
            <w:pPr>
              <w:jc w:val="center"/>
              <w:rPr>
                <w:rFonts w:ascii="宋体" w:hAnsi="宋体" w:eastAsia="宋体" w:cs="Times New Roman"/>
                <w:color w:val="auto"/>
                <w:sz w:val="24"/>
                <w:szCs w:val="24"/>
                <w:highlight w:val="none"/>
                <w:lang w:val="zh-CN"/>
              </w:rPr>
            </w:pPr>
          </w:p>
        </w:tc>
        <w:tc>
          <w:tcPr>
            <w:tcW w:w="1508" w:type="dxa"/>
            <w:vAlign w:val="center"/>
          </w:tcPr>
          <w:p w14:paraId="6DCD2AC8">
            <w:pPr>
              <w:jc w:val="center"/>
              <w:rPr>
                <w:rFonts w:ascii="宋体" w:hAnsi="宋体" w:eastAsia="宋体" w:cs="Times New Roman"/>
                <w:color w:val="auto"/>
                <w:sz w:val="24"/>
                <w:szCs w:val="24"/>
                <w:highlight w:val="none"/>
                <w:lang w:val="zh-CN"/>
              </w:rPr>
            </w:pPr>
          </w:p>
        </w:tc>
      </w:tr>
    </w:tbl>
    <w:p w14:paraId="5F195703">
      <w:pPr>
        <w:spacing w:line="360" w:lineRule="auto"/>
        <w:ind w:firstLine="437"/>
        <w:outlineLvl w:val="2"/>
        <w:rPr>
          <w:rFonts w:ascii="宋体" w:hAnsi="宋体" w:eastAsia="宋体" w:cs="Times New Roman"/>
          <w:b/>
          <w:bCs/>
          <w:color w:val="auto"/>
          <w:sz w:val="24"/>
          <w:szCs w:val="24"/>
          <w:highlight w:val="none"/>
          <w:lang w:val="zh-CN"/>
        </w:rPr>
      </w:pPr>
      <w:bookmarkStart w:id="52" w:name="_Toc21631"/>
      <w:bookmarkStart w:id="53" w:name="_Toc23292"/>
      <w:bookmarkStart w:id="54" w:name="_Toc21551"/>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 xml:space="preserve">3 </w:t>
      </w:r>
      <w:r>
        <w:rPr>
          <w:rFonts w:hint="eastAsia" w:ascii="宋体" w:hAnsi="宋体" w:eastAsia="宋体" w:cs="Times New Roman"/>
          <w:b/>
          <w:bCs/>
          <w:color w:val="auto"/>
          <w:sz w:val="24"/>
          <w:szCs w:val="24"/>
          <w:highlight w:val="none"/>
          <w:lang w:val="zh-CN"/>
        </w:rPr>
        <w:t>价款</w:t>
      </w:r>
      <w:bookmarkEnd w:id="52"/>
      <w:bookmarkEnd w:id="53"/>
      <w:bookmarkEnd w:id="54"/>
    </w:p>
    <w:p w14:paraId="6A2BF39E">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本合同总价为</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hint="eastAsia" w:ascii="宋体" w:hAnsi="宋体" w:eastAsia="宋体" w:cs="Times New Roman"/>
          <w:color w:val="auto"/>
          <w:sz w:val="24"/>
          <w:szCs w:val="24"/>
          <w:highlight w:val="none"/>
        </w:rPr>
        <w:t>（大写：人民币</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元）</w:t>
      </w:r>
      <w:r>
        <w:rPr>
          <w:rFonts w:ascii="宋体" w:hAnsi="宋体" w:eastAsia="宋体" w:cs="Times New Roman"/>
          <w:color w:val="auto"/>
          <w:sz w:val="24"/>
          <w:szCs w:val="24"/>
          <w:highlight w:val="none"/>
        </w:rPr>
        <w:t>。</w:t>
      </w:r>
    </w:p>
    <w:p w14:paraId="332DD2F6">
      <w:pPr>
        <w:spacing w:line="360" w:lineRule="auto"/>
        <w:ind w:firstLine="435"/>
        <w:rPr>
          <w:rFonts w:ascii="宋体" w:hAnsi="宋体" w:eastAsia="宋体" w:cs="Times New Roman"/>
          <w:color w:val="auto"/>
          <w:sz w:val="24"/>
          <w:szCs w:val="24"/>
          <w:highlight w:val="none"/>
          <w:u w:val="single"/>
        </w:rPr>
      </w:pPr>
      <w:r>
        <w:rPr>
          <w:rFonts w:ascii="宋体" w:hAnsi="宋体" w:eastAsia="宋体" w:cs="Times New Roman"/>
          <w:color w:val="auto"/>
          <w:sz w:val="24"/>
          <w:szCs w:val="24"/>
          <w:highlight w:val="none"/>
        </w:rPr>
        <w:t>分项价格：</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1669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0002E3B0">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序号</w:t>
            </w:r>
          </w:p>
        </w:tc>
        <w:tc>
          <w:tcPr>
            <w:tcW w:w="4316" w:type="dxa"/>
            <w:vAlign w:val="center"/>
          </w:tcPr>
          <w:p w14:paraId="09E592E2">
            <w:pPr>
              <w:ind w:firstLine="200"/>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分项名称</w:t>
            </w:r>
          </w:p>
        </w:tc>
        <w:tc>
          <w:tcPr>
            <w:tcW w:w="3237" w:type="dxa"/>
            <w:gridSpan w:val="2"/>
            <w:vAlign w:val="center"/>
          </w:tcPr>
          <w:p w14:paraId="4740A791">
            <w:pPr>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分项价格</w:t>
            </w:r>
          </w:p>
        </w:tc>
      </w:tr>
      <w:tr w14:paraId="3044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FEBDAB2">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w:t>
            </w:r>
          </w:p>
        </w:tc>
        <w:tc>
          <w:tcPr>
            <w:tcW w:w="4316" w:type="dxa"/>
            <w:vAlign w:val="center"/>
          </w:tcPr>
          <w:p w14:paraId="7631C803">
            <w:pPr>
              <w:ind w:firstLine="200"/>
              <w:jc w:val="center"/>
              <w:rPr>
                <w:rFonts w:ascii="宋体" w:hAnsi="宋体" w:eastAsia="宋体" w:cs="Times New Roman"/>
                <w:color w:val="auto"/>
                <w:sz w:val="24"/>
                <w:szCs w:val="24"/>
                <w:highlight w:val="none"/>
              </w:rPr>
            </w:pPr>
          </w:p>
        </w:tc>
        <w:tc>
          <w:tcPr>
            <w:tcW w:w="3237" w:type="dxa"/>
            <w:gridSpan w:val="2"/>
            <w:vAlign w:val="center"/>
          </w:tcPr>
          <w:p w14:paraId="6ED303C3">
            <w:pPr>
              <w:ind w:firstLine="200"/>
              <w:jc w:val="center"/>
              <w:rPr>
                <w:rFonts w:ascii="宋体" w:hAnsi="宋体" w:eastAsia="宋体" w:cs="Times New Roman"/>
                <w:color w:val="auto"/>
                <w:sz w:val="24"/>
                <w:szCs w:val="24"/>
                <w:highlight w:val="none"/>
              </w:rPr>
            </w:pPr>
          </w:p>
        </w:tc>
      </w:tr>
      <w:tr w14:paraId="5350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655580A">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w:t>
            </w:r>
          </w:p>
        </w:tc>
        <w:tc>
          <w:tcPr>
            <w:tcW w:w="4316" w:type="dxa"/>
            <w:vAlign w:val="center"/>
          </w:tcPr>
          <w:p w14:paraId="531F4628">
            <w:pPr>
              <w:ind w:firstLine="200"/>
              <w:jc w:val="center"/>
              <w:rPr>
                <w:rFonts w:ascii="宋体" w:hAnsi="宋体" w:eastAsia="宋体" w:cs="Times New Roman"/>
                <w:color w:val="auto"/>
                <w:sz w:val="24"/>
                <w:szCs w:val="24"/>
                <w:highlight w:val="none"/>
              </w:rPr>
            </w:pPr>
          </w:p>
        </w:tc>
        <w:tc>
          <w:tcPr>
            <w:tcW w:w="3237" w:type="dxa"/>
            <w:gridSpan w:val="2"/>
            <w:vAlign w:val="center"/>
          </w:tcPr>
          <w:p w14:paraId="71D35428">
            <w:pPr>
              <w:ind w:firstLine="200"/>
              <w:jc w:val="center"/>
              <w:rPr>
                <w:rFonts w:ascii="宋体" w:hAnsi="宋体" w:eastAsia="宋体" w:cs="Times New Roman"/>
                <w:color w:val="auto"/>
                <w:sz w:val="24"/>
                <w:szCs w:val="24"/>
                <w:highlight w:val="none"/>
              </w:rPr>
            </w:pPr>
          </w:p>
        </w:tc>
      </w:tr>
      <w:tr w14:paraId="694C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E280C7F">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3</w:t>
            </w:r>
          </w:p>
        </w:tc>
        <w:tc>
          <w:tcPr>
            <w:tcW w:w="4316" w:type="dxa"/>
            <w:vAlign w:val="center"/>
          </w:tcPr>
          <w:p w14:paraId="71743881">
            <w:pPr>
              <w:ind w:firstLine="200"/>
              <w:jc w:val="center"/>
              <w:rPr>
                <w:rFonts w:ascii="宋体" w:hAnsi="宋体" w:eastAsia="宋体" w:cs="Times New Roman"/>
                <w:color w:val="auto"/>
                <w:sz w:val="24"/>
                <w:szCs w:val="24"/>
                <w:highlight w:val="none"/>
              </w:rPr>
            </w:pPr>
          </w:p>
        </w:tc>
        <w:tc>
          <w:tcPr>
            <w:tcW w:w="3237" w:type="dxa"/>
            <w:gridSpan w:val="2"/>
            <w:vAlign w:val="center"/>
          </w:tcPr>
          <w:p w14:paraId="12A89AF0">
            <w:pPr>
              <w:ind w:firstLine="200"/>
              <w:jc w:val="center"/>
              <w:rPr>
                <w:rFonts w:ascii="宋体" w:hAnsi="宋体" w:eastAsia="宋体" w:cs="Times New Roman"/>
                <w:color w:val="auto"/>
                <w:sz w:val="24"/>
                <w:szCs w:val="24"/>
                <w:highlight w:val="none"/>
              </w:rPr>
            </w:pPr>
          </w:p>
        </w:tc>
      </w:tr>
      <w:tr w14:paraId="0B20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3A2BC28D">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w:t>
            </w:r>
          </w:p>
        </w:tc>
        <w:tc>
          <w:tcPr>
            <w:tcW w:w="4316" w:type="dxa"/>
            <w:vAlign w:val="center"/>
          </w:tcPr>
          <w:p w14:paraId="3BD37DC1">
            <w:pPr>
              <w:ind w:firstLine="200"/>
              <w:jc w:val="center"/>
              <w:rPr>
                <w:rFonts w:ascii="宋体" w:hAnsi="宋体" w:eastAsia="宋体" w:cs="Times New Roman"/>
                <w:color w:val="auto"/>
                <w:sz w:val="24"/>
                <w:szCs w:val="24"/>
                <w:highlight w:val="none"/>
              </w:rPr>
            </w:pPr>
          </w:p>
        </w:tc>
        <w:tc>
          <w:tcPr>
            <w:tcW w:w="3237" w:type="dxa"/>
            <w:gridSpan w:val="2"/>
            <w:vAlign w:val="center"/>
          </w:tcPr>
          <w:p w14:paraId="3B8C297C">
            <w:pPr>
              <w:ind w:firstLine="200"/>
              <w:jc w:val="center"/>
              <w:rPr>
                <w:rFonts w:ascii="宋体" w:hAnsi="宋体" w:eastAsia="宋体" w:cs="Times New Roman"/>
                <w:color w:val="auto"/>
                <w:sz w:val="24"/>
                <w:szCs w:val="24"/>
                <w:highlight w:val="none"/>
              </w:rPr>
            </w:pPr>
          </w:p>
        </w:tc>
      </w:tr>
      <w:tr w14:paraId="794D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6F875C6E">
            <w:pPr>
              <w:ind w:firstLine="200"/>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总价</w:t>
            </w:r>
          </w:p>
        </w:tc>
        <w:tc>
          <w:tcPr>
            <w:tcW w:w="3237" w:type="dxa"/>
            <w:gridSpan w:val="2"/>
            <w:vAlign w:val="center"/>
          </w:tcPr>
          <w:p w14:paraId="36F1E791">
            <w:pPr>
              <w:ind w:firstLine="200"/>
              <w:jc w:val="center"/>
              <w:rPr>
                <w:rFonts w:ascii="宋体" w:hAnsi="宋体" w:eastAsia="宋体" w:cs="Times New Roman"/>
                <w:color w:val="auto"/>
                <w:sz w:val="24"/>
                <w:szCs w:val="24"/>
                <w:highlight w:val="none"/>
              </w:rPr>
            </w:pPr>
          </w:p>
        </w:tc>
      </w:tr>
    </w:tbl>
    <w:p w14:paraId="29506899">
      <w:pPr>
        <w:spacing w:line="360" w:lineRule="auto"/>
        <w:ind w:firstLine="437"/>
        <w:outlineLvl w:val="2"/>
        <w:rPr>
          <w:rFonts w:ascii="宋体" w:hAnsi="宋体" w:eastAsia="宋体" w:cs="Times New Roman"/>
          <w:b/>
          <w:bCs/>
          <w:color w:val="auto"/>
          <w:sz w:val="24"/>
          <w:szCs w:val="24"/>
          <w:highlight w:val="none"/>
          <w:lang w:val="zh-CN"/>
        </w:rPr>
      </w:pPr>
      <w:bookmarkStart w:id="55" w:name="_Toc10340"/>
      <w:bookmarkStart w:id="56" w:name="_Toc1814"/>
      <w:bookmarkStart w:id="57" w:name="_Toc22618"/>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4 付款方式和发票开具方式</w:t>
      </w:r>
      <w:bookmarkEnd w:id="55"/>
      <w:bookmarkEnd w:id="56"/>
      <w:bookmarkEnd w:id="57"/>
    </w:p>
    <w:p w14:paraId="0CC97CD8">
      <w:pPr>
        <w:spacing w:line="360" w:lineRule="auto"/>
        <w:ind w:firstLine="435"/>
        <w:rPr>
          <w:rFonts w:ascii="宋体" w:hAnsi="宋体" w:eastAsia="宋体" w:cs="Times New Roman"/>
          <w:color w:val="auto"/>
          <w:sz w:val="24"/>
          <w:szCs w:val="24"/>
          <w:highlight w:val="none"/>
          <w:u w:val="single"/>
        </w:rPr>
      </w:pPr>
      <w:bookmarkStart w:id="58" w:name="_Toc19304"/>
      <w:bookmarkStart w:id="59" w:name="_Toc2846"/>
      <w:bookmarkStart w:id="60" w:name="_Toc32071"/>
      <w:bookmarkStart w:id="61" w:name="_Toc21423"/>
      <w:bookmarkStart w:id="62" w:name="_Toc19554"/>
      <w:bookmarkStart w:id="63" w:name="_Toc27250"/>
      <w:r>
        <w:rPr>
          <w:rFonts w:hint="eastAsia" w:ascii="宋体" w:hAnsi="宋体" w:eastAsia="宋体" w:cs="Times New Roman"/>
          <w:color w:val="auto"/>
          <w:sz w:val="24"/>
          <w:szCs w:val="24"/>
          <w:highlight w:val="none"/>
        </w:rPr>
        <w:t>1.4.1</w:t>
      </w:r>
      <w:r>
        <w:rPr>
          <w:rFonts w:ascii="宋体" w:hAnsi="宋体" w:eastAsia="宋体" w:cs="Times New Roman"/>
          <w:color w:val="auto"/>
          <w:sz w:val="24"/>
          <w:szCs w:val="24"/>
          <w:highlight w:val="none"/>
        </w:rPr>
        <w:t>付款方式：</w:t>
      </w:r>
      <w:r>
        <w:rPr>
          <w:rFonts w:hint="eastAsia" w:ascii="宋体" w:hAnsi="宋体" w:eastAsia="宋体" w:cs="宋体"/>
          <w:b w:val="0"/>
          <w:color w:val="auto"/>
          <w:sz w:val="24"/>
          <w:highlight w:val="none"/>
          <w:u w:val="single"/>
          <w:lang w:eastAsia="zh-CN"/>
        </w:rPr>
        <w:t>合同签订后</w:t>
      </w:r>
      <w:r>
        <w:rPr>
          <w:rFonts w:hint="eastAsia" w:ascii="宋体" w:hAnsi="宋体" w:eastAsia="宋体" w:cs="宋体"/>
          <w:b w:val="0"/>
          <w:color w:val="auto"/>
          <w:sz w:val="24"/>
          <w:highlight w:val="none"/>
          <w:u w:val="single"/>
          <w:lang w:val="en-US" w:eastAsia="zh-CN"/>
        </w:rPr>
        <w:t>7个工作日内支付</w:t>
      </w:r>
      <w:r>
        <w:rPr>
          <w:rFonts w:hint="eastAsia" w:ascii="宋体" w:hAnsi="宋体" w:eastAsia="宋体" w:cs="宋体"/>
          <w:b w:val="0"/>
          <w:color w:val="auto"/>
          <w:sz w:val="24"/>
          <w:highlight w:val="none"/>
          <w:u w:val="single"/>
          <w:lang w:eastAsia="zh-CN"/>
        </w:rPr>
        <w:t>合同价的40%预付款（预付款支付前，中标人须提供同等金额的见索即付保函），全部供货安装调试完毕并由采购人验收合格后，一次性付清合同款。</w:t>
      </w:r>
    </w:p>
    <w:p w14:paraId="28C713F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1.4.2发票开具方式：</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满足采购人需求即可</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78564FC8">
      <w:pPr>
        <w:spacing w:line="360" w:lineRule="auto"/>
        <w:ind w:firstLine="437"/>
        <w:outlineLvl w:val="2"/>
        <w:rPr>
          <w:rFonts w:ascii="宋体" w:hAnsi="宋体" w:eastAsia="宋体" w:cs="Times New Roman"/>
          <w:b/>
          <w:bCs/>
          <w:color w:val="auto"/>
          <w:sz w:val="24"/>
          <w:szCs w:val="24"/>
          <w:highlight w:val="none"/>
          <w:lang w:val="zh-CN"/>
        </w:rPr>
      </w:pPr>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5 货物交付期限</w:t>
      </w:r>
      <w:r>
        <w:rPr>
          <w:rFonts w:hint="eastAsia" w:ascii="宋体" w:hAnsi="宋体" w:eastAsia="宋体" w:cs="Times New Roman"/>
          <w:b/>
          <w:bCs/>
          <w:color w:val="auto"/>
          <w:sz w:val="24"/>
          <w:szCs w:val="24"/>
          <w:highlight w:val="none"/>
          <w:lang w:val="zh-CN"/>
        </w:rPr>
        <w:t>、地点和方式</w:t>
      </w:r>
      <w:bookmarkEnd w:id="58"/>
      <w:bookmarkEnd w:id="59"/>
      <w:bookmarkEnd w:id="60"/>
    </w:p>
    <w:p w14:paraId="223FB66D">
      <w:pPr>
        <w:spacing w:line="360" w:lineRule="auto"/>
        <w:ind w:firstLine="435"/>
        <w:rPr>
          <w:rFonts w:hint="default"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1.5.1交付期限：</w:t>
      </w:r>
      <w:r>
        <w:rPr>
          <w:rFonts w:hint="eastAsia" w:ascii="宋体" w:hAnsi="宋体" w:eastAsia="宋体"/>
          <w:color w:val="auto"/>
          <w:sz w:val="24"/>
          <w:szCs w:val="18"/>
          <w:highlight w:val="none"/>
          <w:u w:val="single"/>
          <w:lang w:val="en-US" w:eastAsia="zh-CN"/>
        </w:rPr>
        <w:t xml:space="preserve">                             </w:t>
      </w:r>
    </w:p>
    <w:p w14:paraId="0146365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1.5.2交付地点</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滁州市琅琊区应急管理局，采购人指定地点；</w:t>
      </w:r>
    </w:p>
    <w:p w14:paraId="7DA03B30">
      <w:pPr>
        <w:spacing w:line="360" w:lineRule="auto"/>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1.5.3交付方式：</w:t>
      </w:r>
      <w:r>
        <w:rPr>
          <w:rFonts w:hint="eastAsia" w:ascii="宋体" w:hAnsi="宋体" w:eastAsia="宋体" w:cs="Times New Roman"/>
          <w:color w:val="auto"/>
          <w:sz w:val="24"/>
          <w:szCs w:val="24"/>
          <w:highlight w:val="none"/>
          <w:u w:val="single"/>
        </w:rPr>
        <w:t xml:space="preserve"> 现实交付                        </w:t>
      </w:r>
      <w:r>
        <w:rPr>
          <w:rFonts w:hint="eastAsia" w:ascii="宋体" w:hAnsi="宋体" w:eastAsia="宋体" w:cs="Times New Roman"/>
          <w:color w:val="auto"/>
          <w:sz w:val="24"/>
          <w:szCs w:val="24"/>
          <w:highlight w:val="none"/>
        </w:rPr>
        <w:t>；</w:t>
      </w:r>
    </w:p>
    <w:p w14:paraId="070BA37E">
      <w:pPr>
        <w:spacing w:line="360" w:lineRule="auto"/>
        <w:ind w:firstLine="437"/>
        <w:outlineLvl w:val="2"/>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1.5.4免费质保期：</w:t>
      </w:r>
      <w:r>
        <w:rPr>
          <w:rFonts w:hint="eastAsia" w:ascii="宋体" w:hAnsi="宋体" w:eastAsia="宋体" w:cs="Times New Roman"/>
          <w:color w:val="auto"/>
          <w:sz w:val="24"/>
          <w:szCs w:val="24"/>
          <w:highlight w:val="none"/>
          <w:u w:val="single"/>
        </w:rPr>
        <w:t>验收合格之日起</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年的免费质保服务。</w:t>
      </w:r>
    </w:p>
    <w:p w14:paraId="648BCBF3">
      <w:pPr>
        <w:spacing w:line="360" w:lineRule="auto"/>
        <w:ind w:firstLine="437"/>
        <w:outlineLvl w:val="2"/>
        <w:rPr>
          <w:rFonts w:ascii="宋体" w:hAnsi="宋体" w:eastAsia="宋体" w:cs="Times New Roman"/>
          <w:b/>
          <w:bCs/>
          <w:color w:val="auto"/>
          <w:sz w:val="24"/>
          <w:szCs w:val="24"/>
          <w:highlight w:val="none"/>
          <w:lang w:val="zh-CN"/>
        </w:rPr>
      </w:pPr>
      <w:r>
        <w:rPr>
          <w:rFonts w:hint="eastAsia" w:ascii="宋体" w:hAnsi="宋体" w:eastAsia="宋体" w:cs="Times New Roman"/>
          <w:b/>
          <w:bCs/>
          <w:color w:val="auto"/>
          <w:sz w:val="24"/>
          <w:szCs w:val="24"/>
          <w:highlight w:val="none"/>
          <w:lang w:val="zh-CN"/>
        </w:rPr>
        <w:t>1.6 违约责任</w:t>
      </w:r>
      <w:bookmarkEnd w:id="61"/>
      <w:bookmarkEnd w:id="62"/>
      <w:bookmarkEnd w:id="63"/>
    </w:p>
    <w:p w14:paraId="621C0570">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1.6.1</w:t>
      </w:r>
      <w:r>
        <w:rPr>
          <w:rFonts w:ascii="宋体" w:hAnsi="宋体" w:eastAsia="宋体" w:cs="Times New Roman"/>
          <w:color w:val="auto"/>
          <w:sz w:val="24"/>
          <w:szCs w:val="24"/>
          <w:highlight w:val="none"/>
        </w:rPr>
        <w:t>除不可抗力外，如果乙方没有按照本合同约定的期限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地点和方式交付货物，那么甲方可要求乙方支付违约金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违约金按每迟延交付货物一日的应交付而未交付货物价格的</w:t>
      </w:r>
      <w:r>
        <w:rPr>
          <w:rFonts w:hint="eastAsia" w:ascii="宋体" w:hAnsi="宋体" w:eastAsia="宋体" w:cs="Times New Roman"/>
          <w:color w:val="auto"/>
          <w:sz w:val="24"/>
          <w:szCs w:val="24"/>
          <w:highlight w:val="none"/>
          <w:u w:val="single"/>
        </w:rPr>
        <w:t xml:space="preserve"> 1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 5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迟延交付货物的违约金计算数额达到前述最高限额之日起</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甲方有权在要求乙方支付违约金的同时</w:t>
      </w:r>
      <w:r>
        <w:rPr>
          <w:rFonts w:hint="eastAsia" w:ascii="宋体" w:hAnsi="宋体" w:eastAsia="宋体" w:cs="Times New Roman"/>
          <w:color w:val="auto"/>
          <w:sz w:val="24"/>
          <w:szCs w:val="24"/>
          <w:highlight w:val="none"/>
        </w:rPr>
        <w:t>，书面通知乙方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6809838F">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1.6.2</w:t>
      </w:r>
      <w:r>
        <w:rPr>
          <w:rFonts w:ascii="宋体" w:hAnsi="宋体" w:eastAsia="宋体" w:cs="Times New Roman"/>
          <w:color w:val="auto"/>
          <w:sz w:val="24"/>
          <w:szCs w:val="24"/>
          <w:highlight w:val="none"/>
        </w:rPr>
        <w:t>除不可抗力外，如果甲方没有按照本合同约定的付款方式付款，那么乙方可要求甲方支付违约金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一日的应付而未付款的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0.1</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5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的违约金计算数额达到前述最高限额之日起</w:t>
      </w:r>
      <w:r>
        <w:rPr>
          <w:rFonts w:hint="eastAsia" w:ascii="宋体" w:hAnsi="宋体" w:eastAsia="宋体" w:cs="Times New Roman"/>
          <w:color w:val="auto"/>
          <w:sz w:val="24"/>
          <w:szCs w:val="24"/>
          <w:highlight w:val="none"/>
        </w:rPr>
        <w:t>，乙</w:t>
      </w:r>
      <w:r>
        <w:rPr>
          <w:rFonts w:ascii="宋体" w:hAnsi="宋体" w:eastAsia="宋体" w:cs="Times New Roman"/>
          <w:color w:val="auto"/>
          <w:sz w:val="24"/>
          <w:szCs w:val="24"/>
          <w:highlight w:val="none"/>
        </w:rPr>
        <w:t>方有权在要求甲方支付违约金的同时</w:t>
      </w:r>
      <w:r>
        <w:rPr>
          <w:rFonts w:hint="eastAsia" w:ascii="宋体" w:hAnsi="宋体" w:eastAsia="宋体" w:cs="Times New Roman"/>
          <w:color w:val="auto"/>
          <w:sz w:val="24"/>
          <w:szCs w:val="24"/>
          <w:highlight w:val="none"/>
        </w:rPr>
        <w:t>，书面通知甲方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5008F80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320717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EAE00A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45AF9E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713111F7">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1.6.7因甲方未按合同约定支付价款、未按合同约定受领标的物、擅自解除合同导致乙方遭受的直接损失，乙方可向甲方申请赔偿，赔偿金额由双方协商一致；</w:t>
      </w:r>
      <w:r>
        <w:rPr>
          <w:rFonts w:hint="eastAsia" w:ascii="宋体" w:hAnsi="宋体" w:eastAsia="宋体" w:cs="Times New Roman"/>
          <w:color w:val="auto"/>
          <w:sz w:val="24"/>
          <w:szCs w:val="24"/>
          <w:highlight w:val="none"/>
        </w:rPr>
        <w:t>针对因政策变化等原因不能签订合同或解除合同时，造成乙方合法利益受损的情形，可以给予乙方合理补偿，补偿金额不得超过乙方的直接损失。</w:t>
      </w:r>
    </w:p>
    <w:p w14:paraId="028B19C9">
      <w:pPr>
        <w:spacing w:line="360" w:lineRule="auto"/>
        <w:ind w:firstLine="437"/>
        <w:outlineLvl w:val="2"/>
        <w:rPr>
          <w:rFonts w:ascii="宋体" w:hAnsi="宋体" w:eastAsia="宋体" w:cs="Times New Roman"/>
          <w:b/>
          <w:bCs/>
          <w:color w:val="auto"/>
          <w:sz w:val="24"/>
          <w:szCs w:val="24"/>
          <w:highlight w:val="none"/>
          <w:lang w:val="zh-CN"/>
        </w:rPr>
      </w:pPr>
      <w:bookmarkStart w:id="64" w:name="_Toc15583"/>
      <w:bookmarkStart w:id="65" w:name="_Toc16021"/>
      <w:bookmarkStart w:id="66" w:name="_Toc28375"/>
      <w:r>
        <w:rPr>
          <w:rFonts w:hint="eastAsia" w:ascii="宋体" w:hAnsi="宋体" w:eastAsia="宋体" w:cs="Times New Roman"/>
          <w:b/>
          <w:bCs/>
          <w:color w:val="auto"/>
          <w:sz w:val="24"/>
          <w:szCs w:val="24"/>
          <w:highlight w:val="none"/>
          <w:lang w:val="zh-CN"/>
        </w:rPr>
        <w:t>1.7</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w:t>
      </w:r>
      <w:r>
        <w:rPr>
          <w:rFonts w:ascii="宋体" w:hAnsi="宋体" w:eastAsia="宋体" w:cs="Times New Roman"/>
          <w:b/>
          <w:bCs/>
          <w:color w:val="auto"/>
          <w:sz w:val="24"/>
          <w:szCs w:val="24"/>
          <w:highlight w:val="none"/>
          <w:lang w:val="zh-CN"/>
        </w:rPr>
        <w:t>争议的解决</w:t>
      </w:r>
      <w:bookmarkEnd w:id="64"/>
      <w:bookmarkEnd w:id="65"/>
      <w:bookmarkEnd w:id="66"/>
    </w:p>
    <w:p w14:paraId="2D68DA9C">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本合</w:t>
      </w:r>
      <w:r>
        <w:rPr>
          <w:rFonts w:ascii="宋体" w:hAnsi="宋体" w:eastAsia="宋体" w:cs="Times New Roman"/>
          <w:color w:val="auto"/>
          <w:sz w:val="24"/>
          <w:szCs w:val="24"/>
          <w:highlight w:val="none"/>
        </w:rPr>
        <w:t>同履行过程中发生的任何争议，双方当事人均可</w:t>
      </w:r>
      <w:r>
        <w:rPr>
          <w:rFonts w:hint="eastAsia" w:ascii="宋体" w:hAnsi="宋体" w:eastAsia="宋体" w:cs="Times New Roman"/>
          <w:color w:val="auto"/>
          <w:sz w:val="24"/>
          <w:szCs w:val="24"/>
          <w:highlight w:val="none"/>
        </w:rPr>
        <w:t>通过和解或者调解解决；不愿和解、调解或者和解、调解不成的，可以选择下列第</w:t>
      </w:r>
      <w:r>
        <w:rPr>
          <w:rFonts w:hint="eastAsia" w:ascii="宋体" w:hAnsi="宋体" w:eastAsia="宋体" w:cs="Times New Roman"/>
          <w:color w:val="auto"/>
          <w:sz w:val="24"/>
          <w:szCs w:val="24"/>
          <w:highlight w:val="none"/>
          <w:u w:val="single"/>
        </w:rPr>
        <w:t xml:space="preserve"> 1.7.2 </w:t>
      </w:r>
      <w:r>
        <w:rPr>
          <w:rFonts w:hint="eastAsia" w:ascii="宋体" w:hAnsi="宋体" w:eastAsia="宋体" w:cs="Times New Roman"/>
          <w:color w:val="auto"/>
          <w:sz w:val="24"/>
          <w:szCs w:val="24"/>
          <w:highlight w:val="none"/>
        </w:rPr>
        <w:t>种方式解决：</w:t>
      </w:r>
    </w:p>
    <w:p w14:paraId="2A975B0E">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1.7.1将争议提交</w:t>
      </w:r>
      <w:r>
        <w:rPr>
          <w:rFonts w:hint="eastAsia" w:ascii="宋体" w:hAnsi="宋体" w:eastAsia="宋体" w:cs="Times New Roman"/>
          <w:color w:val="auto"/>
          <w:sz w:val="24"/>
          <w:szCs w:val="24"/>
          <w:highlight w:val="none"/>
          <w:u w:val="single"/>
        </w:rPr>
        <w:t xml:space="preserve"> 滁州 </w:t>
      </w:r>
      <w:r>
        <w:rPr>
          <w:rFonts w:hint="eastAsia" w:ascii="宋体" w:hAnsi="宋体" w:eastAsia="宋体" w:cs="Times New Roman"/>
          <w:color w:val="auto"/>
          <w:sz w:val="24"/>
          <w:szCs w:val="24"/>
          <w:highlight w:val="none"/>
        </w:rPr>
        <w:t>仲裁委员会依申请仲裁时其现行有效的仲裁规则裁决；</w:t>
      </w:r>
    </w:p>
    <w:p w14:paraId="0B8D0467">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1.7.2向</w:t>
      </w:r>
      <w:r>
        <w:rPr>
          <w:rFonts w:hint="eastAsia" w:ascii="宋体" w:hAnsi="宋体" w:eastAsia="宋体" w:cs="Times New Roman"/>
          <w:color w:val="auto"/>
          <w:sz w:val="24"/>
          <w:szCs w:val="24"/>
          <w:highlight w:val="none"/>
          <w:u w:val="single"/>
        </w:rPr>
        <w:t xml:space="preserve">  滁州</w:t>
      </w:r>
      <w:r>
        <w:rPr>
          <w:rFonts w:hint="eastAsia" w:ascii="宋体" w:hAnsi="宋体" w:eastAsia="宋体" w:cs="Times New Roman"/>
          <w:color w:val="auto"/>
          <w:sz w:val="24"/>
          <w:szCs w:val="24"/>
          <w:highlight w:val="none"/>
          <w:u w:val="single"/>
          <w:lang w:val="en-US" w:eastAsia="zh-CN"/>
        </w:rPr>
        <w:t>市琅琊区</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人民法院起诉。</w:t>
      </w:r>
    </w:p>
    <w:p w14:paraId="3BEE8E81">
      <w:pPr>
        <w:spacing w:line="360" w:lineRule="auto"/>
        <w:ind w:firstLine="437"/>
        <w:outlineLvl w:val="2"/>
        <w:rPr>
          <w:rFonts w:ascii="宋体" w:hAnsi="宋体" w:eastAsia="宋体" w:cs="Times New Roman"/>
          <w:b/>
          <w:bCs/>
          <w:color w:val="auto"/>
          <w:sz w:val="24"/>
          <w:szCs w:val="24"/>
          <w:highlight w:val="none"/>
          <w:lang w:val="zh-CN"/>
        </w:rPr>
      </w:pPr>
      <w:bookmarkStart w:id="67" w:name="_Toc11173"/>
      <w:bookmarkStart w:id="68" w:name="_Toc15322"/>
      <w:bookmarkStart w:id="69" w:name="_Toc7245"/>
      <w:r>
        <w:rPr>
          <w:rFonts w:hint="eastAsia" w:ascii="宋体" w:hAnsi="宋体" w:eastAsia="宋体" w:cs="Times New Roman"/>
          <w:b/>
          <w:bCs/>
          <w:color w:val="auto"/>
          <w:sz w:val="24"/>
          <w:szCs w:val="24"/>
          <w:highlight w:val="none"/>
          <w:lang w:val="zh-CN"/>
        </w:rPr>
        <w:t>1.8</w:t>
      </w:r>
      <w:r>
        <w:rPr>
          <w:rFonts w:ascii="宋体" w:hAnsi="宋体" w:eastAsia="宋体" w:cs="Times New Roman"/>
          <w:b/>
          <w:bCs/>
          <w:color w:val="auto"/>
          <w:sz w:val="24"/>
          <w:szCs w:val="24"/>
          <w:highlight w:val="none"/>
          <w:lang w:val="zh-CN"/>
        </w:rPr>
        <w:t xml:space="preserve"> 合同生效</w:t>
      </w:r>
      <w:bookmarkEnd w:id="67"/>
      <w:bookmarkEnd w:id="68"/>
      <w:bookmarkEnd w:id="69"/>
    </w:p>
    <w:p w14:paraId="49DDAF59">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本合同自</w:t>
      </w:r>
      <w:r>
        <w:rPr>
          <w:rFonts w:hint="eastAsia" w:ascii="宋体" w:hAnsi="宋体" w:eastAsia="宋体" w:cs="Times New Roman"/>
          <w:color w:val="auto"/>
          <w:sz w:val="24"/>
          <w:szCs w:val="24"/>
          <w:highlight w:val="none"/>
        </w:rPr>
        <w:t>双方当事人盖章时</w:t>
      </w:r>
      <w:r>
        <w:rPr>
          <w:rFonts w:ascii="宋体" w:hAnsi="宋体" w:eastAsia="宋体" w:cs="Times New Roman"/>
          <w:color w:val="auto"/>
          <w:sz w:val="24"/>
          <w:szCs w:val="24"/>
          <w:highlight w:val="none"/>
        </w:rPr>
        <w:t>生效。</w:t>
      </w:r>
    </w:p>
    <w:p w14:paraId="589CC3EB">
      <w:pPr>
        <w:autoSpaceDE w:val="0"/>
        <w:autoSpaceDN w:val="0"/>
        <w:adjustRightInd w:val="0"/>
        <w:spacing w:line="560" w:lineRule="exact"/>
        <w:rPr>
          <w:rFonts w:ascii="宋体" w:hAnsi="宋体" w:eastAsia="宋体" w:cs="Times New Roman"/>
          <w:color w:val="auto"/>
          <w:sz w:val="24"/>
          <w:szCs w:val="24"/>
          <w:highlight w:val="none"/>
          <w:lang w:val="zh-CN"/>
        </w:rPr>
      </w:pPr>
    </w:p>
    <w:p w14:paraId="1114FF5E">
      <w:pPr>
        <w:autoSpaceDE w:val="0"/>
        <w:autoSpaceDN w:val="0"/>
        <w:adjustRightInd w:val="0"/>
        <w:spacing w:line="560" w:lineRule="exact"/>
        <w:rPr>
          <w:rFonts w:ascii="宋体" w:hAnsi="宋体" w:eastAsia="宋体" w:cs="Times New Roman"/>
          <w:bCs/>
          <w:color w:val="auto"/>
          <w:sz w:val="24"/>
          <w:szCs w:val="24"/>
          <w:highlight w:val="none"/>
          <w:lang w:val="zh-CN"/>
        </w:rPr>
      </w:pPr>
      <w:r>
        <w:rPr>
          <w:rFonts w:hint="eastAsia" w:ascii="宋体" w:hAnsi="宋体" w:eastAsia="宋体" w:cs="Times New Roman"/>
          <w:bCs/>
          <w:color w:val="auto"/>
          <w:sz w:val="24"/>
          <w:szCs w:val="24"/>
          <w:highlight w:val="none"/>
          <w:lang w:val="zh-CN"/>
        </w:rPr>
        <w:t xml:space="preserve">甲 </w:t>
      </w:r>
      <w:r>
        <w:rPr>
          <w:rFonts w:ascii="宋体" w:hAnsi="宋体" w:eastAsia="宋体" w:cs="Times New Roman"/>
          <w:bCs/>
          <w:color w:val="auto"/>
          <w:sz w:val="24"/>
          <w:szCs w:val="24"/>
          <w:highlight w:val="none"/>
          <w:lang w:val="zh-CN"/>
        </w:rPr>
        <w:t xml:space="preserve">   </w:t>
      </w:r>
      <w:r>
        <w:rPr>
          <w:rFonts w:hint="eastAsia" w:ascii="宋体" w:hAnsi="宋体" w:eastAsia="宋体" w:cs="Times New Roman"/>
          <w:bCs/>
          <w:color w:val="auto"/>
          <w:sz w:val="24"/>
          <w:szCs w:val="24"/>
          <w:highlight w:val="none"/>
          <w:lang w:val="zh-CN"/>
        </w:rPr>
        <w:t>方：</w:t>
      </w:r>
      <w:r>
        <w:rPr>
          <w:rFonts w:hint="eastAsia" w:ascii="宋体" w:hAnsi="宋体" w:eastAsia="宋体" w:cs="Times New Roman"/>
          <w:bCs/>
          <w:color w:val="auto"/>
          <w:sz w:val="24"/>
          <w:szCs w:val="24"/>
          <w:highlight w:val="none"/>
          <w:u w:val="single"/>
          <w:lang w:val="zh-CN"/>
        </w:rPr>
        <w:t xml:space="preserve">    （单位盖章）     </w:t>
      </w:r>
      <w:r>
        <w:rPr>
          <w:rFonts w:hint="eastAsia" w:ascii="宋体" w:hAnsi="宋体" w:eastAsia="宋体" w:cs="Times New Roman"/>
          <w:bCs/>
          <w:color w:val="auto"/>
          <w:sz w:val="24"/>
          <w:szCs w:val="24"/>
          <w:highlight w:val="none"/>
          <w:lang w:val="zh-CN"/>
        </w:rPr>
        <w:t xml:space="preserve">          乙方：</w:t>
      </w:r>
      <w:r>
        <w:rPr>
          <w:rFonts w:hint="eastAsia" w:ascii="宋体" w:hAnsi="宋体" w:eastAsia="宋体" w:cs="Times New Roman"/>
          <w:bCs/>
          <w:color w:val="auto"/>
          <w:sz w:val="24"/>
          <w:szCs w:val="24"/>
          <w:highlight w:val="none"/>
          <w:u w:val="single"/>
          <w:lang w:val="zh-CN"/>
        </w:rPr>
        <w:t xml:space="preserve">    （单位盖章）     </w:t>
      </w:r>
    </w:p>
    <w:p w14:paraId="6D956953">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 xml:space="preserve">法定代表人                             </w:t>
      </w:r>
      <w:r>
        <w:rPr>
          <w:rFonts w:ascii="宋体" w:hAnsi="宋体" w:eastAsia="宋体" w:cs="Times New Roman"/>
          <w:color w:val="auto"/>
          <w:sz w:val="24"/>
          <w:szCs w:val="24"/>
          <w:highlight w:val="none"/>
          <w:lang w:val="zh-CN"/>
        </w:rPr>
        <w:t xml:space="preserve">  </w:t>
      </w:r>
      <w:r>
        <w:rPr>
          <w:rFonts w:hint="eastAsia" w:ascii="宋体" w:hAnsi="宋体" w:eastAsia="宋体" w:cs="Times New Roman"/>
          <w:color w:val="auto"/>
          <w:sz w:val="24"/>
          <w:szCs w:val="24"/>
          <w:highlight w:val="none"/>
          <w:lang w:val="zh-CN"/>
        </w:rPr>
        <w:t>法定代表人</w:t>
      </w:r>
    </w:p>
    <w:p w14:paraId="17F68D7D">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或授权代表（签字）：                      或授权代表（签字）：</w:t>
      </w:r>
    </w:p>
    <w:p w14:paraId="689EC375">
      <w:pPr>
        <w:widowControl/>
        <w:spacing w:line="560" w:lineRule="exact"/>
        <w:jc w:val="left"/>
        <w:rPr>
          <w:rFonts w:ascii="宋体" w:hAnsi="宋体" w:eastAsia="宋体" w:cs="Times New Roman"/>
          <w:bCs/>
          <w:color w:val="auto"/>
          <w:sz w:val="24"/>
          <w:szCs w:val="24"/>
          <w:highlight w:val="none"/>
        </w:rPr>
      </w:pPr>
      <w:bookmarkStart w:id="70" w:name="_Toc331685783"/>
      <w:r>
        <w:rPr>
          <w:rFonts w:hint="eastAsia" w:ascii="宋体" w:hAnsi="宋体" w:eastAsia="宋体" w:cs="Times New Roman"/>
          <w:bCs/>
          <w:color w:val="auto"/>
          <w:sz w:val="24"/>
          <w:szCs w:val="24"/>
          <w:highlight w:val="none"/>
        </w:rPr>
        <w:t>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               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w:t>
      </w:r>
    </w:p>
    <w:p w14:paraId="2DBD518C">
      <w:pPr>
        <w:widowControl/>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p>
    <w:p w14:paraId="52EE2CDE">
      <w:pPr>
        <w:rPr>
          <w:rFonts w:ascii="宋体" w:hAnsi="宋体" w:eastAsia="宋体"/>
          <w:color w:val="auto"/>
          <w:sz w:val="24"/>
          <w:szCs w:val="24"/>
          <w:highlight w:val="none"/>
        </w:rPr>
      </w:pPr>
      <w:r>
        <w:rPr>
          <w:rFonts w:hint="eastAsia" w:ascii="宋体" w:hAnsi="宋体" w:eastAsia="宋体"/>
          <w:color w:val="auto"/>
          <w:sz w:val="24"/>
          <w:szCs w:val="24"/>
          <w:highlight w:val="none"/>
        </w:rPr>
        <w:br w:type="page"/>
      </w:r>
    </w:p>
    <w:p w14:paraId="163C25A8">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第二部分</w:t>
      </w:r>
      <w:r>
        <w:rPr>
          <w:rFonts w:ascii="宋体" w:hAnsi="宋体" w:eastAsia="宋体"/>
          <w:b/>
          <w:color w:val="auto"/>
          <w:sz w:val="24"/>
          <w:highlight w:val="none"/>
        </w:rPr>
        <w:t xml:space="preserve"> </w:t>
      </w:r>
      <w:r>
        <w:rPr>
          <w:rFonts w:hint="eastAsia" w:ascii="宋体" w:hAnsi="宋体" w:eastAsia="宋体"/>
          <w:b/>
          <w:color w:val="auto"/>
          <w:sz w:val="24"/>
          <w:highlight w:val="none"/>
        </w:rPr>
        <w:t>合同一般条款</w:t>
      </w:r>
      <w:bookmarkEnd w:id="70"/>
    </w:p>
    <w:p w14:paraId="1C7D4BD1">
      <w:pPr>
        <w:spacing w:line="500" w:lineRule="exact"/>
        <w:ind w:firstLine="437"/>
        <w:jc w:val="left"/>
        <w:outlineLvl w:val="2"/>
        <w:rPr>
          <w:rFonts w:ascii="宋体" w:hAnsi="宋体" w:eastAsia="宋体" w:cs="Times New Roman"/>
          <w:b/>
          <w:bCs/>
          <w:color w:val="auto"/>
          <w:sz w:val="24"/>
          <w:szCs w:val="24"/>
          <w:highlight w:val="none"/>
          <w:lang w:val="zh-CN"/>
        </w:rPr>
      </w:pPr>
      <w:bookmarkStart w:id="71" w:name="_Ref467379205"/>
      <w:bookmarkStart w:id="72" w:name="_Ref467379101"/>
      <w:bookmarkStart w:id="73" w:name="_Toc19614"/>
      <w:bookmarkStart w:id="74" w:name="_Toc487900349"/>
      <w:bookmarkStart w:id="75" w:name="_Toc279701240"/>
      <w:bookmarkStart w:id="76" w:name="_Ref467378404"/>
      <w:bookmarkStart w:id="77" w:name="_Ref467378463"/>
      <w:bookmarkStart w:id="78" w:name="_Ref467379225"/>
      <w:bookmarkStart w:id="79" w:name="_Toc28763"/>
      <w:bookmarkStart w:id="80" w:name="_Ref467379214"/>
      <w:bookmarkStart w:id="81" w:name="_Ref467378499"/>
      <w:bookmarkStart w:id="82" w:name="_Ref467379094"/>
      <w:bookmarkStart w:id="83" w:name="_Toc259093669"/>
      <w:bookmarkStart w:id="84" w:name="_Ref467379109"/>
      <w:bookmarkStart w:id="85" w:name="_Ref467379195"/>
      <w:bookmarkStart w:id="86" w:name="_Toc16917"/>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 xml:space="preserve"> 定义</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0DD243BB">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本合同中的下列</w:t>
      </w:r>
      <w:r>
        <w:rPr>
          <w:rFonts w:hint="eastAsia" w:ascii="宋体" w:hAnsi="宋体" w:eastAsia="宋体" w:cs="Times New Roman"/>
          <w:color w:val="auto"/>
          <w:sz w:val="24"/>
          <w:szCs w:val="24"/>
          <w:highlight w:val="none"/>
        </w:rPr>
        <w:t>词</w:t>
      </w:r>
      <w:r>
        <w:rPr>
          <w:rFonts w:ascii="宋体" w:hAnsi="宋体" w:eastAsia="宋体" w:cs="Times New Roman"/>
          <w:color w:val="auto"/>
          <w:sz w:val="24"/>
          <w:szCs w:val="24"/>
          <w:highlight w:val="none"/>
        </w:rPr>
        <w:t>语应</w:t>
      </w:r>
      <w:r>
        <w:rPr>
          <w:rFonts w:hint="eastAsia" w:ascii="宋体" w:hAnsi="宋体" w:eastAsia="宋体" w:cs="Times New Roman"/>
          <w:color w:val="auto"/>
          <w:sz w:val="24"/>
          <w:szCs w:val="24"/>
          <w:highlight w:val="none"/>
        </w:rPr>
        <w:t>按以下内容进行</w:t>
      </w:r>
      <w:r>
        <w:rPr>
          <w:rFonts w:ascii="宋体" w:hAnsi="宋体" w:eastAsia="宋体" w:cs="Times New Roman"/>
          <w:color w:val="auto"/>
          <w:sz w:val="24"/>
          <w:szCs w:val="24"/>
          <w:highlight w:val="none"/>
        </w:rPr>
        <w:t>解释：</w:t>
      </w:r>
    </w:p>
    <w:p w14:paraId="567D1641">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“合同”系指采购人和中标人签订的载明双方当事人所达成的协议，并包括所有的附件、附录和构成合同的其他文件。</w:t>
      </w:r>
    </w:p>
    <w:p w14:paraId="17CB93B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1.2“合同价”系指根据合同约定，中标人在完全履行合同义务后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采购人应支付给中标人的价格。</w:t>
      </w:r>
    </w:p>
    <w:p w14:paraId="77EF37C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1.3“货物”系指</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根据合同约定应向采购人交付的一切</w:t>
      </w:r>
      <w:r>
        <w:rPr>
          <w:rFonts w:hint="eastAsia" w:ascii="宋体" w:hAnsi="宋体" w:eastAsia="宋体" w:cs="Times New Roman"/>
          <w:color w:val="auto"/>
          <w:sz w:val="24"/>
          <w:szCs w:val="24"/>
          <w:highlight w:val="none"/>
        </w:rPr>
        <w:t>各种形态和种类的物品，包括原材料、燃料、设备、</w:t>
      </w:r>
      <w:r>
        <w:rPr>
          <w:rFonts w:ascii="宋体" w:hAnsi="宋体" w:eastAsia="宋体" w:cs="Times New Roman"/>
          <w:color w:val="auto"/>
          <w:sz w:val="24"/>
          <w:szCs w:val="24"/>
          <w:highlight w:val="none"/>
        </w:rPr>
        <w:t>机械、仪表、备件</w:t>
      </w:r>
      <w:r>
        <w:rPr>
          <w:rFonts w:hint="eastAsia" w:ascii="宋体" w:hAnsi="宋体" w:eastAsia="宋体" w:cs="Times New Roman"/>
          <w:color w:val="auto"/>
          <w:sz w:val="24"/>
          <w:szCs w:val="24"/>
          <w:highlight w:val="none"/>
        </w:rPr>
        <w:t>、计算机软件、产品等</w:t>
      </w:r>
      <w:r>
        <w:rPr>
          <w:rFonts w:ascii="宋体" w:hAnsi="宋体" w:eastAsia="宋体" w:cs="Times New Roman"/>
          <w:color w:val="auto"/>
          <w:sz w:val="24"/>
          <w:szCs w:val="24"/>
          <w:highlight w:val="none"/>
        </w:rPr>
        <w:t>，并包括工具、手册等其他相关资料。</w:t>
      </w:r>
    </w:p>
    <w:p w14:paraId="2F3C0578">
      <w:pPr>
        <w:spacing w:line="500" w:lineRule="exact"/>
        <w:ind w:firstLine="435"/>
        <w:jc w:val="left"/>
        <w:rPr>
          <w:rFonts w:ascii="宋体" w:hAnsi="宋体" w:eastAsia="宋体" w:cs="Times New Roman"/>
          <w:color w:val="auto"/>
          <w:sz w:val="24"/>
          <w:szCs w:val="24"/>
          <w:highlight w:val="none"/>
        </w:rPr>
      </w:pPr>
      <w:bookmarkStart w:id="87" w:name="_Ref46737884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甲方</w:t>
      </w:r>
      <w:r>
        <w:rPr>
          <w:rFonts w:ascii="宋体" w:hAnsi="宋体" w:eastAsia="宋体" w:cs="Times New Roman"/>
          <w:color w:val="auto"/>
          <w:sz w:val="24"/>
          <w:szCs w:val="24"/>
          <w:highlight w:val="none"/>
        </w:rPr>
        <w:t>”系指与</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签署合同的采购人</w:t>
      </w:r>
      <w:bookmarkEnd w:id="87"/>
      <w:r>
        <w:rPr>
          <w:rFonts w:hint="eastAsia" w:ascii="宋体" w:hAnsi="宋体" w:eastAsia="宋体" w:cs="Times New Roman"/>
          <w:color w:val="auto"/>
          <w:sz w:val="24"/>
          <w:szCs w:val="24"/>
          <w:highlight w:val="none"/>
        </w:rPr>
        <w:t>；采购人委托采购代理机构代表其与乙方签订合同的，采购人的授权委托书作为合同附件。</w:t>
      </w:r>
    </w:p>
    <w:p w14:paraId="2CAA925A">
      <w:pPr>
        <w:spacing w:line="500" w:lineRule="exact"/>
        <w:ind w:firstLine="435"/>
        <w:jc w:val="left"/>
        <w:rPr>
          <w:rFonts w:ascii="宋体" w:hAnsi="宋体" w:eastAsia="宋体" w:cs="Times New Roman"/>
          <w:color w:val="auto"/>
          <w:sz w:val="24"/>
          <w:szCs w:val="24"/>
          <w:highlight w:val="none"/>
        </w:rPr>
      </w:pPr>
      <w:bookmarkStart w:id="88" w:name="_Ref46737940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“乙方”系指根据合同约定交付货物的中标人</w:t>
      </w:r>
      <w:bookmarkEnd w:id="88"/>
      <w:r>
        <w:rPr>
          <w:rFonts w:hint="eastAsia" w:ascii="宋体" w:hAnsi="宋体" w:eastAsia="宋体" w:cs="Times New Roman"/>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6BD64A8">
      <w:pPr>
        <w:spacing w:line="500" w:lineRule="exact"/>
        <w:ind w:firstLine="435"/>
        <w:jc w:val="left"/>
        <w:rPr>
          <w:rFonts w:ascii="宋体" w:hAnsi="宋体" w:eastAsia="宋体" w:cs="Times New Roman"/>
          <w:color w:val="auto"/>
          <w:sz w:val="24"/>
          <w:szCs w:val="24"/>
          <w:highlight w:val="none"/>
        </w:rPr>
      </w:pPr>
      <w:bookmarkStart w:id="89" w:name="_Ref467379436"/>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“现场”系指合同约定货物将要运至</w:t>
      </w:r>
      <w:r>
        <w:rPr>
          <w:rFonts w:hint="eastAsia" w:ascii="宋体" w:hAnsi="宋体" w:eastAsia="宋体" w:cs="Times New Roman"/>
          <w:color w:val="auto"/>
          <w:sz w:val="24"/>
          <w:szCs w:val="24"/>
          <w:highlight w:val="none"/>
        </w:rPr>
        <w:t>或者</w:t>
      </w:r>
      <w:r>
        <w:rPr>
          <w:rFonts w:ascii="宋体" w:hAnsi="宋体" w:eastAsia="宋体" w:cs="Times New Roman"/>
          <w:color w:val="auto"/>
          <w:sz w:val="24"/>
          <w:szCs w:val="24"/>
          <w:highlight w:val="none"/>
        </w:rPr>
        <w:t>安装的地点。</w:t>
      </w:r>
      <w:bookmarkEnd w:id="89"/>
    </w:p>
    <w:p w14:paraId="4ACB5254">
      <w:pPr>
        <w:spacing w:line="500" w:lineRule="exact"/>
        <w:ind w:firstLine="437"/>
        <w:jc w:val="left"/>
        <w:outlineLvl w:val="2"/>
        <w:rPr>
          <w:rFonts w:ascii="宋体" w:hAnsi="宋体" w:eastAsia="宋体" w:cs="Times New Roman"/>
          <w:b/>
          <w:bCs/>
          <w:color w:val="auto"/>
          <w:sz w:val="24"/>
          <w:szCs w:val="24"/>
          <w:highlight w:val="none"/>
          <w:lang w:val="zh-CN"/>
        </w:rPr>
      </w:pPr>
      <w:bookmarkStart w:id="90" w:name="_Toc259093670"/>
      <w:bookmarkStart w:id="91" w:name="_Toc32504"/>
      <w:bookmarkStart w:id="92" w:name="_Toc279701241"/>
      <w:bookmarkStart w:id="93" w:name="_Toc487900350"/>
      <w:bookmarkStart w:id="94" w:name="_Toc13336"/>
      <w:bookmarkStart w:id="95" w:name="_Toc27635"/>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2 技术规范</w:t>
      </w:r>
      <w:bookmarkEnd w:id="90"/>
      <w:bookmarkEnd w:id="91"/>
      <w:bookmarkEnd w:id="92"/>
      <w:bookmarkEnd w:id="93"/>
      <w:bookmarkEnd w:id="94"/>
      <w:bookmarkEnd w:id="95"/>
    </w:p>
    <w:p w14:paraId="75223D6C">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如果采购文件中没有技术规范的相应说明，那么应以国家有关部门最新颁布的相应标准</w:t>
      </w:r>
      <w:r>
        <w:rPr>
          <w:rFonts w:hint="eastAsia" w:ascii="宋体" w:hAnsi="宋体" w:eastAsia="宋体" w:cs="Times New Roman"/>
          <w:color w:val="auto"/>
          <w:sz w:val="24"/>
          <w:szCs w:val="24"/>
          <w:highlight w:val="none"/>
        </w:rPr>
        <w:t>和</w:t>
      </w:r>
      <w:r>
        <w:rPr>
          <w:rFonts w:ascii="宋体" w:hAnsi="宋体" w:eastAsia="宋体" w:cs="Times New Roman"/>
          <w:color w:val="auto"/>
          <w:sz w:val="24"/>
          <w:szCs w:val="24"/>
          <w:highlight w:val="none"/>
        </w:rPr>
        <w:t>规范为准。</w:t>
      </w:r>
    </w:p>
    <w:p w14:paraId="3D9B616E">
      <w:pPr>
        <w:spacing w:line="500" w:lineRule="exact"/>
        <w:ind w:firstLine="437"/>
        <w:jc w:val="left"/>
        <w:outlineLvl w:val="2"/>
        <w:rPr>
          <w:rFonts w:ascii="宋体" w:hAnsi="宋体" w:eastAsia="宋体" w:cs="Times New Roman"/>
          <w:b/>
          <w:bCs/>
          <w:color w:val="auto"/>
          <w:sz w:val="24"/>
          <w:szCs w:val="24"/>
          <w:highlight w:val="none"/>
          <w:lang w:val="zh-CN"/>
        </w:rPr>
      </w:pPr>
      <w:bookmarkStart w:id="96" w:name="_Toc259093671"/>
      <w:bookmarkStart w:id="97" w:name="_Toc31634"/>
      <w:bookmarkStart w:id="98" w:name="_Toc487900351"/>
      <w:bookmarkStart w:id="99" w:name="_Toc279701242"/>
      <w:bookmarkStart w:id="100" w:name="_Toc27853"/>
      <w:bookmarkStart w:id="101" w:name="_Toc9829"/>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3 知识产权</w:t>
      </w:r>
      <w:bookmarkEnd w:id="96"/>
      <w:bookmarkEnd w:id="97"/>
      <w:bookmarkEnd w:id="98"/>
      <w:bookmarkEnd w:id="99"/>
      <w:bookmarkEnd w:id="100"/>
      <w:bookmarkEnd w:id="101"/>
    </w:p>
    <w:p w14:paraId="0CF582E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2.3.1乙</w:t>
      </w:r>
      <w:r>
        <w:rPr>
          <w:rFonts w:ascii="宋体" w:hAnsi="宋体" w:eastAsia="宋体" w:cs="Times New Roman"/>
          <w:color w:val="auto"/>
          <w:sz w:val="24"/>
          <w:szCs w:val="24"/>
          <w:highlight w:val="none"/>
        </w:rPr>
        <w:t>方应保证甲方在使用该货物或其任何一部分时不受任何第三方提出的侵犯其著作权、商标权、专利权等知识产权方面的起诉</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如果任何第三方提出侵权</w:t>
      </w:r>
      <w:r>
        <w:rPr>
          <w:rFonts w:hint="eastAsia" w:ascii="宋体" w:hAnsi="宋体" w:eastAsia="宋体" w:cs="Times New Roman"/>
          <w:color w:val="auto"/>
          <w:sz w:val="24"/>
          <w:szCs w:val="24"/>
          <w:highlight w:val="none"/>
        </w:rPr>
        <w:t>指控</w:t>
      </w:r>
      <w:r>
        <w:rPr>
          <w:rFonts w:ascii="宋体" w:hAnsi="宋体" w:eastAsia="宋体" w:cs="Times New Roman"/>
          <w:color w:val="auto"/>
          <w:sz w:val="24"/>
          <w:szCs w:val="24"/>
          <w:highlight w:val="none"/>
        </w:rPr>
        <w:t>，那么乙方须与该第三方交涉并承担由此发生的一切责任、费用和赔偿</w:t>
      </w:r>
      <w:r>
        <w:rPr>
          <w:rFonts w:hint="eastAsia" w:ascii="宋体" w:hAnsi="宋体" w:eastAsia="宋体" w:cs="Times New Roman"/>
          <w:color w:val="auto"/>
          <w:sz w:val="24"/>
          <w:szCs w:val="24"/>
          <w:highlight w:val="none"/>
        </w:rPr>
        <w:t>；</w:t>
      </w:r>
    </w:p>
    <w:p w14:paraId="41AC2F9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2.3.2具有知识产权的计算机软件等货物的知识产权归属，</w:t>
      </w: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05A97804">
      <w:pPr>
        <w:spacing w:line="500" w:lineRule="exact"/>
        <w:ind w:firstLine="437"/>
        <w:jc w:val="left"/>
        <w:outlineLvl w:val="2"/>
        <w:rPr>
          <w:rFonts w:ascii="宋体" w:hAnsi="宋体" w:eastAsia="宋体" w:cs="Times New Roman"/>
          <w:b/>
          <w:color w:val="auto"/>
          <w:sz w:val="24"/>
          <w:szCs w:val="24"/>
          <w:highlight w:val="none"/>
        </w:rPr>
      </w:pPr>
      <w:bookmarkStart w:id="102" w:name="_Toc4194"/>
      <w:bookmarkStart w:id="103" w:name="_Toc29149"/>
      <w:bookmarkStart w:id="104" w:name="_Toc11932"/>
      <w:r>
        <w:rPr>
          <w:rFonts w:hint="eastAsia" w:ascii="宋体" w:hAnsi="宋体" w:eastAsia="宋体" w:cs="Times New Roman"/>
          <w:b/>
          <w:bCs/>
          <w:color w:val="auto"/>
          <w:sz w:val="24"/>
          <w:szCs w:val="24"/>
          <w:highlight w:val="none"/>
          <w:lang w:val="zh-CN"/>
        </w:rPr>
        <w:t>2.4</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包装和装运</w:t>
      </w:r>
      <w:bookmarkEnd w:id="102"/>
      <w:bookmarkEnd w:id="103"/>
      <w:bookmarkEnd w:id="104"/>
    </w:p>
    <w:p w14:paraId="516DD69E">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2.4.1除</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7DCF48D5">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2.4.2装运货物的要求和通知，详见</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w:t>
      </w:r>
    </w:p>
    <w:p w14:paraId="142A00A1">
      <w:pPr>
        <w:spacing w:line="500" w:lineRule="exact"/>
        <w:ind w:firstLine="437"/>
        <w:jc w:val="left"/>
        <w:outlineLvl w:val="2"/>
        <w:rPr>
          <w:rFonts w:ascii="宋体" w:hAnsi="宋体" w:eastAsia="宋体" w:cs="Times New Roman"/>
          <w:b/>
          <w:bCs/>
          <w:color w:val="auto"/>
          <w:sz w:val="24"/>
          <w:szCs w:val="24"/>
          <w:highlight w:val="none"/>
          <w:lang w:val="zh-CN"/>
        </w:rPr>
      </w:pPr>
      <w:bookmarkStart w:id="105" w:name="_Ref467379542"/>
      <w:bookmarkStart w:id="106" w:name="_Ref467379536"/>
      <w:bookmarkStart w:id="107" w:name="_Toc259093674"/>
      <w:bookmarkStart w:id="108" w:name="_Ref467379527"/>
      <w:bookmarkStart w:id="109" w:name="_Toc487900354"/>
      <w:bookmarkStart w:id="110" w:name="_Ref467378591"/>
      <w:bookmarkStart w:id="111" w:name="_Toc279701245"/>
      <w:bookmarkStart w:id="112" w:name="_Ref467378541"/>
      <w:bookmarkStart w:id="113" w:name="_Toc19074"/>
      <w:bookmarkStart w:id="114" w:name="_Toc26182"/>
      <w:bookmarkStart w:id="115" w:name="_Toc30272"/>
      <w:r>
        <w:rPr>
          <w:rFonts w:hint="eastAsia" w:ascii="宋体" w:hAnsi="宋体" w:eastAsia="宋体" w:cs="Times New Roman"/>
          <w:b/>
          <w:bCs/>
          <w:color w:val="auto"/>
          <w:sz w:val="24"/>
          <w:szCs w:val="24"/>
          <w:highlight w:val="none"/>
          <w:lang w:val="zh-CN"/>
        </w:rPr>
        <w:t>2.</w:t>
      </w:r>
      <w:bookmarkEnd w:id="105"/>
      <w:bookmarkEnd w:id="106"/>
      <w:bookmarkEnd w:id="107"/>
      <w:bookmarkEnd w:id="108"/>
      <w:bookmarkEnd w:id="109"/>
      <w:bookmarkEnd w:id="110"/>
      <w:bookmarkEnd w:id="111"/>
      <w:bookmarkEnd w:id="112"/>
      <w:r>
        <w:rPr>
          <w:rFonts w:hint="eastAsia" w:ascii="宋体" w:hAnsi="宋体" w:eastAsia="宋体" w:cs="Times New Roman"/>
          <w:b/>
          <w:bCs/>
          <w:color w:val="auto"/>
          <w:sz w:val="24"/>
          <w:szCs w:val="24"/>
          <w:highlight w:val="none"/>
          <w:lang w:val="zh-CN"/>
        </w:rPr>
        <w:t>5</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履约检查和问题反馈</w:t>
      </w:r>
      <w:bookmarkEnd w:id="113"/>
      <w:bookmarkEnd w:id="114"/>
      <w:bookmarkEnd w:id="115"/>
    </w:p>
    <w:p w14:paraId="2A66CDAC">
      <w:pPr>
        <w:spacing w:line="500" w:lineRule="exact"/>
        <w:ind w:firstLine="435"/>
        <w:jc w:val="left"/>
        <w:rPr>
          <w:rFonts w:ascii="宋体" w:hAnsi="宋体" w:eastAsia="宋体" w:cs="Times New Roman"/>
          <w:color w:val="auto"/>
          <w:sz w:val="24"/>
          <w:szCs w:val="24"/>
          <w:highlight w:val="none"/>
        </w:rPr>
      </w:pPr>
      <w:bookmarkStart w:id="116" w:name="_Ref467379657"/>
      <w:r>
        <w:rPr>
          <w:rFonts w:hint="eastAsia" w:ascii="宋体" w:hAnsi="宋体" w:eastAsia="宋体" w:cs="Times New Roman"/>
          <w:color w:val="auto"/>
          <w:sz w:val="24"/>
          <w:szCs w:val="24"/>
          <w:highlight w:val="none"/>
        </w:rPr>
        <w:t>2.5</w:t>
      </w:r>
      <w:r>
        <w:rPr>
          <w:rFonts w:ascii="宋体" w:hAnsi="宋体" w:eastAsia="宋体" w:cs="Times New Roman"/>
          <w:color w:val="auto"/>
          <w:sz w:val="24"/>
          <w:szCs w:val="24"/>
          <w:highlight w:val="none"/>
        </w:rPr>
        <w:t>.1</w:t>
      </w:r>
      <w:bookmarkEnd w:id="116"/>
      <w:bookmarkStart w:id="117" w:name="_Toc186431854"/>
      <w:bookmarkStart w:id="118" w:name="_Ref467379807"/>
      <w:bookmarkStart w:id="119" w:name="_Toc487900357"/>
      <w:bookmarkStart w:id="120" w:name="_Toc259093676"/>
      <w:bookmarkStart w:id="121" w:name="_Toc279701247"/>
      <w:bookmarkStart w:id="122" w:name="_Ref467379793"/>
      <w:r>
        <w:rPr>
          <w:rFonts w:ascii="宋体" w:hAnsi="宋体" w:eastAsia="宋体" w:cs="Times New Roman"/>
          <w:color w:val="auto"/>
          <w:sz w:val="24"/>
          <w:szCs w:val="24"/>
          <w:highlight w:val="none"/>
        </w:rPr>
        <w:t>甲方</w:t>
      </w:r>
      <w:r>
        <w:rPr>
          <w:rFonts w:hint="eastAsia" w:ascii="宋体" w:hAnsi="宋体" w:eastAsia="宋体" w:cs="Times New Roman"/>
          <w:color w:val="auto"/>
          <w:sz w:val="24"/>
          <w:szCs w:val="24"/>
          <w:highlight w:val="none"/>
        </w:rPr>
        <w:t>有权</w:t>
      </w:r>
      <w:r>
        <w:rPr>
          <w:rFonts w:ascii="宋体" w:hAnsi="宋体" w:eastAsia="宋体" w:cs="Times New Roman"/>
          <w:color w:val="auto"/>
          <w:sz w:val="24"/>
          <w:szCs w:val="24"/>
          <w:highlight w:val="none"/>
        </w:rPr>
        <w:t>在其认为必要时</w:t>
      </w:r>
      <w:r>
        <w:rPr>
          <w:rFonts w:hint="eastAsia" w:ascii="宋体" w:hAnsi="宋体" w:eastAsia="宋体" w:cs="Times New Roman"/>
          <w:color w:val="auto"/>
          <w:sz w:val="24"/>
          <w:szCs w:val="24"/>
          <w:highlight w:val="none"/>
        </w:rPr>
        <w:t>，对乙方是否能够按照合同约定交付货物进行履约检查，以确保乙方所交付的货物能够依约满足甲方项目需求，但不得因履约检查妨碍乙方的正常工作，乙方应予积极配合；</w:t>
      </w:r>
    </w:p>
    <w:p w14:paraId="44ED074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2.5.2合同履行期间，甲方有权将履行过程中出现的问题反馈给乙方，双方当事人应以书面形式约定需要完善和改进的内容</w:t>
      </w:r>
      <w:bookmarkEnd w:id="117"/>
      <w:bookmarkStart w:id="123" w:name="_Toc186431855"/>
      <w:r>
        <w:rPr>
          <w:rFonts w:hint="eastAsia" w:ascii="宋体" w:hAnsi="宋体" w:eastAsia="宋体" w:cs="Times New Roman"/>
          <w:color w:val="auto"/>
          <w:sz w:val="24"/>
          <w:szCs w:val="24"/>
          <w:highlight w:val="none"/>
        </w:rPr>
        <w:t>。</w:t>
      </w:r>
    </w:p>
    <w:bookmarkEnd w:id="123"/>
    <w:p w14:paraId="543C95FE">
      <w:pPr>
        <w:spacing w:line="500" w:lineRule="exact"/>
        <w:ind w:firstLine="437"/>
        <w:jc w:val="left"/>
        <w:outlineLvl w:val="2"/>
        <w:rPr>
          <w:rFonts w:ascii="宋体" w:hAnsi="宋体" w:eastAsia="宋体" w:cs="Times New Roman"/>
          <w:b/>
          <w:bCs/>
          <w:color w:val="auto"/>
          <w:sz w:val="24"/>
          <w:szCs w:val="24"/>
          <w:highlight w:val="none"/>
          <w:lang w:val="zh-CN"/>
        </w:rPr>
      </w:pPr>
      <w:bookmarkStart w:id="124" w:name="_Toc7836"/>
      <w:bookmarkStart w:id="125" w:name="_Toc19219"/>
      <w:bookmarkStart w:id="126" w:name="_Toc28451"/>
      <w:r>
        <w:rPr>
          <w:rFonts w:hint="eastAsia" w:ascii="宋体" w:hAnsi="宋体" w:eastAsia="宋体" w:cs="Times New Roman"/>
          <w:b/>
          <w:bCs/>
          <w:color w:val="auto"/>
          <w:sz w:val="24"/>
          <w:szCs w:val="24"/>
          <w:highlight w:val="none"/>
          <w:lang w:val="zh-CN"/>
        </w:rPr>
        <w:t xml:space="preserve">2.6 </w:t>
      </w:r>
      <w:r>
        <w:rPr>
          <w:rFonts w:ascii="宋体" w:hAnsi="宋体" w:eastAsia="宋体" w:cs="Times New Roman"/>
          <w:b/>
          <w:bCs/>
          <w:color w:val="auto"/>
          <w:sz w:val="24"/>
          <w:szCs w:val="24"/>
          <w:highlight w:val="none"/>
          <w:lang w:val="zh-CN"/>
        </w:rPr>
        <w:t>结算方式和付款条件</w:t>
      </w:r>
      <w:bookmarkEnd w:id="118"/>
      <w:bookmarkEnd w:id="119"/>
      <w:bookmarkEnd w:id="120"/>
      <w:bookmarkEnd w:id="121"/>
      <w:bookmarkEnd w:id="122"/>
      <w:bookmarkEnd w:id="124"/>
      <w:bookmarkEnd w:id="125"/>
      <w:bookmarkEnd w:id="126"/>
    </w:p>
    <w:p w14:paraId="33530665">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1329115C">
      <w:pPr>
        <w:spacing w:line="500" w:lineRule="exact"/>
        <w:ind w:firstLine="437"/>
        <w:jc w:val="left"/>
        <w:outlineLvl w:val="2"/>
        <w:rPr>
          <w:rFonts w:ascii="宋体" w:hAnsi="宋体" w:eastAsia="宋体" w:cs="Times New Roman"/>
          <w:b/>
          <w:bCs/>
          <w:color w:val="auto"/>
          <w:sz w:val="24"/>
          <w:szCs w:val="24"/>
          <w:highlight w:val="none"/>
          <w:lang w:val="zh-CN"/>
        </w:rPr>
      </w:pPr>
      <w:bookmarkStart w:id="127" w:name="_Ref467379852"/>
      <w:bookmarkStart w:id="128" w:name="_Toc279701248"/>
      <w:bookmarkStart w:id="129" w:name="_Ref467379863"/>
      <w:bookmarkStart w:id="130" w:name="_Toc259093677"/>
      <w:bookmarkStart w:id="131" w:name="_Toc487900358"/>
      <w:bookmarkStart w:id="132" w:name="_Ref467379923"/>
      <w:bookmarkStart w:id="133" w:name="_Toc3225"/>
      <w:bookmarkStart w:id="134" w:name="_Toc16110"/>
      <w:bookmarkStart w:id="135" w:name="_Toc774"/>
      <w:r>
        <w:rPr>
          <w:rFonts w:hint="eastAsia" w:ascii="宋体" w:hAnsi="宋体" w:eastAsia="宋体" w:cs="Times New Roman"/>
          <w:b/>
          <w:bCs/>
          <w:color w:val="auto"/>
          <w:sz w:val="24"/>
          <w:szCs w:val="24"/>
          <w:highlight w:val="none"/>
          <w:lang w:val="zh-CN"/>
        </w:rPr>
        <w:t xml:space="preserve">2.7 </w:t>
      </w:r>
      <w:r>
        <w:rPr>
          <w:rFonts w:ascii="宋体" w:hAnsi="宋体" w:eastAsia="宋体" w:cs="Times New Roman"/>
          <w:b/>
          <w:bCs/>
          <w:color w:val="auto"/>
          <w:sz w:val="24"/>
          <w:szCs w:val="24"/>
          <w:highlight w:val="none"/>
          <w:lang w:val="zh-CN"/>
        </w:rPr>
        <w:t>技术资料</w:t>
      </w:r>
      <w:bookmarkEnd w:id="127"/>
      <w:bookmarkEnd w:id="128"/>
      <w:bookmarkEnd w:id="129"/>
      <w:bookmarkEnd w:id="130"/>
      <w:bookmarkEnd w:id="131"/>
      <w:bookmarkEnd w:id="132"/>
      <w:r>
        <w:rPr>
          <w:rFonts w:ascii="宋体" w:hAnsi="宋体" w:eastAsia="宋体" w:cs="Times New Roman"/>
          <w:b/>
          <w:bCs/>
          <w:color w:val="auto"/>
          <w:sz w:val="24"/>
          <w:szCs w:val="24"/>
          <w:highlight w:val="none"/>
          <w:lang w:val="zh-CN"/>
        </w:rPr>
        <w:t>和保密义务</w:t>
      </w:r>
      <w:bookmarkEnd w:id="133"/>
      <w:bookmarkEnd w:id="134"/>
      <w:bookmarkEnd w:id="135"/>
    </w:p>
    <w:p w14:paraId="298BA08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乙方有权依据合同约定和项目需要，向甲方了解有关情况，调阅有关资料等，甲方应予积极配合；</w:t>
      </w:r>
    </w:p>
    <w:p w14:paraId="6C9A5E6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2.7.2乙方有义务妥善保管和保护由甲方提供的前款信息和资料等；</w:t>
      </w:r>
    </w:p>
    <w:p w14:paraId="79240C2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s="Times New Roman"/>
          <w:color w:val="auto"/>
          <w:sz w:val="24"/>
          <w:szCs w:val="24"/>
          <w:highlight w:val="none"/>
        </w:rPr>
        <w:t>技术情报</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技术资料</w:t>
      </w:r>
      <w:r>
        <w:rPr>
          <w:rFonts w:hint="eastAsia" w:ascii="宋体" w:hAnsi="宋体" w:eastAsia="宋体" w:cs="Times New Roman"/>
          <w:color w:val="auto"/>
          <w:sz w:val="24"/>
          <w:szCs w:val="24"/>
          <w:highlight w:val="none"/>
        </w:rPr>
        <w:t>、商业秘密和商业信息等，并采取一切合理和必要措施和方式防止任何第三方接触到对方当事人的上述保密信息和资料。</w:t>
      </w:r>
    </w:p>
    <w:p w14:paraId="76F213BE">
      <w:pPr>
        <w:spacing w:line="500" w:lineRule="exact"/>
        <w:ind w:firstLine="437"/>
        <w:jc w:val="left"/>
        <w:outlineLvl w:val="2"/>
        <w:rPr>
          <w:rFonts w:ascii="宋体" w:hAnsi="宋体" w:eastAsia="宋体" w:cs="Times New Roman"/>
          <w:b/>
          <w:bCs/>
          <w:color w:val="auto"/>
          <w:sz w:val="24"/>
          <w:szCs w:val="24"/>
          <w:highlight w:val="none"/>
          <w:lang w:val="zh-CN"/>
        </w:rPr>
      </w:pPr>
      <w:bookmarkStart w:id="136" w:name="_Toc7860"/>
      <w:r>
        <w:rPr>
          <w:rFonts w:ascii="宋体" w:hAnsi="宋体" w:eastAsia="宋体" w:cs="Times New Roman"/>
          <w:b/>
          <w:bCs/>
          <w:color w:val="auto"/>
          <w:sz w:val="24"/>
          <w:szCs w:val="24"/>
          <w:highlight w:val="none"/>
          <w:lang w:val="zh-CN"/>
        </w:rPr>
        <w:t>2.8 质量保证</w:t>
      </w:r>
      <w:bookmarkEnd w:id="136"/>
    </w:p>
    <w:p w14:paraId="3FEC646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2.8.1乙方应建立和完善履行合同的内部质量保证体系，并提供相关内部规章制度给甲方，以便甲方进行监督检查；</w:t>
      </w:r>
    </w:p>
    <w:p w14:paraId="6AD55B9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2.8.2乙方应保证履行合同的人员数量和素质、软件和硬件设备的配置、场地、环境和设施等满足全面履行合同的要求，并应接受甲方的监督检查。</w:t>
      </w:r>
    </w:p>
    <w:p w14:paraId="1626F62A">
      <w:pPr>
        <w:spacing w:line="500" w:lineRule="exact"/>
        <w:ind w:firstLine="437"/>
        <w:jc w:val="left"/>
        <w:outlineLvl w:val="2"/>
        <w:rPr>
          <w:rFonts w:ascii="宋体" w:hAnsi="宋体" w:eastAsia="宋体" w:cs="Times New Roman"/>
          <w:b/>
          <w:bCs/>
          <w:color w:val="auto"/>
          <w:sz w:val="24"/>
          <w:szCs w:val="24"/>
          <w:highlight w:val="none"/>
          <w:lang w:val="zh-CN"/>
        </w:rPr>
      </w:pPr>
      <w:bookmarkStart w:id="137" w:name="_Toc17244"/>
      <w:bookmarkStart w:id="138" w:name="_Toc279701252"/>
      <w:bookmarkStart w:id="139" w:name="_Toc259093681"/>
      <w:bookmarkStart w:id="140" w:name="_Toc487900362"/>
      <w:r>
        <w:rPr>
          <w:rFonts w:ascii="宋体" w:hAnsi="宋体" w:eastAsia="宋体" w:cs="Times New Roman"/>
          <w:b/>
          <w:bCs/>
          <w:color w:val="auto"/>
          <w:sz w:val="24"/>
          <w:szCs w:val="24"/>
          <w:highlight w:val="none"/>
          <w:lang w:val="zh-CN"/>
        </w:rPr>
        <w:t>2.9 货物的风险负担</w:t>
      </w:r>
      <w:bookmarkEnd w:id="137"/>
    </w:p>
    <w:p w14:paraId="6FBE6220">
      <w:pPr>
        <w:spacing w:line="500" w:lineRule="exact"/>
        <w:ind w:firstLine="435"/>
        <w:jc w:val="left"/>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货物或者在途货物或者交付给第一承运人后的货物毁损、灭失的风险负担</w:t>
      </w: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75C760A8">
      <w:pPr>
        <w:spacing w:line="500" w:lineRule="exact"/>
        <w:ind w:firstLine="437"/>
        <w:jc w:val="left"/>
        <w:outlineLvl w:val="2"/>
        <w:rPr>
          <w:rFonts w:ascii="宋体" w:hAnsi="宋体" w:eastAsia="宋体" w:cs="Times New Roman"/>
          <w:b/>
          <w:bCs/>
          <w:color w:val="auto"/>
          <w:sz w:val="24"/>
          <w:szCs w:val="24"/>
          <w:highlight w:val="none"/>
          <w:lang w:val="zh-CN"/>
        </w:rPr>
      </w:pPr>
      <w:bookmarkStart w:id="141" w:name="_Toc14055"/>
      <w:r>
        <w:rPr>
          <w:rFonts w:ascii="宋体" w:hAnsi="宋体" w:eastAsia="宋体" w:cs="Times New Roman"/>
          <w:b/>
          <w:bCs/>
          <w:color w:val="auto"/>
          <w:sz w:val="24"/>
          <w:szCs w:val="24"/>
          <w:highlight w:val="none"/>
          <w:lang w:val="zh-CN"/>
        </w:rPr>
        <w:t>2.10 延迟交货</w:t>
      </w:r>
      <w:bookmarkEnd w:id="138"/>
      <w:bookmarkEnd w:id="139"/>
      <w:bookmarkEnd w:id="140"/>
      <w:bookmarkEnd w:id="141"/>
    </w:p>
    <w:p w14:paraId="7CD3F0C2">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在合同履行过程中，如果乙方遇到不能按时交付货物的情况，应及时以书面形式将不能按时</w:t>
      </w:r>
      <w:r>
        <w:rPr>
          <w:rFonts w:hint="eastAsia" w:ascii="宋体" w:hAnsi="宋体" w:eastAsia="宋体" w:cs="Times New Roman"/>
          <w:color w:val="auto"/>
          <w:sz w:val="24"/>
          <w:szCs w:val="24"/>
          <w:highlight w:val="none"/>
        </w:rPr>
        <w:t>交付货物</w:t>
      </w:r>
      <w:r>
        <w:rPr>
          <w:rFonts w:ascii="宋体" w:hAnsi="宋体" w:eastAsia="宋体" w:cs="Times New Roman"/>
          <w:color w:val="auto"/>
          <w:sz w:val="24"/>
          <w:szCs w:val="24"/>
          <w:highlight w:val="none"/>
        </w:rPr>
        <w:t>的理由、预期延误时间通知甲方</w:t>
      </w:r>
      <w:r>
        <w:rPr>
          <w:rFonts w:hint="eastAsia" w:ascii="宋体" w:hAnsi="宋体" w:eastAsia="宋体" w:cs="Times New Roman"/>
          <w:color w:val="auto"/>
          <w:sz w:val="24"/>
          <w:szCs w:val="24"/>
          <w:highlight w:val="none"/>
        </w:rPr>
        <w:t>；甲</w:t>
      </w:r>
      <w:r>
        <w:rPr>
          <w:rFonts w:ascii="宋体" w:hAnsi="宋体" w:eastAsia="宋体" w:cs="Times New Roman"/>
          <w:color w:val="auto"/>
          <w:sz w:val="24"/>
          <w:szCs w:val="24"/>
          <w:highlight w:val="none"/>
        </w:rPr>
        <w:t>方收到乙方通知后，认为其理由正当的，可以书面形式酌情同意乙方可以延长交货的具体时间。</w:t>
      </w:r>
    </w:p>
    <w:p w14:paraId="69C839AF">
      <w:pPr>
        <w:spacing w:line="500" w:lineRule="exact"/>
        <w:ind w:firstLine="437"/>
        <w:jc w:val="left"/>
        <w:outlineLvl w:val="2"/>
        <w:rPr>
          <w:rFonts w:ascii="宋体" w:hAnsi="宋体" w:eastAsia="宋体" w:cs="Times New Roman"/>
          <w:b/>
          <w:bCs/>
          <w:color w:val="auto"/>
          <w:sz w:val="24"/>
          <w:szCs w:val="24"/>
          <w:highlight w:val="none"/>
          <w:lang w:val="zh-CN"/>
        </w:rPr>
      </w:pPr>
      <w:bookmarkStart w:id="142" w:name="_Toc7502"/>
      <w:bookmarkStart w:id="143" w:name="_Ref467378121"/>
      <w:bookmarkStart w:id="144" w:name="_Toc279701254"/>
      <w:bookmarkStart w:id="145" w:name="_Toc259093683"/>
      <w:bookmarkStart w:id="146" w:name="_Toc487900364"/>
      <w:r>
        <w:rPr>
          <w:rFonts w:ascii="宋体" w:hAnsi="宋体" w:eastAsia="宋体" w:cs="Times New Roman"/>
          <w:b/>
          <w:bCs/>
          <w:color w:val="auto"/>
          <w:sz w:val="24"/>
          <w:szCs w:val="24"/>
          <w:highlight w:val="none"/>
          <w:lang w:val="zh-CN"/>
        </w:rPr>
        <w:t>2.11 合同变更</w:t>
      </w:r>
      <w:bookmarkEnd w:id="142"/>
    </w:p>
    <w:p w14:paraId="4159EE7A">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2.11.1双方当事人协商一致，可以签订书面补充合同的形式变更合同，但不得违背采购文件确定的事项；</w:t>
      </w:r>
    </w:p>
    <w:p w14:paraId="321E9A7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2.11.2合同继续履行将损害国家利益和社会公共利益的，双方当事人应当以书面形式变更合同。有过错的一方应当承担赔偿责任，双方当事人都有过错的，各自承担相应的责任。</w:t>
      </w:r>
      <w:bookmarkStart w:id="147" w:name="_Toc279701259"/>
      <w:bookmarkStart w:id="148" w:name="_Toc487900369"/>
      <w:bookmarkStart w:id="149" w:name="_Toc259093688"/>
    </w:p>
    <w:p w14:paraId="5B194A8E">
      <w:pPr>
        <w:spacing w:line="500" w:lineRule="exact"/>
        <w:ind w:firstLine="437"/>
        <w:jc w:val="left"/>
        <w:outlineLvl w:val="2"/>
        <w:rPr>
          <w:rFonts w:ascii="宋体" w:hAnsi="宋体" w:eastAsia="宋体" w:cs="Times New Roman"/>
          <w:b/>
          <w:bCs/>
          <w:color w:val="auto"/>
          <w:sz w:val="24"/>
          <w:szCs w:val="24"/>
          <w:highlight w:val="none"/>
          <w:lang w:val="zh-CN"/>
        </w:rPr>
      </w:pPr>
      <w:bookmarkStart w:id="150" w:name="_Toc15237"/>
      <w:bookmarkStart w:id="151" w:name="_Toc22955"/>
      <w:bookmarkStart w:id="152" w:name="_Toc10366"/>
      <w:r>
        <w:rPr>
          <w:rFonts w:hint="eastAsia" w:ascii="宋体" w:hAnsi="宋体" w:eastAsia="宋体" w:cs="Times New Roman"/>
          <w:b/>
          <w:bCs/>
          <w:color w:val="auto"/>
          <w:sz w:val="24"/>
          <w:szCs w:val="24"/>
          <w:highlight w:val="none"/>
          <w:lang w:val="zh-CN"/>
        </w:rPr>
        <w:t xml:space="preserve">2.12 </w:t>
      </w:r>
      <w:r>
        <w:rPr>
          <w:rFonts w:ascii="宋体" w:hAnsi="宋体" w:eastAsia="宋体" w:cs="Times New Roman"/>
          <w:b/>
          <w:bCs/>
          <w:color w:val="auto"/>
          <w:sz w:val="24"/>
          <w:szCs w:val="24"/>
          <w:highlight w:val="none"/>
          <w:lang w:val="zh-CN"/>
        </w:rPr>
        <w:t>合同转让</w:t>
      </w:r>
      <w:bookmarkEnd w:id="147"/>
      <w:bookmarkEnd w:id="148"/>
      <w:bookmarkEnd w:id="149"/>
      <w:r>
        <w:rPr>
          <w:rFonts w:ascii="宋体" w:hAnsi="宋体" w:eastAsia="宋体" w:cs="Times New Roman"/>
          <w:b/>
          <w:bCs/>
          <w:color w:val="auto"/>
          <w:sz w:val="24"/>
          <w:szCs w:val="24"/>
          <w:highlight w:val="none"/>
          <w:lang w:val="zh-CN"/>
        </w:rPr>
        <w:t>和分包</w:t>
      </w:r>
      <w:bookmarkEnd w:id="150"/>
      <w:bookmarkEnd w:id="151"/>
      <w:bookmarkEnd w:id="152"/>
    </w:p>
    <w:p w14:paraId="744E1CAC">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合同的权利义务依法不</w:t>
      </w:r>
      <w:r>
        <w:rPr>
          <w:rFonts w:hint="eastAsia" w:ascii="宋体" w:hAnsi="宋体" w:eastAsia="宋体" w:cs="Times New Roman"/>
          <w:color w:val="auto"/>
          <w:sz w:val="24"/>
          <w:szCs w:val="24"/>
          <w:highlight w:val="none"/>
        </w:rPr>
        <w:t>得</w:t>
      </w:r>
      <w:r>
        <w:rPr>
          <w:rFonts w:ascii="宋体" w:hAnsi="宋体" w:eastAsia="宋体" w:cs="Times New Roman"/>
          <w:color w:val="auto"/>
          <w:sz w:val="24"/>
          <w:szCs w:val="24"/>
          <w:highlight w:val="none"/>
        </w:rPr>
        <w:t>转让</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但经甲方</w:t>
      </w:r>
      <w:r>
        <w:rPr>
          <w:rFonts w:hint="eastAsia" w:ascii="宋体" w:hAnsi="宋体" w:eastAsia="宋体" w:cs="Times New Roman"/>
          <w:color w:val="auto"/>
          <w:sz w:val="24"/>
          <w:szCs w:val="24"/>
          <w:highlight w:val="none"/>
        </w:rPr>
        <w:t>同意，乙方可以依法采取分包方式履行合同，即：依法可以</w:t>
      </w:r>
      <w:r>
        <w:rPr>
          <w:rFonts w:ascii="宋体" w:hAnsi="宋体" w:eastAsia="宋体" w:cs="Times New Roman"/>
          <w:color w:val="auto"/>
          <w:sz w:val="24"/>
          <w:szCs w:val="24"/>
          <w:highlight w:val="none"/>
        </w:rPr>
        <w:t>将合同项下的部分非主体、非关键性工作分包给他人完成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接受分包的人应当具备相应的资格条件，并不得再次分包</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且乙方应就分包项目向甲方负责</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并</w:t>
      </w:r>
      <w:r>
        <w:rPr>
          <w:rFonts w:hint="eastAsia" w:ascii="宋体" w:hAnsi="宋体" w:eastAsia="宋体" w:cs="Times New Roman"/>
          <w:color w:val="auto"/>
          <w:sz w:val="24"/>
          <w:szCs w:val="24"/>
          <w:highlight w:val="none"/>
        </w:rPr>
        <w:t>与分包供应商就分包项目向甲方承担连带责任。</w:t>
      </w:r>
    </w:p>
    <w:p w14:paraId="73AEF2AF">
      <w:pPr>
        <w:spacing w:line="500" w:lineRule="exact"/>
        <w:ind w:firstLine="437"/>
        <w:jc w:val="left"/>
        <w:outlineLvl w:val="2"/>
        <w:rPr>
          <w:rFonts w:ascii="宋体" w:hAnsi="宋体" w:eastAsia="宋体" w:cs="Times New Roman"/>
          <w:b/>
          <w:bCs/>
          <w:color w:val="auto"/>
          <w:sz w:val="24"/>
          <w:szCs w:val="24"/>
          <w:highlight w:val="none"/>
          <w:lang w:val="zh-CN"/>
        </w:rPr>
      </w:pPr>
      <w:bookmarkStart w:id="153" w:name="_Toc13566"/>
      <w:bookmarkStart w:id="154" w:name="_Toc14066"/>
      <w:bookmarkStart w:id="155" w:name="_Toc16508"/>
      <w:r>
        <w:rPr>
          <w:rFonts w:hint="eastAsia" w:ascii="宋体" w:hAnsi="宋体" w:eastAsia="宋体" w:cs="Times New Roman"/>
          <w:b/>
          <w:bCs/>
          <w:color w:val="auto"/>
          <w:sz w:val="24"/>
          <w:szCs w:val="24"/>
          <w:highlight w:val="none"/>
          <w:lang w:val="zh-CN"/>
        </w:rPr>
        <w:t>2.13</w:t>
      </w:r>
      <w:r>
        <w:rPr>
          <w:rFonts w:ascii="宋体" w:hAnsi="宋体" w:eastAsia="宋体" w:cs="Times New Roman"/>
          <w:b/>
          <w:bCs/>
          <w:color w:val="auto"/>
          <w:sz w:val="24"/>
          <w:szCs w:val="24"/>
          <w:highlight w:val="none"/>
          <w:lang w:val="zh-CN"/>
        </w:rPr>
        <w:t xml:space="preserve"> 不可抗力</w:t>
      </w:r>
      <w:bookmarkEnd w:id="153"/>
      <w:bookmarkEnd w:id="154"/>
      <w:bookmarkEnd w:id="155"/>
    </w:p>
    <w:p w14:paraId="19A11BB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w:t>
      </w:r>
      <w:r>
        <w:rPr>
          <w:rFonts w:ascii="宋体" w:hAnsi="宋体" w:eastAsia="宋体" w:cs="Times New Roman"/>
          <w:color w:val="auto"/>
          <w:sz w:val="24"/>
          <w:szCs w:val="24"/>
          <w:highlight w:val="none"/>
        </w:rPr>
        <w:t>.1如果任何一方遭遇法律规定的不可抗力，致使合同履行受阻时，履行合同的期限应予延长，延长的期限应相当于不可抗力所影响的时间</w:t>
      </w:r>
      <w:r>
        <w:rPr>
          <w:rFonts w:hint="eastAsia" w:ascii="宋体" w:hAnsi="宋体" w:eastAsia="宋体" w:cs="Times New Roman"/>
          <w:color w:val="auto"/>
          <w:sz w:val="24"/>
          <w:szCs w:val="24"/>
          <w:highlight w:val="none"/>
        </w:rPr>
        <w:t>；</w:t>
      </w:r>
    </w:p>
    <w:p w14:paraId="54AFE902">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2.13.2因不可抗力致使不能实现合同目的的，当事人可以解除合同；</w:t>
      </w:r>
    </w:p>
    <w:p w14:paraId="7B8AC2C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2.13.3因</w:t>
      </w:r>
      <w:r>
        <w:rPr>
          <w:rFonts w:ascii="宋体" w:hAnsi="宋体" w:eastAsia="宋体" w:cs="Times New Roman"/>
          <w:color w:val="auto"/>
          <w:sz w:val="24"/>
          <w:szCs w:val="24"/>
          <w:highlight w:val="none"/>
        </w:rPr>
        <w:t>不可抗力致使合同有变更必要的，双方当事人应在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约定时间内以书面形式变更合同</w:t>
      </w:r>
      <w:r>
        <w:rPr>
          <w:rFonts w:hint="eastAsia" w:ascii="宋体" w:hAnsi="宋体" w:eastAsia="宋体" w:cs="Times New Roman"/>
          <w:color w:val="auto"/>
          <w:sz w:val="24"/>
          <w:szCs w:val="24"/>
          <w:highlight w:val="none"/>
        </w:rPr>
        <w:t>；</w:t>
      </w:r>
    </w:p>
    <w:p w14:paraId="155FFA7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受</w:t>
      </w:r>
      <w:r>
        <w:rPr>
          <w:rFonts w:hint="eastAsia" w:ascii="宋体" w:hAnsi="宋体" w:eastAsia="宋体" w:cs="Times New Roman"/>
          <w:color w:val="auto"/>
          <w:sz w:val="24"/>
          <w:szCs w:val="24"/>
          <w:highlight w:val="none"/>
        </w:rPr>
        <w:t>不可抗力</w:t>
      </w:r>
      <w:r>
        <w:rPr>
          <w:rFonts w:ascii="宋体" w:hAnsi="宋体" w:eastAsia="宋体" w:cs="Times New Roman"/>
          <w:color w:val="auto"/>
          <w:sz w:val="24"/>
          <w:szCs w:val="24"/>
          <w:highlight w:val="none"/>
        </w:rPr>
        <w:t>影响的一方在不可抗力发生后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约定时间内以书面形式通知</w:t>
      </w:r>
      <w:r>
        <w:rPr>
          <w:rFonts w:hint="eastAsia" w:ascii="宋体" w:hAnsi="宋体" w:eastAsia="宋体" w:cs="Times New Roman"/>
          <w:color w:val="auto"/>
          <w:sz w:val="24"/>
          <w:szCs w:val="24"/>
          <w:highlight w:val="none"/>
        </w:rPr>
        <w:t>对</w:t>
      </w:r>
      <w:r>
        <w:rPr>
          <w:rFonts w:ascii="宋体" w:hAnsi="宋体" w:eastAsia="宋体" w:cs="Times New Roman"/>
          <w:color w:val="auto"/>
          <w:sz w:val="24"/>
          <w:szCs w:val="24"/>
          <w:highlight w:val="none"/>
        </w:rPr>
        <w:t>方当事人，并在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约定时间内，将有关部门出具的证明文件送达</w:t>
      </w:r>
      <w:r>
        <w:rPr>
          <w:rFonts w:hint="eastAsia" w:ascii="宋体" w:hAnsi="宋体" w:eastAsia="宋体" w:cs="Times New Roman"/>
          <w:color w:val="auto"/>
          <w:sz w:val="24"/>
          <w:szCs w:val="24"/>
          <w:highlight w:val="none"/>
        </w:rPr>
        <w:t>对方当事人</w:t>
      </w:r>
      <w:r>
        <w:rPr>
          <w:rFonts w:ascii="宋体" w:hAnsi="宋体" w:eastAsia="宋体" w:cs="Times New Roman"/>
          <w:color w:val="auto"/>
          <w:sz w:val="24"/>
          <w:szCs w:val="24"/>
          <w:highlight w:val="none"/>
        </w:rPr>
        <w:t>。</w:t>
      </w:r>
    </w:p>
    <w:p w14:paraId="1E190997">
      <w:pPr>
        <w:spacing w:line="500" w:lineRule="exact"/>
        <w:ind w:firstLine="437"/>
        <w:jc w:val="left"/>
        <w:outlineLvl w:val="2"/>
        <w:rPr>
          <w:rFonts w:ascii="宋体" w:hAnsi="宋体" w:eastAsia="宋体" w:cs="Times New Roman"/>
          <w:b/>
          <w:bCs/>
          <w:color w:val="auto"/>
          <w:sz w:val="24"/>
          <w:szCs w:val="24"/>
          <w:highlight w:val="none"/>
          <w:lang w:val="zh-CN"/>
        </w:rPr>
      </w:pPr>
      <w:bookmarkStart w:id="156" w:name="_Toc6969"/>
      <w:bookmarkStart w:id="157" w:name="_Toc487900365"/>
      <w:bookmarkStart w:id="158" w:name="_Toc259093684"/>
      <w:bookmarkStart w:id="159" w:name="_Toc279701255"/>
      <w:bookmarkStart w:id="160" w:name="_Toc689"/>
      <w:bookmarkStart w:id="161" w:name="_Toc30676"/>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4 </w:t>
      </w:r>
      <w:r>
        <w:rPr>
          <w:rFonts w:ascii="宋体" w:hAnsi="宋体" w:eastAsia="宋体" w:cs="Times New Roman"/>
          <w:b/>
          <w:bCs/>
          <w:color w:val="auto"/>
          <w:sz w:val="24"/>
          <w:szCs w:val="24"/>
          <w:highlight w:val="none"/>
          <w:lang w:val="zh-CN"/>
        </w:rPr>
        <w:t>税费</w:t>
      </w:r>
      <w:bookmarkEnd w:id="156"/>
      <w:bookmarkEnd w:id="157"/>
      <w:bookmarkEnd w:id="158"/>
      <w:bookmarkEnd w:id="159"/>
      <w:bookmarkEnd w:id="160"/>
      <w:bookmarkEnd w:id="161"/>
    </w:p>
    <w:p w14:paraId="4191B594">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与合同有关的一切税费</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均按照中华人民共和国法律的相关规定</w:t>
      </w:r>
      <w:r>
        <w:rPr>
          <w:rFonts w:hint="eastAsia" w:ascii="宋体" w:hAnsi="宋体" w:eastAsia="宋体" w:cs="Times New Roman"/>
          <w:color w:val="auto"/>
          <w:sz w:val="24"/>
          <w:szCs w:val="24"/>
          <w:highlight w:val="none"/>
        </w:rPr>
        <w:t>缴纳</w:t>
      </w:r>
      <w:r>
        <w:rPr>
          <w:rFonts w:ascii="宋体" w:hAnsi="宋体" w:eastAsia="宋体" w:cs="Times New Roman"/>
          <w:color w:val="auto"/>
          <w:sz w:val="24"/>
          <w:szCs w:val="24"/>
          <w:highlight w:val="none"/>
        </w:rPr>
        <w:t>。</w:t>
      </w:r>
    </w:p>
    <w:p w14:paraId="0DEFD2CC">
      <w:pPr>
        <w:spacing w:line="500" w:lineRule="exact"/>
        <w:ind w:firstLine="437"/>
        <w:jc w:val="left"/>
        <w:outlineLvl w:val="2"/>
        <w:rPr>
          <w:rFonts w:ascii="宋体" w:hAnsi="宋体" w:eastAsia="宋体" w:cs="Times New Roman"/>
          <w:b/>
          <w:bCs/>
          <w:color w:val="auto"/>
          <w:sz w:val="24"/>
          <w:szCs w:val="24"/>
          <w:highlight w:val="none"/>
          <w:lang w:val="zh-CN"/>
        </w:rPr>
      </w:pPr>
      <w:bookmarkStart w:id="162" w:name="_Toc8298"/>
      <w:bookmarkStart w:id="163" w:name="_Toc279701258"/>
      <w:bookmarkStart w:id="164" w:name="_Toc259093687"/>
      <w:bookmarkStart w:id="165" w:name="_Toc16959"/>
      <w:bookmarkStart w:id="166" w:name="_Toc487900368"/>
      <w:bookmarkStart w:id="167" w:name="_Toc7102"/>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5 </w:t>
      </w:r>
      <w:r>
        <w:rPr>
          <w:rFonts w:ascii="宋体" w:hAnsi="宋体" w:eastAsia="宋体" w:cs="Times New Roman"/>
          <w:b/>
          <w:bCs/>
          <w:color w:val="auto"/>
          <w:sz w:val="24"/>
          <w:szCs w:val="24"/>
          <w:highlight w:val="none"/>
          <w:lang w:val="zh-CN"/>
        </w:rPr>
        <w:t>乙方破产</w:t>
      </w:r>
      <w:bookmarkEnd w:id="162"/>
      <w:bookmarkEnd w:id="163"/>
      <w:bookmarkEnd w:id="164"/>
      <w:bookmarkEnd w:id="165"/>
      <w:bookmarkEnd w:id="166"/>
      <w:bookmarkEnd w:id="167"/>
    </w:p>
    <w:p w14:paraId="4476A264">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如果乙方破产导致合同无法履行时，甲方可以书面形式通知乙方终止合同且不给予乙方任何补偿和赔偿</w:t>
      </w:r>
      <w:r>
        <w:rPr>
          <w:rFonts w:hint="eastAsia" w:ascii="宋体" w:hAnsi="宋体" w:eastAsia="宋体" w:cs="Times New Roman"/>
          <w:color w:val="auto"/>
          <w:sz w:val="24"/>
          <w:szCs w:val="24"/>
          <w:highlight w:val="none"/>
        </w:rPr>
        <w:t>，但合同的</w:t>
      </w:r>
      <w:r>
        <w:rPr>
          <w:rFonts w:ascii="宋体" w:hAnsi="宋体" w:eastAsia="宋体" w:cs="Times New Roman"/>
          <w:color w:val="auto"/>
          <w:sz w:val="24"/>
          <w:szCs w:val="24"/>
          <w:highlight w:val="none"/>
        </w:rPr>
        <w:t>终止不损害或不影响甲方已经采取或将要采取的任何要求乙方支付违约金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赔偿损失等的行动或补救措施的权利</w:t>
      </w:r>
      <w:r>
        <w:rPr>
          <w:rFonts w:hint="eastAsia" w:ascii="宋体" w:hAnsi="宋体" w:eastAsia="宋体" w:cs="Times New Roman"/>
          <w:color w:val="auto"/>
          <w:sz w:val="24"/>
          <w:szCs w:val="24"/>
          <w:highlight w:val="none"/>
        </w:rPr>
        <w:t>。</w:t>
      </w:r>
    </w:p>
    <w:p w14:paraId="1640BEB5">
      <w:pPr>
        <w:spacing w:line="500" w:lineRule="exact"/>
        <w:ind w:firstLine="437"/>
        <w:jc w:val="left"/>
        <w:outlineLvl w:val="2"/>
        <w:rPr>
          <w:rFonts w:ascii="宋体" w:hAnsi="宋体" w:eastAsia="宋体" w:cs="Times New Roman"/>
          <w:b/>
          <w:color w:val="auto"/>
          <w:sz w:val="24"/>
          <w:szCs w:val="24"/>
          <w:highlight w:val="none"/>
        </w:rPr>
      </w:pPr>
      <w:bookmarkStart w:id="168" w:name="_Toc15387"/>
      <w:bookmarkStart w:id="169" w:name="_Toc6134"/>
      <w:bookmarkStart w:id="170" w:name="_Toc29333"/>
      <w:r>
        <w:rPr>
          <w:rFonts w:hint="eastAsia" w:ascii="宋体" w:hAnsi="宋体" w:eastAsia="宋体" w:cs="Times New Roman"/>
          <w:b/>
          <w:bCs/>
          <w:color w:val="auto"/>
          <w:sz w:val="24"/>
          <w:szCs w:val="24"/>
          <w:highlight w:val="none"/>
          <w:lang w:val="zh-CN"/>
        </w:rPr>
        <w:t>2.16 合同中止、终止</w:t>
      </w:r>
      <w:bookmarkEnd w:id="168"/>
      <w:bookmarkEnd w:id="169"/>
      <w:bookmarkEnd w:id="170"/>
    </w:p>
    <w:p w14:paraId="4CE0DA3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2.16.1双方当事人不得擅自中止或者终止合同；</w:t>
      </w:r>
    </w:p>
    <w:p w14:paraId="691FDC6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2.16.2合同继续履行将损害国家利益和社会公共利益的，双方当事人应当中止或者终止合同。有过错的一方应当承担赔偿责任，双方当事人都有过错的，各自承担相应的责任。</w:t>
      </w:r>
    </w:p>
    <w:p w14:paraId="06580BC8">
      <w:pPr>
        <w:spacing w:line="500" w:lineRule="exact"/>
        <w:ind w:firstLine="437"/>
        <w:jc w:val="left"/>
        <w:outlineLvl w:val="2"/>
        <w:rPr>
          <w:rFonts w:ascii="宋体" w:hAnsi="宋体" w:eastAsia="宋体" w:cs="Times New Roman"/>
          <w:b/>
          <w:bCs/>
          <w:color w:val="auto"/>
          <w:sz w:val="24"/>
          <w:szCs w:val="24"/>
          <w:highlight w:val="none"/>
          <w:lang w:val="zh-CN"/>
        </w:rPr>
      </w:pPr>
      <w:bookmarkStart w:id="171" w:name="_Toc14563"/>
      <w:bookmarkStart w:id="172" w:name="_Toc6596"/>
      <w:bookmarkStart w:id="173" w:name="_Toc1125"/>
      <w:r>
        <w:rPr>
          <w:rFonts w:hint="eastAsia" w:ascii="宋体" w:hAnsi="宋体" w:eastAsia="宋体" w:cs="Times New Roman"/>
          <w:b/>
          <w:bCs/>
          <w:color w:val="auto"/>
          <w:sz w:val="24"/>
          <w:szCs w:val="24"/>
          <w:highlight w:val="none"/>
          <w:lang w:val="zh-CN"/>
        </w:rPr>
        <w:t>2.17 检验和验收</w:t>
      </w:r>
      <w:bookmarkEnd w:id="171"/>
      <w:bookmarkEnd w:id="172"/>
      <w:bookmarkEnd w:id="173"/>
    </w:p>
    <w:p w14:paraId="7AC8A46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1货物交付前，乙方应对货物的质量、数量等方面进行详细、全面的检验，并向甲方出具证明货物符合合同约定的文件；货物交付时，乙方在</w:t>
      </w:r>
      <w:r>
        <w:rPr>
          <w:rFonts w:hint="eastAsia"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约定时间内组织验收，并可依法邀请相关方参加，验收应出具验收书。</w:t>
      </w:r>
    </w:p>
    <w:p w14:paraId="7E5754A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757CA68">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2.17.3检验和验收标准、程序等具体内容以及前述验收书的效力详见</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i/>
          <w:color w:val="auto"/>
          <w:sz w:val="24"/>
          <w:szCs w:val="24"/>
          <w:highlight w:val="none"/>
        </w:rPr>
        <w:t>。</w:t>
      </w:r>
    </w:p>
    <w:bookmarkEnd w:id="143"/>
    <w:bookmarkEnd w:id="144"/>
    <w:bookmarkEnd w:id="145"/>
    <w:bookmarkEnd w:id="146"/>
    <w:p w14:paraId="7DFCF116">
      <w:pPr>
        <w:spacing w:line="500" w:lineRule="exact"/>
        <w:ind w:firstLine="437"/>
        <w:jc w:val="left"/>
        <w:outlineLvl w:val="2"/>
        <w:rPr>
          <w:rFonts w:ascii="宋体" w:hAnsi="宋体" w:eastAsia="宋体" w:cs="Times New Roman"/>
          <w:b/>
          <w:color w:val="auto"/>
          <w:sz w:val="24"/>
          <w:szCs w:val="24"/>
          <w:highlight w:val="none"/>
        </w:rPr>
      </w:pPr>
      <w:bookmarkStart w:id="174" w:name="_Toc30599"/>
      <w:bookmarkStart w:id="175" w:name="_Toc487900372"/>
      <w:bookmarkStart w:id="176" w:name="_Toc279701262"/>
      <w:bookmarkStart w:id="177" w:name="_Toc18540"/>
      <w:bookmarkStart w:id="178" w:name="_Toc4355"/>
      <w:bookmarkStart w:id="179" w:name="_Toc259093691"/>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8</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计量单位</w:t>
      </w:r>
      <w:bookmarkEnd w:id="174"/>
      <w:bookmarkEnd w:id="175"/>
      <w:bookmarkEnd w:id="176"/>
      <w:bookmarkEnd w:id="177"/>
      <w:bookmarkEnd w:id="178"/>
      <w:bookmarkEnd w:id="179"/>
    </w:p>
    <w:p w14:paraId="6BB9DC30">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除技术规范中另有规定外,合同的计量单位均使用国家法定计量单位。</w:t>
      </w:r>
    </w:p>
    <w:p w14:paraId="54411FBD">
      <w:pPr>
        <w:spacing w:line="500" w:lineRule="exact"/>
        <w:ind w:firstLine="437"/>
        <w:jc w:val="left"/>
        <w:outlineLvl w:val="2"/>
        <w:rPr>
          <w:rFonts w:ascii="宋体" w:hAnsi="宋体" w:eastAsia="宋体" w:cs="Times New Roman"/>
          <w:b/>
          <w:bCs/>
          <w:color w:val="auto"/>
          <w:sz w:val="24"/>
          <w:szCs w:val="24"/>
          <w:highlight w:val="none"/>
        </w:rPr>
      </w:pPr>
      <w:bookmarkStart w:id="180" w:name="_Toc12773"/>
      <w:bookmarkStart w:id="181" w:name="_Toc487900373"/>
      <w:bookmarkStart w:id="182" w:name="_Toc279701263"/>
      <w:bookmarkStart w:id="183" w:name="_Toc18567"/>
      <w:bookmarkStart w:id="184" w:name="_Toc259093692"/>
      <w:bookmarkStart w:id="185" w:name="_Toc10330"/>
      <w:r>
        <w:rPr>
          <w:rFonts w:hint="eastAsia" w:ascii="宋体" w:hAnsi="宋体" w:eastAsia="宋体" w:cs="Times New Roman"/>
          <w:b/>
          <w:bCs/>
          <w:color w:val="auto"/>
          <w:sz w:val="24"/>
          <w:szCs w:val="24"/>
          <w:highlight w:val="none"/>
        </w:rPr>
        <w:t>2.</w:t>
      </w:r>
      <w:r>
        <w:rPr>
          <w:rFonts w:ascii="宋体" w:hAnsi="宋体" w:eastAsia="宋体" w:cs="Times New Roman"/>
          <w:b/>
          <w:bCs/>
          <w:color w:val="auto"/>
          <w:sz w:val="24"/>
          <w:szCs w:val="24"/>
          <w:highlight w:val="none"/>
        </w:rPr>
        <w:t>19</w:t>
      </w:r>
      <w:r>
        <w:rPr>
          <w:rFonts w:hint="eastAsia" w:ascii="宋体" w:hAnsi="宋体" w:eastAsia="宋体" w:cs="Times New Roman"/>
          <w:b/>
          <w:bCs/>
          <w:color w:val="auto"/>
          <w:sz w:val="24"/>
          <w:szCs w:val="24"/>
          <w:highlight w:val="none"/>
        </w:rPr>
        <w:t xml:space="preserve"> </w:t>
      </w:r>
      <w:r>
        <w:rPr>
          <w:rFonts w:hint="eastAsia" w:ascii="宋体" w:hAnsi="宋体" w:eastAsia="宋体" w:cs="Times New Roman"/>
          <w:b/>
          <w:bCs/>
          <w:color w:val="auto"/>
          <w:sz w:val="24"/>
          <w:szCs w:val="24"/>
          <w:highlight w:val="none"/>
          <w:lang w:val="zh-CN"/>
        </w:rPr>
        <w:t>合同使用的文字和</w:t>
      </w:r>
      <w:r>
        <w:rPr>
          <w:rFonts w:ascii="宋体" w:hAnsi="宋体" w:eastAsia="宋体" w:cs="Times New Roman"/>
          <w:b/>
          <w:bCs/>
          <w:color w:val="auto"/>
          <w:sz w:val="24"/>
          <w:szCs w:val="24"/>
          <w:highlight w:val="none"/>
          <w:lang w:val="zh-CN"/>
        </w:rPr>
        <w:t>适用的法律</w:t>
      </w:r>
      <w:bookmarkEnd w:id="180"/>
      <w:bookmarkEnd w:id="181"/>
      <w:bookmarkEnd w:id="182"/>
      <w:bookmarkEnd w:id="183"/>
      <w:bookmarkEnd w:id="184"/>
      <w:bookmarkEnd w:id="185"/>
    </w:p>
    <w:p w14:paraId="616B6AB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19.1合同使用汉语书就</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变更和解释</w:t>
      </w:r>
      <w:r>
        <w:rPr>
          <w:rFonts w:hint="eastAsia" w:ascii="宋体" w:hAnsi="宋体" w:eastAsia="宋体" w:cs="Times New Roman"/>
          <w:color w:val="auto"/>
          <w:sz w:val="24"/>
          <w:szCs w:val="24"/>
          <w:highlight w:val="none"/>
        </w:rPr>
        <w:t>；</w:t>
      </w:r>
    </w:p>
    <w:p w14:paraId="70E95B72">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19</w:t>
      </w:r>
      <w:r>
        <w:rPr>
          <w:rFonts w:hint="eastAsia" w:ascii="宋体" w:hAnsi="宋体" w:eastAsia="宋体" w:cs="Times New Roman"/>
          <w:color w:val="auto"/>
          <w:sz w:val="24"/>
          <w:szCs w:val="24"/>
          <w:highlight w:val="none"/>
        </w:rPr>
        <w:t>.2合同适用</w:t>
      </w:r>
      <w:r>
        <w:rPr>
          <w:rFonts w:ascii="宋体" w:hAnsi="宋体" w:eastAsia="宋体" w:cs="Times New Roman"/>
          <w:color w:val="auto"/>
          <w:sz w:val="24"/>
          <w:szCs w:val="24"/>
          <w:highlight w:val="none"/>
        </w:rPr>
        <w:t>中华人民共和国法律。</w:t>
      </w:r>
    </w:p>
    <w:p w14:paraId="43661F5F">
      <w:pPr>
        <w:spacing w:line="500" w:lineRule="exact"/>
        <w:ind w:firstLine="437"/>
        <w:jc w:val="left"/>
        <w:outlineLvl w:val="2"/>
        <w:rPr>
          <w:rFonts w:ascii="宋体" w:hAnsi="宋体" w:eastAsia="宋体" w:cs="Times New Roman"/>
          <w:b/>
          <w:color w:val="auto"/>
          <w:sz w:val="24"/>
          <w:szCs w:val="24"/>
          <w:highlight w:val="none"/>
        </w:rPr>
      </w:pPr>
      <w:bookmarkStart w:id="186" w:name="_Toc3148"/>
      <w:bookmarkStart w:id="187" w:name="_Toc12004"/>
      <w:bookmarkStart w:id="188" w:name="_Toc259093693"/>
      <w:bookmarkStart w:id="189" w:name="_Toc279701264"/>
      <w:bookmarkStart w:id="190" w:name="_Toc16673"/>
      <w:bookmarkStart w:id="191" w:name="_Toc487900374"/>
      <w:r>
        <w:rPr>
          <w:rFonts w:hint="eastAsia" w:ascii="宋体" w:hAnsi="宋体" w:eastAsia="宋体" w:cs="Times New Roman"/>
          <w:b/>
          <w:bCs/>
          <w:color w:val="auto"/>
          <w:sz w:val="24"/>
          <w:szCs w:val="24"/>
          <w:highlight w:val="none"/>
          <w:lang w:val="zh-CN"/>
        </w:rPr>
        <w:t>2.2</w:t>
      </w:r>
      <w:r>
        <w:rPr>
          <w:rFonts w:ascii="宋体" w:hAnsi="宋体" w:eastAsia="宋体" w:cs="Times New Roman"/>
          <w:b/>
          <w:bCs/>
          <w:color w:val="auto"/>
          <w:sz w:val="24"/>
          <w:szCs w:val="24"/>
          <w:highlight w:val="none"/>
          <w:lang w:val="zh-CN"/>
        </w:rPr>
        <w:t>0</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履约保证金</w:t>
      </w:r>
      <w:bookmarkEnd w:id="186"/>
      <w:bookmarkEnd w:id="187"/>
      <w:bookmarkEnd w:id="188"/>
      <w:bookmarkEnd w:id="189"/>
      <w:bookmarkEnd w:id="190"/>
    </w:p>
    <w:p w14:paraId="3FCE5C3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w:t>
      </w:r>
      <w:r>
        <w:rPr>
          <w:rFonts w:hint="eastAsia" w:ascii="宋体" w:hAnsi="宋体" w:eastAsia="宋体" w:cs="Times New Roman"/>
          <w:color w:val="auto"/>
          <w:sz w:val="24"/>
          <w:szCs w:val="24"/>
          <w:highlight w:val="none"/>
        </w:rPr>
        <w:t>.1采购文件要求乙方提交履约保证金的，乙方</w:t>
      </w:r>
      <w:r>
        <w:rPr>
          <w:rFonts w:ascii="宋体" w:hAnsi="宋体" w:eastAsia="宋体" w:cs="Times New Roman"/>
          <w:color w:val="auto"/>
          <w:sz w:val="24"/>
          <w:szCs w:val="24"/>
          <w:highlight w:val="none"/>
        </w:rPr>
        <w:t>应按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约定的方式</w:t>
      </w:r>
      <w:r>
        <w:rPr>
          <w:rFonts w:hint="eastAsia" w:ascii="宋体" w:hAnsi="宋体" w:eastAsia="宋体" w:cs="Times New Roman"/>
          <w:color w:val="auto"/>
          <w:sz w:val="24"/>
          <w:szCs w:val="24"/>
          <w:highlight w:val="none"/>
        </w:rPr>
        <w:t>，以支票、汇票、本票或者金融机构、担保机构出具的保函等非现金形式提交；</w:t>
      </w:r>
    </w:p>
    <w:p w14:paraId="6AB3DE7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0.2履约保证金在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约定期间内或者货物质量保证期内不予退还或者应完全有效</w:t>
      </w:r>
      <w:r>
        <w:rPr>
          <w:rFonts w:hint="eastAsia" w:ascii="宋体" w:hAnsi="宋体" w:eastAsia="宋体" w:cs="Times New Roman"/>
          <w:color w:val="auto"/>
          <w:sz w:val="24"/>
          <w:szCs w:val="24"/>
          <w:highlight w:val="none"/>
        </w:rPr>
        <w:t>，前述约定期间届满或者</w:t>
      </w:r>
      <w:r>
        <w:rPr>
          <w:rFonts w:ascii="宋体" w:hAnsi="宋体" w:eastAsia="宋体" w:cs="Times New Roman"/>
          <w:color w:val="auto"/>
          <w:sz w:val="24"/>
          <w:szCs w:val="24"/>
          <w:highlight w:val="none"/>
        </w:rPr>
        <w:t>货物质量保证期届满之日起</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个</w:t>
      </w:r>
      <w:r>
        <w:rPr>
          <w:rFonts w:ascii="宋体" w:hAnsi="宋体" w:eastAsia="宋体" w:cs="Times New Roman"/>
          <w:color w:val="auto"/>
          <w:sz w:val="24"/>
          <w:szCs w:val="24"/>
          <w:highlight w:val="none"/>
        </w:rPr>
        <w:t>工作日内，甲方应将履约保证金退还乙方</w:t>
      </w:r>
      <w:r>
        <w:rPr>
          <w:rFonts w:hint="eastAsia" w:ascii="宋体" w:hAnsi="宋体" w:eastAsia="宋体" w:cs="Times New Roman"/>
          <w:color w:val="auto"/>
          <w:sz w:val="24"/>
          <w:szCs w:val="24"/>
          <w:highlight w:val="none"/>
        </w:rPr>
        <w:t>；</w:t>
      </w:r>
    </w:p>
    <w:p w14:paraId="1169DE6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w:t>
      </w: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如果乙方不履行合同</w:t>
      </w:r>
      <w:r>
        <w:rPr>
          <w:rFonts w:hint="eastAsia" w:ascii="宋体" w:hAnsi="宋体" w:eastAsia="宋体" w:cs="Times New Roman"/>
          <w:color w:val="auto"/>
          <w:sz w:val="24"/>
          <w:szCs w:val="24"/>
          <w:highlight w:val="none"/>
        </w:rPr>
        <w:t>，履约保证金不予退还；如果乙方</w:t>
      </w:r>
      <w:r>
        <w:rPr>
          <w:rFonts w:ascii="宋体" w:hAnsi="宋体" w:eastAsia="宋体" w:cs="Times New Roman"/>
          <w:color w:val="auto"/>
          <w:sz w:val="24"/>
          <w:szCs w:val="24"/>
          <w:highlight w:val="none"/>
        </w:rPr>
        <w:t>未能按合同</w:t>
      </w:r>
      <w:r>
        <w:rPr>
          <w:rFonts w:hint="eastAsia" w:ascii="宋体" w:hAnsi="宋体" w:eastAsia="宋体" w:cs="Times New Roman"/>
          <w:color w:val="auto"/>
          <w:sz w:val="24"/>
          <w:szCs w:val="24"/>
          <w:highlight w:val="none"/>
        </w:rPr>
        <w:t>约</w:t>
      </w:r>
      <w:r>
        <w:rPr>
          <w:rFonts w:ascii="宋体" w:hAnsi="宋体" w:eastAsia="宋体" w:cs="Times New Roman"/>
          <w:color w:val="auto"/>
          <w:sz w:val="24"/>
          <w:szCs w:val="24"/>
          <w:highlight w:val="none"/>
        </w:rPr>
        <w:t>定全面履行义务，那么甲方有权从履约保证金中取得补偿或赔偿</w:t>
      </w:r>
      <w:r>
        <w:rPr>
          <w:rFonts w:hint="eastAsia" w:ascii="宋体" w:hAnsi="宋体" w:eastAsia="宋体" w:cs="Times New Roman"/>
          <w:color w:val="auto"/>
          <w:sz w:val="24"/>
          <w:szCs w:val="24"/>
          <w:highlight w:val="none"/>
        </w:rPr>
        <w:t>，同时不影响甲方要求乙方承担合同约定的超过履约保证金的违约责任的权利。</w:t>
      </w:r>
    </w:p>
    <w:bookmarkEnd w:id="191"/>
    <w:p w14:paraId="25853211">
      <w:pPr>
        <w:spacing w:line="500" w:lineRule="exact"/>
        <w:ind w:firstLine="437"/>
        <w:jc w:val="left"/>
        <w:outlineLvl w:val="2"/>
        <w:rPr>
          <w:rFonts w:ascii="宋体" w:hAnsi="宋体" w:eastAsia="宋体" w:cs="Times New Roman"/>
          <w:b/>
          <w:color w:val="auto"/>
          <w:sz w:val="24"/>
          <w:szCs w:val="24"/>
          <w:highlight w:val="none"/>
        </w:rPr>
      </w:pPr>
      <w:bookmarkStart w:id="192" w:name="_Toc6885"/>
      <w:bookmarkStart w:id="193" w:name="_Toc14001"/>
      <w:bookmarkStart w:id="194" w:name="_Toc19890"/>
      <w:r>
        <w:rPr>
          <w:rFonts w:hint="eastAsia" w:ascii="宋体" w:hAnsi="宋体" w:eastAsia="宋体" w:cs="Times New Roman"/>
          <w:b/>
          <w:bCs/>
          <w:color w:val="auto"/>
          <w:sz w:val="24"/>
          <w:szCs w:val="24"/>
          <w:highlight w:val="none"/>
          <w:lang w:val="zh-CN"/>
        </w:rPr>
        <w:t>2.2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 合同份数</w:t>
      </w:r>
      <w:bookmarkEnd w:id="192"/>
      <w:bookmarkEnd w:id="193"/>
      <w:bookmarkEnd w:id="194"/>
    </w:p>
    <w:p w14:paraId="01DE6F33">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合同份数按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规定</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每份均具有同等法律效力</w:t>
      </w:r>
      <w:r>
        <w:rPr>
          <w:rFonts w:hint="eastAsia" w:ascii="宋体" w:hAnsi="宋体" w:eastAsia="宋体" w:cs="Times New Roman"/>
          <w:color w:val="auto"/>
          <w:sz w:val="24"/>
          <w:szCs w:val="24"/>
          <w:highlight w:val="none"/>
        </w:rPr>
        <w:t>。</w:t>
      </w:r>
    </w:p>
    <w:p w14:paraId="4D5CB3C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86967E7">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第三部分</w:t>
      </w:r>
      <w:r>
        <w:rPr>
          <w:rFonts w:ascii="宋体" w:hAnsi="宋体" w:eastAsia="宋体"/>
          <w:b/>
          <w:color w:val="auto"/>
          <w:sz w:val="24"/>
          <w:highlight w:val="none"/>
        </w:rPr>
        <w:t xml:space="preserve"> </w:t>
      </w:r>
      <w:r>
        <w:rPr>
          <w:rFonts w:hint="eastAsia" w:ascii="宋体" w:hAnsi="宋体" w:eastAsia="宋体"/>
          <w:b/>
          <w:color w:val="auto"/>
          <w:sz w:val="24"/>
          <w:highlight w:val="none"/>
        </w:rPr>
        <w:t>合同专用条款</w:t>
      </w:r>
    </w:p>
    <w:p w14:paraId="7EC409DE">
      <w:pPr>
        <w:spacing w:line="500" w:lineRule="exact"/>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7EF30C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1BB7AB7">
            <w:pPr>
              <w:spacing w:line="50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568" w:type="dxa"/>
            <w:vAlign w:val="center"/>
          </w:tcPr>
          <w:p w14:paraId="505F9C11">
            <w:pPr>
              <w:spacing w:line="50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约定内容</w:t>
            </w:r>
          </w:p>
        </w:tc>
      </w:tr>
      <w:tr w14:paraId="635597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4D465DCA">
            <w:pPr>
              <w:spacing w:line="5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2.6</w:t>
            </w:r>
          </w:p>
        </w:tc>
        <w:tc>
          <w:tcPr>
            <w:tcW w:w="7568" w:type="dxa"/>
            <w:vAlign w:val="center"/>
          </w:tcPr>
          <w:p w14:paraId="1F88EF6B">
            <w:pPr>
              <w:spacing w:line="5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合同签订后，具备实施条件后支付合同价的40%预付款（预付款支付前，中标人须提供同等金额的见索即付保函），全部供货安装调试完毕并由采购人验收合格后，一次性付清合同款。</w:t>
            </w:r>
          </w:p>
        </w:tc>
      </w:tr>
      <w:tr w14:paraId="6C799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5B3AC21">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2.17.3</w:t>
            </w:r>
          </w:p>
        </w:tc>
        <w:tc>
          <w:tcPr>
            <w:tcW w:w="7568" w:type="dxa"/>
            <w:vAlign w:val="center"/>
          </w:tcPr>
          <w:p w14:paraId="38DF602E">
            <w:pPr>
              <w:spacing w:line="5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检验和验收标准根据项目</w:t>
            </w:r>
            <w:r>
              <w:rPr>
                <w:rFonts w:hint="eastAsia" w:ascii="宋体" w:hAnsi="宋体" w:eastAsia="宋体" w:cs="宋体"/>
                <w:color w:val="auto"/>
                <w:sz w:val="24"/>
                <w:szCs w:val="24"/>
                <w:highlight w:val="none"/>
                <w:lang w:val="zh-CN"/>
              </w:rPr>
              <w:t>投标文件及采购文件要求（含澄清或者说明文件、承诺书等）执行。</w:t>
            </w:r>
          </w:p>
        </w:tc>
      </w:tr>
      <w:tr w14:paraId="133B69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0FBBE4CC">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2.20.1</w:t>
            </w:r>
          </w:p>
        </w:tc>
        <w:tc>
          <w:tcPr>
            <w:tcW w:w="7568" w:type="dxa"/>
            <w:vAlign w:val="center"/>
          </w:tcPr>
          <w:p w14:paraId="364514CA">
            <w:pPr>
              <w:spacing w:line="5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本项目履约保证金为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元（大写： ），收受人为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，履约担保的形式为：</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 xml:space="preserve">转账/电汇 </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 xml:space="preserve">支票 </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 xml:space="preserve">汇票 </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 xml:space="preserve">本票 </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 xml:space="preserve">保险 </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保函</w:t>
            </w:r>
          </w:p>
        </w:tc>
      </w:tr>
      <w:tr w14:paraId="2193B4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948E8A5">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2.20.2</w:t>
            </w:r>
          </w:p>
        </w:tc>
        <w:tc>
          <w:tcPr>
            <w:tcW w:w="7568" w:type="dxa"/>
            <w:vAlign w:val="center"/>
          </w:tcPr>
          <w:p w14:paraId="2D11DE8E">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履约保证金期满后，乙方应向甲方提出申请，经甲方确认后，乙方自行至履约保证金收受方办理履约保证金退还手续。</w:t>
            </w:r>
          </w:p>
        </w:tc>
      </w:tr>
      <w:tr w14:paraId="2D955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3A8212DC">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2.21</w:t>
            </w:r>
          </w:p>
        </w:tc>
        <w:tc>
          <w:tcPr>
            <w:tcW w:w="7568" w:type="dxa"/>
            <w:vAlign w:val="center"/>
          </w:tcPr>
          <w:p w14:paraId="2B1A5E03">
            <w:pPr>
              <w:spacing w:line="500" w:lineRule="exac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份，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p>
        </w:tc>
      </w:tr>
      <w:tr w14:paraId="547DEA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502F8B3">
            <w:pPr>
              <w:spacing w:line="500" w:lineRule="exact"/>
              <w:rPr>
                <w:rFonts w:ascii="宋体" w:hAnsi="宋体" w:eastAsia="宋体" w:cs="宋体"/>
                <w:color w:val="auto"/>
                <w:sz w:val="24"/>
                <w:szCs w:val="24"/>
                <w:highlight w:val="none"/>
              </w:rPr>
            </w:pPr>
          </w:p>
        </w:tc>
        <w:tc>
          <w:tcPr>
            <w:tcW w:w="7568" w:type="dxa"/>
            <w:vAlign w:val="center"/>
          </w:tcPr>
          <w:p w14:paraId="6E0BC47D">
            <w:pPr>
              <w:spacing w:line="500" w:lineRule="exact"/>
              <w:rPr>
                <w:rFonts w:ascii="宋体" w:hAnsi="宋体" w:eastAsia="宋体" w:cs="宋体"/>
                <w:color w:val="auto"/>
                <w:sz w:val="24"/>
                <w:szCs w:val="24"/>
                <w:highlight w:val="none"/>
              </w:rPr>
            </w:pPr>
          </w:p>
        </w:tc>
      </w:tr>
      <w:tr w14:paraId="5C078E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7DABF3CC">
            <w:pPr>
              <w:spacing w:line="500" w:lineRule="exact"/>
              <w:rPr>
                <w:rFonts w:ascii="宋体" w:hAnsi="宋体" w:eastAsia="宋体" w:cs="宋体"/>
                <w:color w:val="auto"/>
                <w:sz w:val="24"/>
                <w:szCs w:val="24"/>
                <w:highlight w:val="none"/>
              </w:rPr>
            </w:pPr>
          </w:p>
        </w:tc>
        <w:tc>
          <w:tcPr>
            <w:tcW w:w="7568" w:type="dxa"/>
            <w:vAlign w:val="center"/>
          </w:tcPr>
          <w:p w14:paraId="48B4D2CB">
            <w:pPr>
              <w:spacing w:line="500" w:lineRule="exact"/>
              <w:rPr>
                <w:rFonts w:ascii="宋体" w:hAnsi="宋体" w:eastAsia="宋体" w:cs="宋体"/>
                <w:color w:val="auto"/>
                <w:sz w:val="24"/>
                <w:szCs w:val="24"/>
                <w:highlight w:val="none"/>
                <w:u w:val="single"/>
              </w:rPr>
            </w:pPr>
          </w:p>
        </w:tc>
      </w:tr>
      <w:tr w14:paraId="50BFB7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9054033">
            <w:pPr>
              <w:spacing w:line="500" w:lineRule="exact"/>
              <w:rPr>
                <w:rFonts w:ascii="宋体" w:hAnsi="宋体" w:eastAsia="宋体" w:cs="宋体"/>
                <w:color w:val="auto"/>
                <w:sz w:val="24"/>
                <w:szCs w:val="24"/>
                <w:highlight w:val="none"/>
              </w:rPr>
            </w:pPr>
          </w:p>
        </w:tc>
        <w:tc>
          <w:tcPr>
            <w:tcW w:w="7568" w:type="dxa"/>
            <w:vAlign w:val="center"/>
          </w:tcPr>
          <w:p w14:paraId="497CB886">
            <w:pPr>
              <w:spacing w:line="500" w:lineRule="exact"/>
              <w:rPr>
                <w:rFonts w:ascii="宋体" w:hAnsi="宋体" w:eastAsia="宋体" w:cs="宋体"/>
                <w:color w:val="auto"/>
                <w:sz w:val="24"/>
                <w:szCs w:val="24"/>
                <w:highlight w:val="none"/>
              </w:rPr>
            </w:pPr>
          </w:p>
        </w:tc>
      </w:tr>
      <w:tr w14:paraId="1581EC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65FF2734">
            <w:pPr>
              <w:spacing w:line="500" w:lineRule="exact"/>
              <w:rPr>
                <w:rFonts w:ascii="宋体" w:hAnsi="宋体" w:eastAsia="宋体" w:cs="宋体"/>
                <w:color w:val="auto"/>
                <w:sz w:val="24"/>
                <w:szCs w:val="24"/>
                <w:highlight w:val="none"/>
              </w:rPr>
            </w:pPr>
          </w:p>
        </w:tc>
        <w:tc>
          <w:tcPr>
            <w:tcW w:w="7568" w:type="dxa"/>
            <w:vAlign w:val="center"/>
          </w:tcPr>
          <w:p w14:paraId="088FF3A0">
            <w:pPr>
              <w:spacing w:line="500" w:lineRule="exact"/>
              <w:rPr>
                <w:rFonts w:ascii="宋体" w:hAnsi="宋体" w:eastAsia="宋体" w:cs="宋体"/>
                <w:color w:val="auto"/>
                <w:sz w:val="24"/>
                <w:szCs w:val="24"/>
                <w:highlight w:val="none"/>
              </w:rPr>
            </w:pPr>
          </w:p>
        </w:tc>
      </w:tr>
      <w:tr w14:paraId="3E241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3460D754">
            <w:pPr>
              <w:spacing w:line="500" w:lineRule="exact"/>
              <w:rPr>
                <w:rFonts w:ascii="宋体" w:hAnsi="宋体" w:eastAsia="宋体" w:cs="宋体"/>
                <w:color w:val="auto"/>
                <w:sz w:val="24"/>
                <w:szCs w:val="24"/>
                <w:highlight w:val="none"/>
              </w:rPr>
            </w:pPr>
          </w:p>
        </w:tc>
        <w:tc>
          <w:tcPr>
            <w:tcW w:w="7568" w:type="dxa"/>
            <w:vAlign w:val="center"/>
          </w:tcPr>
          <w:p w14:paraId="02317362">
            <w:pPr>
              <w:spacing w:line="500" w:lineRule="exact"/>
              <w:rPr>
                <w:rFonts w:ascii="宋体" w:hAnsi="宋体" w:eastAsia="宋体" w:cs="宋体"/>
                <w:color w:val="auto"/>
                <w:sz w:val="24"/>
                <w:szCs w:val="24"/>
                <w:highlight w:val="none"/>
              </w:rPr>
            </w:pPr>
          </w:p>
        </w:tc>
      </w:tr>
      <w:tr w14:paraId="351DF3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0A7DC951">
            <w:pPr>
              <w:spacing w:line="500" w:lineRule="exact"/>
              <w:rPr>
                <w:rFonts w:ascii="宋体" w:hAnsi="宋体" w:eastAsia="宋体" w:cs="宋体"/>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16A0E280">
            <w:pPr>
              <w:spacing w:line="500" w:lineRule="exact"/>
              <w:rPr>
                <w:rFonts w:ascii="宋体" w:hAnsi="宋体" w:eastAsia="宋体" w:cs="宋体"/>
                <w:color w:val="auto"/>
                <w:sz w:val="24"/>
                <w:szCs w:val="24"/>
                <w:highlight w:val="none"/>
              </w:rPr>
            </w:pPr>
          </w:p>
        </w:tc>
      </w:tr>
      <w:tr w14:paraId="31CBCF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5908269F">
            <w:pPr>
              <w:spacing w:line="500" w:lineRule="exact"/>
              <w:rPr>
                <w:rFonts w:ascii="宋体" w:hAnsi="宋体" w:eastAsia="宋体" w:cs="宋体"/>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28BE90F5">
            <w:pPr>
              <w:spacing w:line="500" w:lineRule="exact"/>
              <w:rPr>
                <w:rFonts w:ascii="宋体" w:hAnsi="宋体" w:eastAsia="宋体" w:cs="宋体"/>
                <w:color w:val="auto"/>
                <w:sz w:val="24"/>
                <w:szCs w:val="24"/>
                <w:highlight w:val="none"/>
              </w:rPr>
            </w:pPr>
          </w:p>
        </w:tc>
      </w:tr>
    </w:tbl>
    <w:p w14:paraId="72EE2DA0">
      <w:pPr>
        <w:pStyle w:val="13"/>
        <w:ind w:left="1260"/>
        <w:rPr>
          <w:color w:val="auto"/>
          <w:highlight w:val="none"/>
        </w:rPr>
      </w:pPr>
    </w:p>
    <w:p w14:paraId="36593F6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8E1F1AA">
      <w:pPr>
        <w:spacing w:line="360" w:lineRule="auto"/>
        <w:jc w:val="center"/>
        <w:outlineLvl w:val="0"/>
        <w:rPr>
          <w:rFonts w:asciiTheme="minorEastAsia" w:hAnsiTheme="minorEastAsia" w:eastAsiaTheme="minorEastAsia"/>
          <w:b/>
          <w:color w:val="auto"/>
          <w:sz w:val="28"/>
          <w:highlight w:val="none"/>
        </w:rPr>
      </w:pPr>
      <w:bookmarkStart w:id="195" w:name="_Toc22492"/>
      <w:r>
        <w:rPr>
          <w:rFonts w:hint="eastAsia" w:asciiTheme="minorEastAsia" w:hAnsiTheme="minorEastAsia" w:eastAsiaTheme="minorEastAsia"/>
          <w:b/>
          <w:color w:val="auto"/>
          <w:sz w:val="28"/>
          <w:highlight w:val="none"/>
        </w:rPr>
        <w:t>第六章  投标文件格式</w:t>
      </w:r>
      <w:bookmarkEnd w:id="195"/>
    </w:p>
    <w:p w14:paraId="2F00D6C8">
      <w:pPr>
        <w:spacing w:line="900" w:lineRule="exact"/>
        <w:jc w:val="center"/>
        <w:rPr>
          <w:rFonts w:asciiTheme="minorEastAsia" w:hAnsiTheme="minorEastAsia" w:eastAsiaTheme="minorEastAsia"/>
          <w:b/>
          <w:color w:val="auto"/>
          <w:sz w:val="72"/>
          <w:highlight w:val="none"/>
        </w:rPr>
      </w:pPr>
    </w:p>
    <w:p w14:paraId="4E3C9032">
      <w:pPr>
        <w:spacing w:line="900" w:lineRule="exact"/>
        <w:jc w:val="center"/>
        <w:outlineLvl w:val="1"/>
        <w:rPr>
          <w:rFonts w:asciiTheme="minorEastAsia" w:hAnsiTheme="minorEastAsia" w:eastAsiaTheme="minorEastAsia"/>
          <w:b/>
          <w:color w:val="auto"/>
          <w:sz w:val="72"/>
          <w:highlight w:val="none"/>
        </w:rPr>
      </w:pPr>
      <w:bookmarkStart w:id="196" w:name="_Toc651"/>
      <w:r>
        <w:rPr>
          <w:rFonts w:hint="eastAsia" w:asciiTheme="minorEastAsia" w:hAnsiTheme="minorEastAsia" w:eastAsiaTheme="minorEastAsia"/>
          <w:b/>
          <w:color w:val="auto"/>
          <w:sz w:val="72"/>
          <w:highlight w:val="none"/>
        </w:rPr>
        <w:t>投</w:t>
      </w:r>
      <w:bookmarkEnd w:id="196"/>
    </w:p>
    <w:p w14:paraId="0474AA54">
      <w:pPr>
        <w:spacing w:line="900" w:lineRule="exact"/>
        <w:jc w:val="center"/>
        <w:rPr>
          <w:rFonts w:asciiTheme="minorEastAsia" w:hAnsiTheme="minorEastAsia" w:eastAsiaTheme="minorEastAsia"/>
          <w:b/>
          <w:color w:val="auto"/>
          <w:sz w:val="72"/>
          <w:highlight w:val="none"/>
        </w:rPr>
      </w:pPr>
    </w:p>
    <w:p w14:paraId="0AB71C08">
      <w:pPr>
        <w:spacing w:line="900" w:lineRule="exact"/>
        <w:jc w:val="center"/>
        <w:outlineLvl w:val="1"/>
        <w:rPr>
          <w:rFonts w:asciiTheme="minorEastAsia" w:hAnsiTheme="minorEastAsia" w:eastAsiaTheme="minorEastAsia"/>
          <w:b/>
          <w:color w:val="auto"/>
          <w:sz w:val="72"/>
          <w:highlight w:val="none"/>
        </w:rPr>
      </w:pPr>
      <w:bookmarkStart w:id="197" w:name="_Toc6148"/>
      <w:r>
        <w:rPr>
          <w:rFonts w:hint="eastAsia" w:asciiTheme="minorEastAsia" w:hAnsiTheme="minorEastAsia" w:eastAsiaTheme="minorEastAsia"/>
          <w:b/>
          <w:color w:val="auto"/>
          <w:sz w:val="72"/>
          <w:highlight w:val="none"/>
        </w:rPr>
        <w:t>标</w:t>
      </w:r>
      <w:bookmarkEnd w:id="197"/>
    </w:p>
    <w:p w14:paraId="2DBB0545">
      <w:pPr>
        <w:spacing w:line="900" w:lineRule="exact"/>
        <w:jc w:val="center"/>
        <w:rPr>
          <w:rFonts w:asciiTheme="minorEastAsia" w:hAnsiTheme="minorEastAsia" w:eastAsiaTheme="minorEastAsia"/>
          <w:b/>
          <w:color w:val="auto"/>
          <w:sz w:val="72"/>
          <w:highlight w:val="none"/>
        </w:rPr>
      </w:pPr>
    </w:p>
    <w:p w14:paraId="7AC601E7">
      <w:pPr>
        <w:spacing w:line="900" w:lineRule="exact"/>
        <w:jc w:val="center"/>
        <w:outlineLvl w:val="1"/>
        <w:rPr>
          <w:rFonts w:asciiTheme="minorEastAsia" w:hAnsiTheme="minorEastAsia" w:eastAsiaTheme="minorEastAsia"/>
          <w:b/>
          <w:color w:val="auto"/>
          <w:sz w:val="72"/>
          <w:highlight w:val="none"/>
        </w:rPr>
      </w:pPr>
      <w:bookmarkStart w:id="198" w:name="_Toc1338"/>
      <w:r>
        <w:rPr>
          <w:rFonts w:hint="eastAsia" w:asciiTheme="minorEastAsia" w:hAnsiTheme="minorEastAsia" w:eastAsiaTheme="minorEastAsia"/>
          <w:b/>
          <w:color w:val="auto"/>
          <w:sz w:val="72"/>
          <w:highlight w:val="none"/>
        </w:rPr>
        <w:t>文</w:t>
      </w:r>
      <w:bookmarkEnd w:id="198"/>
    </w:p>
    <w:p w14:paraId="1943F2F5">
      <w:pPr>
        <w:spacing w:line="900" w:lineRule="exact"/>
        <w:jc w:val="center"/>
        <w:rPr>
          <w:rFonts w:asciiTheme="minorEastAsia" w:hAnsiTheme="minorEastAsia" w:eastAsiaTheme="minorEastAsia"/>
          <w:b/>
          <w:color w:val="auto"/>
          <w:sz w:val="72"/>
          <w:highlight w:val="none"/>
        </w:rPr>
      </w:pPr>
    </w:p>
    <w:p w14:paraId="5ECC542E">
      <w:pPr>
        <w:jc w:val="center"/>
        <w:outlineLvl w:val="1"/>
        <w:rPr>
          <w:rFonts w:asciiTheme="minorEastAsia" w:hAnsiTheme="minorEastAsia" w:eastAsiaTheme="minorEastAsia"/>
          <w:b/>
          <w:color w:val="auto"/>
          <w:sz w:val="72"/>
          <w:highlight w:val="none"/>
        </w:rPr>
      </w:pPr>
      <w:bookmarkStart w:id="199" w:name="_Toc10796"/>
      <w:r>
        <w:rPr>
          <w:rFonts w:hint="eastAsia" w:asciiTheme="minorEastAsia" w:hAnsiTheme="minorEastAsia" w:eastAsiaTheme="minorEastAsia"/>
          <w:b/>
          <w:color w:val="auto"/>
          <w:sz w:val="72"/>
          <w:highlight w:val="none"/>
        </w:rPr>
        <w:t>件</w:t>
      </w:r>
      <w:bookmarkEnd w:id="199"/>
    </w:p>
    <w:p w14:paraId="5FC644DF">
      <w:pPr>
        <w:spacing w:after="156" w:afterLines="50"/>
        <w:jc w:val="center"/>
        <w:rPr>
          <w:rFonts w:asciiTheme="minorEastAsia" w:hAnsiTheme="minorEastAsia" w:eastAsiaTheme="minorEastAsia"/>
          <w:b/>
          <w:color w:val="auto"/>
          <w:sz w:val="72"/>
          <w:highlight w:val="none"/>
        </w:rPr>
      </w:pPr>
    </w:p>
    <w:p w14:paraId="544D08E2">
      <w:pPr>
        <w:spacing w:before="156" w:beforeLines="50" w:after="156" w:afterLines="50"/>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 xml:space="preserve"> </w:t>
      </w:r>
    </w:p>
    <w:p w14:paraId="2A5AB931">
      <w:pPr>
        <w:spacing w:after="156" w:afterLines="50" w:line="500" w:lineRule="exact"/>
        <w:jc w:val="center"/>
        <w:rPr>
          <w:rFonts w:asciiTheme="minorEastAsia" w:hAnsiTheme="minorEastAsia" w:eastAsiaTheme="minorEastAsia"/>
          <w:b/>
          <w:color w:val="auto"/>
          <w:sz w:val="28"/>
          <w:szCs w:val="28"/>
          <w:highlight w:val="none"/>
        </w:rPr>
      </w:pPr>
    </w:p>
    <w:p w14:paraId="757F66A3">
      <w:pPr>
        <w:tabs>
          <w:tab w:val="left" w:pos="2410"/>
        </w:tabs>
        <w:autoSpaceDE w:val="0"/>
        <w:autoSpaceDN w:val="0"/>
        <w:adjustRightInd w:val="0"/>
        <w:snapToGrid w:val="0"/>
        <w:spacing w:line="360" w:lineRule="auto"/>
        <w:ind w:firstLine="643" w:firstLineChars="200"/>
        <w:rPr>
          <w:rFonts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33917340">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6DFF37C9">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p>
    <w:p w14:paraId="730C1C8B">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00" w:name="_Toc8037"/>
      <w:bookmarkStart w:id="201"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00"/>
      <w:bookmarkEnd w:id="201"/>
    </w:p>
    <w:p w14:paraId="32AFEA85">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1C4CB0F">
      <w:pPr>
        <w:spacing w:line="360" w:lineRule="auto"/>
        <w:jc w:val="center"/>
        <w:outlineLvl w:val="1"/>
        <w:rPr>
          <w:rFonts w:asciiTheme="minorEastAsia" w:hAnsiTheme="minorEastAsia" w:eastAsiaTheme="minorEastAsia"/>
          <w:b/>
          <w:color w:val="auto"/>
          <w:sz w:val="24"/>
          <w:highlight w:val="none"/>
        </w:rPr>
      </w:pPr>
      <w:bookmarkStart w:id="202" w:name="_Toc28960"/>
      <w:bookmarkStart w:id="203" w:name="_Toc5555"/>
      <w:r>
        <w:rPr>
          <w:rFonts w:hint="eastAsia" w:asciiTheme="minorEastAsia" w:hAnsiTheme="minorEastAsia" w:eastAsiaTheme="minorEastAsia"/>
          <w:b/>
          <w:color w:val="auto"/>
          <w:sz w:val="24"/>
          <w:highlight w:val="none"/>
        </w:rPr>
        <w:t>一、开标一览表</w:t>
      </w:r>
      <w:bookmarkEnd w:id="202"/>
      <w:bookmarkEnd w:id="203"/>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6380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15AEB0A7">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14:paraId="69BBC4F7">
            <w:pPr>
              <w:spacing w:line="360" w:lineRule="exact"/>
              <w:jc w:val="center"/>
              <w:rPr>
                <w:rFonts w:asciiTheme="minorEastAsia" w:hAnsiTheme="minorEastAsia" w:eastAsiaTheme="minorEastAsia"/>
                <w:bCs/>
                <w:color w:val="auto"/>
                <w:sz w:val="24"/>
                <w:highlight w:val="none"/>
                <w:u w:val="single"/>
              </w:rPr>
            </w:pPr>
          </w:p>
        </w:tc>
      </w:tr>
      <w:tr w14:paraId="080C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47DD89C8">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14:paraId="18FB9EEA">
            <w:pPr>
              <w:spacing w:line="360" w:lineRule="auto"/>
              <w:rPr>
                <w:rFonts w:asciiTheme="minorEastAsia" w:hAnsiTheme="minorEastAsia" w:eastAsiaTheme="minorEastAsia"/>
                <w:color w:val="auto"/>
                <w:sz w:val="24"/>
                <w:highlight w:val="none"/>
              </w:rPr>
            </w:pPr>
          </w:p>
        </w:tc>
      </w:tr>
      <w:tr w14:paraId="6742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5A3335C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14:paraId="79A26D27">
            <w:pPr>
              <w:widowControl/>
              <w:spacing w:line="360" w:lineRule="auto"/>
              <w:rPr>
                <w:rFonts w:hint="eastAsia" w:eastAsia="宋体" w:asciiTheme="minorEastAsia" w:hAnsiTheme="minorEastAsia"/>
                <w:color w:val="auto"/>
                <w:sz w:val="24"/>
                <w:highlight w:val="none"/>
                <w:lang w:eastAsia="zh-CN"/>
              </w:rPr>
            </w:pPr>
            <w:r>
              <w:rPr>
                <w:rFonts w:hint="eastAsia" w:ascii="宋体" w:hAnsi="宋体" w:eastAsia="宋体"/>
                <w:color w:val="auto"/>
                <w:sz w:val="24"/>
                <w:szCs w:val="28"/>
                <w:highlight w:val="none"/>
                <w:u w:val="single"/>
              </w:rPr>
              <w:t xml:space="preserve">       </w:t>
            </w:r>
            <w:r>
              <w:rPr>
                <w:rFonts w:hint="eastAsia" w:ascii="宋体" w:hAnsi="宋体" w:eastAsia="宋体"/>
                <w:color w:val="auto"/>
                <w:sz w:val="24"/>
                <w:szCs w:val="28"/>
                <w:highlight w:val="none"/>
              </w:rPr>
              <w:t>包</w:t>
            </w:r>
            <w:r>
              <w:rPr>
                <w:rFonts w:hint="eastAsia" w:ascii="宋体" w:hAnsi="宋体" w:eastAsia="宋体"/>
                <w:color w:val="auto"/>
                <w:sz w:val="24"/>
                <w:szCs w:val="28"/>
                <w:highlight w:val="none"/>
                <w:lang w:val="en-US" w:eastAsia="zh-CN"/>
              </w:rPr>
              <w:t xml:space="preserve"> </w:t>
            </w:r>
          </w:p>
        </w:tc>
      </w:tr>
      <w:tr w14:paraId="6ACA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9" w:hRule="atLeast"/>
          <w:jc w:val="center"/>
        </w:trPr>
        <w:tc>
          <w:tcPr>
            <w:tcW w:w="2304" w:type="dxa"/>
            <w:tcBorders>
              <w:top w:val="nil"/>
            </w:tcBorders>
            <w:vAlign w:val="center"/>
          </w:tcPr>
          <w:p w14:paraId="78665977">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14:paraId="771C21FE">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6C0B49FE">
            <w:pPr>
              <w:snapToGrid w:val="0"/>
              <w:spacing w:line="360" w:lineRule="auto"/>
              <w:ind w:right="0" w:firstLine="0" w:firstLineChars="0"/>
              <w:jc w:val="left"/>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C09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736E4B45">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14:paraId="694A8CD3">
            <w:pPr>
              <w:spacing w:line="360" w:lineRule="auto"/>
              <w:jc w:val="left"/>
              <w:rPr>
                <w:rFonts w:asciiTheme="minorEastAsia" w:hAnsiTheme="minorEastAsia" w:eastAsiaTheme="minorEastAsia"/>
                <w:color w:val="auto"/>
                <w:sz w:val="24"/>
                <w:szCs w:val="28"/>
                <w:highlight w:val="none"/>
              </w:rPr>
            </w:pPr>
          </w:p>
        </w:tc>
      </w:tr>
    </w:tbl>
    <w:p w14:paraId="422B3BB2">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0F9E034B">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3BF10FBD">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29F5A80B">
      <w:pPr>
        <w:spacing w:line="360" w:lineRule="auto"/>
        <w:ind w:firstLine="360" w:firstLineChars="150"/>
        <w:rPr>
          <w:rFonts w:asciiTheme="minorEastAsia" w:hAnsiTheme="minorEastAsia" w:eastAsiaTheme="minorEastAsia"/>
          <w:color w:val="auto"/>
          <w:sz w:val="24"/>
          <w:highlight w:val="none"/>
        </w:rPr>
      </w:pPr>
    </w:p>
    <w:p w14:paraId="503C746E">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3A4B6FE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7B11103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58A7EE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3D6C69EA">
      <w:pPr>
        <w:spacing w:line="360" w:lineRule="auto"/>
        <w:jc w:val="center"/>
        <w:outlineLvl w:val="1"/>
        <w:rPr>
          <w:rFonts w:asciiTheme="minorEastAsia" w:hAnsiTheme="minorEastAsia" w:eastAsiaTheme="minorEastAsia"/>
          <w:b/>
          <w:color w:val="auto"/>
          <w:sz w:val="24"/>
          <w:highlight w:val="none"/>
        </w:rPr>
      </w:pPr>
      <w:bookmarkStart w:id="204" w:name="_Toc18010"/>
      <w:bookmarkStart w:id="205" w:name="_Toc6441"/>
      <w:r>
        <w:rPr>
          <w:rFonts w:hint="eastAsia" w:asciiTheme="minorEastAsia" w:hAnsiTheme="minorEastAsia" w:eastAsiaTheme="minorEastAsia"/>
          <w:b/>
          <w:color w:val="auto"/>
          <w:sz w:val="24"/>
          <w:highlight w:val="none"/>
        </w:rPr>
        <w:t>二、投标函</w:t>
      </w:r>
      <w:bookmarkEnd w:id="204"/>
      <w:bookmarkEnd w:id="205"/>
    </w:p>
    <w:p w14:paraId="03280D3A">
      <w:pPr>
        <w:pStyle w:val="16"/>
        <w:spacing w:line="360" w:lineRule="auto"/>
        <w:rPr>
          <w:rFonts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32902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042B91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7AC332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2D7E943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6C09D3A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500AAD26">
      <w:pPr>
        <w:spacing w:line="360" w:lineRule="auto"/>
        <w:ind w:firstLine="4800" w:firstLineChars="2000"/>
        <w:rPr>
          <w:rFonts w:ascii="宋体" w:hAnsi="宋体" w:eastAsia="宋体"/>
          <w:color w:val="auto"/>
          <w:sz w:val="24"/>
          <w:highlight w:val="none"/>
        </w:rPr>
      </w:pPr>
    </w:p>
    <w:p w14:paraId="44A17D38">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024DB53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A2D0F8F">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2DBADD55">
      <w:pPr>
        <w:spacing w:line="360" w:lineRule="auto"/>
        <w:jc w:val="center"/>
        <w:outlineLvl w:val="1"/>
        <w:rPr>
          <w:rFonts w:asciiTheme="minorEastAsia" w:hAnsiTheme="minorEastAsia" w:eastAsiaTheme="minorEastAsia"/>
          <w:b/>
          <w:color w:val="auto"/>
          <w:sz w:val="24"/>
          <w:highlight w:val="none"/>
        </w:rPr>
      </w:pPr>
      <w:bookmarkStart w:id="206" w:name="_Toc1328"/>
      <w:r>
        <w:rPr>
          <w:rFonts w:hint="eastAsia" w:asciiTheme="minorEastAsia" w:hAnsiTheme="minorEastAsia" w:eastAsiaTheme="minorEastAsia"/>
          <w:b/>
          <w:color w:val="auto"/>
          <w:sz w:val="24"/>
          <w:highlight w:val="none"/>
        </w:rPr>
        <w:t>三．投标人资格声明书</w:t>
      </w:r>
      <w:bookmarkEnd w:id="206"/>
      <w:r>
        <w:rPr>
          <w:rFonts w:hint="eastAsia" w:asciiTheme="minorEastAsia" w:hAnsiTheme="minorEastAsia" w:eastAsiaTheme="minorEastAsia"/>
          <w:b/>
          <w:color w:val="auto"/>
          <w:sz w:val="24"/>
          <w:highlight w:val="none"/>
        </w:rPr>
        <w:t xml:space="preserve"> </w:t>
      </w:r>
    </w:p>
    <w:p w14:paraId="74C9E483">
      <w:pPr>
        <w:pStyle w:val="16"/>
        <w:spacing w:line="360" w:lineRule="auto"/>
        <w:rPr>
          <w:rFonts w:asciiTheme="minorEastAsia" w:hAnsiTheme="minorEastAsia" w:cstheme="minorEastAsia"/>
          <w:color w:val="auto"/>
          <w:sz w:val="24"/>
          <w:szCs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00505F3E">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在参与本次项目投标中，我单位承诺：</w:t>
      </w:r>
    </w:p>
    <w:p w14:paraId="2662857F">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2CA826EA">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49E9B5B3">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25EC73F0">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B2884D7">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5C7D3752">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6DAD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AC03182">
            <w:pPr>
              <w:widowControl/>
              <w:spacing w:before="156" w:beforeLines="50" w:after="10"/>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2841" w:type="dxa"/>
          </w:tcPr>
          <w:p w14:paraId="4A383792">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841" w:type="dxa"/>
          </w:tcPr>
          <w:p w14:paraId="69B8B2BB">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305B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6741821">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2841" w:type="dxa"/>
          </w:tcPr>
          <w:p w14:paraId="1ECE688E">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6F8DDCC2">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p>
        </w:tc>
      </w:tr>
      <w:tr w14:paraId="68093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E6D6503">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2841" w:type="dxa"/>
          </w:tcPr>
          <w:p w14:paraId="35C8E055">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7652F837">
            <w:pPr>
              <w:pStyle w:val="10"/>
              <w:spacing w:before="156" w:beforeLines="50" w:after="10"/>
              <w:jc w:val="center"/>
              <w:rPr>
                <w:rFonts w:asciiTheme="minorEastAsia" w:hAnsiTheme="minorEastAsia" w:eastAsiaTheme="minorEastAsia" w:cstheme="minorEastAsia"/>
                <w:color w:val="auto"/>
                <w:kern w:val="0"/>
                <w:sz w:val="24"/>
                <w:highlight w:val="none"/>
                <w:lang w:val="en-US" w:bidi="ar"/>
              </w:rPr>
            </w:pPr>
          </w:p>
        </w:tc>
      </w:tr>
    </w:tbl>
    <w:p w14:paraId="45E6614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22FD0F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F716A13">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CFF57E1">
      <w:pPr>
        <w:pStyle w:val="10"/>
        <w:rPr>
          <w:rFonts w:asciiTheme="minorEastAsia" w:hAnsiTheme="minorEastAsia" w:eastAsiaTheme="minorEastAsia" w:cstheme="minorEastAsia"/>
          <w:color w:val="auto"/>
          <w:kern w:val="0"/>
          <w:sz w:val="24"/>
          <w:highlight w:val="none"/>
          <w:lang w:val="en-US" w:bidi="ar"/>
        </w:rPr>
      </w:pPr>
    </w:p>
    <w:p w14:paraId="1ADB520B">
      <w:pPr>
        <w:pStyle w:val="10"/>
        <w:rPr>
          <w:rFonts w:asciiTheme="minorEastAsia" w:hAnsiTheme="minorEastAsia" w:eastAsiaTheme="minorEastAsia" w:cstheme="minorEastAsia"/>
          <w:color w:val="auto"/>
          <w:kern w:val="0"/>
          <w:sz w:val="24"/>
          <w:highlight w:val="none"/>
          <w:lang w:val="en-US" w:bidi="ar"/>
        </w:rPr>
      </w:pPr>
    </w:p>
    <w:p w14:paraId="6AE73AD9">
      <w:pPr>
        <w:pStyle w:val="10"/>
        <w:rPr>
          <w:rFonts w:asciiTheme="minorEastAsia" w:hAnsiTheme="minorEastAsia" w:eastAsiaTheme="minorEastAsia" w:cstheme="minorEastAsia"/>
          <w:color w:val="auto"/>
          <w:kern w:val="0"/>
          <w:sz w:val="24"/>
          <w:highlight w:val="none"/>
          <w:lang w:val="en-US" w:bidi="ar"/>
        </w:rPr>
      </w:pPr>
    </w:p>
    <w:p w14:paraId="43C98248">
      <w:pPr>
        <w:rPr>
          <w:rFonts w:asciiTheme="minorEastAsia" w:hAnsiTheme="minorEastAsia" w:eastAsiaTheme="minorEastAsia"/>
          <w:b/>
          <w:color w:val="auto"/>
          <w:sz w:val="24"/>
          <w:highlight w:val="none"/>
        </w:rPr>
      </w:pPr>
      <w:bookmarkStart w:id="207" w:name="_Toc11607"/>
      <w:r>
        <w:rPr>
          <w:rFonts w:hint="eastAsia" w:asciiTheme="minorEastAsia" w:hAnsiTheme="minorEastAsia" w:eastAsiaTheme="minorEastAsia"/>
          <w:b/>
          <w:color w:val="auto"/>
          <w:sz w:val="24"/>
          <w:highlight w:val="none"/>
        </w:rPr>
        <w:br w:type="page"/>
      </w:r>
    </w:p>
    <w:p w14:paraId="2497C9EB">
      <w:pPr>
        <w:spacing w:line="360" w:lineRule="auto"/>
        <w:jc w:val="center"/>
        <w:outlineLvl w:val="1"/>
        <w:rPr>
          <w:rFonts w:asciiTheme="minorEastAsia" w:hAnsiTheme="minorEastAsia" w:eastAsiaTheme="minorEastAsia"/>
          <w:b/>
          <w:color w:val="auto"/>
          <w:sz w:val="24"/>
          <w:highlight w:val="none"/>
        </w:rPr>
      </w:pPr>
      <w:bookmarkStart w:id="208" w:name="_Toc16960"/>
      <w:r>
        <w:rPr>
          <w:rFonts w:hint="eastAsia" w:asciiTheme="minorEastAsia" w:hAnsiTheme="minorEastAsia" w:eastAsiaTheme="minorEastAsia"/>
          <w:b/>
          <w:color w:val="auto"/>
          <w:sz w:val="24"/>
          <w:highlight w:val="none"/>
        </w:rPr>
        <w:t>四、授权书</w:t>
      </w:r>
      <w:bookmarkEnd w:id="207"/>
      <w:bookmarkEnd w:id="208"/>
    </w:p>
    <w:p w14:paraId="6E29F3F7">
      <w:pPr>
        <w:pStyle w:val="15"/>
        <w:snapToGrid w:val="0"/>
        <w:spacing w:line="360" w:lineRule="auto"/>
        <w:ind w:firstLine="480" w:firstLineChars="200"/>
        <w:jc w:val="left"/>
        <w:rPr>
          <w:rFonts w:hAnsi="宋体" w:eastAsia="宋体"/>
          <w:color w:val="auto"/>
          <w:sz w:val="24"/>
          <w:szCs w:val="28"/>
          <w:highlight w:val="none"/>
        </w:rPr>
      </w:pPr>
    </w:p>
    <w:p w14:paraId="5A814264">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2BDCD351">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1A38DDC">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0A861D0C">
      <w:pPr>
        <w:spacing w:line="360" w:lineRule="auto"/>
        <w:ind w:firstLine="435"/>
        <w:rPr>
          <w:rFonts w:asciiTheme="minorEastAsia" w:hAnsiTheme="minorEastAsia" w:eastAsiaTheme="minorEastAsia"/>
          <w:color w:val="auto"/>
          <w:sz w:val="24"/>
          <w:highlight w:val="none"/>
        </w:rPr>
      </w:pPr>
    </w:p>
    <w:p w14:paraId="56150CF5">
      <w:pPr>
        <w:spacing w:line="360" w:lineRule="auto"/>
        <w:ind w:firstLine="435"/>
        <w:rPr>
          <w:rFonts w:asciiTheme="minorEastAsia" w:hAnsiTheme="minorEastAsia" w:eastAsiaTheme="minorEastAsia"/>
          <w:color w:val="auto"/>
          <w:sz w:val="24"/>
          <w:highlight w:val="none"/>
        </w:rPr>
      </w:pPr>
    </w:p>
    <w:p w14:paraId="009EE44E">
      <w:pPr>
        <w:spacing w:line="360" w:lineRule="auto"/>
        <w:ind w:firstLine="435"/>
        <w:rPr>
          <w:rFonts w:asciiTheme="minorEastAsia" w:hAnsiTheme="minorEastAsia" w:eastAsiaTheme="minorEastAsia"/>
          <w:color w:val="auto"/>
          <w:sz w:val="24"/>
          <w:highlight w:val="none"/>
        </w:rPr>
      </w:pPr>
    </w:p>
    <w:p w14:paraId="6AA93AE2">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7944D2EE">
      <w:pPr>
        <w:spacing w:line="360" w:lineRule="auto"/>
        <w:ind w:firstLine="435"/>
        <w:rPr>
          <w:rFonts w:hAnsi="宋体" w:eastAsia="宋体"/>
          <w:color w:val="auto"/>
          <w:sz w:val="24"/>
          <w:szCs w:val="28"/>
          <w:highlight w:val="none"/>
          <w:lang w:val="zh-CN"/>
        </w:rPr>
      </w:pPr>
    </w:p>
    <w:p w14:paraId="605CF02A">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68767743">
      <w:pPr>
        <w:spacing w:line="360" w:lineRule="auto"/>
        <w:rPr>
          <w:rFonts w:ascii="宋体" w:hAnsi="宋体" w:eastAsia="宋体"/>
          <w:color w:val="auto"/>
          <w:sz w:val="24"/>
          <w:szCs w:val="28"/>
          <w:highlight w:val="none"/>
        </w:rPr>
      </w:pPr>
    </w:p>
    <w:p w14:paraId="23CA36C9">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rPr>
        <w:t xml:space="preserve">                            投标人电子签章：</w:t>
      </w:r>
      <w:r>
        <w:rPr>
          <w:rFonts w:hint="eastAsia" w:ascii="宋体" w:hAnsi="宋体" w:eastAsia="宋体"/>
          <w:bCs/>
          <w:color w:val="auto"/>
          <w:sz w:val="24"/>
          <w:szCs w:val="28"/>
          <w:highlight w:val="none"/>
          <w:u w:val="single"/>
        </w:rPr>
        <w:t xml:space="preserve">                    </w:t>
      </w:r>
    </w:p>
    <w:p w14:paraId="1FA470A6">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 xml:space="preserve">                            日          期：</w:t>
      </w:r>
      <w:r>
        <w:rPr>
          <w:rFonts w:hint="eastAsia" w:ascii="宋体" w:hAnsi="宋体" w:eastAsia="宋体"/>
          <w:b/>
          <w:bCs/>
          <w:color w:val="auto"/>
          <w:sz w:val="24"/>
          <w:szCs w:val="28"/>
          <w:highlight w:val="none"/>
          <w:u w:val="single"/>
        </w:rPr>
        <w:t xml:space="preserve">                    </w:t>
      </w:r>
    </w:p>
    <w:p w14:paraId="0282498E">
      <w:pPr>
        <w:spacing w:line="360" w:lineRule="auto"/>
        <w:ind w:firstLine="435"/>
        <w:rPr>
          <w:rFonts w:asciiTheme="minorEastAsia" w:hAnsiTheme="minorEastAsia" w:eastAsiaTheme="minorEastAsia"/>
          <w:color w:val="auto"/>
          <w:sz w:val="24"/>
          <w:highlight w:val="none"/>
        </w:rPr>
      </w:pPr>
    </w:p>
    <w:p w14:paraId="5B4C775E">
      <w:pPr>
        <w:spacing w:line="360" w:lineRule="auto"/>
        <w:ind w:firstLine="435"/>
        <w:rPr>
          <w:rFonts w:asciiTheme="minorEastAsia" w:hAnsiTheme="minorEastAsia" w:eastAsiaTheme="minorEastAsia"/>
          <w:color w:val="auto"/>
          <w:sz w:val="24"/>
          <w:highlight w:val="none"/>
        </w:rPr>
      </w:pPr>
    </w:p>
    <w:p w14:paraId="1F8C467E">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637905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34C65C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38DEB164">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09" w:name="_Toc31991"/>
      <w:bookmarkStart w:id="210" w:name="_Toc6796"/>
      <w:bookmarkStart w:id="211" w:name="_Toc11940"/>
      <w:bookmarkStart w:id="212" w:name="_Toc20329"/>
      <w:r>
        <w:rPr>
          <w:rFonts w:hint="eastAsia" w:asciiTheme="minorEastAsia" w:hAnsiTheme="minorEastAsia" w:eastAsiaTheme="minorEastAsia"/>
          <w:b/>
          <w:color w:val="auto"/>
          <w:sz w:val="24"/>
          <w:highlight w:val="none"/>
        </w:rPr>
        <w:t>五、投标分项报价表</w:t>
      </w:r>
      <w:bookmarkEnd w:id="209"/>
      <w:bookmarkEnd w:id="210"/>
    </w:p>
    <w:p w14:paraId="7BFA8A4B">
      <w:pPr>
        <w:pStyle w:val="62"/>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70"/>
        <w:gridCol w:w="1169"/>
        <w:gridCol w:w="1316"/>
        <w:gridCol w:w="672"/>
        <w:gridCol w:w="672"/>
        <w:gridCol w:w="940"/>
        <w:gridCol w:w="940"/>
        <w:gridCol w:w="67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48"/>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862" w:type="pct"/>
            <w:noWrap w:val="0"/>
            <w:vAlign w:val="center"/>
          </w:tcPr>
          <w:p w14:paraId="73FB9F55">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686" w:type="pct"/>
            <w:noWrap w:val="0"/>
            <w:vAlign w:val="center"/>
          </w:tcPr>
          <w:p w14:paraId="74F9288A">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75AB3D7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3FC9B9D4">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69A6F33E">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5E220F61">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20CC90F">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57B37F3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39894848">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3425285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5701081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47A63804">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center"/>
          </w:tcPr>
          <w:p w14:paraId="081E0F3E">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862" w:type="pct"/>
            <w:noWrap w:val="0"/>
            <w:vAlign w:val="center"/>
          </w:tcPr>
          <w:p w14:paraId="7C563A41">
            <w:pPr>
              <w:pStyle w:val="7"/>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left="0" w:leftChars="0" w:firstLine="0" w:firstLineChars="0"/>
              <w:jc w:val="center"/>
              <w:textAlignment w:val="auto"/>
              <w:rPr>
                <w:rFonts w:ascii="宋体" w:hAnsi="宋体" w:eastAsia="宋体"/>
                <w:color w:val="auto"/>
                <w:sz w:val="21"/>
                <w:szCs w:val="21"/>
                <w:highlight w:val="none"/>
              </w:rPr>
            </w:pPr>
          </w:p>
        </w:tc>
        <w:tc>
          <w:tcPr>
            <w:tcW w:w="686" w:type="pct"/>
            <w:noWrap w:val="0"/>
            <w:vAlign w:val="center"/>
          </w:tcPr>
          <w:p w14:paraId="0375DE1C">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52FF1C92">
            <w:pPr>
              <w:jc w:val="center"/>
              <w:rPr>
                <w:rFonts w:ascii="宋体" w:hAnsi="宋体" w:eastAsia="宋体"/>
                <w:color w:val="auto"/>
                <w:sz w:val="21"/>
                <w:szCs w:val="21"/>
                <w:highlight w:val="none"/>
              </w:rPr>
            </w:pPr>
          </w:p>
        </w:tc>
        <w:tc>
          <w:tcPr>
            <w:tcW w:w="394" w:type="pct"/>
            <w:noWrap w:val="0"/>
            <w:vAlign w:val="center"/>
          </w:tcPr>
          <w:p w14:paraId="7C01FFE9">
            <w:pPr>
              <w:jc w:val="center"/>
              <w:rPr>
                <w:rFonts w:ascii="宋体" w:hAnsi="宋体" w:eastAsia="宋体"/>
                <w:color w:val="auto"/>
                <w:sz w:val="21"/>
                <w:szCs w:val="21"/>
                <w:highlight w:val="none"/>
              </w:rPr>
            </w:pPr>
          </w:p>
        </w:tc>
        <w:tc>
          <w:tcPr>
            <w:tcW w:w="394" w:type="pct"/>
            <w:noWrap w:val="0"/>
            <w:vAlign w:val="center"/>
          </w:tcPr>
          <w:p w14:paraId="4DE5AC10">
            <w:pPr>
              <w:widowControl/>
              <w:spacing w:line="500" w:lineRule="exact"/>
              <w:jc w:val="center"/>
              <w:textAlignment w:val="center"/>
              <w:rPr>
                <w:rFonts w:ascii="宋体" w:hAnsi="宋体" w:eastAsia="宋体"/>
                <w:color w:val="auto"/>
                <w:sz w:val="21"/>
                <w:szCs w:val="21"/>
                <w:highlight w:val="none"/>
              </w:rPr>
            </w:pPr>
          </w:p>
        </w:tc>
        <w:tc>
          <w:tcPr>
            <w:tcW w:w="551" w:type="pct"/>
            <w:noWrap w:val="0"/>
            <w:vAlign w:val="top"/>
          </w:tcPr>
          <w:p w14:paraId="21DA4597">
            <w:pPr>
              <w:rPr>
                <w:rFonts w:ascii="宋体" w:hAnsi="宋体" w:eastAsia="宋体"/>
                <w:color w:val="auto"/>
                <w:sz w:val="24"/>
                <w:highlight w:val="none"/>
              </w:rPr>
            </w:pPr>
          </w:p>
        </w:tc>
        <w:tc>
          <w:tcPr>
            <w:tcW w:w="551" w:type="pct"/>
            <w:noWrap w:val="0"/>
            <w:vAlign w:val="top"/>
          </w:tcPr>
          <w:p w14:paraId="2A9B41D8">
            <w:pPr>
              <w:rPr>
                <w:rFonts w:ascii="宋体" w:hAnsi="宋体" w:eastAsia="宋体"/>
                <w:color w:val="auto"/>
                <w:sz w:val="24"/>
                <w:highlight w:val="none"/>
              </w:rPr>
            </w:pPr>
          </w:p>
        </w:tc>
        <w:tc>
          <w:tcPr>
            <w:tcW w:w="393" w:type="pct"/>
            <w:noWrap w:val="0"/>
            <w:vAlign w:val="top"/>
          </w:tcPr>
          <w:p w14:paraId="2B68B0FE">
            <w:pPr>
              <w:rPr>
                <w:rFonts w:ascii="宋体" w:hAnsi="宋体" w:eastAsia="宋体"/>
                <w:color w:val="auto"/>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1A75D3A">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862" w:type="pct"/>
            <w:noWrap w:val="0"/>
            <w:vAlign w:val="center"/>
          </w:tcPr>
          <w:p w14:paraId="6E750A98">
            <w:pPr>
              <w:pStyle w:val="7"/>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left="0" w:leftChars="0" w:firstLine="0" w:firstLineChars="0"/>
              <w:jc w:val="center"/>
              <w:textAlignment w:val="auto"/>
              <w:rPr>
                <w:rFonts w:ascii="宋体" w:hAnsi="宋体" w:eastAsia="宋体"/>
                <w:color w:val="auto"/>
                <w:sz w:val="21"/>
                <w:szCs w:val="21"/>
                <w:highlight w:val="none"/>
              </w:rPr>
            </w:pPr>
          </w:p>
        </w:tc>
        <w:tc>
          <w:tcPr>
            <w:tcW w:w="686" w:type="pct"/>
            <w:noWrap w:val="0"/>
            <w:vAlign w:val="center"/>
          </w:tcPr>
          <w:p w14:paraId="439F3115">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0B5EF6A2">
            <w:pPr>
              <w:jc w:val="center"/>
              <w:rPr>
                <w:rFonts w:ascii="宋体" w:hAnsi="宋体" w:eastAsia="宋体"/>
                <w:color w:val="auto"/>
                <w:sz w:val="21"/>
                <w:szCs w:val="21"/>
                <w:highlight w:val="none"/>
              </w:rPr>
            </w:pPr>
          </w:p>
        </w:tc>
        <w:tc>
          <w:tcPr>
            <w:tcW w:w="394" w:type="pct"/>
            <w:noWrap w:val="0"/>
            <w:vAlign w:val="center"/>
          </w:tcPr>
          <w:p w14:paraId="66BA4716">
            <w:pPr>
              <w:jc w:val="center"/>
              <w:rPr>
                <w:rFonts w:ascii="宋体" w:hAnsi="宋体" w:eastAsia="宋体"/>
                <w:color w:val="auto"/>
                <w:sz w:val="21"/>
                <w:szCs w:val="21"/>
                <w:highlight w:val="none"/>
              </w:rPr>
            </w:pPr>
          </w:p>
        </w:tc>
        <w:tc>
          <w:tcPr>
            <w:tcW w:w="394" w:type="pct"/>
            <w:noWrap w:val="0"/>
            <w:vAlign w:val="center"/>
          </w:tcPr>
          <w:p w14:paraId="4981F119">
            <w:pPr>
              <w:widowControl/>
              <w:spacing w:line="500" w:lineRule="exact"/>
              <w:jc w:val="center"/>
              <w:textAlignment w:val="center"/>
              <w:rPr>
                <w:rFonts w:ascii="宋体" w:hAnsi="宋体" w:eastAsia="宋体"/>
                <w:color w:val="auto"/>
                <w:sz w:val="21"/>
                <w:szCs w:val="21"/>
                <w:highlight w:val="none"/>
              </w:rPr>
            </w:pPr>
          </w:p>
        </w:tc>
        <w:tc>
          <w:tcPr>
            <w:tcW w:w="551" w:type="pct"/>
            <w:noWrap w:val="0"/>
            <w:vAlign w:val="top"/>
          </w:tcPr>
          <w:p w14:paraId="6A08DEBB">
            <w:pPr>
              <w:rPr>
                <w:rFonts w:ascii="宋体" w:hAnsi="宋体" w:eastAsia="宋体"/>
                <w:color w:val="auto"/>
                <w:sz w:val="24"/>
                <w:highlight w:val="none"/>
              </w:rPr>
            </w:pPr>
          </w:p>
        </w:tc>
        <w:tc>
          <w:tcPr>
            <w:tcW w:w="551" w:type="pct"/>
            <w:noWrap w:val="0"/>
            <w:vAlign w:val="top"/>
          </w:tcPr>
          <w:p w14:paraId="21EA39CE">
            <w:pPr>
              <w:rPr>
                <w:rFonts w:ascii="宋体" w:hAnsi="宋体" w:eastAsia="宋体"/>
                <w:color w:val="auto"/>
                <w:sz w:val="24"/>
                <w:highlight w:val="none"/>
              </w:rPr>
            </w:pPr>
          </w:p>
        </w:tc>
        <w:tc>
          <w:tcPr>
            <w:tcW w:w="393" w:type="pct"/>
            <w:noWrap w:val="0"/>
            <w:vAlign w:val="top"/>
          </w:tcPr>
          <w:p w14:paraId="2599FD7C">
            <w:pPr>
              <w:rPr>
                <w:rFonts w:ascii="宋体" w:hAnsi="宋体" w:eastAsia="宋体"/>
                <w:color w:val="auto"/>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center"/>
          </w:tcPr>
          <w:p w14:paraId="3EF7B92A">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862" w:type="pct"/>
            <w:noWrap w:val="0"/>
            <w:vAlign w:val="center"/>
          </w:tcPr>
          <w:p w14:paraId="3F508895">
            <w:pPr>
              <w:pStyle w:val="7"/>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left="0" w:leftChars="0" w:firstLine="0" w:firstLineChars="0"/>
              <w:jc w:val="center"/>
              <w:textAlignment w:val="auto"/>
              <w:rPr>
                <w:rFonts w:ascii="宋体" w:hAnsi="宋体" w:eastAsia="宋体"/>
                <w:color w:val="auto"/>
                <w:sz w:val="21"/>
                <w:szCs w:val="21"/>
                <w:highlight w:val="none"/>
              </w:rPr>
            </w:pPr>
          </w:p>
        </w:tc>
        <w:tc>
          <w:tcPr>
            <w:tcW w:w="686" w:type="pct"/>
            <w:noWrap w:val="0"/>
            <w:vAlign w:val="center"/>
          </w:tcPr>
          <w:p w14:paraId="20B310BD">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09A7230D">
            <w:pPr>
              <w:jc w:val="center"/>
              <w:rPr>
                <w:rFonts w:ascii="宋体" w:hAnsi="宋体" w:eastAsia="宋体"/>
                <w:color w:val="auto"/>
                <w:sz w:val="21"/>
                <w:szCs w:val="21"/>
                <w:highlight w:val="none"/>
              </w:rPr>
            </w:pPr>
          </w:p>
        </w:tc>
        <w:tc>
          <w:tcPr>
            <w:tcW w:w="394" w:type="pct"/>
            <w:noWrap w:val="0"/>
            <w:vAlign w:val="center"/>
          </w:tcPr>
          <w:p w14:paraId="275F91C4">
            <w:pPr>
              <w:jc w:val="center"/>
              <w:rPr>
                <w:rFonts w:ascii="宋体" w:hAnsi="宋体" w:eastAsia="宋体"/>
                <w:color w:val="auto"/>
                <w:sz w:val="21"/>
                <w:szCs w:val="21"/>
                <w:highlight w:val="none"/>
              </w:rPr>
            </w:pPr>
          </w:p>
        </w:tc>
        <w:tc>
          <w:tcPr>
            <w:tcW w:w="394" w:type="pct"/>
            <w:noWrap w:val="0"/>
            <w:vAlign w:val="center"/>
          </w:tcPr>
          <w:p w14:paraId="6E9B5D37">
            <w:pPr>
              <w:widowControl/>
              <w:spacing w:line="500" w:lineRule="exact"/>
              <w:jc w:val="center"/>
              <w:textAlignment w:val="center"/>
              <w:rPr>
                <w:rFonts w:ascii="宋体" w:hAnsi="宋体" w:eastAsia="宋体"/>
                <w:color w:val="auto"/>
                <w:sz w:val="21"/>
                <w:szCs w:val="21"/>
                <w:highlight w:val="none"/>
              </w:rPr>
            </w:pPr>
          </w:p>
        </w:tc>
        <w:tc>
          <w:tcPr>
            <w:tcW w:w="551" w:type="pct"/>
            <w:noWrap w:val="0"/>
            <w:vAlign w:val="top"/>
          </w:tcPr>
          <w:p w14:paraId="7D351FDC">
            <w:pPr>
              <w:rPr>
                <w:rFonts w:ascii="宋体" w:hAnsi="宋体" w:eastAsia="宋体"/>
                <w:color w:val="auto"/>
                <w:sz w:val="24"/>
                <w:highlight w:val="none"/>
              </w:rPr>
            </w:pPr>
          </w:p>
        </w:tc>
        <w:tc>
          <w:tcPr>
            <w:tcW w:w="551" w:type="pct"/>
            <w:noWrap w:val="0"/>
            <w:vAlign w:val="top"/>
          </w:tcPr>
          <w:p w14:paraId="68D6AC0F">
            <w:pPr>
              <w:rPr>
                <w:rFonts w:ascii="宋体" w:hAnsi="宋体" w:eastAsia="宋体"/>
                <w:color w:val="auto"/>
                <w:sz w:val="24"/>
                <w:highlight w:val="none"/>
              </w:rPr>
            </w:pPr>
          </w:p>
        </w:tc>
        <w:tc>
          <w:tcPr>
            <w:tcW w:w="393" w:type="pct"/>
            <w:noWrap w:val="0"/>
            <w:vAlign w:val="top"/>
          </w:tcPr>
          <w:p w14:paraId="2EB92AF3">
            <w:pPr>
              <w:rPr>
                <w:rFonts w:ascii="宋体" w:hAnsi="宋体" w:eastAsia="宋体"/>
                <w:color w:val="auto"/>
                <w:sz w:val="24"/>
                <w:highlight w:val="none"/>
              </w:rPr>
            </w:pPr>
          </w:p>
        </w:tc>
      </w:tr>
      <w:tr w14:paraId="4D83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center"/>
          </w:tcPr>
          <w:p w14:paraId="6BD3F857">
            <w:pPr>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w:t>
            </w:r>
          </w:p>
        </w:tc>
        <w:tc>
          <w:tcPr>
            <w:tcW w:w="862" w:type="pct"/>
            <w:noWrap w:val="0"/>
            <w:vAlign w:val="center"/>
          </w:tcPr>
          <w:p w14:paraId="2202994C">
            <w:pPr>
              <w:pStyle w:val="7"/>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left="0" w:leftChars="0" w:firstLine="0" w:firstLineChars="0"/>
              <w:jc w:val="center"/>
              <w:textAlignment w:val="auto"/>
              <w:rPr>
                <w:rFonts w:ascii="宋体" w:hAnsi="宋体" w:eastAsia="宋体"/>
                <w:color w:val="auto"/>
                <w:sz w:val="21"/>
                <w:szCs w:val="21"/>
                <w:highlight w:val="none"/>
              </w:rPr>
            </w:pPr>
          </w:p>
        </w:tc>
        <w:tc>
          <w:tcPr>
            <w:tcW w:w="686" w:type="pct"/>
            <w:noWrap w:val="0"/>
            <w:vAlign w:val="center"/>
          </w:tcPr>
          <w:p w14:paraId="4D98CCF1">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408B9311">
            <w:pPr>
              <w:jc w:val="center"/>
              <w:rPr>
                <w:rFonts w:ascii="宋体" w:hAnsi="宋体" w:eastAsia="宋体"/>
                <w:color w:val="auto"/>
                <w:sz w:val="21"/>
                <w:szCs w:val="21"/>
                <w:highlight w:val="none"/>
              </w:rPr>
            </w:pPr>
          </w:p>
        </w:tc>
        <w:tc>
          <w:tcPr>
            <w:tcW w:w="394" w:type="pct"/>
            <w:noWrap w:val="0"/>
            <w:vAlign w:val="center"/>
          </w:tcPr>
          <w:p w14:paraId="6EC66624">
            <w:pPr>
              <w:jc w:val="center"/>
              <w:rPr>
                <w:rFonts w:hint="eastAsia" w:ascii="宋体" w:hAnsi="宋体" w:eastAsia="宋体" w:cs="宋体"/>
                <w:color w:val="auto"/>
                <w:kern w:val="0"/>
                <w:sz w:val="21"/>
                <w:szCs w:val="21"/>
                <w:highlight w:val="none"/>
                <w:lang w:val="en-US" w:eastAsia="zh-CN" w:bidi="ar"/>
              </w:rPr>
            </w:pPr>
          </w:p>
        </w:tc>
        <w:tc>
          <w:tcPr>
            <w:tcW w:w="394" w:type="pct"/>
            <w:noWrap w:val="0"/>
            <w:vAlign w:val="center"/>
          </w:tcPr>
          <w:p w14:paraId="1333B7F6">
            <w:pPr>
              <w:widowControl/>
              <w:spacing w:line="500" w:lineRule="exact"/>
              <w:jc w:val="center"/>
              <w:textAlignment w:val="center"/>
              <w:rPr>
                <w:rFonts w:hint="eastAsia" w:ascii="宋体" w:hAnsi="宋体" w:eastAsia="宋体" w:cs="宋体"/>
                <w:color w:val="auto"/>
                <w:kern w:val="0"/>
                <w:sz w:val="21"/>
                <w:szCs w:val="21"/>
                <w:highlight w:val="none"/>
                <w:lang w:val="en-US" w:eastAsia="zh-CN" w:bidi="ar"/>
              </w:rPr>
            </w:pPr>
          </w:p>
        </w:tc>
        <w:tc>
          <w:tcPr>
            <w:tcW w:w="551" w:type="pct"/>
            <w:noWrap w:val="0"/>
            <w:vAlign w:val="top"/>
          </w:tcPr>
          <w:p w14:paraId="0BFB000C">
            <w:pPr>
              <w:rPr>
                <w:rFonts w:ascii="宋体" w:hAnsi="宋体" w:eastAsia="宋体"/>
                <w:color w:val="auto"/>
                <w:sz w:val="24"/>
                <w:highlight w:val="none"/>
              </w:rPr>
            </w:pPr>
          </w:p>
        </w:tc>
        <w:tc>
          <w:tcPr>
            <w:tcW w:w="551" w:type="pct"/>
            <w:noWrap w:val="0"/>
            <w:vAlign w:val="top"/>
          </w:tcPr>
          <w:p w14:paraId="018AB13D">
            <w:pPr>
              <w:rPr>
                <w:rFonts w:ascii="宋体" w:hAnsi="宋体" w:eastAsia="宋体"/>
                <w:color w:val="auto"/>
                <w:sz w:val="24"/>
                <w:highlight w:val="none"/>
              </w:rPr>
            </w:pPr>
          </w:p>
        </w:tc>
        <w:tc>
          <w:tcPr>
            <w:tcW w:w="393" w:type="pct"/>
            <w:noWrap w:val="0"/>
            <w:vAlign w:val="top"/>
          </w:tcPr>
          <w:p w14:paraId="03AC6FCD">
            <w:pPr>
              <w:rPr>
                <w:rFonts w:ascii="宋体" w:hAnsi="宋体" w:eastAsia="宋体"/>
                <w:color w:val="auto"/>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5" w:type="pct"/>
            <w:gridSpan w:val="7"/>
            <w:noWrap w:val="0"/>
            <w:vAlign w:val="center"/>
          </w:tcPr>
          <w:p w14:paraId="5461A2A8">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4" w:type="pct"/>
            <w:gridSpan w:val="2"/>
            <w:noWrap w:val="0"/>
            <w:vAlign w:val="top"/>
          </w:tcPr>
          <w:p w14:paraId="559957D4">
            <w:pPr>
              <w:rPr>
                <w:rFonts w:ascii="宋体" w:hAnsi="宋体" w:eastAsia="宋体"/>
                <w:color w:val="auto"/>
                <w:sz w:val="24"/>
                <w:highlight w:val="none"/>
              </w:rPr>
            </w:pPr>
          </w:p>
        </w:tc>
      </w:tr>
    </w:tbl>
    <w:p w14:paraId="4C7090A7">
      <w:pPr>
        <w:pStyle w:val="62"/>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1CDA59D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17CB7DC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69CD1F0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3C73F4D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18231BF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176E8AA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C5909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575AA4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60C54B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D70D3F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72BE93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158F3C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122CB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60FF5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3730EC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666FC2C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10A86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D90EEB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2087A30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7A4BB65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1508F1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DA9BCC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3AC8085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7CCB6AB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5005406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6AD76037">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7C354805">
      <w:pPr>
        <w:pStyle w:val="62"/>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28"/>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4DECA2F7">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6345AD47">
            <w:pPr>
              <w:spacing w:line="360" w:lineRule="auto"/>
              <w:rPr>
                <w:rFonts w:hint="eastAsia" w:ascii="宋体" w:hAnsi="宋体" w:eastAsia="宋体" w:cs="宋体"/>
                <w:color w:val="auto"/>
                <w:sz w:val="24"/>
                <w:szCs w:val="24"/>
                <w:highlight w:val="none"/>
                <w:u w:val="single"/>
                <w:lang w:val="en-US" w:eastAsia="zh-CN"/>
              </w:rPr>
            </w:pPr>
          </w:p>
          <w:p w14:paraId="218CB0CA">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6902F005">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4211CC09">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41DF4DBB">
      <w:pPr>
        <w:spacing w:line="360" w:lineRule="auto"/>
        <w:rPr>
          <w:rFonts w:hint="eastAsia" w:ascii="宋体" w:hAnsi="宋体" w:eastAsia="宋体"/>
          <w:b/>
          <w:bCs/>
          <w:color w:val="auto"/>
          <w:sz w:val="21"/>
          <w:szCs w:val="21"/>
          <w:highlight w:val="none"/>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0FC5F10B">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6F8C7329">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24820EB">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六</w:t>
      </w:r>
      <w:r>
        <w:rPr>
          <w:rFonts w:hint="eastAsia" w:asciiTheme="minorEastAsia" w:hAnsiTheme="minorEastAsia" w:eastAsiaTheme="minorEastAsia"/>
          <w:b/>
          <w:color w:val="auto"/>
          <w:sz w:val="24"/>
          <w:highlight w:val="none"/>
        </w:rPr>
        <w:t>、投标响应表</w:t>
      </w:r>
      <w:bookmarkEnd w:id="211"/>
      <w:bookmarkEnd w:id="212"/>
    </w:p>
    <w:p w14:paraId="3423BE2C">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095F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5A437FEA">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6A8F1D5B">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8" w:type="dxa"/>
            <w:vAlign w:val="center"/>
          </w:tcPr>
          <w:p w14:paraId="0F6614BD">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2575" w:type="dxa"/>
            <w:vAlign w:val="center"/>
          </w:tcPr>
          <w:p w14:paraId="5A36409E">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14:paraId="6E59E2CF">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4E7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1F253CAF">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7295D226">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8" w:type="dxa"/>
            <w:vAlign w:val="center"/>
          </w:tcPr>
          <w:p w14:paraId="78ABEE11">
            <w:pPr>
              <w:jc w:val="center"/>
              <w:rPr>
                <w:rFonts w:asciiTheme="minorEastAsia" w:hAnsiTheme="minorEastAsia" w:eastAsiaTheme="minorEastAsia"/>
                <w:color w:val="auto"/>
                <w:sz w:val="24"/>
                <w:highlight w:val="none"/>
              </w:rPr>
            </w:pPr>
          </w:p>
        </w:tc>
        <w:tc>
          <w:tcPr>
            <w:tcW w:w="2575" w:type="dxa"/>
            <w:vAlign w:val="center"/>
          </w:tcPr>
          <w:p w14:paraId="76D90286">
            <w:pPr>
              <w:jc w:val="center"/>
              <w:rPr>
                <w:rFonts w:asciiTheme="minorEastAsia" w:hAnsiTheme="minorEastAsia" w:eastAsiaTheme="minorEastAsia"/>
                <w:color w:val="auto"/>
                <w:sz w:val="24"/>
                <w:highlight w:val="none"/>
              </w:rPr>
            </w:pPr>
          </w:p>
        </w:tc>
        <w:tc>
          <w:tcPr>
            <w:tcW w:w="810" w:type="dxa"/>
            <w:vAlign w:val="center"/>
          </w:tcPr>
          <w:p w14:paraId="7E42D4B9">
            <w:pPr>
              <w:jc w:val="center"/>
              <w:rPr>
                <w:rFonts w:asciiTheme="minorEastAsia" w:hAnsiTheme="minorEastAsia" w:eastAsiaTheme="minorEastAsia"/>
                <w:color w:val="auto"/>
                <w:sz w:val="24"/>
                <w:highlight w:val="none"/>
              </w:rPr>
            </w:pPr>
          </w:p>
        </w:tc>
      </w:tr>
      <w:tr w14:paraId="1884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291AF9B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0AEB8F98">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8" w:type="dxa"/>
            <w:vAlign w:val="center"/>
          </w:tcPr>
          <w:p w14:paraId="09F07C16">
            <w:pPr>
              <w:jc w:val="center"/>
              <w:rPr>
                <w:rFonts w:asciiTheme="minorEastAsia" w:hAnsiTheme="minorEastAsia" w:eastAsiaTheme="minorEastAsia"/>
                <w:color w:val="auto"/>
                <w:sz w:val="24"/>
                <w:highlight w:val="none"/>
              </w:rPr>
            </w:pPr>
          </w:p>
        </w:tc>
        <w:tc>
          <w:tcPr>
            <w:tcW w:w="2575" w:type="dxa"/>
            <w:vAlign w:val="center"/>
          </w:tcPr>
          <w:p w14:paraId="69D4FE81">
            <w:pPr>
              <w:jc w:val="center"/>
              <w:rPr>
                <w:rFonts w:asciiTheme="minorEastAsia" w:hAnsiTheme="minorEastAsia" w:eastAsiaTheme="minorEastAsia"/>
                <w:color w:val="auto"/>
                <w:sz w:val="24"/>
                <w:highlight w:val="none"/>
              </w:rPr>
            </w:pPr>
          </w:p>
        </w:tc>
        <w:tc>
          <w:tcPr>
            <w:tcW w:w="810" w:type="dxa"/>
            <w:vAlign w:val="center"/>
          </w:tcPr>
          <w:p w14:paraId="2B3482A4">
            <w:pPr>
              <w:jc w:val="center"/>
              <w:rPr>
                <w:rFonts w:asciiTheme="minorEastAsia" w:hAnsiTheme="minorEastAsia" w:eastAsiaTheme="minorEastAsia"/>
                <w:color w:val="auto"/>
                <w:sz w:val="24"/>
                <w:highlight w:val="none"/>
              </w:rPr>
            </w:pPr>
          </w:p>
        </w:tc>
      </w:tr>
      <w:tr w14:paraId="4CA4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1A201D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2F2E68D5">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8" w:type="dxa"/>
            <w:vAlign w:val="center"/>
          </w:tcPr>
          <w:p w14:paraId="22787C49">
            <w:pPr>
              <w:jc w:val="center"/>
              <w:rPr>
                <w:rFonts w:asciiTheme="minorEastAsia" w:hAnsiTheme="minorEastAsia" w:eastAsiaTheme="minorEastAsia"/>
                <w:color w:val="auto"/>
                <w:sz w:val="24"/>
                <w:highlight w:val="none"/>
              </w:rPr>
            </w:pPr>
          </w:p>
        </w:tc>
        <w:tc>
          <w:tcPr>
            <w:tcW w:w="2575" w:type="dxa"/>
            <w:vAlign w:val="center"/>
          </w:tcPr>
          <w:p w14:paraId="0344CC3F">
            <w:pPr>
              <w:pStyle w:val="62"/>
              <w:jc w:val="center"/>
              <w:rPr>
                <w:rFonts w:asciiTheme="minorEastAsia" w:hAnsiTheme="minorEastAsia" w:eastAsiaTheme="minorEastAsia"/>
                <w:color w:val="auto"/>
                <w:highlight w:val="none"/>
              </w:rPr>
            </w:pPr>
          </w:p>
        </w:tc>
        <w:tc>
          <w:tcPr>
            <w:tcW w:w="810" w:type="dxa"/>
            <w:vAlign w:val="center"/>
          </w:tcPr>
          <w:p w14:paraId="015C4A8F">
            <w:pPr>
              <w:jc w:val="center"/>
              <w:rPr>
                <w:rFonts w:asciiTheme="minorEastAsia" w:hAnsiTheme="minorEastAsia" w:eastAsiaTheme="minorEastAsia"/>
                <w:color w:val="auto"/>
                <w:sz w:val="24"/>
                <w:highlight w:val="none"/>
              </w:rPr>
            </w:pPr>
          </w:p>
        </w:tc>
      </w:tr>
      <w:tr w14:paraId="58EE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6E93170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1BE6FFD3">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8" w:type="dxa"/>
            <w:vAlign w:val="center"/>
          </w:tcPr>
          <w:p w14:paraId="07F0EF70">
            <w:pPr>
              <w:jc w:val="center"/>
              <w:rPr>
                <w:rFonts w:asciiTheme="minorEastAsia" w:hAnsiTheme="minorEastAsia" w:eastAsiaTheme="minorEastAsia"/>
                <w:color w:val="auto"/>
                <w:sz w:val="24"/>
                <w:highlight w:val="none"/>
              </w:rPr>
            </w:pPr>
          </w:p>
        </w:tc>
        <w:tc>
          <w:tcPr>
            <w:tcW w:w="2575" w:type="dxa"/>
            <w:vAlign w:val="center"/>
          </w:tcPr>
          <w:p w14:paraId="411E4E7D">
            <w:pPr>
              <w:jc w:val="center"/>
              <w:rPr>
                <w:rFonts w:asciiTheme="minorEastAsia" w:hAnsiTheme="minorEastAsia" w:eastAsiaTheme="minorEastAsia"/>
                <w:color w:val="auto"/>
                <w:sz w:val="24"/>
                <w:highlight w:val="none"/>
              </w:rPr>
            </w:pPr>
          </w:p>
        </w:tc>
        <w:tc>
          <w:tcPr>
            <w:tcW w:w="810" w:type="dxa"/>
            <w:vAlign w:val="center"/>
          </w:tcPr>
          <w:p w14:paraId="42B5F118">
            <w:pPr>
              <w:jc w:val="center"/>
              <w:rPr>
                <w:rFonts w:asciiTheme="minorEastAsia" w:hAnsiTheme="minorEastAsia" w:eastAsiaTheme="minorEastAsia"/>
                <w:color w:val="auto"/>
                <w:sz w:val="24"/>
                <w:highlight w:val="none"/>
              </w:rPr>
            </w:pPr>
          </w:p>
        </w:tc>
      </w:tr>
      <w:tr w14:paraId="353B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638CC59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2A8543AB">
            <w:pPr>
              <w:jc w:val="center"/>
              <w:rPr>
                <w:rFonts w:ascii="宋体" w:hAnsi="宋体" w:eastAsia="宋体"/>
                <w:color w:val="auto"/>
                <w:sz w:val="24"/>
                <w:highlight w:val="none"/>
              </w:rPr>
            </w:pPr>
          </w:p>
        </w:tc>
        <w:tc>
          <w:tcPr>
            <w:tcW w:w="2498" w:type="dxa"/>
            <w:vAlign w:val="center"/>
          </w:tcPr>
          <w:p w14:paraId="5581BCBA">
            <w:pPr>
              <w:jc w:val="center"/>
              <w:rPr>
                <w:rFonts w:asciiTheme="minorEastAsia" w:hAnsiTheme="minorEastAsia" w:eastAsiaTheme="minorEastAsia"/>
                <w:color w:val="auto"/>
                <w:sz w:val="24"/>
                <w:highlight w:val="none"/>
              </w:rPr>
            </w:pPr>
          </w:p>
        </w:tc>
        <w:tc>
          <w:tcPr>
            <w:tcW w:w="2575" w:type="dxa"/>
            <w:vAlign w:val="center"/>
          </w:tcPr>
          <w:p w14:paraId="6D3221F4">
            <w:pPr>
              <w:jc w:val="center"/>
              <w:rPr>
                <w:rFonts w:asciiTheme="minorEastAsia" w:hAnsiTheme="minorEastAsia" w:eastAsiaTheme="minorEastAsia"/>
                <w:color w:val="auto"/>
                <w:sz w:val="24"/>
                <w:highlight w:val="none"/>
              </w:rPr>
            </w:pPr>
          </w:p>
        </w:tc>
        <w:tc>
          <w:tcPr>
            <w:tcW w:w="810" w:type="dxa"/>
            <w:vAlign w:val="center"/>
          </w:tcPr>
          <w:p w14:paraId="374D8D8B">
            <w:pPr>
              <w:jc w:val="center"/>
              <w:rPr>
                <w:rFonts w:asciiTheme="minorEastAsia" w:hAnsiTheme="minorEastAsia" w:eastAsiaTheme="minorEastAsia"/>
                <w:color w:val="auto"/>
                <w:sz w:val="24"/>
                <w:highlight w:val="none"/>
              </w:rPr>
            </w:pPr>
          </w:p>
        </w:tc>
      </w:tr>
    </w:tbl>
    <w:p w14:paraId="56829BC6">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0733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0" w:type="dxa"/>
            <w:vAlign w:val="center"/>
          </w:tcPr>
          <w:p w14:paraId="6B9EE9E5">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4A7FF6C5">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4" w:type="dxa"/>
            <w:vAlign w:val="center"/>
          </w:tcPr>
          <w:p w14:paraId="2A2AB1B8">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14:paraId="42F0A4A1">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24E88497">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4F9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566A8B0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5064E8E1">
            <w:pPr>
              <w:jc w:val="center"/>
              <w:rPr>
                <w:rFonts w:asciiTheme="minorEastAsia" w:hAnsiTheme="minorEastAsia" w:eastAsiaTheme="minorEastAsia"/>
                <w:color w:val="auto"/>
                <w:sz w:val="24"/>
                <w:highlight w:val="none"/>
              </w:rPr>
            </w:pPr>
          </w:p>
        </w:tc>
        <w:tc>
          <w:tcPr>
            <w:tcW w:w="2864" w:type="dxa"/>
            <w:vAlign w:val="center"/>
          </w:tcPr>
          <w:p w14:paraId="4A46EF4E">
            <w:pPr>
              <w:jc w:val="center"/>
              <w:rPr>
                <w:rFonts w:asciiTheme="minorEastAsia" w:hAnsiTheme="minorEastAsia" w:eastAsiaTheme="minorEastAsia"/>
                <w:color w:val="auto"/>
                <w:sz w:val="24"/>
                <w:highlight w:val="none"/>
              </w:rPr>
            </w:pPr>
          </w:p>
        </w:tc>
        <w:tc>
          <w:tcPr>
            <w:tcW w:w="2482" w:type="dxa"/>
            <w:vAlign w:val="center"/>
          </w:tcPr>
          <w:p w14:paraId="1E576EEF">
            <w:pPr>
              <w:jc w:val="center"/>
              <w:rPr>
                <w:rFonts w:asciiTheme="minorEastAsia" w:hAnsiTheme="minorEastAsia" w:eastAsiaTheme="minorEastAsia"/>
                <w:color w:val="auto"/>
                <w:sz w:val="24"/>
                <w:highlight w:val="none"/>
              </w:rPr>
            </w:pPr>
          </w:p>
        </w:tc>
        <w:tc>
          <w:tcPr>
            <w:tcW w:w="856" w:type="dxa"/>
            <w:vAlign w:val="center"/>
          </w:tcPr>
          <w:p w14:paraId="1B479A5F">
            <w:pPr>
              <w:jc w:val="center"/>
              <w:rPr>
                <w:rFonts w:asciiTheme="minorEastAsia" w:hAnsiTheme="minorEastAsia" w:eastAsiaTheme="minorEastAsia"/>
                <w:color w:val="auto"/>
                <w:sz w:val="24"/>
                <w:highlight w:val="none"/>
              </w:rPr>
            </w:pPr>
          </w:p>
        </w:tc>
      </w:tr>
      <w:tr w14:paraId="1F40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246A758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232BDDE4">
            <w:pPr>
              <w:jc w:val="center"/>
              <w:rPr>
                <w:rFonts w:asciiTheme="minorEastAsia" w:hAnsiTheme="minorEastAsia" w:eastAsiaTheme="minorEastAsia"/>
                <w:color w:val="auto"/>
                <w:sz w:val="24"/>
                <w:highlight w:val="none"/>
              </w:rPr>
            </w:pPr>
          </w:p>
        </w:tc>
        <w:tc>
          <w:tcPr>
            <w:tcW w:w="2864" w:type="dxa"/>
            <w:vAlign w:val="center"/>
          </w:tcPr>
          <w:p w14:paraId="64EC347D">
            <w:pPr>
              <w:jc w:val="center"/>
              <w:rPr>
                <w:rFonts w:asciiTheme="minorEastAsia" w:hAnsiTheme="minorEastAsia" w:eastAsiaTheme="minorEastAsia"/>
                <w:color w:val="auto"/>
                <w:sz w:val="24"/>
                <w:highlight w:val="none"/>
              </w:rPr>
            </w:pPr>
          </w:p>
        </w:tc>
        <w:tc>
          <w:tcPr>
            <w:tcW w:w="2482" w:type="dxa"/>
            <w:vAlign w:val="center"/>
          </w:tcPr>
          <w:p w14:paraId="54A6963F">
            <w:pPr>
              <w:jc w:val="center"/>
              <w:rPr>
                <w:rFonts w:asciiTheme="minorEastAsia" w:hAnsiTheme="minorEastAsia" w:eastAsiaTheme="minorEastAsia"/>
                <w:color w:val="auto"/>
                <w:sz w:val="24"/>
                <w:highlight w:val="none"/>
              </w:rPr>
            </w:pPr>
          </w:p>
        </w:tc>
        <w:tc>
          <w:tcPr>
            <w:tcW w:w="856" w:type="dxa"/>
            <w:vAlign w:val="center"/>
          </w:tcPr>
          <w:p w14:paraId="15DECBE0">
            <w:pPr>
              <w:jc w:val="center"/>
              <w:rPr>
                <w:rFonts w:asciiTheme="minorEastAsia" w:hAnsiTheme="minorEastAsia" w:eastAsiaTheme="minorEastAsia"/>
                <w:color w:val="auto"/>
                <w:sz w:val="24"/>
                <w:highlight w:val="none"/>
              </w:rPr>
            </w:pPr>
          </w:p>
        </w:tc>
      </w:tr>
      <w:tr w14:paraId="6353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844D85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042B9FC1">
            <w:pPr>
              <w:jc w:val="center"/>
              <w:rPr>
                <w:rFonts w:asciiTheme="minorEastAsia" w:hAnsiTheme="minorEastAsia" w:eastAsiaTheme="minorEastAsia"/>
                <w:color w:val="auto"/>
                <w:sz w:val="24"/>
                <w:highlight w:val="none"/>
              </w:rPr>
            </w:pPr>
          </w:p>
        </w:tc>
        <w:tc>
          <w:tcPr>
            <w:tcW w:w="2864" w:type="dxa"/>
            <w:vAlign w:val="center"/>
          </w:tcPr>
          <w:p w14:paraId="189C5A33">
            <w:pPr>
              <w:jc w:val="center"/>
              <w:rPr>
                <w:rFonts w:asciiTheme="minorEastAsia" w:hAnsiTheme="minorEastAsia" w:eastAsiaTheme="minorEastAsia"/>
                <w:color w:val="auto"/>
                <w:sz w:val="24"/>
                <w:highlight w:val="none"/>
              </w:rPr>
            </w:pPr>
          </w:p>
        </w:tc>
        <w:tc>
          <w:tcPr>
            <w:tcW w:w="2482" w:type="dxa"/>
            <w:vAlign w:val="center"/>
          </w:tcPr>
          <w:p w14:paraId="413D1B03">
            <w:pPr>
              <w:pStyle w:val="62"/>
              <w:jc w:val="center"/>
              <w:rPr>
                <w:rFonts w:asciiTheme="minorEastAsia" w:hAnsiTheme="minorEastAsia" w:eastAsiaTheme="minorEastAsia"/>
                <w:color w:val="auto"/>
                <w:highlight w:val="none"/>
              </w:rPr>
            </w:pPr>
          </w:p>
        </w:tc>
        <w:tc>
          <w:tcPr>
            <w:tcW w:w="856" w:type="dxa"/>
            <w:vAlign w:val="center"/>
          </w:tcPr>
          <w:p w14:paraId="60421CAD">
            <w:pPr>
              <w:jc w:val="center"/>
              <w:rPr>
                <w:rFonts w:asciiTheme="minorEastAsia" w:hAnsiTheme="minorEastAsia" w:eastAsiaTheme="minorEastAsia"/>
                <w:color w:val="auto"/>
                <w:sz w:val="24"/>
                <w:highlight w:val="none"/>
              </w:rPr>
            </w:pPr>
          </w:p>
        </w:tc>
      </w:tr>
      <w:tr w14:paraId="2997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03AD53A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2B6ED947">
            <w:pPr>
              <w:jc w:val="center"/>
              <w:rPr>
                <w:rFonts w:asciiTheme="minorEastAsia" w:hAnsiTheme="minorEastAsia" w:eastAsiaTheme="minorEastAsia"/>
                <w:color w:val="auto"/>
                <w:sz w:val="24"/>
                <w:highlight w:val="none"/>
              </w:rPr>
            </w:pPr>
          </w:p>
        </w:tc>
        <w:tc>
          <w:tcPr>
            <w:tcW w:w="2864" w:type="dxa"/>
            <w:vAlign w:val="center"/>
          </w:tcPr>
          <w:p w14:paraId="569247B1">
            <w:pPr>
              <w:jc w:val="center"/>
              <w:rPr>
                <w:rFonts w:asciiTheme="minorEastAsia" w:hAnsiTheme="minorEastAsia" w:eastAsiaTheme="minorEastAsia"/>
                <w:color w:val="auto"/>
                <w:sz w:val="24"/>
                <w:highlight w:val="none"/>
              </w:rPr>
            </w:pPr>
          </w:p>
        </w:tc>
        <w:tc>
          <w:tcPr>
            <w:tcW w:w="2482" w:type="dxa"/>
            <w:vAlign w:val="center"/>
          </w:tcPr>
          <w:p w14:paraId="44D53568">
            <w:pPr>
              <w:pStyle w:val="62"/>
              <w:jc w:val="center"/>
              <w:rPr>
                <w:rFonts w:asciiTheme="minorEastAsia" w:hAnsiTheme="minorEastAsia" w:eastAsiaTheme="minorEastAsia"/>
                <w:color w:val="auto"/>
                <w:highlight w:val="none"/>
              </w:rPr>
            </w:pPr>
          </w:p>
        </w:tc>
        <w:tc>
          <w:tcPr>
            <w:tcW w:w="856" w:type="dxa"/>
            <w:vAlign w:val="center"/>
          </w:tcPr>
          <w:p w14:paraId="426EA408">
            <w:pPr>
              <w:jc w:val="center"/>
              <w:rPr>
                <w:rFonts w:asciiTheme="minorEastAsia" w:hAnsiTheme="minorEastAsia" w:eastAsiaTheme="minorEastAsia"/>
                <w:color w:val="auto"/>
                <w:sz w:val="24"/>
                <w:highlight w:val="none"/>
              </w:rPr>
            </w:pPr>
          </w:p>
        </w:tc>
      </w:tr>
      <w:tr w14:paraId="6802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3A8E1F1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794B44A3">
            <w:pPr>
              <w:jc w:val="center"/>
              <w:rPr>
                <w:rFonts w:asciiTheme="minorEastAsia" w:hAnsiTheme="minorEastAsia" w:eastAsiaTheme="minorEastAsia"/>
                <w:color w:val="auto"/>
                <w:sz w:val="24"/>
                <w:highlight w:val="none"/>
              </w:rPr>
            </w:pPr>
          </w:p>
        </w:tc>
        <w:tc>
          <w:tcPr>
            <w:tcW w:w="2864" w:type="dxa"/>
            <w:vAlign w:val="center"/>
          </w:tcPr>
          <w:p w14:paraId="57952384">
            <w:pPr>
              <w:jc w:val="center"/>
              <w:rPr>
                <w:rFonts w:asciiTheme="minorEastAsia" w:hAnsiTheme="minorEastAsia" w:eastAsiaTheme="minorEastAsia"/>
                <w:color w:val="auto"/>
                <w:sz w:val="24"/>
                <w:highlight w:val="none"/>
              </w:rPr>
            </w:pPr>
          </w:p>
        </w:tc>
        <w:tc>
          <w:tcPr>
            <w:tcW w:w="2482" w:type="dxa"/>
            <w:vAlign w:val="center"/>
          </w:tcPr>
          <w:p w14:paraId="0F805400">
            <w:pPr>
              <w:jc w:val="center"/>
              <w:rPr>
                <w:rFonts w:asciiTheme="minorEastAsia" w:hAnsiTheme="minorEastAsia" w:eastAsiaTheme="minorEastAsia"/>
                <w:color w:val="auto"/>
                <w:sz w:val="24"/>
                <w:highlight w:val="none"/>
              </w:rPr>
            </w:pPr>
          </w:p>
        </w:tc>
        <w:tc>
          <w:tcPr>
            <w:tcW w:w="856" w:type="dxa"/>
            <w:vAlign w:val="center"/>
          </w:tcPr>
          <w:p w14:paraId="49233DB2">
            <w:pPr>
              <w:jc w:val="center"/>
              <w:rPr>
                <w:rFonts w:asciiTheme="minorEastAsia" w:hAnsiTheme="minorEastAsia" w:eastAsiaTheme="minorEastAsia"/>
                <w:color w:val="auto"/>
                <w:sz w:val="24"/>
                <w:highlight w:val="none"/>
              </w:rPr>
            </w:pPr>
          </w:p>
        </w:tc>
      </w:tr>
    </w:tbl>
    <w:p w14:paraId="494A829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A80A1D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43CC82ED">
      <w:pPr>
        <w:pStyle w:val="16"/>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17C79A30">
      <w:pPr>
        <w:spacing w:line="360" w:lineRule="auto"/>
        <w:jc w:val="center"/>
        <w:outlineLvl w:val="1"/>
        <w:rPr>
          <w:rFonts w:asciiTheme="minorEastAsia" w:hAnsiTheme="minorEastAsia" w:eastAsiaTheme="minorEastAsia"/>
          <w:b/>
          <w:color w:val="auto"/>
          <w:sz w:val="24"/>
          <w:highlight w:val="none"/>
        </w:rPr>
      </w:pPr>
      <w:bookmarkStart w:id="213" w:name="_Toc9573"/>
      <w:bookmarkStart w:id="214" w:name="_Toc31244"/>
      <w:bookmarkStart w:id="215" w:name="OLE_LINK14"/>
      <w:bookmarkStart w:id="216" w:name="OLE_LINK13"/>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、中小企业声明函</w:t>
      </w:r>
      <w:bookmarkEnd w:id="213"/>
      <w:bookmarkEnd w:id="214"/>
    </w:p>
    <w:p w14:paraId="5F72DFFA">
      <w:pPr>
        <w:pStyle w:val="10"/>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w:t>
      </w:r>
      <w:r>
        <w:rPr>
          <w:rFonts w:hint="eastAsia" w:ascii="宋体" w:hAnsi="宋体" w:eastAsia="宋体"/>
          <w:i/>
          <w:color w:val="auto"/>
          <w:sz w:val="24"/>
          <w:highlight w:val="none"/>
        </w:rPr>
        <w:t>非中小企业投标</w:t>
      </w:r>
      <w:r>
        <w:rPr>
          <w:rFonts w:hint="eastAsia" w:ascii="宋体" w:hAnsi="宋体" w:eastAsia="宋体"/>
          <w:i/>
          <w:color w:val="auto"/>
          <w:sz w:val="24"/>
          <w:highlight w:val="none"/>
          <w:lang w:val="en-US"/>
        </w:rPr>
        <w:t>，不需此件，请删去“中小企业声明函”）</w:t>
      </w:r>
    </w:p>
    <w:p w14:paraId="55077108">
      <w:pPr>
        <w:rPr>
          <w:rFonts w:asciiTheme="minorEastAsia" w:hAnsiTheme="minorEastAsia" w:eastAsiaTheme="minorEastAsia"/>
          <w:color w:val="auto"/>
          <w:sz w:val="24"/>
          <w:szCs w:val="24"/>
          <w:highlight w:val="none"/>
        </w:rPr>
      </w:pPr>
    </w:p>
    <w:p w14:paraId="1988196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154226B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25D3B56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5E26351">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1908F7CA">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0816C04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6BDBFB20">
      <w:pPr>
        <w:spacing w:line="360" w:lineRule="auto"/>
        <w:ind w:firstLine="435"/>
        <w:rPr>
          <w:rFonts w:asciiTheme="minorEastAsia" w:hAnsiTheme="minorEastAsia" w:eastAsiaTheme="minorEastAsia"/>
          <w:color w:val="auto"/>
          <w:sz w:val="24"/>
          <w:szCs w:val="24"/>
          <w:highlight w:val="none"/>
        </w:rPr>
      </w:pPr>
    </w:p>
    <w:p w14:paraId="713DDA75">
      <w:pPr>
        <w:spacing w:line="360" w:lineRule="auto"/>
        <w:ind w:firstLine="435"/>
        <w:rPr>
          <w:rFonts w:asciiTheme="minorEastAsia" w:hAnsiTheme="minorEastAsia" w:eastAsiaTheme="minorEastAsia"/>
          <w:color w:val="auto"/>
          <w:sz w:val="24"/>
          <w:szCs w:val="24"/>
          <w:highlight w:val="none"/>
        </w:rPr>
      </w:pPr>
    </w:p>
    <w:p w14:paraId="6CF2A0A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33093082">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296B3FC">
      <w:pPr>
        <w:tabs>
          <w:tab w:val="left" w:pos="4620"/>
        </w:tabs>
        <w:spacing w:line="360" w:lineRule="auto"/>
        <w:jc w:val="left"/>
        <w:rPr>
          <w:rFonts w:asciiTheme="minorEastAsia" w:hAnsiTheme="minorEastAsia" w:eastAsiaTheme="minorEastAsia"/>
          <w:color w:val="auto"/>
          <w:sz w:val="24"/>
          <w:szCs w:val="24"/>
          <w:highlight w:val="none"/>
        </w:rPr>
      </w:pPr>
    </w:p>
    <w:p w14:paraId="6A838C55">
      <w:pPr>
        <w:tabs>
          <w:tab w:val="left" w:pos="4620"/>
        </w:tabs>
        <w:spacing w:line="360" w:lineRule="auto"/>
        <w:jc w:val="left"/>
        <w:rPr>
          <w:rFonts w:asciiTheme="minorEastAsia" w:hAnsiTheme="minorEastAsia" w:eastAsiaTheme="minorEastAsia"/>
          <w:color w:val="auto"/>
          <w:sz w:val="24"/>
          <w:szCs w:val="24"/>
          <w:highlight w:val="none"/>
        </w:rPr>
      </w:pPr>
    </w:p>
    <w:p w14:paraId="53AB8527">
      <w:pPr>
        <w:tabs>
          <w:tab w:val="left" w:pos="4620"/>
        </w:tabs>
        <w:spacing w:line="360" w:lineRule="auto"/>
        <w:jc w:val="left"/>
        <w:rPr>
          <w:rFonts w:asciiTheme="minorEastAsia" w:hAnsiTheme="minorEastAsia" w:eastAsiaTheme="minorEastAsia"/>
          <w:color w:val="auto"/>
          <w:sz w:val="24"/>
          <w:szCs w:val="24"/>
          <w:highlight w:val="none"/>
        </w:rPr>
      </w:pPr>
    </w:p>
    <w:p w14:paraId="762005B4">
      <w:pPr>
        <w:tabs>
          <w:tab w:val="left" w:pos="4620"/>
        </w:tabs>
        <w:spacing w:line="360" w:lineRule="auto"/>
        <w:jc w:val="left"/>
        <w:rPr>
          <w:rFonts w:asciiTheme="minorEastAsia" w:hAnsiTheme="minorEastAsia" w:eastAsiaTheme="minorEastAsia"/>
          <w:color w:val="auto"/>
          <w:sz w:val="24"/>
          <w:szCs w:val="24"/>
          <w:highlight w:val="none"/>
        </w:rPr>
      </w:pPr>
    </w:p>
    <w:p w14:paraId="4587B0BE">
      <w:pPr>
        <w:tabs>
          <w:tab w:val="left" w:pos="4620"/>
        </w:tabs>
        <w:spacing w:line="360" w:lineRule="auto"/>
        <w:jc w:val="left"/>
        <w:rPr>
          <w:rFonts w:asciiTheme="minorEastAsia" w:hAnsiTheme="minorEastAsia" w:eastAsiaTheme="minorEastAsia"/>
          <w:color w:val="auto"/>
          <w:sz w:val="24"/>
          <w:szCs w:val="24"/>
          <w:highlight w:val="none"/>
        </w:rPr>
      </w:pPr>
    </w:p>
    <w:p w14:paraId="019447A9">
      <w:pPr>
        <w:tabs>
          <w:tab w:val="left" w:pos="4620"/>
        </w:tabs>
        <w:spacing w:line="360" w:lineRule="auto"/>
        <w:jc w:val="left"/>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注：</w:t>
      </w:r>
    </w:p>
    <w:p w14:paraId="308DE1AE">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4E17AE6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7D8A4A64">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3D54E3DA">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CB5F00B">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6AC6CBA2">
      <w:pPr>
        <w:rPr>
          <w:rFonts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215"/>
      <w:bookmarkEnd w:id="216"/>
    </w:p>
    <w:p w14:paraId="677EE695">
      <w:pPr>
        <w:spacing w:line="360" w:lineRule="auto"/>
        <w:jc w:val="center"/>
        <w:outlineLvl w:val="1"/>
        <w:rPr>
          <w:rFonts w:asciiTheme="minorEastAsia" w:hAnsiTheme="minorEastAsia" w:eastAsiaTheme="minorEastAsia"/>
          <w:b/>
          <w:color w:val="auto"/>
          <w:sz w:val="24"/>
          <w:highlight w:val="none"/>
        </w:rPr>
      </w:pPr>
      <w:bookmarkStart w:id="217" w:name="_Toc24563"/>
      <w:bookmarkStart w:id="218" w:name="_Toc16713"/>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、残疾人福利性单位声明函</w:t>
      </w:r>
      <w:bookmarkEnd w:id="217"/>
      <w:bookmarkEnd w:id="218"/>
    </w:p>
    <w:p w14:paraId="0A60CF27">
      <w:pPr>
        <w:pStyle w:val="10"/>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（非残疾人福利性单位投标，请删去“残疾人福利性单位声明函”）</w:t>
      </w:r>
    </w:p>
    <w:p w14:paraId="3EF7C9A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43001E9A">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76A2DB59">
      <w:pPr>
        <w:spacing w:line="360" w:lineRule="auto"/>
        <w:ind w:firstLine="4228" w:firstLineChars="1762"/>
        <w:rPr>
          <w:rFonts w:asciiTheme="minorEastAsia" w:hAnsiTheme="minorEastAsia" w:eastAsiaTheme="minorEastAsia"/>
          <w:color w:val="auto"/>
          <w:sz w:val="24"/>
          <w:szCs w:val="24"/>
          <w:highlight w:val="none"/>
        </w:rPr>
      </w:pPr>
    </w:p>
    <w:p w14:paraId="60C5EAA1">
      <w:pPr>
        <w:spacing w:line="360" w:lineRule="auto"/>
        <w:ind w:firstLine="4228" w:firstLineChars="1762"/>
        <w:rPr>
          <w:rFonts w:asciiTheme="minorEastAsia" w:hAnsiTheme="minorEastAsia" w:eastAsiaTheme="minorEastAsia"/>
          <w:color w:val="auto"/>
          <w:sz w:val="24"/>
          <w:szCs w:val="24"/>
          <w:highlight w:val="none"/>
        </w:rPr>
      </w:pPr>
    </w:p>
    <w:p w14:paraId="23C701B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2499EAE1">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3FD476F4">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4E457D7">
      <w:pPr>
        <w:spacing w:line="360" w:lineRule="auto"/>
        <w:jc w:val="center"/>
        <w:outlineLvl w:val="1"/>
        <w:rPr>
          <w:rFonts w:ascii="宋体" w:hAnsi="宋体" w:eastAsia="宋体"/>
          <w:b/>
          <w:color w:val="auto"/>
          <w:sz w:val="24"/>
          <w:highlight w:val="none"/>
        </w:rPr>
      </w:pPr>
      <w:bookmarkStart w:id="219" w:name="_Toc300210382"/>
      <w:bookmarkStart w:id="220" w:name="_Toc520299348"/>
      <w:bookmarkStart w:id="221" w:name="_Toc457768004"/>
      <w:bookmarkStart w:id="222" w:name="_Toc25813"/>
      <w:bookmarkStart w:id="223" w:name="_Toc26536"/>
      <w:bookmarkStart w:id="224" w:name="_Hlk11701496"/>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w:t>
      </w:r>
      <w:r>
        <w:rPr>
          <w:rFonts w:hint="eastAsia" w:ascii="宋体" w:hAnsi="宋体" w:eastAsia="宋体"/>
          <w:b/>
          <w:color w:val="auto"/>
          <w:sz w:val="24"/>
          <w:highlight w:val="none"/>
        </w:rPr>
        <w:t>关于符合本国产品标准的声明函</w:t>
      </w:r>
    </w:p>
    <w:p w14:paraId="570AADD8">
      <w:pPr>
        <w:spacing w:line="360" w:lineRule="auto"/>
        <w:jc w:val="center"/>
        <w:rPr>
          <w:rFonts w:ascii="宋体" w:hAnsi="宋体" w:eastAsia="宋体" w:cs="宋体"/>
          <w:color w:val="auto"/>
          <w:sz w:val="24"/>
          <w:szCs w:val="24"/>
          <w:highlight w:val="none"/>
          <w:shd w:val="clear" w:color="auto" w:fill="FFFFFF"/>
        </w:rPr>
      </w:pPr>
      <w:r>
        <w:rPr>
          <w:rFonts w:hint="eastAsia" w:ascii="宋体" w:hAnsi="宋体" w:eastAsia="宋体"/>
          <w:i/>
          <w:color w:val="auto"/>
          <w:sz w:val="24"/>
          <w:highlight w:val="none"/>
        </w:rPr>
        <w:t>（不符合本国产品扶持政策，不需此件）</w:t>
      </w:r>
    </w:p>
    <w:p w14:paraId="4FBC1009">
      <w:pPr>
        <w:pStyle w:val="22"/>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CBFF791">
      <w:pPr>
        <w:pStyle w:val="22"/>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1.</w:t>
      </w:r>
      <w:r>
        <w:rPr>
          <w:rStyle w:val="32"/>
          <w:rFonts w:hint="eastAsia" w:ascii="宋体" w:hAnsi="宋体" w:eastAsia="宋体" w:cs="宋体"/>
          <w:i w:val="0"/>
          <w:color w:val="auto"/>
          <w:szCs w:val="24"/>
          <w:highlight w:val="none"/>
          <w:u w:val="single"/>
          <w:shd w:val="clear" w:color="auto" w:fill="FFFFFF"/>
        </w:rPr>
        <w:t>（产品名称1）</w:t>
      </w:r>
      <w:r>
        <w:rPr>
          <w:rStyle w:val="32"/>
          <w:rFonts w:hint="eastAsia" w:ascii="宋体" w:hAnsi="宋体" w:eastAsia="宋体" w:cs="宋体"/>
          <w:i w:val="0"/>
          <w:color w:val="auto"/>
          <w:szCs w:val="24"/>
          <w:highlight w:val="none"/>
          <w:shd w:val="clear" w:color="auto" w:fill="FFFFFF"/>
          <w:vertAlign w:val="superscript"/>
        </w:rPr>
        <w:t>1</w:t>
      </w:r>
      <w:r>
        <w:rPr>
          <w:rFonts w:hint="eastAsia" w:ascii="宋体" w:hAnsi="宋体" w:eastAsia="宋体" w:cs="宋体"/>
          <w:color w:val="auto"/>
          <w:szCs w:val="24"/>
          <w:highlight w:val="none"/>
          <w:shd w:val="clear" w:color="auto" w:fill="FFFFFF"/>
        </w:rPr>
        <w:t>，生产厂为</w:t>
      </w:r>
      <w:r>
        <w:rPr>
          <w:rStyle w:val="32"/>
          <w:rFonts w:hint="eastAsia" w:ascii="宋体" w:hAnsi="宋体" w:eastAsia="宋体" w:cs="宋体"/>
          <w:i w:val="0"/>
          <w:color w:val="auto"/>
          <w:szCs w:val="24"/>
          <w:highlight w:val="none"/>
          <w:u w:val="single"/>
          <w:shd w:val="clear" w:color="auto" w:fill="FFFFFF"/>
        </w:rPr>
        <w:t>（厂名）</w:t>
      </w:r>
      <w:r>
        <w:rPr>
          <w:rStyle w:val="32"/>
          <w:rFonts w:hint="eastAsia" w:ascii="宋体" w:hAnsi="宋体" w:eastAsia="宋体" w:cs="宋体"/>
          <w:i w:val="0"/>
          <w:color w:val="auto"/>
          <w:szCs w:val="24"/>
          <w:highlight w:val="none"/>
          <w:shd w:val="clear" w:color="auto" w:fill="FFFFFF"/>
          <w:vertAlign w:val="superscript"/>
        </w:rPr>
        <w:t>2</w:t>
      </w:r>
      <w:r>
        <w:rPr>
          <w:rFonts w:hint="eastAsia" w:ascii="宋体" w:hAnsi="宋体" w:eastAsia="宋体" w:cs="宋体"/>
          <w:color w:val="auto"/>
          <w:szCs w:val="24"/>
          <w:highlight w:val="none"/>
          <w:shd w:val="clear" w:color="auto" w:fill="FFFFFF"/>
        </w:rPr>
        <w:t>，厂址为</w:t>
      </w:r>
      <w:r>
        <w:rPr>
          <w:rStyle w:val="32"/>
          <w:rFonts w:hint="eastAsia" w:ascii="宋体" w:hAnsi="宋体" w:eastAsia="宋体" w:cs="宋体"/>
          <w:i w:val="0"/>
          <w:color w:val="auto"/>
          <w:szCs w:val="24"/>
          <w:highlight w:val="none"/>
          <w:u w:val="single"/>
          <w:shd w:val="clear" w:color="auto" w:fill="FFFFFF"/>
        </w:rPr>
        <w:t>（生产厂址）</w:t>
      </w:r>
      <w:r>
        <w:rPr>
          <w:rFonts w:hint="eastAsia" w:ascii="宋体" w:hAnsi="宋体" w:eastAsia="宋体" w:cs="宋体"/>
          <w:color w:val="auto"/>
          <w:szCs w:val="24"/>
          <w:highlight w:val="none"/>
          <w:shd w:val="clear" w:color="auto" w:fill="FFFFFF"/>
        </w:rPr>
        <w:t>。</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的中国境内生产的组件成本占比≥</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在中国境内生产。</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在中国境内完成。</w:t>
      </w:r>
    </w:p>
    <w:p w14:paraId="6B896EC2">
      <w:pPr>
        <w:pStyle w:val="22"/>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2.</w:t>
      </w:r>
      <w:r>
        <w:rPr>
          <w:rStyle w:val="32"/>
          <w:rFonts w:hint="eastAsia" w:ascii="宋体" w:hAnsi="宋体" w:eastAsia="宋体" w:cs="宋体"/>
          <w:i w:val="0"/>
          <w:color w:val="auto"/>
          <w:szCs w:val="24"/>
          <w:highlight w:val="none"/>
          <w:u w:val="single"/>
          <w:shd w:val="clear" w:color="auto" w:fill="FFFFFF"/>
        </w:rPr>
        <w:t>（产品名称2）</w:t>
      </w:r>
      <w:r>
        <w:rPr>
          <w:rFonts w:hint="eastAsia" w:ascii="宋体" w:hAnsi="宋体" w:eastAsia="宋体" w:cs="宋体"/>
          <w:color w:val="auto"/>
          <w:szCs w:val="24"/>
          <w:highlight w:val="none"/>
          <w:shd w:val="clear" w:color="auto" w:fill="FFFFFF"/>
        </w:rPr>
        <w:t>，生产厂为</w:t>
      </w:r>
      <w:r>
        <w:rPr>
          <w:rStyle w:val="32"/>
          <w:rFonts w:hint="eastAsia" w:ascii="宋体" w:hAnsi="宋体" w:eastAsia="宋体" w:cs="宋体"/>
          <w:i w:val="0"/>
          <w:color w:val="auto"/>
          <w:szCs w:val="24"/>
          <w:highlight w:val="none"/>
          <w:u w:val="single"/>
          <w:shd w:val="clear" w:color="auto" w:fill="FFFFFF"/>
        </w:rPr>
        <w:t>（厂名）</w:t>
      </w:r>
      <w:r>
        <w:rPr>
          <w:rFonts w:hint="eastAsia" w:ascii="宋体" w:hAnsi="宋体" w:eastAsia="宋体" w:cs="宋体"/>
          <w:color w:val="auto"/>
          <w:szCs w:val="24"/>
          <w:highlight w:val="none"/>
          <w:shd w:val="clear" w:color="auto" w:fill="FFFFFF"/>
        </w:rPr>
        <w:t>，厂址为</w:t>
      </w:r>
      <w:r>
        <w:rPr>
          <w:rStyle w:val="32"/>
          <w:rFonts w:hint="eastAsia" w:ascii="宋体" w:hAnsi="宋体" w:eastAsia="宋体" w:cs="宋体"/>
          <w:i w:val="0"/>
          <w:color w:val="auto"/>
          <w:szCs w:val="24"/>
          <w:highlight w:val="none"/>
          <w:u w:val="single"/>
          <w:shd w:val="clear" w:color="auto" w:fill="FFFFFF"/>
        </w:rPr>
        <w:t>（生产厂址）</w:t>
      </w:r>
      <w:r>
        <w:rPr>
          <w:rFonts w:hint="eastAsia" w:ascii="宋体" w:hAnsi="宋体" w:eastAsia="宋体" w:cs="宋体"/>
          <w:color w:val="auto"/>
          <w:szCs w:val="24"/>
          <w:highlight w:val="none"/>
          <w:shd w:val="clear" w:color="auto" w:fill="FFFFFF"/>
        </w:rPr>
        <w:t>。</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的中国境内生产的组件成本占比≥</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在中国境内生产。</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32"/>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在中国境内完成。</w:t>
      </w:r>
    </w:p>
    <w:p w14:paraId="126AF6B3">
      <w:pPr>
        <w:pStyle w:val="22"/>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w:t>
      </w:r>
    </w:p>
    <w:p w14:paraId="2C86EBFF">
      <w:pPr>
        <w:pStyle w:val="22"/>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本公司（单位）对上述声明内容的真实性负责。如有虚假，愿承担相应法律责任。</w:t>
      </w:r>
    </w:p>
    <w:p w14:paraId="4F186D9A">
      <w:pPr>
        <w:spacing w:line="360" w:lineRule="auto"/>
        <w:ind w:firstLine="4228" w:firstLineChars="1762"/>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77319039">
      <w:pPr>
        <w:tabs>
          <w:tab w:val="left" w:pos="4620"/>
        </w:tabs>
        <w:spacing w:line="360" w:lineRule="auto"/>
        <w:ind w:firstLine="4252" w:firstLineChars="1772"/>
        <w:rPr>
          <w:rFonts w:ascii="宋体" w:hAnsi="宋体" w:eastAsia="宋体" w:cs="宋体"/>
          <w:color w:val="auto"/>
          <w:sz w:val="24"/>
          <w:szCs w:val="24"/>
          <w:highlight w:val="none"/>
          <w:shd w:val="clear" w:color="auto" w:fill="FFFFFF"/>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4376CE65">
      <w:pPr>
        <w:tabs>
          <w:tab w:val="left" w:pos="4620"/>
        </w:tabs>
        <w:spacing w:line="360" w:lineRule="auto"/>
        <w:jc w:val="left"/>
        <w:rPr>
          <w:rFonts w:ascii="宋体" w:hAnsi="宋体" w:eastAsia="宋体"/>
          <w:bCs/>
          <w:color w:val="auto"/>
          <w:szCs w:val="24"/>
          <w:highlight w:val="none"/>
        </w:rPr>
      </w:pPr>
      <w:r>
        <w:rPr>
          <w:rFonts w:hint="eastAsia" w:ascii="宋体" w:hAnsi="宋体" w:eastAsia="宋体" w:cs="Times New Roman"/>
          <w:b/>
          <w:color w:val="auto"/>
          <w:szCs w:val="24"/>
          <w:highlight w:val="none"/>
        </w:rPr>
        <w:t>注：</w:t>
      </w:r>
    </w:p>
    <w:p w14:paraId="3FD8E3EA">
      <w:pPr>
        <w:tabs>
          <w:tab w:val="left" w:pos="4620"/>
        </w:tabs>
        <w:spacing w:line="360" w:lineRule="auto"/>
        <w:jc w:val="left"/>
        <w:rPr>
          <w:rFonts w:ascii="宋体" w:hAnsi="宋体" w:eastAsia="宋体"/>
          <w:bCs/>
          <w:color w:val="auto"/>
          <w:szCs w:val="21"/>
          <w:highlight w:val="none"/>
        </w:rPr>
      </w:pPr>
      <w:r>
        <w:rPr>
          <w:rFonts w:hint="eastAsia" w:ascii="宋体" w:hAnsi="宋体" w:eastAsia="宋体"/>
          <w:bCs/>
          <w:color w:val="auto"/>
          <w:szCs w:val="21"/>
          <w:highlight w:val="none"/>
        </w:rPr>
        <w:t>1.产品如有型号，请在“产品名称”栏一并填写。</w:t>
      </w:r>
    </w:p>
    <w:p w14:paraId="7EAC5F12">
      <w:pPr>
        <w:tabs>
          <w:tab w:val="left" w:pos="4620"/>
        </w:tabs>
        <w:spacing w:line="360" w:lineRule="auto"/>
        <w:jc w:val="left"/>
        <w:rPr>
          <w:rFonts w:ascii="宋体" w:hAnsi="宋体" w:eastAsia="宋体"/>
          <w:bCs/>
          <w:color w:val="auto"/>
          <w:szCs w:val="21"/>
          <w:highlight w:val="none"/>
        </w:rPr>
      </w:pPr>
      <w:r>
        <w:rPr>
          <w:rFonts w:hint="eastAsia" w:ascii="宋体" w:hAnsi="宋体" w:eastAsia="宋体"/>
          <w:bCs/>
          <w:color w:val="auto"/>
          <w:szCs w:val="21"/>
          <w:highlight w:val="none"/>
        </w:rPr>
        <w:t>2.生产厂名与厂址应与生产厂营业执照载明的相关信息保持一致。</w:t>
      </w:r>
    </w:p>
    <w:p w14:paraId="35C8384A">
      <w:pPr>
        <w:tabs>
          <w:tab w:val="left" w:pos="4620"/>
        </w:tabs>
        <w:spacing w:line="360" w:lineRule="auto"/>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3.上述声明函中标注</w:t>
      </w:r>
      <w:r>
        <w:rPr>
          <w:rFonts w:hint="eastAsia" w:ascii="宋体" w:hAnsi="宋体" w:eastAsia="宋体" w:cs="Times New Roman"/>
          <w:bCs/>
          <w:color w:val="auto"/>
          <w:szCs w:val="21"/>
          <w:highlight w:val="none"/>
          <w:u w:val="single"/>
        </w:rPr>
        <w:t xml:space="preserve">  /  </w:t>
      </w:r>
      <w:r>
        <w:rPr>
          <w:rFonts w:hint="eastAsia" w:ascii="宋体" w:hAnsi="宋体" w:eastAsia="宋体" w:cs="Times New Roman"/>
          <w:bCs/>
          <w:color w:val="auto"/>
          <w:szCs w:val="21"/>
          <w:highlight w:val="none"/>
        </w:rPr>
        <w:t>的，无需填写。</w:t>
      </w:r>
    </w:p>
    <w:p w14:paraId="5D24475F">
      <w:pPr>
        <w:tabs>
          <w:tab w:val="left" w:pos="4620"/>
        </w:tabs>
        <w:spacing w:line="360" w:lineRule="auto"/>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4.投标人应当结合“五、投标分项报价表-货物部分”相关信息进行填写。</w:t>
      </w:r>
    </w:p>
    <w:p w14:paraId="53D2F535">
      <w:pPr>
        <w:tabs>
          <w:tab w:val="left" w:pos="4620"/>
        </w:tabs>
        <w:spacing w:line="360" w:lineRule="auto"/>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F15C918">
      <w:pPr>
        <w:tabs>
          <w:tab w:val="left" w:pos="4620"/>
        </w:tabs>
        <w:spacing w:line="360" w:lineRule="auto"/>
        <w:jc w:val="left"/>
        <w:rPr>
          <w:rFonts w:asciiTheme="minorEastAsia" w:hAnsiTheme="minorEastAsia" w:eastAsiaTheme="minorEastAsia"/>
          <w:b/>
          <w:color w:val="auto"/>
          <w:sz w:val="24"/>
          <w:highlight w:val="none"/>
        </w:rPr>
      </w:pPr>
    </w:p>
    <w:p w14:paraId="61D08B90">
      <w:pPr>
        <w:pStyle w:val="25"/>
        <w:ind w:firstLine="241"/>
        <w:rPr>
          <w:rFonts w:asciiTheme="minorEastAsia" w:hAnsiTheme="minorEastAsia" w:eastAsiaTheme="minorEastAsia"/>
          <w:b/>
          <w:color w:val="auto"/>
          <w:sz w:val="24"/>
          <w:highlight w:val="none"/>
          <w:lang w:val="en-US"/>
        </w:rPr>
      </w:pPr>
    </w:p>
    <w:p w14:paraId="1886F818">
      <w:pPr>
        <w:pStyle w:val="25"/>
        <w:ind w:firstLine="241"/>
        <w:rPr>
          <w:rFonts w:asciiTheme="minorEastAsia" w:hAnsiTheme="minorEastAsia" w:eastAsiaTheme="minorEastAsia"/>
          <w:b/>
          <w:color w:val="auto"/>
          <w:sz w:val="24"/>
          <w:highlight w:val="none"/>
          <w:lang w:val="en-US"/>
        </w:rPr>
      </w:pPr>
    </w:p>
    <w:p w14:paraId="0CE86FF6">
      <w:pPr>
        <w:pStyle w:val="25"/>
        <w:ind w:firstLine="241"/>
        <w:rPr>
          <w:rFonts w:asciiTheme="minorEastAsia" w:hAnsiTheme="minorEastAsia" w:eastAsiaTheme="minorEastAsia"/>
          <w:b/>
          <w:color w:val="auto"/>
          <w:sz w:val="24"/>
          <w:highlight w:val="none"/>
          <w:lang w:val="en-US"/>
        </w:rPr>
      </w:pPr>
    </w:p>
    <w:p w14:paraId="4C1BEF88">
      <w:pPr>
        <w:pStyle w:val="25"/>
        <w:ind w:firstLine="241"/>
        <w:rPr>
          <w:rFonts w:asciiTheme="minorEastAsia" w:hAnsiTheme="minorEastAsia" w:eastAsiaTheme="minorEastAsia"/>
          <w:b/>
          <w:color w:val="auto"/>
          <w:sz w:val="24"/>
          <w:highlight w:val="none"/>
          <w:lang w:val="en-US"/>
        </w:rPr>
      </w:pPr>
    </w:p>
    <w:p w14:paraId="66C112F7">
      <w:pPr>
        <w:pStyle w:val="25"/>
        <w:ind w:firstLine="241"/>
        <w:rPr>
          <w:rFonts w:asciiTheme="minorEastAsia" w:hAnsiTheme="minorEastAsia" w:eastAsiaTheme="minorEastAsia"/>
          <w:b/>
          <w:color w:val="auto"/>
          <w:sz w:val="24"/>
          <w:highlight w:val="none"/>
          <w:lang w:val="en-US"/>
        </w:rPr>
      </w:pPr>
    </w:p>
    <w:p w14:paraId="1801706A">
      <w:pPr>
        <w:pStyle w:val="25"/>
        <w:ind w:firstLine="241"/>
        <w:rPr>
          <w:rFonts w:asciiTheme="minorEastAsia" w:hAnsiTheme="minorEastAsia" w:eastAsiaTheme="minorEastAsia"/>
          <w:b/>
          <w:color w:val="auto"/>
          <w:sz w:val="24"/>
          <w:highlight w:val="none"/>
          <w:lang w:val="en-US"/>
        </w:rPr>
      </w:pPr>
    </w:p>
    <w:p w14:paraId="0A424E74">
      <w:pPr>
        <w:pStyle w:val="25"/>
        <w:ind w:firstLine="241"/>
        <w:rPr>
          <w:rFonts w:asciiTheme="minorEastAsia" w:hAnsiTheme="minorEastAsia" w:eastAsiaTheme="minorEastAsia"/>
          <w:b/>
          <w:color w:val="auto"/>
          <w:sz w:val="24"/>
          <w:highlight w:val="none"/>
          <w:lang w:val="en-US"/>
        </w:rPr>
      </w:pPr>
    </w:p>
    <w:p w14:paraId="2CC8779B">
      <w:pPr>
        <w:pStyle w:val="25"/>
        <w:ind w:firstLine="241"/>
        <w:rPr>
          <w:rFonts w:asciiTheme="minorEastAsia" w:hAnsiTheme="minorEastAsia" w:eastAsiaTheme="minorEastAsia"/>
          <w:b/>
          <w:color w:val="auto"/>
          <w:sz w:val="24"/>
          <w:highlight w:val="none"/>
          <w:lang w:val="en-US"/>
        </w:rPr>
      </w:pPr>
    </w:p>
    <w:p w14:paraId="21A14961">
      <w:pPr>
        <w:pStyle w:val="25"/>
        <w:ind w:firstLine="241"/>
        <w:rPr>
          <w:rFonts w:asciiTheme="minorEastAsia" w:hAnsiTheme="minorEastAsia" w:eastAsiaTheme="minorEastAsia"/>
          <w:b/>
          <w:color w:val="auto"/>
          <w:sz w:val="24"/>
          <w:highlight w:val="none"/>
          <w:lang w:val="en-US"/>
        </w:rPr>
      </w:pPr>
    </w:p>
    <w:p w14:paraId="4388E06F">
      <w:pPr>
        <w:pStyle w:val="25"/>
        <w:ind w:firstLine="241"/>
        <w:rPr>
          <w:rFonts w:asciiTheme="minorEastAsia" w:hAnsiTheme="minorEastAsia" w:eastAsiaTheme="minorEastAsia"/>
          <w:b/>
          <w:color w:val="auto"/>
          <w:sz w:val="24"/>
          <w:highlight w:val="none"/>
          <w:lang w:val="en-US"/>
        </w:rPr>
      </w:pPr>
    </w:p>
    <w:p w14:paraId="7516E620">
      <w:pPr>
        <w:pStyle w:val="25"/>
        <w:ind w:firstLine="241"/>
        <w:rPr>
          <w:rFonts w:asciiTheme="minorEastAsia" w:hAnsiTheme="minorEastAsia" w:eastAsiaTheme="minorEastAsia"/>
          <w:b/>
          <w:color w:val="auto"/>
          <w:sz w:val="24"/>
          <w:highlight w:val="none"/>
          <w:lang w:val="en-US"/>
        </w:rPr>
      </w:pPr>
    </w:p>
    <w:p w14:paraId="0A8757BC">
      <w:pPr>
        <w:pStyle w:val="25"/>
        <w:ind w:firstLine="241"/>
        <w:rPr>
          <w:rFonts w:asciiTheme="minorEastAsia" w:hAnsiTheme="minorEastAsia" w:eastAsiaTheme="minorEastAsia"/>
          <w:b/>
          <w:color w:val="auto"/>
          <w:sz w:val="24"/>
          <w:highlight w:val="none"/>
          <w:lang w:val="en-US"/>
        </w:rPr>
      </w:pPr>
    </w:p>
    <w:p w14:paraId="053D6F63">
      <w:pPr>
        <w:pStyle w:val="25"/>
        <w:ind w:firstLine="241"/>
        <w:rPr>
          <w:rFonts w:asciiTheme="minorEastAsia" w:hAnsiTheme="minorEastAsia" w:eastAsiaTheme="minorEastAsia"/>
          <w:b/>
          <w:color w:val="auto"/>
          <w:sz w:val="24"/>
          <w:highlight w:val="none"/>
          <w:lang w:val="en-US"/>
        </w:rPr>
      </w:pPr>
    </w:p>
    <w:p w14:paraId="20E6E343">
      <w:pPr>
        <w:pStyle w:val="25"/>
        <w:ind w:firstLine="241"/>
        <w:rPr>
          <w:rFonts w:asciiTheme="minorEastAsia" w:hAnsiTheme="minorEastAsia" w:eastAsiaTheme="minorEastAsia"/>
          <w:b/>
          <w:color w:val="auto"/>
          <w:sz w:val="24"/>
          <w:highlight w:val="none"/>
          <w:lang w:val="en-US"/>
        </w:rPr>
      </w:pPr>
    </w:p>
    <w:p w14:paraId="54A940F4">
      <w:pPr>
        <w:pStyle w:val="25"/>
        <w:ind w:firstLine="241"/>
        <w:rPr>
          <w:rFonts w:asciiTheme="minorEastAsia" w:hAnsiTheme="minorEastAsia" w:eastAsiaTheme="minorEastAsia"/>
          <w:b/>
          <w:color w:val="auto"/>
          <w:sz w:val="24"/>
          <w:highlight w:val="none"/>
          <w:lang w:val="en-US"/>
        </w:rPr>
      </w:pPr>
    </w:p>
    <w:p w14:paraId="7C2DB2A5">
      <w:pPr>
        <w:pStyle w:val="25"/>
        <w:ind w:firstLine="241"/>
        <w:rPr>
          <w:rFonts w:asciiTheme="minorEastAsia" w:hAnsiTheme="minorEastAsia" w:eastAsiaTheme="minorEastAsia"/>
          <w:b/>
          <w:color w:val="auto"/>
          <w:sz w:val="24"/>
          <w:highlight w:val="none"/>
          <w:lang w:val="en-US"/>
        </w:rPr>
      </w:pPr>
    </w:p>
    <w:p w14:paraId="002B5443">
      <w:pPr>
        <w:pStyle w:val="25"/>
        <w:ind w:firstLine="241"/>
        <w:rPr>
          <w:rFonts w:asciiTheme="minorEastAsia" w:hAnsiTheme="minorEastAsia" w:eastAsiaTheme="minorEastAsia"/>
          <w:b/>
          <w:color w:val="auto"/>
          <w:sz w:val="24"/>
          <w:highlight w:val="none"/>
          <w:lang w:val="en-US"/>
        </w:rPr>
      </w:pPr>
    </w:p>
    <w:p w14:paraId="194C4C9C">
      <w:pPr>
        <w:pStyle w:val="25"/>
        <w:ind w:firstLine="241"/>
        <w:rPr>
          <w:rFonts w:asciiTheme="minorEastAsia" w:hAnsiTheme="minorEastAsia" w:eastAsiaTheme="minorEastAsia"/>
          <w:b/>
          <w:color w:val="auto"/>
          <w:sz w:val="24"/>
          <w:highlight w:val="none"/>
          <w:lang w:val="en-US"/>
        </w:rPr>
      </w:pPr>
    </w:p>
    <w:p w14:paraId="1F23ADFA">
      <w:pPr>
        <w:pStyle w:val="25"/>
        <w:ind w:firstLine="241"/>
        <w:rPr>
          <w:rFonts w:asciiTheme="minorEastAsia" w:hAnsiTheme="minorEastAsia" w:eastAsiaTheme="minorEastAsia"/>
          <w:b/>
          <w:color w:val="auto"/>
          <w:sz w:val="24"/>
          <w:highlight w:val="none"/>
          <w:lang w:val="en-US"/>
        </w:rPr>
      </w:pPr>
    </w:p>
    <w:p w14:paraId="36D62598">
      <w:pPr>
        <w:pStyle w:val="25"/>
        <w:ind w:firstLine="241"/>
        <w:rPr>
          <w:rFonts w:asciiTheme="minorEastAsia" w:hAnsiTheme="minorEastAsia" w:eastAsiaTheme="minorEastAsia"/>
          <w:b/>
          <w:color w:val="auto"/>
          <w:sz w:val="24"/>
          <w:highlight w:val="none"/>
          <w:lang w:val="en-US"/>
        </w:rPr>
      </w:pPr>
    </w:p>
    <w:p w14:paraId="506D191A">
      <w:pPr>
        <w:pStyle w:val="25"/>
        <w:ind w:firstLine="241"/>
        <w:rPr>
          <w:rFonts w:asciiTheme="minorEastAsia" w:hAnsiTheme="minorEastAsia" w:eastAsiaTheme="minorEastAsia"/>
          <w:b/>
          <w:color w:val="auto"/>
          <w:sz w:val="24"/>
          <w:highlight w:val="none"/>
          <w:lang w:val="en-US"/>
        </w:rPr>
      </w:pPr>
    </w:p>
    <w:p w14:paraId="0468CEF8">
      <w:pPr>
        <w:pStyle w:val="25"/>
        <w:ind w:firstLine="241"/>
        <w:rPr>
          <w:rFonts w:asciiTheme="minorEastAsia" w:hAnsiTheme="minorEastAsia" w:eastAsiaTheme="minorEastAsia"/>
          <w:b/>
          <w:color w:val="auto"/>
          <w:sz w:val="24"/>
          <w:highlight w:val="none"/>
          <w:lang w:val="en-US"/>
        </w:rPr>
      </w:pPr>
    </w:p>
    <w:p w14:paraId="43D8AF60">
      <w:pPr>
        <w:pStyle w:val="25"/>
        <w:ind w:firstLine="241"/>
        <w:rPr>
          <w:rFonts w:asciiTheme="minorEastAsia" w:hAnsiTheme="minorEastAsia" w:eastAsiaTheme="minorEastAsia"/>
          <w:b/>
          <w:color w:val="auto"/>
          <w:sz w:val="24"/>
          <w:highlight w:val="none"/>
          <w:lang w:val="en-US"/>
        </w:rPr>
      </w:pPr>
    </w:p>
    <w:p w14:paraId="6ACCC0F3">
      <w:pPr>
        <w:pStyle w:val="25"/>
        <w:ind w:firstLine="241"/>
        <w:rPr>
          <w:rFonts w:asciiTheme="minorEastAsia" w:hAnsiTheme="minorEastAsia" w:eastAsiaTheme="minorEastAsia"/>
          <w:b/>
          <w:color w:val="auto"/>
          <w:sz w:val="24"/>
          <w:highlight w:val="none"/>
          <w:lang w:val="en-US"/>
        </w:rPr>
      </w:pPr>
    </w:p>
    <w:p w14:paraId="4C132AA1">
      <w:pPr>
        <w:pStyle w:val="25"/>
        <w:ind w:firstLine="241"/>
        <w:rPr>
          <w:rFonts w:asciiTheme="minorEastAsia" w:hAnsiTheme="minorEastAsia" w:eastAsiaTheme="minorEastAsia"/>
          <w:b/>
          <w:color w:val="auto"/>
          <w:sz w:val="24"/>
          <w:highlight w:val="none"/>
          <w:lang w:val="en-US"/>
        </w:rPr>
      </w:pPr>
    </w:p>
    <w:p w14:paraId="1657422D">
      <w:pPr>
        <w:pStyle w:val="25"/>
        <w:ind w:firstLine="241"/>
        <w:rPr>
          <w:rFonts w:asciiTheme="minorEastAsia" w:hAnsiTheme="minorEastAsia" w:eastAsiaTheme="minorEastAsia"/>
          <w:b/>
          <w:color w:val="auto"/>
          <w:sz w:val="24"/>
          <w:highlight w:val="none"/>
          <w:lang w:val="en-US"/>
        </w:rPr>
      </w:pPr>
    </w:p>
    <w:p w14:paraId="2C926A1A">
      <w:pPr>
        <w:pStyle w:val="25"/>
        <w:ind w:firstLine="241"/>
        <w:rPr>
          <w:rFonts w:asciiTheme="minorEastAsia" w:hAnsiTheme="minorEastAsia" w:eastAsiaTheme="minorEastAsia"/>
          <w:b/>
          <w:color w:val="auto"/>
          <w:sz w:val="24"/>
          <w:highlight w:val="none"/>
          <w:lang w:val="en-US"/>
        </w:rPr>
      </w:pPr>
    </w:p>
    <w:p w14:paraId="07FD324D">
      <w:pPr>
        <w:pStyle w:val="25"/>
        <w:ind w:firstLine="241"/>
        <w:rPr>
          <w:rFonts w:asciiTheme="minorEastAsia" w:hAnsiTheme="minorEastAsia" w:eastAsiaTheme="minorEastAsia"/>
          <w:b/>
          <w:color w:val="auto"/>
          <w:sz w:val="24"/>
          <w:highlight w:val="none"/>
          <w:lang w:val="en-US"/>
        </w:rPr>
      </w:pPr>
    </w:p>
    <w:p w14:paraId="177F790F">
      <w:pPr>
        <w:pStyle w:val="25"/>
        <w:ind w:firstLine="241"/>
        <w:rPr>
          <w:rFonts w:asciiTheme="minorEastAsia" w:hAnsiTheme="minorEastAsia" w:eastAsiaTheme="minorEastAsia"/>
          <w:b/>
          <w:color w:val="auto"/>
          <w:sz w:val="24"/>
          <w:highlight w:val="none"/>
          <w:lang w:val="en-US"/>
        </w:rPr>
      </w:pPr>
    </w:p>
    <w:p w14:paraId="1053FA10">
      <w:pPr>
        <w:pStyle w:val="25"/>
        <w:ind w:firstLine="0" w:firstLineChars="0"/>
        <w:rPr>
          <w:rFonts w:asciiTheme="minorEastAsia" w:hAnsiTheme="minorEastAsia" w:eastAsiaTheme="minorEastAsia"/>
          <w:b/>
          <w:color w:val="auto"/>
          <w:sz w:val="24"/>
          <w:highlight w:val="none"/>
          <w:lang w:val="en-US"/>
        </w:rPr>
      </w:pPr>
    </w:p>
    <w:p w14:paraId="00ACE17A">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十</w:t>
      </w:r>
      <w:r>
        <w:rPr>
          <w:rFonts w:hint="eastAsia" w:asciiTheme="minorEastAsia" w:hAnsiTheme="minorEastAsia" w:eastAsiaTheme="minorEastAsia"/>
          <w:b/>
          <w:color w:val="auto"/>
          <w:sz w:val="24"/>
          <w:highlight w:val="none"/>
        </w:rPr>
        <w:t>、</w:t>
      </w:r>
      <w:bookmarkEnd w:id="219"/>
      <w:bookmarkEnd w:id="220"/>
      <w:bookmarkEnd w:id="221"/>
      <w:r>
        <w:rPr>
          <w:rFonts w:hint="eastAsia" w:asciiTheme="minorEastAsia" w:hAnsiTheme="minorEastAsia" w:eastAsiaTheme="minorEastAsia"/>
          <w:b/>
          <w:color w:val="auto"/>
          <w:sz w:val="24"/>
          <w:highlight w:val="none"/>
        </w:rPr>
        <w:t>诚信履约承诺函</w:t>
      </w:r>
      <w:bookmarkEnd w:id="222"/>
      <w:bookmarkEnd w:id="223"/>
    </w:p>
    <w:p w14:paraId="0352B880">
      <w:pPr>
        <w:spacing w:line="360" w:lineRule="auto"/>
        <w:rPr>
          <w:rFonts w:asciiTheme="minorEastAsia" w:hAnsiTheme="minorEastAsia" w:eastAsiaTheme="minorEastAsia"/>
          <w:b/>
          <w:bCs/>
          <w:color w:val="auto"/>
          <w:sz w:val="24"/>
          <w:highlight w:val="none"/>
        </w:rPr>
      </w:pPr>
    </w:p>
    <w:p w14:paraId="177CBC4D">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致：采购人</w:t>
      </w:r>
    </w:p>
    <w:p w14:paraId="2750A4F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5BD61BE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3FF9E9B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7186E8E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FA1588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BCD396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1B2138B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48A3CDE">
      <w:pPr>
        <w:spacing w:line="360" w:lineRule="auto"/>
        <w:rPr>
          <w:rFonts w:asciiTheme="minorEastAsia" w:hAnsiTheme="minorEastAsia" w:eastAsiaTheme="minorEastAsia"/>
          <w:bCs/>
          <w:color w:val="auto"/>
          <w:sz w:val="24"/>
          <w:highlight w:val="none"/>
        </w:rPr>
      </w:pPr>
    </w:p>
    <w:p w14:paraId="264DEFCF">
      <w:pPr>
        <w:spacing w:line="360" w:lineRule="auto"/>
        <w:rPr>
          <w:rFonts w:asciiTheme="minorEastAsia" w:hAnsiTheme="minorEastAsia" w:eastAsiaTheme="minorEastAsia"/>
          <w:bCs/>
          <w:color w:val="auto"/>
          <w:sz w:val="24"/>
          <w:highlight w:val="none"/>
        </w:rPr>
      </w:pPr>
    </w:p>
    <w:p w14:paraId="16F5A5E7">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68EA504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015B671">
      <w:pPr>
        <w:rPr>
          <w:rFonts w:ascii="宋体" w:hAnsi="宋体" w:eastAsia="宋体" w:cs="Arial"/>
          <w:color w:val="auto"/>
          <w:sz w:val="24"/>
          <w:highlight w:val="none"/>
        </w:rPr>
      </w:pPr>
      <w:r>
        <w:rPr>
          <w:rFonts w:ascii="宋体" w:hAnsi="宋体" w:eastAsia="宋体" w:cs="Arial"/>
          <w:color w:val="auto"/>
          <w:sz w:val="24"/>
          <w:highlight w:val="none"/>
        </w:rPr>
        <w:br w:type="page"/>
      </w:r>
    </w:p>
    <w:p w14:paraId="5C04C4F2">
      <w:pPr>
        <w:spacing w:line="360" w:lineRule="auto"/>
        <w:jc w:val="center"/>
        <w:outlineLvl w:val="1"/>
        <w:rPr>
          <w:rFonts w:ascii="宋体" w:hAnsi="宋体" w:eastAsia="宋体"/>
          <w:b/>
          <w:color w:val="auto"/>
          <w:sz w:val="24"/>
          <w:szCs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w:t>
      </w:r>
      <w:r>
        <w:rPr>
          <w:rFonts w:hint="eastAsia" w:ascii="宋体" w:hAnsi="宋体" w:eastAsia="宋体" w:cs="宋体"/>
          <w:b/>
          <w:color w:val="auto"/>
          <w:sz w:val="24"/>
          <w:szCs w:val="24"/>
          <w:highlight w:val="none"/>
          <w:lang w:bidi="ar"/>
        </w:rPr>
        <w:t>诚信投标承诺书</w:t>
      </w:r>
    </w:p>
    <w:p w14:paraId="3E046516">
      <w:pP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lang w:bidi="ar"/>
        </w:rPr>
        <w:t>本人以企业法定代表人的身份郑重承诺：</w:t>
      </w:r>
    </w:p>
    <w:p w14:paraId="49A6D70E">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一、将遵循公开、公正和诚实信用的原则自愿参加</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项目的投标，所提供的一切材料都是真实、有效、合法的；</w:t>
      </w:r>
    </w:p>
    <w:p w14:paraId="20951AA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132CB8C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三、不出借、转让资质证书，不让他人挂靠投标，不以他人名义投标或者以其他方式弄虚作假，骗取中标；</w:t>
      </w:r>
    </w:p>
    <w:p w14:paraId="35B9C65F">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四、不与其他投标人相互串通投标报价，不排挤其他投标人的公平竞争、损害招标人的合法权益；</w:t>
      </w:r>
    </w:p>
    <w:p w14:paraId="32FBEBB3">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五、不与招标人、招标代理机构或其他投标人串通投标，损害国家利益、社会公共利益或者他人的合法权益；</w:t>
      </w:r>
    </w:p>
    <w:p w14:paraId="058E0CEB">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六、</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或</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法定代表人或拟派项目经理（负责人）没有下列情形：①被列入“信用中国”网站“失信被执行人”的；②被列入“信用中国”网站“重大税收违法失信主体”的；③被列入“信用中国”网站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35925383">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七、严格遵守开标现场纪律，服从监管人员管理；</w:t>
      </w:r>
    </w:p>
    <w:p w14:paraId="499A8EA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八、保证中标后不转包，若有分包征得招标人同意；</w:t>
      </w:r>
    </w:p>
    <w:p w14:paraId="495F49C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九、保证中标之后，按照投标文件要求提供相关后续服务；</w:t>
      </w:r>
    </w:p>
    <w:p w14:paraId="679E181B">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十、保证企业及所属相关人员在本次投标中无行贿等犯罪行为；</w:t>
      </w:r>
    </w:p>
    <w:p w14:paraId="370FA23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DCF131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以上内容我已仔细阅读，本公司若有违反承诺内容的行为，自愿接受取消投标或者中标（成交）资格、中标（成交）无效、记入不良行为记录等有关处理，愿意承担法律责任，给招标人造成损失的，依法承担赔偿责任。</w:t>
      </w:r>
    </w:p>
    <w:p w14:paraId="3C1C1D8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1DA61C5D">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开户银行：                      基本账户：</w:t>
      </w:r>
    </w:p>
    <w:p w14:paraId="089ADE7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投标单位（签章）：               法定代表人（签章）：</w:t>
      </w:r>
    </w:p>
    <w:p w14:paraId="385594C2">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4638B749">
      <w:pPr>
        <w:spacing w:line="560" w:lineRule="exact"/>
        <w:jc w:val="right"/>
        <w:rPr>
          <w:rFonts w:ascii="仿宋_GB2312" w:eastAsia="仿宋_GB2312" w:cs="仿宋_GB2312"/>
          <w:color w:val="auto"/>
          <w:sz w:val="32"/>
          <w:szCs w:val="32"/>
          <w:highlight w:val="none"/>
        </w:rPr>
      </w:pPr>
      <w:r>
        <w:rPr>
          <w:rFonts w:hint="eastAsia" w:ascii="宋体" w:hAnsi="宋体" w:eastAsia="宋体" w:cs="宋体"/>
          <w:color w:val="auto"/>
          <w:szCs w:val="21"/>
          <w:highlight w:val="none"/>
          <w:lang w:bidi="ar"/>
        </w:rPr>
        <w:t>日期：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年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月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08DC3913">
      <w:pPr>
        <w:pStyle w:val="13"/>
        <w:ind w:left="1260"/>
        <w:rPr>
          <w:color w:val="auto"/>
          <w:highlight w:val="none"/>
        </w:rPr>
      </w:pPr>
    </w:p>
    <w:bookmarkEnd w:id="224"/>
    <w:p w14:paraId="0386414F">
      <w:pPr>
        <w:spacing w:line="360" w:lineRule="auto"/>
        <w:jc w:val="center"/>
        <w:outlineLvl w:val="1"/>
        <w:rPr>
          <w:rFonts w:asciiTheme="minorEastAsia" w:hAnsiTheme="minorEastAsia" w:eastAsiaTheme="minorEastAsia"/>
          <w:b/>
          <w:color w:val="auto"/>
          <w:sz w:val="24"/>
          <w:highlight w:val="none"/>
        </w:rPr>
      </w:pPr>
      <w:bookmarkStart w:id="225" w:name="_Toc2683"/>
      <w:bookmarkStart w:id="226" w:name="_Toc32633"/>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、其他相关证明材料</w:t>
      </w:r>
      <w:bookmarkEnd w:id="225"/>
      <w:bookmarkEnd w:id="226"/>
    </w:p>
    <w:p w14:paraId="5084180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69B1524">
      <w:pPr>
        <w:spacing w:line="360" w:lineRule="auto"/>
        <w:ind w:firstLine="480" w:firstLineChars="200"/>
        <w:rPr>
          <w:rFonts w:asciiTheme="minorEastAsia" w:hAnsiTheme="minorEastAsia" w:eastAsiaTheme="minorEastAsia"/>
          <w:color w:val="auto"/>
          <w:sz w:val="24"/>
          <w:highlight w:val="none"/>
        </w:rPr>
      </w:pPr>
    </w:p>
    <w:p w14:paraId="3686FA4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733CDE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013454C6">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FA4E49B">
      <w:pPr>
        <w:spacing w:line="360" w:lineRule="auto"/>
        <w:jc w:val="center"/>
        <w:outlineLvl w:val="0"/>
        <w:rPr>
          <w:rFonts w:ascii="宋体" w:hAnsi="宋体" w:eastAsia="宋体"/>
          <w:b/>
          <w:bCs/>
          <w:color w:val="auto"/>
          <w:sz w:val="28"/>
          <w:highlight w:val="none"/>
        </w:rPr>
      </w:pPr>
      <w:bookmarkStart w:id="227" w:name="_Toc18131"/>
      <w:bookmarkStart w:id="228" w:name="_Toc6435"/>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27"/>
      <w:bookmarkEnd w:id="228"/>
    </w:p>
    <w:p w14:paraId="03E2DC64">
      <w:pPr>
        <w:spacing w:line="360" w:lineRule="auto"/>
        <w:jc w:val="center"/>
        <w:outlineLvl w:val="1"/>
        <w:rPr>
          <w:rFonts w:ascii="仿宋" w:hAnsi="仿宋" w:eastAsia="仿宋" w:cs="仿宋"/>
          <w:b/>
          <w:bCs/>
          <w:color w:val="auto"/>
          <w:sz w:val="32"/>
          <w:szCs w:val="44"/>
          <w:highlight w:val="none"/>
        </w:rPr>
      </w:pPr>
      <w:bookmarkStart w:id="229" w:name="_Toc27489"/>
      <w:bookmarkStart w:id="230" w:name="_Toc27159"/>
      <w:r>
        <w:rPr>
          <w:rFonts w:hint="eastAsia" w:ascii="仿宋" w:hAnsi="仿宋" w:eastAsia="仿宋" w:cs="仿宋"/>
          <w:b/>
          <w:bCs/>
          <w:color w:val="auto"/>
          <w:sz w:val="32"/>
          <w:szCs w:val="44"/>
          <w:highlight w:val="none"/>
        </w:rPr>
        <w:t>询问函范本</w:t>
      </w:r>
      <w:bookmarkEnd w:id="229"/>
      <w:bookmarkEnd w:id="230"/>
    </w:p>
    <w:p w14:paraId="312D8B3F">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3B43BC17">
      <w:pPr>
        <w:adjustRightInd w:val="0"/>
        <w:snapToGrid w:val="0"/>
        <w:spacing w:line="360" w:lineRule="auto"/>
        <w:rPr>
          <w:rFonts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30938DC8">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7B2F9D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231" w:name="_Toc13899"/>
      <w:r>
        <w:rPr>
          <w:rFonts w:hint="eastAsia" w:cs="仿宋" w:asciiTheme="minorEastAsia" w:hAnsiTheme="minorEastAsia" w:eastAsiaTheme="minorEastAsia"/>
          <w:color w:val="auto"/>
          <w:sz w:val="24"/>
          <w:szCs w:val="24"/>
          <w:highlight w:val="none"/>
        </w:rPr>
        <w:t>一、(事项一)</w:t>
      </w:r>
      <w:bookmarkEnd w:id="231"/>
    </w:p>
    <w:p w14:paraId="1826775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6BCB86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60FABD3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0E3A3F4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232" w:name="_Toc3352"/>
      <w:r>
        <w:rPr>
          <w:rFonts w:hint="eastAsia" w:cs="仿宋" w:asciiTheme="minorEastAsia" w:hAnsiTheme="minorEastAsia" w:eastAsiaTheme="minorEastAsia"/>
          <w:color w:val="auto"/>
          <w:sz w:val="24"/>
          <w:szCs w:val="24"/>
          <w:highlight w:val="none"/>
        </w:rPr>
        <w:t>二、(事项二)</w:t>
      </w:r>
      <w:bookmarkEnd w:id="232"/>
    </w:p>
    <w:p w14:paraId="6B9B2FA8">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B80333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038E60C">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1DE2EE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23B94362">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155AD1AF">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582ADA33">
      <w:pPr>
        <w:jc w:val="center"/>
        <w:outlineLvl w:val="1"/>
        <w:rPr>
          <w:rFonts w:ascii="仿宋" w:hAnsi="仿宋" w:eastAsia="仿宋" w:cs="仿宋"/>
          <w:b/>
          <w:bCs/>
          <w:color w:val="auto"/>
          <w:sz w:val="32"/>
          <w:szCs w:val="44"/>
          <w:highlight w:val="none"/>
        </w:rPr>
      </w:pPr>
      <w:bookmarkStart w:id="233" w:name="_Toc1575"/>
      <w:bookmarkStart w:id="234" w:name="_Toc3245"/>
      <w:r>
        <w:rPr>
          <w:rFonts w:hint="eastAsia" w:ascii="仿宋" w:hAnsi="仿宋" w:eastAsia="仿宋" w:cs="仿宋"/>
          <w:b/>
          <w:bCs/>
          <w:color w:val="auto"/>
          <w:sz w:val="32"/>
          <w:szCs w:val="44"/>
          <w:highlight w:val="none"/>
        </w:rPr>
        <w:t>质疑函范本</w:t>
      </w:r>
      <w:bookmarkEnd w:id="233"/>
      <w:bookmarkEnd w:id="234"/>
    </w:p>
    <w:p w14:paraId="7F01B622">
      <w:pPr>
        <w:adjustRightInd w:val="0"/>
        <w:snapToGrid w:val="0"/>
        <w:spacing w:before="312" w:beforeLines="100" w:line="360" w:lineRule="auto"/>
        <w:rPr>
          <w:rFonts w:cs="仿宋" w:asciiTheme="minorEastAsia" w:hAnsiTheme="minorEastAsia" w:eastAsiaTheme="minorEastAsia"/>
          <w:b/>
          <w:bCs/>
          <w:color w:val="auto"/>
          <w:sz w:val="24"/>
          <w:szCs w:val="24"/>
          <w:highlight w:val="none"/>
        </w:rPr>
      </w:pPr>
      <w:bookmarkStart w:id="235" w:name="_Toc21381"/>
      <w:r>
        <w:rPr>
          <w:rFonts w:hint="eastAsia" w:cs="仿宋" w:asciiTheme="minorEastAsia" w:hAnsiTheme="minorEastAsia" w:eastAsiaTheme="minorEastAsia"/>
          <w:b/>
          <w:bCs/>
          <w:color w:val="auto"/>
          <w:sz w:val="24"/>
          <w:szCs w:val="24"/>
          <w:highlight w:val="none"/>
        </w:rPr>
        <w:t>一、质疑供应商基本信息</w:t>
      </w:r>
      <w:bookmarkEnd w:id="235"/>
    </w:p>
    <w:p w14:paraId="7FB52DD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4AD465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6701CF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76152E9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25AA1DE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0A4A94F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A41A457">
      <w:pPr>
        <w:adjustRightInd w:val="0"/>
        <w:snapToGrid w:val="0"/>
        <w:spacing w:line="360" w:lineRule="auto"/>
        <w:rPr>
          <w:rFonts w:cs="仿宋" w:asciiTheme="minorEastAsia" w:hAnsiTheme="minorEastAsia" w:eastAsiaTheme="minorEastAsia"/>
          <w:b/>
          <w:bCs/>
          <w:color w:val="auto"/>
          <w:sz w:val="24"/>
          <w:szCs w:val="24"/>
          <w:highlight w:val="none"/>
        </w:rPr>
      </w:pPr>
      <w:bookmarkStart w:id="236" w:name="_Toc28415"/>
      <w:r>
        <w:rPr>
          <w:rFonts w:hint="eastAsia" w:cs="仿宋" w:asciiTheme="minorEastAsia" w:hAnsiTheme="minorEastAsia" w:eastAsiaTheme="minorEastAsia"/>
          <w:b/>
          <w:bCs/>
          <w:color w:val="auto"/>
          <w:sz w:val="24"/>
          <w:szCs w:val="24"/>
          <w:highlight w:val="none"/>
        </w:rPr>
        <w:t>二、质疑项目基本情况</w:t>
      </w:r>
      <w:bookmarkEnd w:id="236"/>
    </w:p>
    <w:p w14:paraId="734A8AE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0DC0807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2D0D0B1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86FD54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2556407E">
      <w:pPr>
        <w:adjustRightInd w:val="0"/>
        <w:snapToGrid w:val="0"/>
        <w:spacing w:line="360" w:lineRule="auto"/>
        <w:rPr>
          <w:rFonts w:cs="仿宋" w:asciiTheme="minorEastAsia" w:hAnsiTheme="minorEastAsia" w:eastAsiaTheme="minorEastAsia"/>
          <w:b/>
          <w:bCs/>
          <w:color w:val="auto"/>
          <w:sz w:val="24"/>
          <w:szCs w:val="24"/>
          <w:highlight w:val="none"/>
        </w:rPr>
      </w:pPr>
      <w:bookmarkStart w:id="237" w:name="_Toc19014"/>
      <w:r>
        <w:rPr>
          <w:rFonts w:hint="eastAsia" w:cs="仿宋" w:asciiTheme="minorEastAsia" w:hAnsiTheme="minorEastAsia" w:eastAsiaTheme="minorEastAsia"/>
          <w:b/>
          <w:bCs/>
          <w:color w:val="auto"/>
          <w:sz w:val="24"/>
          <w:szCs w:val="24"/>
          <w:highlight w:val="none"/>
        </w:rPr>
        <w:t>三、质疑事项具体内容</w:t>
      </w:r>
      <w:bookmarkEnd w:id="237"/>
    </w:p>
    <w:p w14:paraId="78F4D59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3B4294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11A04D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4DCFD6B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96DC6A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436BFFF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214873A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3890F2D">
      <w:pPr>
        <w:adjustRightInd w:val="0"/>
        <w:snapToGrid w:val="0"/>
        <w:spacing w:line="360" w:lineRule="auto"/>
        <w:rPr>
          <w:rFonts w:cs="仿宋" w:asciiTheme="minorEastAsia" w:hAnsiTheme="minorEastAsia" w:eastAsiaTheme="minorEastAsia"/>
          <w:b/>
          <w:bCs/>
          <w:color w:val="auto"/>
          <w:sz w:val="24"/>
          <w:szCs w:val="24"/>
          <w:highlight w:val="none"/>
        </w:rPr>
      </w:pPr>
      <w:bookmarkStart w:id="238" w:name="_Toc17919"/>
      <w:r>
        <w:rPr>
          <w:rFonts w:hint="eastAsia" w:cs="仿宋" w:asciiTheme="minorEastAsia" w:hAnsiTheme="minorEastAsia" w:eastAsiaTheme="minorEastAsia"/>
          <w:b/>
          <w:bCs/>
          <w:color w:val="auto"/>
          <w:sz w:val="24"/>
          <w:szCs w:val="24"/>
          <w:highlight w:val="none"/>
        </w:rPr>
        <w:t>四、与质疑事项相关的质疑请求</w:t>
      </w:r>
      <w:bookmarkEnd w:id="238"/>
    </w:p>
    <w:p w14:paraId="6C181ED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463204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9DB04D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02565281">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4A7C587">
      <w:pPr>
        <w:outlineLvl w:val="0"/>
        <w:rPr>
          <w:rFonts w:asciiTheme="minorEastAsia" w:hAnsiTheme="minorEastAsia" w:eastAsiaTheme="minorEastAsia"/>
          <w:b/>
          <w:color w:val="auto"/>
          <w:sz w:val="28"/>
          <w:szCs w:val="32"/>
          <w:highlight w:val="none"/>
        </w:rPr>
      </w:pPr>
      <w:bookmarkStart w:id="239" w:name="_Toc26836"/>
      <w:bookmarkStart w:id="240" w:name="_Toc9754"/>
      <w:r>
        <w:rPr>
          <w:rFonts w:hint="eastAsia" w:asciiTheme="minorEastAsia" w:hAnsiTheme="minorEastAsia" w:eastAsiaTheme="minorEastAsia"/>
          <w:b/>
          <w:color w:val="auto"/>
          <w:sz w:val="28"/>
          <w:szCs w:val="32"/>
          <w:highlight w:val="none"/>
        </w:rPr>
        <w:t>质疑函制作说明：</w:t>
      </w:r>
      <w:bookmarkEnd w:id="239"/>
      <w:bookmarkEnd w:id="240"/>
    </w:p>
    <w:p w14:paraId="73519B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CC349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AF635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225C08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3FCF7A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5A27E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15E7D957">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br w:type="page"/>
      </w:r>
    </w:p>
    <w:p w14:paraId="7A89A808">
      <w:pPr>
        <w:keepNext/>
        <w:keepLines/>
        <w:spacing w:before="200" w:after="200" w:line="600" w:lineRule="exact"/>
        <w:outlineLvl w:val="0"/>
        <w:rPr>
          <w:rFonts w:ascii="黑体" w:hAnsi="黑体" w:eastAsia="黑体" w:cs="Times New Roman"/>
          <w:b/>
          <w:bCs/>
          <w:color w:val="auto"/>
          <w:kern w:val="44"/>
          <w:sz w:val="28"/>
          <w:szCs w:val="28"/>
          <w:highlight w:val="none"/>
        </w:rPr>
      </w:pPr>
      <w:r>
        <w:rPr>
          <w:rFonts w:hint="eastAsia" w:ascii="黑体" w:hAnsi="黑体" w:eastAsia="黑体" w:cs="Times New Roman"/>
          <w:b/>
          <w:bCs/>
          <w:color w:val="auto"/>
          <w:kern w:val="44"/>
          <w:sz w:val="36"/>
          <w:szCs w:val="28"/>
          <w:highlight w:val="none"/>
        </w:rPr>
        <w:t>附件1 关于联合惩戒失信行为加强信用查询管理的通知</w:t>
      </w:r>
    </w:p>
    <w:p w14:paraId="0E003B69">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一、失信行为联合惩戒的范围和查询渠道</w:t>
      </w:r>
    </w:p>
    <w:p w14:paraId="39F3F267">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在我市公共资源交易活动中对存在下列失信行为的投标人、法定代表人及其项目经理（建造师）实施联合惩戒，禁止参与我市公共资源交易活动。</w:t>
      </w:r>
    </w:p>
    <w:p w14:paraId="5EA7294A">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（一）工程建设项目</w:t>
      </w:r>
    </w:p>
    <w:p w14:paraId="4DE7EDD9">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1、“信用中国”网站（www.creditchina.gov.cn）查询</w:t>
      </w:r>
      <w:bookmarkStart w:id="241" w:name="OLE_LINK92"/>
      <w:bookmarkStart w:id="242" w:name="OLE_LINK103"/>
      <w:bookmarkStart w:id="243" w:name="OLE_LINK91"/>
      <w:bookmarkStart w:id="244" w:name="OLE_LINK93"/>
      <w:r>
        <w:rPr>
          <w:rFonts w:hint="eastAsia" w:ascii="仿宋_GB2312" w:hAnsi="宋体" w:eastAsia="仿宋_GB2312" w:cs="Times New Roman"/>
          <w:color w:val="auto"/>
          <w:sz w:val="28"/>
          <w:szCs w:val="28"/>
          <w:highlight w:val="none"/>
        </w:rPr>
        <w:t>投标人、法定代表人及其项目经理(建造师)</w:t>
      </w:r>
      <w:bookmarkEnd w:id="241"/>
      <w:bookmarkEnd w:id="242"/>
      <w:bookmarkEnd w:id="243"/>
      <w:bookmarkEnd w:id="244"/>
      <w:r>
        <w:rPr>
          <w:rFonts w:hint="eastAsia" w:ascii="仿宋_GB2312" w:hAnsi="宋体" w:eastAsia="仿宋_GB2312" w:cs="Times New Roman"/>
          <w:color w:val="auto"/>
          <w:sz w:val="28"/>
          <w:szCs w:val="28"/>
          <w:highlight w:val="none"/>
        </w:rPr>
        <w:t>以下失信行为：</w:t>
      </w:r>
    </w:p>
    <w:p w14:paraId="559C823C">
      <w:pPr>
        <w:adjustRightInd w:val="0"/>
        <w:snapToGrid w:val="0"/>
        <w:spacing w:line="560" w:lineRule="exact"/>
        <w:ind w:firstLine="560" w:firstLineChars="200"/>
        <w:rPr>
          <w:rFonts w:ascii="仿宋_GB2312" w:hAnsi="宋体" w:eastAsia="仿宋_GB2312" w:cs="Times New Roman"/>
          <w:color w:val="auto"/>
          <w:sz w:val="28"/>
          <w:szCs w:val="28"/>
          <w:highlight w:val="none"/>
        </w:rPr>
      </w:pPr>
      <w:bookmarkStart w:id="245" w:name="OLE_LINK119"/>
      <w:bookmarkStart w:id="246" w:name="OLE_LINK86"/>
      <w:bookmarkStart w:id="247" w:name="OLE_LINK94"/>
      <w:bookmarkStart w:id="248" w:name="OLE_LINK87"/>
      <w:r>
        <w:rPr>
          <w:rFonts w:hint="eastAsia" w:ascii="仿宋_GB2312" w:hAnsi="宋体" w:eastAsia="仿宋_GB2312" w:cs="Times New Roman"/>
          <w:color w:val="auto"/>
          <w:sz w:val="28"/>
          <w:szCs w:val="28"/>
          <w:highlight w:val="none"/>
        </w:rPr>
        <w:t>①被列入“失信被执行人”的;</w:t>
      </w:r>
    </w:p>
    <w:p w14:paraId="703D20EB">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②被列入</w:t>
      </w:r>
      <w:bookmarkStart w:id="249" w:name="OLE_LINK115"/>
      <w:bookmarkStart w:id="250" w:name="OLE_LINK116"/>
      <w:bookmarkStart w:id="251" w:name="OLE_LINK118"/>
      <w:bookmarkStart w:id="252" w:name="OLE_LINK117"/>
      <w:r>
        <w:rPr>
          <w:rFonts w:hint="eastAsia" w:ascii="仿宋_GB2312" w:hAnsi="宋体" w:eastAsia="仿宋_GB2312" w:cs="Times New Roman"/>
          <w:color w:val="auto"/>
          <w:sz w:val="28"/>
          <w:szCs w:val="28"/>
          <w:highlight w:val="none"/>
        </w:rPr>
        <w:t>“重大税收违法失信主体”</w:t>
      </w:r>
      <w:bookmarkEnd w:id="249"/>
      <w:bookmarkEnd w:id="250"/>
      <w:bookmarkEnd w:id="251"/>
      <w:bookmarkEnd w:id="252"/>
      <w:r>
        <w:rPr>
          <w:rFonts w:hint="eastAsia" w:ascii="仿宋_GB2312" w:hAnsi="宋体" w:eastAsia="仿宋_GB2312" w:cs="Times New Roman"/>
          <w:color w:val="auto"/>
          <w:sz w:val="28"/>
          <w:szCs w:val="28"/>
          <w:highlight w:val="none"/>
        </w:rPr>
        <w:t>的；</w:t>
      </w:r>
    </w:p>
    <w:p w14:paraId="7424D180">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③被列入“拖欠</w:t>
      </w:r>
      <w:bookmarkStart w:id="253" w:name="OLE_LINK84"/>
      <w:bookmarkStart w:id="254" w:name="OLE_LINK85"/>
      <w:r>
        <w:rPr>
          <w:rFonts w:hint="eastAsia" w:ascii="仿宋_GB2312" w:hAnsi="宋体" w:eastAsia="仿宋_GB2312" w:cs="Times New Roman"/>
          <w:color w:val="auto"/>
          <w:sz w:val="28"/>
          <w:szCs w:val="28"/>
          <w:highlight w:val="none"/>
        </w:rPr>
        <w:t>农民工工资失信联合惩戒对象</w:t>
      </w:r>
      <w:bookmarkEnd w:id="253"/>
      <w:bookmarkEnd w:id="254"/>
      <w:r>
        <w:rPr>
          <w:rFonts w:hint="eastAsia" w:ascii="仿宋_GB2312" w:hAnsi="宋体" w:eastAsia="仿宋_GB2312" w:cs="Times New Roman"/>
          <w:color w:val="auto"/>
          <w:sz w:val="28"/>
          <w:szCs w:val="28"/>
          <w:highlight w:val="none"/>
        </w:rPr>
        <w:t>名单”的；</w:t>
      </w:r>
    </w:p>
    <w:p w14:paraId="43861EB3">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④被列入 “严重失信主体名单”的；</w:t>
      </w:r>
    </w:p>
    <w:p w14:paraId="0B5494F8">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⑤在“信用中国”网站上披露的仍在公示期的严重失信行为(具体行为类别及判定依据见附件2)的。</w:t>
      </w:r>
    </w:p>
    <w:bookmarkEnd w:id="245"/>
    <w:bookmarkEnd w:id="246"/>
    <w:bookmarkEnd w:id="247"/>
    <w:bookmarkEnd w:id="248"/>
    <w:p w14:paraId="46E39CB3">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2、</w:t>
      </w:r>
      <w:bookmarkStart w:id="255" w:name="OLE_LINK130"/>
      <w:r>
        <w:rPr>
          <w:rFonts w:hint="eastAsia" w:ascii="仿宋_GB2312" w:hAnsi="宋体" w:eastAsia="仿宋_GB2312" w:cs="Times New Roman"/>
          <w:color w:val="auto"/>
          <w:sz w:val="28"/>
          <w:szCs w:val="28"/>
          <w:highlight w:val="none"/>
        </w:rPr>
        <w:t>国家企业信用信息公示系统网站</w:t>
      </w:r>
      <w:bookmarkEnd w:id="255"/>
      <w:r>
        <w:rPr>
          <w:rFonts w:hint="eastAsia" w:ascii="仿宋_GB2312" w:hAnsi="宋体" w:eastAsia="仿宋_GB2312" w:cs="Times New Roman"/>
          <w:color w:val="auto"/>
          <w:sz w:val="28"/>
          <w:szCs w:val="28"/>
          <w:highlight w:val="none"/>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bookmarkStart w:id="256" w:name="OLE_LINK89"/>
      <w:bookmarkStart w:id="257" w:name="OLE_LINK90"/>
      <w:r>
        <w:rPr>
          <w:rStyle w:val="37"/>
          <w:rFonts w:hint="eastAsia" w:ascii="仿宋_GB2312" w:hAnsi="宋体" w:eastAsia="仿宋_GB2312" w:cs="Times New Roman"/>
          <w:color w:val="auto"/>
          <w:sz w:val="28"/>
          <w:szCs w:val="28"/>
          <w:highlight w:val="none"/>
        </w:rPr>
        <w:t>www.gsxt.gov.cn</w:t>
      </w:r>
      <w:bookmarkEnd w:id="256"/>
      <w:bookmarkEnd w:id="257"/>
      <w:r>
        <w:rPr>
          <w:rStyle w:val="37"/>
          <w:rFonts w:hint="eastAsia" w:ascii="仿宋_GB2312" w:hAnsi="宋体" w:eastAsia="仿宋_GB2312" w:cs="Times New Roman"/>
          <w:color w:val="auto"/>
          <w:sz w:val="28"/>
          <w:szCs w:val="28"/>
          <w:highlight w:val="none"/>
        </w:rPr>
        <w:t>）</w:t>
      </w:r>
      <w:r>
        <w:rPr>
          <w:rStyle w:val="37"/>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查询投标人以下失信行为：</w:t>
      </w:r>
    </w:p>
    <w:p w14:paraId="24FF581E">
      <w:pPr>
        <w:adjustRightInd w:val="0"/>
        <w:snapToGrid w:val="0"/>
        <w:spacing w:line="560" w:lineRule="exact"/>
        <w:ind w:firstLine="560" w:firstLineChars="200"/>
        <w:rPr>
          <w:rFonts w:ascii="仿宋_GB2312" w:hAnsi="宋体" w:eastAsia="仿宋_GB2312" w:cs="Times New Roman"/>
          <w:color w:val="auto"/>
          <w:sz w:val="28"/>
          <w:szCs w:val="28"/>
          <w:highlight w:val="none"/>
        </w:rPr>
      </w:pPr>
      <w:bookmarkStart w:id="258" w:name="OLE_LINK120"/>
      <w:bookmarkStart w:id="259" w:name="OLE_LINK122"/>
      <w:bookmarkStart w:id="260" w:name="OLE_LINK121"/>
      <w:r>
        <w:rPr>
          <w:rFonts w:hint="eastAsia" w:ascii="仿宋_GB2312" w:hAnsi="宋体" w:eastAsia="仿宋_GB2312" w:cs="Times New Roman"/>
          <w:color w:val="auto"/>
          <w:sz w:val="28"/>
          <w:szCs w:val="28"/>
          <w:highlight w:val="none"/>
        </w:rPr>
        <w:t>①</w:t>
      </w:r>
      <w:bookmarkStart w:id="261" w:name="OLE_LINK114"/>
      <w:bookmarkStart w:id="262" w:name="OLE_LINK113"/>
      <w:r>
        <w:rPr>
          <w:rFonts w:hint="eastAsia" w:ascii="仿宋_GB2312" w:hAnsi="宋体" w:eastAsia="仿宋_GB2312" w:cs="Times New Roman"/>
          <w:color w:val="auto"/>
          <w:sz w:val="28"/>
          <w:szCs w:val="28"/>
          <w:highlight w:val="none"/>
        </w:rPr>
        <w:t>被列入“经营异常名录”或者“严重违法失信名单”的</w:t>
      </w:r>
      <w:bookmarkEnd w:id="261"/>
      <w:bookmarkEnd w:id="262"/>
      <w:r>
        <w:rPr>
          <w:rFonts w:hint="eastAsia" w:ascii="仿宋_GB2312" w:hAnsi="宋体" w:eastAsia="仿宋_GB2312" w:cs="Times New Roman"/>
          <w:color w:val="auto"/>
          <w:sz w:val="28"/>
          <w:szCs w:val="28"/>
          <w:highlight w:val="none"/>
        </w:rPr>
        <w:t>。</w:t>
      </w:r>
      <w:bookmarkEnd w:id="258"/>
      <w:bookmarkEnd w:id="259"/>
      <w:bookmarkEnd w:id="260"/>
    </w:p>
    <w:p w14:paraId="72E44F9C">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3、由</w:t>
      </w:r>
      <w:r>
        <w:rPr>
          <w:rFonts w:hint="eastAsia" w:ascii="仿宋_GB2312" w:hAnsi="宋体" w:eastAsia="仿宋_GB2312" w:cs="Times New Roman"/>
          <w:color w:val="auto"/>
          <w:kern w:val="0"/>
          <w:sz w:val="28"/>
          <w:szCs w:val="28"/>
          <w:highlight w:val="none"/>
        </w:rPr>
        <w:t>投标人、法定代表人及其项目经理(建造师)</w:t>
      </w:r>
      <w:r>
        <w:rPr>
          <w:rFonts w:hint="eastAsia" w:ascii="仿宋_GB2312" w:hAnsi="宋体" w:eastAsia="仿宋_GB2312" w:cs="Times New Roman"/>
          <w:color w:val="auto"/>
          <w:sz w:val="28"/>
          <w:szCs w:val="28"/>
          <w:highlight w:val="none"/>
        </w:rPr>
        <w:t>进行承诺，不进行现场网上信用查询的失信行为：</w:t>
      </w:r>
    </w:p>
    <w:p w14:paraId="3BCF1646">
      <w:pPr>
        <w:adjustRightInd w:val="0"/>
        <w:snapToGrid w:val="0"/>
        <w:spacing w:line="560" w:lineRule="exact"/>
        <w:ind w:firstLine="560" w:firstLineChars="200"/>
        <w:rPr>
          <w:rFonts w:ascii="仿宋_GB2312" w:hAnsi="宋体" w:eastAsia="仿宋_GB2312" w:cs="楷体"/>
          <w:color w:val="auto"/>
          <w:sz w:val="28"/>
          <w:szCs w:val="28"/>
          <w:highlight w:val="none"/>
        </w:rPr>
      </w:pPr>
      <w:bookmarkStart w:id="263" w:name="OLE_LINK123"/>
      <w:bookmarkStart w:id="264" w:name="OLE_LINK124"/>
      <w:r>
        <w:rPr>
          <w:rFonts w:hint="eastAsia" w:ascii="仿宋_GB2312" w:hAnsi="宋体" w:eastAsia="仿宋_GB2312" w:cs="Times New Roman"/>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p>
    <w:p w14:paraId="129645FD">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②被滁州市县两级公管部门取消在一定期限内的投标资格且在取消期限内的；</w:t>
      </w:r>
    </w:p>
    <w:p w14:paraId="2A07A41F">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③被滁州市县两级各行业主管部门取消在一定期限内的投标资格且在取消期限内的；</w:t>
      </w:r>
    </w:p>
    <w:p w14:paraId="02300F5C">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④因拖欠农民工工资被</w:t>
      </w:r>
      <w:bookmarkStart w:id="265" w:name="OLE_LINK107"/>
      <w:bookmarkStart w:id="266" w:name="OLE_LINK108"/>
      <w:r>
        <w:rPr>
          <w:rFonts w:hint="eastAsia" w:ascii="仿宋_GB2312" w:hAnsi="宋体" w:eastAsia="仿宋_GB2312" w:cs="Times New Roman"/>
          <w:color w:val="auto"/>
          <w:sz w:val="28"/>
          <w:szCs w:val="28"/>
          <w:highlight w:val="none"/>
        </w:rPr>
        <w:t>县级及以上有关行政主管部门限制投标资格且在限制期限内的</w:t>
      </w:r>
      <w:bookmarkEnd w:id="265"/>
      <w:bookmarkEnd w:id="266"/>
      <w:r>
        <w:rPr>
          <w:rFonts w:hint="eastAsia" w:ascii="仿宋_GB2312" w:hAnsi="宋体" w:eastAsia="仿宋_GB2312" w:cs="Times New Roman"/>
          <w:color w:val="auto"/>
          <w:sz w:val="28"/>
          <w:szCs w:val="28"/>
          <w:highlight w:val="none"/>
        </w:rPr>
        <w:t>；</w:t>
      </w:r>
    </w:p>
    <w:p w14:paraId="08C9E496">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bookmarkEnd w:id="263"/>
    <w:bookmarkEnd w:id="264"/>
    <w:p w14:paraId="44530FC2">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（二）政府采购项目</w:t>
      </w:r>
    </w:p>
    <w:p w14:paraId="419057F7">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1、“信用中国”网站</w:t>
      </w:r>
      <w:r>
        <w:rPr>
          <w:rFonts w:hint="eastAsia" w:ascii="仿宋" w:hAnsi="仿宋" w:eastAsia="仿宋" w:cs="Times New Roman"/>
          <w:color w:val="auto"/>
          <w:sz w:val="28"/>
          <w:szCs w:val="28"/>
          <w:highlight w:val="none"/>
        </w:rPr>
        <w:t>（</w:t>
      </w:r>
      <w:r>
        <w:rPr>
          <w:rStyle w:val="37"/>
          <w:rFonts w:hint="eastAsia" w:ascii="仿宋" w:hAnsi="仿宋" w:eastAsia="仿宋"/>
          <w:color w:val="auto"/>
          <w:sz w:val="28"/>
          <w:szCs w:val="28"/>
          <w:highlight w:val="none"/>
        </w:rPr>
        <w:t>www.creditchina.gov.cn</w:t>
      </w:r>
      <w:r>
        <w:rPr>
          <w:rFonts w:hint="eastAsia" w:ascii="仿宋" w:hAnsi="仿宋" w:eastAsia="仿宋" w:cs="Times New Roman"/>
          <w:color w:val="auto"/>
          <w:sz w:val="28"/>
          <w:szCs w:val="28"/>
          <w:highlight w:val="none"/>
        </w:rPr>
        <w:t>）</w:t>
      </w:r>
      <w:r>
        <w:rPr>
          <w:rFonts w:hint="eastAsia" w:ascii="仿宋_GB2312" w:hAnsi="宋体" w:eastAsia="仿宋_GB2312" w:cs="Times New Roman"/>
          <w:color w:val="auto"/>
          <w:sz w:val="28"/>
          <w:szCs w:val="28"/>
          <w:highlight w:val="none"/>
        </w:rPr>
        <w:t>查询供应商、法定代表人及其项目负责人以下失信行为：</w:t>
      </w:r>
    </w:p>
    <w:p w14:paraId="598B68C2">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①被列入“失信被执行人”的;</w:t>
      </w:r>
    </w:p>
    <w:p w14:paraId="543EC5FF">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②被列入“重大税收违法失信主体”的；</w:t>
      </w:r>
    </w:p>
    <w:p w14:paraId="073EBA95">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③被列入 “严重失信主体名单”的；</w:t>
      </w:r>
    </w:p>
    <w:p w14:paraId="0C888BAC">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④在“信用中国”网站上披露的仍在公示期的严重失信行为(具体行为类别及判定依据见附件2)的。</w:t>
      </w:r>
    </w:p>
    <w:p w14:paraId="6D62F908">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2、国家企业信用信息公示系统网站</w:t>
      </w:r>
      <w:r>
        <w:rPr>
          <w:rFonts w:hint="eastAsia" w:ascii="仿宋" w:hAnsi="仿宋" w:eastAsia="仿宋" w:cs="Times New Roman"/>
          <w:color w:val="auto"/>
          <w:sz w:val="28"/>
          <w:szCs w:val="28"/>
          <w:highlight w:val="none"/>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r>
        <w:rPr>
          <w:rFonts w:hint="eastAsia" w:ascii="仿宋" w:hAnsi="仿宋" w:eastAsia="仿宋"/>
          <w:color w:val="auto"/>
          <w:sz w:val="28"/>
          <w:szCs w:val="28"/>
          <w:highlight w:val="none"/>
        </w:rPr>
        <w:t>www.gsxt.gov.cn）</w:t>
      </w:r>
      <w:r>
        <w:rPr>
          <w:rFonts w:hint="eastAsia" w:ascii="仿宋" w:hAnsi="仿宋" w:eastAsia="仿宋"/>
          <w:color w:val="auto"/>
          <w:sz w:val="28"/>
          <w:szCs w:val="28"/>
          <w:highlight w:val="none"/>
        </w:rPr>
        <w:fldChar w:fldCharType="end"/>
      </w:r>
      <w:r>
        <w:rPr>
          <w:rFonts w:hint="eastAsia" w:ascii="仿宋_GB2312" w:hAnsi="宋体" w:eastAsia="仿宋_GB2312" w:cs="Times New Roman"/>
          <w:color w:val="auto"/>
          <w:sz w:val="28"/>
          <w:szCs w:val="28"/>
          <w:highlight w:val="none"/>
        </w:rPr>
        <w:t>查询供应商以下失信行为：</w:t>
      </w:r>
    </w:p>
    <w:p w14:paraId="08F8A6EA">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①</w:t>
      </w:r>
      <w:bookmarkStart w:id="267" w:name="OLE_LINK102"/>
      <w:bookmarkStart w:id="268" w:name="OLE_LINK100"/>
      <w:bookmarkStart w:id="269" w:name="OLE_LINK101"/>
      <w:r>
        <w:rPr>
          <w:rFonts w:hint="eastAsia" w:ascii="仿宋_GB2312" w:hAnsi="宋体" w:eastAsia="仿宋_GB2312" w:cs="Times New Roman"/>
          <w:color w:val="auto"/>
          <w:sz w:val="28"/>
          <w:szCs w:val="28"/>
          <w:highlight w:val="none"/>
        </w:rPr>
        <w:t>被列入“经营异常名录”或者“严重违法失信名单”的</w:t>
      </w:r>
      <w:bookmarkEnd w:id="267"/>
      <w:bookmarkEnd w:id="268"/>
      <w:bookmarkEnd w:id="269"/>
      <w:r>
        <w:rPr>
          <w:rFonts w:hint="eastAsia" w:ascii="仿宋_GB2312" w:hAnsi="宋体" w:eastAsia="仿宋_GB2312" w:cs="Times New Roman"/>
          <w:color w:val="auto"/>
          <w:sz w:val="28"/>
          <w:szCs w:val="28"/>
          <w:highlight w:val="none"/>
        </w:rPr>
        <w:t>。</w:t>
      </w:r>
    </w:p>
    <w:p w14:paraId="46280DFD">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3、中国政府采购网站</w:t>
      </w:r>
      <w:r>
        <w:rPr>
          <w:rFonts w:hint="eastAsia" w:ascii="仿宋" w:hAnsi="仿宋" w:eastAsia="仿宋" w:cs="Times New Roman"/>
          <w:color w:val="auto"/>
          <w:sz w:val="28"/>
          <w:szCs w:val="28"/>
          <w:highlight w:val="none"/>
        </w:rPr>
        <w:t>（</w:t>
      </w:r>
      <w:bookmarkStart w:id="270" w:name="OLE_LINK95"/>
      <w:bookmarkStart w:id="271" w:name="OLE_LINK96"/>
      <w:r>
        <w:rPr>
          <w:rFonts w:ascii="仿宋" w:hAnsi="仿宋" w:eastAsia="仿宋" w:cs="Times New Roman"/>
          <w:color w:val="auto"/>
          <w:sz w:val="28"/>
          <w:szCs w:val="28"/>
          <w:highlight w:val="none"/>
        </w:rPr>
        <w:fldChar w:fldCharType="begin"/>
      </w:r>
      <w:r>
        <w:rPr>
          <w:rFonts w:ascii="仿宋" w:hAnsi="仿宋" w:eastAsia="仿宋" w:cs="Times New Roman"/>
          <w:color w:val="auto"/>
          <w:sz w:val="28"/>
          <w:szCs w:val="28"/>
          <w:highlight w:val="none"/>
        </w:rPr>
        <w:instrText xml:space="preserve"> HYPERLINK "http://www.ccgp.gov.cn" </w:instrText>
      </w:r>
      <w:r>
        <w:rPr>
          <w:rFonts w:ascii="仿宋" w:hAnsi="仿宋" w:eastAsia="仿宋" w:cs="Times New Roman"/>
          <w:color w:val="auto"/>
          <w:sz w:val="28"/>
          <w:szCs w:val="28"/>
          <w:highlight w:val="none"/>
        </w:rPr>
        <w:fldChar w:fldCharType="separate"/>
      </w:r>
      <w:r>
        <w:rPr>
          <w:rFonts w:hint="eastAsia" w:ascii="仿宋" w:hAnsi="仿宋" w:eastAsia="仿宋"/>
          <w:color w:val="auto"/>
          <w:sz w:val="28"/>
          <w:szCs w:val="28"/>
          <w:highlight w:val="none"/>
        </w:rPr>
        <w:t>www.ccgp.gov.cn</w:t>
      </w:r>
      <w:r>
        <w:rPr>
          <w:rFonts w:ascii="仿宋" w:hAnsi="仿宋" w:eastAsia="仿宋" w:cs="Times New Roman"/>
          <w:color w:val="auto"/>
          <w:sz w:val="28"/>
          <w:szCs w:val="28"/>
          <w:highlight w:val="none"/>
        </w:rPr>
        <w:fldChar w:fldCharType="end"/>
      </w:r>
      <w:bookmarkEnd w:id="270"/>
      <w:bookmarkEnd w:id="271"/>
      <w:r>
        <w:rPr>
          <w:rFonts w:hint="eastAsia" w:ascii="仿宋" w:hAnsi="仿宋" w:eastAsia="仿宋" w:cs="Times New Roman"/>
          <w:color w:val="auto"/>
          <w:sz w:val="28"/>
          <w:szCs w:val="28"/>
          <w:highlight w:val="none"/>
        </w:rPr>
        <w:t>）</w:t>
      </w:r>
      <w:r>
        <w:rPr>
          <w:rFonts w:hint="eastAsia" w:ascii="仿宋_GB2312" w:hAnsi="宋体" w:eastAsia="仿宋_GB2312" w:cs="Times New Roman"/>
          <w:color w:val="auto"/>
          <w:sz w:val="28"/>
          <w:szCs w:val="28"/>
          <w:highlight w:val="none"/>
        </w:rPr>
        <w:t>查询以下失信行为：</w:t>
      </w:r>
    </w:p>
    <w:p w14:paraId="09AD787B">
      <w:pPr>
        <w:adjustRightInd w:val="0"/>
        <w:snapToGrid w:val="0"/>
        <w:spacing w:line="560" w:lineRule="exact"/>
        <w:ind w:firstLine="560" w:firstLineChars="200"/>
        <w:rPr>
          <w:rFonts w:ascii="仿宋_GB2312" w:hAnsi="宋体" w:eastAsia="仿宋_GB2312" w:cs="楷体"/>
          <w:color w:val="auto"/>
          <w:sz w:val="28"/>
          <w:szCs w:val="28"/>
          <w:highlight w:val="none"/>
        </w:rPr>
      </w:pPr>
      <w:r>
        <w:rPr>
          <w:rFonts w:hint="eastAsia" w:ascii="仿宋_GB2312" w:hAnsi="宋体" w:eastAsia="仿宋_GB2312" w:cs="Times New Roman"/>
          <w:color w:val="auto"/>
          <w:sz w:val="28"/>
          <w:szCs w:val="28"/>
          <w:highlight w:val="none"/>
        </w:rPr>
        <w:t>①</w:t>
      </w:r>
      <w:bookmarkStart w:id="272" w:name="OLE_LINK106"/>
      <w:bookmarkStart w:id="273" w:name="OLE_LINK104"/>
      <w:bookmarkStart w:id="274" w:name="OLE_LINK105"/>
      <w:r>
        <w:rPr>
          <w:rFonts w:hint="eastAsia" w:ascii="仿宋_GB2312" w:hAnsi="宋体" w:eastAsia="仿宋_GB2312" w:cs="Times New Roman"/>
          <w:color w:val="auto"/>
          <w:sz w:val="28"/>
          <w:szCs w:val="28"/>
          <w:highlight w:val="none"/>
        </w:rPr>
        <w:t>被列入“政府采购严重违法失信行为信息记录”的</w:t>
      </w:r>
      <w:bookmarkEnd w:id="272"/>
      <w:bookmarkEnd w:id="273"/>
      <w:bookmarkEnd w:id="274"/>
      <w:r>
        <w:rPr>
          <w:rFonts w:hint="eastAsia" w:ascii="仿宋_GB2312" w:hAnsi="宋体" w:eastAsia="仿宋_GB2312" w:cs="楷体"/>
          <w:color w:val="auto"/>
          <w:sz w:val="28"/>
          <w:szCs w:val="28"/>
          <w:highlight w:val="none"/>
        </w:rPr>
        <w:t>。</w:t>
      </w:r>
    </w:p>
    <w:p w14:paraId="5EF3CACB">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4、由竞争主体进行承诺，不进行现场网上信用查询的失信行为：</w:t>
      </w:r>
    </w:p>
    <w:p w14:paraId="49B7ABDB">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r>
        <w:rPr>
          <w:rFonts w:hint="eastAsia" w:ascii="仿宋_GB2312" w:hAnsi="宋体" w:eastAsia="仿宋_GB2312" w:cs="Times New Roman"/>
          <w:color w:val="auto"/>
          <w:sz w:val="28"/>
          <w:szCs w:val="28"/>
          <w:highlight w:val="none"/>
        </w:rPr>
        <w:t>。</w:t>
      </w:r>
    </w:p>
    <w:p w14:paraId="2648CFCB">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二、在开评标活动中的查询程序</w:t>
      </w:r>
    </w:p>
    <w:p w14:paraId="5258736A">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26508D17">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7B416E30">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3、项目单位及其委托的代理机构应当做好信用查询结果截图和记录留存。</w:t>
      </w:r>
    </w:p>
    <w:p w14:paraId="182D288B">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三、相关要求</w:t>
      </w:r>
    </w:p>
    <w:p w14:paraId="17790EC7">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1、参与公共资源交易活动的竞争主体根据上述范围查询的内容进行自查并承诺，出具《诚信投标承诺书》（诚信投标承诺书包括但不限于上述自查并承诺内容）并注明承诺日期（投标截止时间前5日内）。</w:t>
      </w:r>
    </w:p>
    <w:p w14:paraId="1A389733">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080D4E22">
      <w:pPr>
        <w:wordWrap w:val="0"/>
        <w:adjustRightInd w:val="0"/>
        <w:snapToGrid w:val="0"/>
        <w:spacing w:line="560" w:lineRule="exact"/>
        <w:ind w:firstLine="560" w:firstLineChars="200"/>
        <w:rPr>
          <w:rFonts w:ascii="Times New Roman" w:hAnsi="Times New Roman" w:eastAsia="宋体" w:cs="Times New Roman"/>
          <w:color w:val="auto"/>
          <w:szCs w:val="24"/>
          <w:highlight w:val="none"/>
        </w:rPr>
      </w:pPr>
      <w:r>
        <w:rPr>
          <w:rFonts w:hint="eastAsia" w:ascii="仿宋_GB2312" w:hAnsi="宋体" w:eastAsia="仿宋_GB2312" w:cs="Times New Roman"/>
          <w:color w:val="auto"/>
          <w:sz w:val="28"/>
          <w:szCs w:val="28"/>
          <w:highlight w:val="none"/>
        </w:rPr>
        <w:t xml:space="preserve">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w:t>
      </w:r>
      <w:r>
        <w:rPr>
          <w:color w:val="auto"/>
          <w:highlight w:val="none"/>
        </w:rPr>
        <w:fldChar w:fldCharType="begin"/>
      </w:r>
      <w:r>
        <w:rPr>
          <w:color w:val="auto"/>
          <w:highlight w:val="none"/>
        </w:rPr>
        <w:instrText xml:space="preserve"> HYPERLINK "https://credit.ah.gov.cn/xinyong-fuwu/xvbahv/index.html" </w:instrText>
      </w:r>
      <w:r>
        <w:rPr>
          <w:color w:val="auto"/>
          <w:highlight w:val="none"/>
        </w:rPr>
        <w:fldChar w:fldCharType="separate"/>
      </w:r>
      <w:r>
        <w:rPr>
          <w:rFonts w:hint="eastAsia" w:ascii="仿宋_GB2312" w:hAnsi="宋体" w:eastAsia="仿宋_GB2312" w:cs="Times New Roman"/>
          <w:color w:val="auto"/>
          <w:sz w:val="28"/>
          <w:szCs w:val="28"/>
          <w:highlight w:val="none"/>
        </w:rPr>
        <w:t>https://credit.ah.gov.cn/xinyong-fuwu/xvbahv/index.html</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017B1039">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2、“信用中国”查询的严重失信行为判定依据为各行业主管部门下发的联合惩戒文件中规定的行为（按附件2执行）。</w:t>
      </w:r>
    </w:p>
    <w:p w14:paraId="692A1214">
      <w:pPr>
        <w:wordWrap w:val="0"/>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3、资格预审的项目以递交资格预审申请文件截止时间查询为准；资格后审的项目以递交投标文件截止时间查询为准。</w:t>
      </w:r>
    </w:p>
    <w:p w14:paraId="0E046C07">
      <w:pPr>
        <w:wordWrap w:val="0"/>
        <w:adjustRightInd w:val="0"/>
        <w:snapToGrid w:val="0"/>
        <w:spacing w:line="560" w:lineRule="exact"/>
        <w:ind w:firstLine="560" w:firstLineChars="200"/>
        <w:rPr>
          <w:rFonts w:ascii="仿宋_GB2312" w:hAnsi="宋体" w:eastAsia="仿宋_GB2312" w:cs="Times New Roman"/>
          <w:color w:val="auto"/>
          <w:sz w:val="28"/>
          <w:szCs w:val="28"/>
          <w:highlight w:val="none"/>
        </w:rPr>
      </w:pPr>
    </w:p>
    <w:p w14:paraId="5AB0F08E">
      <w:pPr>
        <w:ind w:right="-92" w:rightChars="-44"/>
        <w:rPr>
          <w:rFonts w:ascii="宋体" w:hAnsi="宋体" w:eastAsia="宋体" w:cs="宋体"/>
          <w:bCs/>
          <w:color w:val="auto"/>
          <w:szCs w:val="21"/>
          <w:highlight w:val="none"/>
        </w:rPr>
      </w:pPr>
    </w:p>
    <w:p w14:paraId="51095146">
      <w:pPr>
        <w:ind w:right="-92" w:rightChars="-44"/>
        <w:rPr>
          <w:rFonts w:ascii="宋体" w:hAnsi="宋体" w:eastAsia="宋体" w:cs="宋体"/>
          <w:bCs/>
          <w:color w:val="auto"/>
          <w:sz w:val="32"/>
          <w:szCs w:val="32"/>
          <w:highlight w:val="none"/>
        </w:rPr>
      </w:pPr>
    </w:p>
    <w:p w14:paraId="6D7FD487">
      <w:pPr>
        <w:ind w:right="-92" w:rightChars="-44"/>
        <w:rPr>
          <w:rFonts w:ascii="宋体" w:hAnsi="宋体" w:eastAsia="宋体" w:cs="宋体"/>
          <w:bCs/>
          <w:color w:val="auto"/>
          <w:sz w:val="32"/>
          <w:szCs w:val="32"/>
          <w:highlight w:val="none"/>
        </w:rPr>
      </w:pPr>
    </w:p>
    <w:p w14:paraId="5C0920AC">
      <w:pPr>
        <w:ind w:right="-92" w:rightChars="-44"/>
        <w:rPr>
          <w:rFonts w:ascii="宋体" w:hAnsi="宋体" w:eastAsia="宋体" w:cs="宋体"/>
          <w:bCs/>
          <w:color w:val="auto"/>
          <w:sz w:val="32"/>
          <w:szCs w:val="32"/>
          <w:highlight w:val="none"/>
        </w:rPr>
      </w:pPr>
    </w:p>
    <w:p w14:paraId="65375A66">
      <w:pPr>
        <w:ind w:right="-92" w:rightChars="-44"/>
        <w:rPr>
          <w:rFonts w:ascii="宋体" w:hAnsi="宋体" w:eastAsia="宋体" w:cs="宋体"/>
          <w:bCs/>
          <w:color w:val="auto"/>
          <w:sz w:val="32"/>
          <w:szCs w:val="32"/>
          <w:highlight w:val="none"/>
        </w:rPr>
      </w:pPr>
    </w:p>
    <w:p w14:paraId="1793D4D2">
      <w:pPr>
        <w:ind w:right="-92" w:rightChars="-44"/>
        <w:rPr>
          <w:rFonts w:ascii="宋体" w:hAnsi="宋体" w:eastAsia="宋体" w:cs="宋体"/>
          <w:bCs/>
          <w:color w:val="auto"/>
          <w:sz w:val="32"/>
          <w:szCs w:val="32"/>
          <w:highlight w:val="none"/>
        </w:rPr>
      </w:pPr>
    </w:p>
    <w:p w14:paraId="1D5846FF">
      <w:pPr>
        <w:ind w:right="-92" w:rightChars="-44"/>
        <w:rPr>
          <w:rFonts w:ascii="宋体" w:hAnsi="宋体" w:eastAsia="宋体" w:cs="宋体"/>
          <w:bCs/>
          <w:color w:val="auto"/>
          <w:sz w:val="32"/>
          <w:szCs w:val="32"/>
          <w:highlight w:val="none"/>
        </w:rPr>
      </w:pPr>
    </w:p>
    <w:p w14:paraId="5EA85BC8">
      <w:pPr>
        <w:ind w:right="-92" w:rightChars="-44"/>
        <w:rPr>
          <w:rFonts w:ascii="宋体" w:hAnsi="宋体" w:eastAsia="宋体" w:cs="宋体"/>
          <w:bCs/>
          <w:color w:val="auto"/>
          <w:sz w:val="32"/>
          <w:szCs w:val="32"/>
          <w:highlight w:val="none"/>
        </w:rPr>
      </w:pPr>
    </w:p>
    <w:p w14:paraId="7BD5FBDE">
      <w:pPr>
        <w:ind w:right="-92" w:rightChars="-44"/>
        <w:rPr>
          <w:rFonts w:ascii="宋体" w:hAnsi="宋体" w:eastAsia="宋体" w:cs="宋体"/>
          <w:bCs/>
          <w:color w:val="auto"/>
          <w:sz w:val="32"/>
          <w:szCs w:val="32"/>
          <w:highlight w:val="none"/>
        </w:rPr>
      </w:pPr>
    </w:p>
    <w:p w14:paraId="5B2C6949">
      <w:pPr>
        <w:keepNext/>
        <w:keepLines/>
        <w:spacing w:before="200" w:after="200" w:line="600" w:lineRule="exact"/>
        <w:outlineLvl w:val="0"/>
        <w:rPr>
          <w:rFonts w:ascii="黑体" w:hAnsi="黑体" w:eastAsia="黑体" w:cs="Times New Roman"/>
          <w:b/>
          <w:bCs/>
          <w:color w:val="auto"/>
          <w:kern w:val="44"/>
          <w:sz w:val="36"/>
          <w:szCs w:val="28"/>
          <w:highlight w:val="none"/>
        </w:rPr>
      </w:pPr>
      <w:bookmarkStart w:id="275" w:name="_Toc95223549"/>
      <w:bookmarkStart w:id="276" w:name="OLE_LINK32"/>
      <w:bookmarkStart w:id="277" w:name="OLE_LINK31"/>
      <w:bookmarkStart w:id="278" w:name="OLE_LINK41"/>
      <w:r>
        <w:rPr>
          <w:rFonts w:hint="eastAsia" w:ascii="黑体" w:hAnsi="黑体" w:eastAsia="黑体" w:cs="Times New Roman"/>
          <w:b/>
          <w:bCs/>
          <w:color w:val="auto"/>
          <w:kern w:val="44"/>
          <w:sz w:val="36"/>
          <w:szCs w:val="28"/>
          <w:highlight w:val="none"/>
        </w:rPr>
        <w:t xml:space="preserve">附件2 </w:t>
      </w:r>
      <w:bookmarkStart w:id="279" w:name="OLE_LINK74"/>
      <w:bookmarkStart w:id="280" w:name="OLE_LINK75"/>
      <w:r>
        <w:rPr>
          <w:rFonts w:hint="eastAsia" w:ascii="黑体" w:hAnsi="黑体" w:eastAsia="黑体" w:cs="Times New Roman"/>
          <w:b/>
          <w:bCs/>
          <w:color w:val="auto"/>
          <w:kern w:val="44"/>
          <w:sz w:val="36"/>
          <w:szCs w:val="28"/>
          <w:highlight w:val="none"/>
        </w:rPr>
        <w:t>“信用中国”查询的严重失信行为</w:t>
      </w:r>
      <w:bookmarkStart w:id="281" w:name="OLE_LINK39"/>
      <w:bookmarkStart w:id="282" w:name="OLE_LINK76"/>
      <w:bookmarkStart w:id="283" w:name="OLE_LINK40"/>
      <w:bookmarkStart w:id="284" w:name="OLE_LINK38"/>
      <w:r>
        <w:rPr>
          <w:rFonts w:hint="eastAsia" w:ascii="黑体" w:hAnsi="黑体" w:eastAsia="黑体" w:cs="Times New Roman"/>
          <w:b/>
          <w:bCs/>
          <w:color w:val="auto"/>
          <w:kern w:val="44"/>
          <w:sz w:val="36"/>
          <w:szCs w:val="28"/>
          <w:highlight w:val="none"/>
        </w:rPr>
        <w:t>类别及判定依据</w:t>
      </w:r>
      <w:bookmarkEnd w:id="275"/>
      <w:bookmarkEnd w:id="279"/>
      <w:bookmarkEnd w:id="280"/>
      <w:bookmarkEnd w:id="281"/>
      <w:bookmarkEnd w:id="282"/>
      <w:bookmarkEnd w:id="283"/>
      <w:bookmarkEnd w:id="284"/>
    </w:p>
    <w:bookmarkEnd w:id="276"/>
    <w:bookmarkEnd w:id="277"/>
    <w:bookmarkEnd w:id="278"/>
    <w:p w14:paraId="51CFF640">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32"/>
          <w:szCs w:val="32"/>
          <w:highlight w:val="none"/>
        </w:rPr>
        <w:t>“</w:t>
      </w:r>
      <w:r>
        <w:rPr>
          <w:rFonts w:hint="eastAsia" w:ascii="仿宋_GB2312" w:hAnsi="宋体" w:eastAsia="仿宋_GB2312" w:cs="Times New Roman"/>
          <w:color w:val="auto"/>
          <w:sz w:val="28"/>
          <w:szCs w:val="28"/>
          <w:highlight w:val="none"/>
        </w:rPr>
        <w:t>信用中国”查询的严重失信行为判定依据为各行业主管部门下发的联合惩戒文件中规定的行为。下面将部分类别的严重失信行为列举如下：</w:t>
      </w:r>
    </w:p>
    <w:p w14:paraId="3226E232">
      <w:pPr>
        <w:adjustRightInd w:val="0"/>
        <w:snapToGrid w:val="0"/>
        <w:spacing w:line="560" w:lineRule="exact"/>
        <w:ind w:firstLine="645"/>
        <w:jc w:val="left"/>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一、安全生产领域严重失信行为：</w:t>
      </w:r>
    </w:p>
    <w:p w14:paraId="18C0760D">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（一）下列发生生产安全事故的生产经营单位及其有关人员应当列入严重失信主体名单：</w:t>
      </w:r>
    </w:p>
    <w:p w14:paraId="2A7D9B0E">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1、发生特别重大、重大生产安全事故的生产经营单位及其主要负责人，以及经调查认定对该事故发生负有责任，应当列入名单的其他单位和人员；</w:t>
      </w:r>
    </w:p>
    <w:p w14:paraId="2FB222C2">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2、12个月内累计发生2起以上较大生产安全事故的生产经营单位及其主要负责人；</w:t>
      </w:r>
    </w:p>
    <w:p w14:paraId="5FEC2891">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3、发生生产安全事故，情节特别严重、影响特别恶劣，依照《中华人民共和国安全生产法》第一百一十四条的规定被处以罚款数额2倍以上5倍以下罚款的生产经营单位及其主要负责人；</w:t>
      </w:r>
    </w:p>
    <w:p w14:paraId="01DD3672">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4、瞒报、谎报生产安全事故的生产经营单位及其有关责任人员；</w:t>
      </w:r>
    </w:p>
    <w:p w14:paraId="1E7E58E1">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5、发生生产安全事故后，不立即组织抢救或者在事故调查处理期间擅离职守或者逃匿的生产经营单位主要负责人。</w:t>
      </w:r>
    </w:p>
    <w:p w14:paraId="702482AF">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（二）下列未发生生产安全事故，但因安全生产违法行为，受到行政处罚的生产经营单位或者机构及其有关人员，应当列入严重失信主体名单：</w:t>
      </w:r>
    </w:p>
    <w:p w14:paraId="43B66757">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1、未依法取得安全生产相关许可或者许可被暂扣、吊销期间从事相关生产经营活动的生产经营单位及其主要负责人；</w:t>
      </w:r>
    </w:p>
    <w:p w14:paraId="47A74082">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2、承担安全评价、认证、检测、检验职责的机构及其直接责任人员租借资质、挂靠、出具虚假报告或者证书的；</w:t>
      </w:r>
    </w:p>
    <w:p w14:paraId="76629523">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3、在应急管理部门作出行政处罚后，有执行能力拒不执行或者逃避执行的生产经营单位及其主要负责人；</w:t>
      </w:r>
    </w:p>
    <w:p w14:paraId="3F005EB8">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4、其他违反安全生产法律法规受到行政处罚，且性质恶劣、情节严重的。</w:t>
      </w:r>
    </w:p>
    <w:p w14:paraId="0C3E8E31">
      <w:pPr>
        <w:adjustRightInd w:val="0"/>
        <w:snapToGrid w:val="0"/>
        <w:spacing w:line="560" w:lineRule="exact"/>
        <w:ind w:firstLine="645"/>
        <w:jc w:val="left"/>
        <w:rPr>
          <w:rFonts w:ascii="仿宋_GB2312" w:hAnsi="Calibri"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依据：《安全生产严重失信主体名单管理办法》</w:t>
      </w:r>
      <w:r>
        <w:rPr>
          <w:rFonts w:hint="eastAsia" w:ascii="仿宋_GB2312" w:hAnsi="Calibri" w:eastAsia="仿宋_GB2312" w:cs="Times New Roman"/>
          <w:b/>
          <w:color w:val="auto"/>
          <w:sz w:val="28"/>
          <w:szCs w:val="28"/>
          <w:highlight w:val="none"/>
        </w:rPr>
        <w:t>（2023年8月8日应急管理部令第11号）</w:t>
      </w:r>
    </w:p>
    <w:p w14:paraId="56E19D01">
      <w:pPr>
        <w:adjustRightInd w:val="0"/>
        <w:snapToGrid w:val="0"/>
        <w:spacing w:line="560" w:lineRule="exact"/>
        <w:ind w:firstLine="645"/>
        <w:jc w:val="left"/>
        <w:rPr>
          <w:rFonts w:ascii="仿宋_GB2312" w:hAnsi="宋体" w:eastAsia="仿宋_GB2312" w:cs="Times New Roman"/>
          <w:b/>
          <w:color w:val="auto"/>
          <w:sz w:val="28"/>
          <w:szCs w:val="28"/>
          <w:highlight w:val="none"/>
        </w:rPr>
      </w:pPr>
    </w:p>
    <w:p w14:paraId="285119D7">
      <w:pPr>
        <w:adjustRightInd w:val="0"/>
        <w:snapToGrid w:val="0"/>
        <w:spacing w:line="560" w:lineRule="exact"/>
        <w:ind w:firstLine="645"/>
        <w:jc w:val="left"/>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二、环境保护领域严重失信行为：</w:t>
      </w:r>
    </w:p>
    <w:p w14:paraId="4A5904DA">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（一）因为环境违法构成</w:t>
      </w:r>
      <w:r>
        <w:rPr>
          <w:color w:val="auto"/>
          <w:highlight w:val="none"/>
        </w:rPr>
        <w:fldChar w:fldCharType="begin"/>
      </w:r>
      <w:r>
        <w:rPr>
          <w:color w:val="auto"/>
          <w:highlight w:val="none"/>
        </w:rPr>
        <w:instrText xml:space="preserve"> HYPERLINK "https://baike.sogou.com/m/fullLemma?lid=10403954&amp;g_ut=3" \t "https://baike.sogou.com/m/_blank" </w:instrText>
      </w:r>
      <w:r>
        <w:rPr>
          <w:color w:val="auto"/>
          <w:highlight w:val="none"/>
        </w:rPr>
        <w:fldChar w:fldCharType="separate"/>
      </w:r>
      <w:r>
        <w:rPr>
          <w:rFonts w:hint="eastAsia" w:ascii="仿宋_GB2312" w:hAnsi="宋体" w:eastAsia="仿宋_GB2312" w:cs="Times New Roman"/>
          <w:color w:val="auto"/>
          <w:sz w:val="28"/>
          <w:szCs w:val="28"/>
          <w:highlight w:val="none"/>
        </w:rPr>
        <w:t>环境犯罪</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的；</w:t>
      </w:r>
    </w:p>
    <w:p w14:paraId="541BFE6E">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（二）</w:t>
      </w:r>
      <w:r>
        <w:rPr>
          <w:color w:val="auto"/>
          <w:highlight w:val="none"/>
        </w:rPr>
        <w:fldChar w:fldCharType="begin"/>
      </w:r>
      <w:r>
        <w:rPr>
          <w:color w:val="auto"/>
          <w:highlight w:val="none"/>
        </w:rPr>
        <w:instrText xml:space="preserve"> HYPERLINK "https://baike.sogou.com/m/fullLemma?lid=76033123&amp;g_ut=3" \t "https://baike.sogou.com/m/_blank" </w:instrText>
      </w:r>
      <w:r>
        <w:rPr>
          <w:color w:val="auto"/>
          <w:highlight w:val="none"/>
        </w:rPr>
        <w:fldChar w:fldCharType="separate"/>
      </w:r>
      <w:r>
        <w:rPr>
          <w:rFonts w:hint="eastAsia" w:ascii="仿宋_GB2312" w:hAnsi="宋体" w:eastAsia="仿宋_GB2312" w:cs="Times New Roman"/>
          <w:color w:val="auto"/>
          <w:sz w:val="28"/>
          <w:szCs w:val="28"/>
          <w:highlight w:val="none"/>
        </w:rPr>
        <w:t>建设项目环境影响评价</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文件未按规定通过审批，擅自开工建设的；</w:t>
      </w:r>
    </w:p>
    <w:p w14:paraId="50FC96A1">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（三）建设项目环保设施未建成、环保措施未落实、未通过</w:t>
      </w:r>
      <w:r>
        <w:rPr>
          <w:color w:val="auto"/>
          <w:highlight w:val="none"/>
        </w:rPr>
        <w:fldChar w:fldCharType="begin"/>
      </w:r>
      <w:r>
        <w:rPr>
          <w:color w:val="auto"/>
          <w:highlight w:val="none"/>
        </w:rPr>
        <w:instrText xml:space="preserve"> HYPERLINK "https://baike.sogou.com/m/fullLemma?lid=6470550&amp;g_ut=3" \t "https://baike.sogou.com/m/_blank" </w:instrText>
      </w:r>
      <w:r>
        <w:rPr>
          <w:color w:val="auto"/>
          <w:highlight w:val="none"/>
        </w:rPr>
        <w:fldChar w:fldCharType="separate"/>
      </w:r>
      <w:r>
        <w:rPr>
          <w:rFonts w:hint="eastAsia" w:ascii="仿宋_GB2312" w:hAnsi="宋体" w:eastAsia="仿宋_GB2312" w:cs="Times New Roman"/>
          <w:color w:val="auto"/>
          <w:sz w:val="28"/>
          <w:szCs w:val="28"/>
          <w:highlight w:val="none"/>
        </w:rPr>
        <w:t>竣工环保验收</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或者验收不合格，主体工程正式投入生产或者使用的；</w:t>
      </w:r>
    </w:p>
    <w:p w14:paraId="052B8212">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（四）建设项目性质、规模、地点、采用的生产工艺或者防治污染、防止生态破坏的措施发生重大变动，未重新报批环境影响评价文件，擅自投入生产或者使用的；</w:t>
      </w:r>
    </w:p>
    <w:p w14:paraId="7129AF5F">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（五）主要污染物排放总量超过控制指标的；</w:t>
      </w:r>
    </w:p>
    <w:p w14:paraId="6739D09C">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（六）私设暗管或者利用</w:t>
      </w:r>
      <w:r>
        <w:rPr>
          <w:color w:val="auto"/>
          <w:highlight w:val="none"/>
        </w:rPr>
        <w:fldChar w:fldCharType="begin"/>
      </w:r>
      <w:r>
        <w:rPr>
          <w:color w:val="auto"/>
          <w:highlight w:val="none"/>
        </w:rPr>
        <w:instrText xml:space="preserve"> HYPERLINK "https://baike.sogou.com/m/fullLemma?lid=41657319&amp;g_ut=3" \t "https://baike.sogou.com/m/_blank" </w:instrText>
      </w:r>
      <w:r>
        <w:rPr>
          <w:color w:val="auto"/>
          <w:highlight w:val="none"/>
        </w:rPr>
        <w:fldChar w:fldCharType="separate"/>
      </w:r>
      <w:r>
        <w:rPr>
          <w:rFonts w:hint="eastAsia" w:ascii="仿宋_GB2312" w:hAnsi="宋体" w:eastAsia="仿宋_GB2312" w:cs="Times New Roman"/>
          <w:color w:val="auto"/>
          <w:sz w:val="28"/>
          <w:szCs w:val="28"/>
          <w:highlight w:val="none"/>
        </w:rPr>
        <w:t>渗井</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、渗坑、裂隙、溶洞等排放、倾倒、处置水污染物，或者通过私设旁路排放</w:t>
      </w:r>
      <w:r>
        <w:rPr>
          <w:color w:val="auto"/>
          <w:highlight w:val="none"/>
        </w:rPr>
        <w:fldChar w:fldCharType="begin"/>
      </w:r>
      <w:r>
        <w:rPr>
          <w:color w:val="auto"/>
          <w:highlight w:val="none"/>
        </w:rPr>
        <w:instrText xml:space="preserve"> HYPERLINK "https://baike.sogou.com/m/fullLemma?lid=7758328&amp;g_ut=3" \t "https://baike.sogou.com/m/_blank" </w:instrText>
      </w:r>
      <w:r>
        <w:rPr>
          <w:color w:val="auto"/>
          <w:highlight w:val="none"/>
        </w:rPr>
        <w:fldChar w:fldCharType="separate"/>
      </w:r>
      <w:r>
        <w:rPr>
          <w:rFonts w:hint="eastAsia" w:ascii="仿宋_GB2312" w:hAnsi="宋体" w:eastAsia="仿宋_GB2312" w:cs="Times New Roman"/>
          <w:color w:val="auto"/>
          <w:sz w:val="28"/>
          <w:szCs w:val="28"/>
          <w:highlight w:val="none"/>
        </w:rPr>
        <w:t>大气污染物</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的；</w:t>
      </w:r>
    </w:p>
    <w:p w14:paraId="3004EFAD">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（七）非法排放、倾倒、处置危险废物，或者向无</w:t>
      </w:r>
      <w:r>
        <w:rPr>
          <w:color w:val="auto"/>
          <w:highlight w:val="none"/>
        </w:rPr>
        <w:fldChar w:fldCharType="begin"/>
      </w:r>
      <w:r>
        <w:rPr>
          <w:color w:val="auto"/>
          <w:highlight w:val="none"/>
        </w:rPr>
        <w:instrText xml:space="preserve"> HYPERLINK "https://baike.sogou.com/m/fullLemma?lid=5923292&amp;g_ut=3" \t "https://baike.sogou.com/m/_blank" </w:instrText>
      </w:r>
      <w:r>
        <w:rPr>
          <w:color w:val="auto"/>
          <w:highlight w:val="none"/>
        </w:rPr>
        <w:fldChar w:fldCharType="separate"/>
      </w:r>
      <w:r>
        <w:rPr>
          <w:rFonts w:hint="eastAsia" w:ascii="仿宋_GB2312" w:hAnsi="宋体" w:eastAsia="仿宋_GB2312" w:cs="Times New Roman"/>
          <w:color w:val="auto"/>
          <w:sz w:val="28"/>
          <w:szCs w:val="28"/>
          <w:highlight w:val="none"/>
        </w:rPr>
        <w:t>经营许可证</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或者超出经营许可范围的单位或个人提供或者委托其收集、贮存、利用、处置危险废物的；</w:t>
      </w:r>
    </w:p>
    <w:p w14:paraId="486B951E">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（八）</w:t>
      </w:r>
      <w:r>
        <w:rPr>
          <w:color w:val="auto"/>
          <w:highlight w:val="none"/>
        </w:rPr>
        <w:fldChar w:fldCharType="begin"/>
      </w:r>
      <w:r>
        <w:rPr>
          <w:color w:val="auto"/>
          <w:highlight w:val="none"/>
        </w:rPr>
        <w:instrText xml:space="preserve"> HYPERLINK "https://baike.sogou.com/m/fullLemma?lid=167759803&amp;g_ut=3" \t "https://baike.sogou.com/m/_blank" </w:instrText>
      </w:r>
      <w:r>
        <w:rPr>
          <w:color w:val="auto"/>
          <w:highlight w:val="none"/>
        </w:rPr>
        <w:fldChar w:fldCharType="separate"/>
      </w:r>
      <w:r>
        <w:rPr>
          <w:rFonts w:hint="eastAsia" w:ascii="仿宋_GB2312" w:hAnsi="宋体" w:eastAsia="仿宋_GB2312" w:cs="Times New Roman"/>
          <w:color w:val="auto"/>
          <w:sz w:val="28"/>
          <w:szCs w:val="28"/>
          <w:highlight w:val="none"/>
        </w:rPr>
        <w:t>环境违法行为</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造成集中式生活饮用水水源取水中断的；</w:t>
      </w:r>
    </w:p>
    <w:p w14:paraId="62446E7F">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（九）环境违法行为对生活饮用水水源保护区、自然保护区、</w:t>
      </w:r>
      <w:r>
        <w:rPr>
          <w:color w:val="auto"/>
          <w:highlight w:val="none"/>
        </w:rPr>
        <w:fldChar w:fldCharType="begin"/>
      </w:r>
      <w:r>
        <w:rPr>
          <w:color w:val="auto"/>
          <w:highlight w:val="none"/>
        </w:rPr>
        <w:instrText xml:space="preserve"> HYPERLINK "https://baike.sogou.com/m/fullLemma?lid=155199213&amp;g_ut=3" \t "https://baike.sogou.com/m/_blank" </w:instrText>
      </w:r>
      <w:r>
        <w:rPr>
          <w:color w:val="auto"/>
          <w:highlight w:val="none"/>
        </w:rPr>
        <w:fldChar w:fldCharType="separate"/>
      </w:r>
      <w:r>
        <w:rPr>
          <w:rFonts w:hint="eastAsia" w:ascii="仿宋_GB2312" w:hAnsi="宋体" w:eastAsia="仿宋_GB2312" w:cs="Times New Roman"/>
          <w:color w:val="auto"/>
          <w:sz w:val="28"/>
          <w:szCs w:val="28"/>
          <w:highlight w:val="none"/>
        </w:rPr>
        <w:t>国家重点生态功能区</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、风景名胜区、居住功能区、</w:t>
      </w:r>
      <w:r>
        <w:rPr>
          <w:color w:val="auto"/>
          <w:highlight w:val="none"/>
        </w:rPr>
        <w:fldChar w:fldCharType="begin"/>
      </w:r>
      <w:r>
        <w:rPr>
          <w:color w:val="auto"/>
          <w:highlight w:val="none"/>
        </w:rPr>
        <w:instrText xml:space="preserve"> HYPERLINK "https://baike.sogou.com/m/fullLemma?lid=7757164&amp;g_ut=3" \t "https://baike.sogou.com/m/_blank" </w:instrText>
      </w:r>
      <w:r>
        <w:rPr>
          <w:color w:val="auto"/>
          <w:highlight w:val="none"/>
        </w:rPr>
        <w:fldChar w:fldCharType="separate"/>
      </w:r>
      <w:r>
        <w:rPr>
          <w:rFonts w:hint="eastAsia" w:ascii="仿宋_GB2312" w:hAnsi="宋体" w:eastAsia="仿宋_GB2312" w:cs="Times New Roman"/>
          <w:color w:val="auto"/>
          <w:sz w:val="28"/>
          <w:szCs w:val="28"/>
          <w:highlight w:val="none"/>
        </w:rPr>
        <w:t>基本农田保护区</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等环境敏感区造成重大不利影响的；</w:t>
      </w:r>
    </w:p>
    <w:p w14:paraId="764FECBA">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（十）违法从事自然资源开发、交通基础设施建设，以及其他开发建设活动，造成严重生态破坏的；</w:t>
      </w:r>
    </w:p>
    <w:p w14:paraId="73399FAB">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（十一）发生较大及以上突发环境事件的；</w:t>
      </w:r>
    </w:p>
    <w:p w14:paraId="04AF45F5">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（十二）被环保部门挂牌督办，整改逾期未完成的；</w:t>
      </w:r>
    </w:p>
    <w:p w14:paraId="531B6B98">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（十三）以暴力、威胁等方式拒绝、阻挠环保部门工作人员现场检查的；</w:t>
      </w:r>
    </w:p>
    <w:p w14:paraId="5DFB8AC5">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（十四）违反重污染天气应急预案有关规定，对重污染天气响应不力的。</w:t>
      </w:r>
    </w:p>
    <w:p w14:paraId="16079EA1">
      <w:pPr>
        <w:adjustRightInd w:val="0"/>
        <w:snapToGrid w:val="0"/>
        <w:spacing w:line="560" w:lineRule="exact"/>
        <w:ind w:firstLine="645"/>
        <w:jc w:val="left"/>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依据：《</w:t>
      </w:r>
      <w:bookmarkStart w:id="285" w:name="OLE_LINK10"/>
      <w:bookmarkStart w:id="286" w:name="OLE_LINK8"/>
      <w:bookmarkStart w:id="287" w:name="OLE_LINK9"/>
      <w:r>
        <w:rPr>
          <w:rFonts w:hint="eastAsia" w:ascii="仿宋_GB2312" w:hAnsi="宋体" w:eastAsia="仿宋_GB2312" w:cs="Times New Roman"/>
          <w:b/>
          <w:color w:val="auto"/>
          <w:sz w:val="28"/>
          <w:szCs w:val="28"/>
          <w:highlight w:val="none"/>
        </w:rPr>
        <w:t>关于对环境保护领域失信生产经营单位及其有关人员开展联合惩戒的合作备忘录</w:t>
      </w:r>
      <w:bookmarkEnd w:id="285"/>
      <w:bookmarkEnd w:id="286"/>
      <w:bookmarkEnd w:id="287"/>
      <w:r>
        <w:rPr>
          <w:rFonts w:hint="eastAsia" w:ascii="仿宋_GB2312" w:hAnsi="宋体" w:eastAsia="仿宋_GB2312" w:cs="Times New Roman"/>
          <w:b/>
          <w:color w:val="auto"/>
          <w:sz w:val="28"/>
          <w:szCs w:val="28"/>
          <w:highlight w:val="none"/>
        </w:rPr>
        <w:t>》、《</w:t>
      </w:r>
      <w:bookmarkStart w:id="288" w:name="OLE_LINK12"/>
      <w:bookmarkStart w:id="289" w:name="OLE_LINK11"/>
      <w:r>
        <w:rPr>
          <w:rFonts w:hint="eastAsia" w:ascii="仿宋_GB2312" w:hAnsi="宋体" w:eastAsia="仿宋_GB2312" w:cs="Times New Roman"/>
          <w:b/>
          <w:color w:val="auto"/>
          <w:sz w:val="28"/>
          <w:szCs w:val="28"/>
          <w:highlight w:val="none"/>
        </w:rPr>
        <w:t>企业环境信用评价办法（试行）</w:t>
      </w:r>
      <w:bookmarkEnd w:id="288"/>
      <w:bookmarkEnd w:id="289"/>
      <w:r>
        <w:rPr>
          <w:rFonts w:hint="eastAsia" w:ascii="仿宋_GB2312" w:hAnsi="宋体" w:eastAsia="仿宋_GB2312" w:cs="Times New Roman"/>
          <w:b/>
          <w:color w:val="auto"/>
          <w:sz w:val="28"/>
          <w:szCs w:val="28"/>
          <w:highlight w:val="none"/>
        </w:rPr>
        <w:t>》（环发〔2013〕150号）</w:t>
      </w:r>
    </w:p>
    <w:p w14:paraId="3D5D5204">
      <w:pPr>
        <w:adjustRightInd w:val="0"/>
        <w:snapToGrid w:val="0"/>
        <w:spacing w:line="560" w:lineRule="exact"/>
        <w:ind w:firstLine="645"/>
        <w:jc w:val="left"/>
        <w:rPr>
          <w:rFonts w:ascii="仿宋_GB2312" w:hAnsi="宋体" w:eastAsia="仿宋_GB2312" w:cs="Times New Roman"/>
          <w:b/>
          <w:color w:val="auto"/>
          <w:sz w:val="28"/>
          <w:szCs w:val="28"/>
          <w:highlight w:val="none"/>
        </w:rPr>
      </w:pPr>
    </w:p>
    <w:p w14:paraId="402040E4">
      <w:pPr>
        <w:adjustRightInd w:val="0"/>
        <w:snapToGrid w:val="0"/>
        <w:spacing w:line="560" w:lineRule="exact"/>
        <w:ind w:firstLine="645"/>
        <w:jc w:val="left"/>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三、</w:t>
      </w:r>
      <w:r>
        <w:rPr>
          <w:rFonts w:hint="eastAsia" w:ascii="仿宋_GB2312" w:hAnsi="宋体" w:eastAsia="仿宋_GB2312" w:cs="Times New Roman"/>
          <w:b/>
          <w:bCs/>
          <w:color w:val="auto"/>
          <w:sz w:val="28"/>
          <w:szCs w:val="28"/>
          <w:highlight w:val="none"/>
        </w:rPr>
        <w:t>公共资源交易领域严重失信行为</w:t>
      </w:r>
    </w:p>
    <w:p w14:paraId="306631B6">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（一）违反法律规定，必须进行招标的项目而不招标的，将必须进行招标的项目化整为零或者以其他任何方式规避招标的； </w:t>
      </w:r>
    </w:p>
    <w:p w14:paraId="5B8DE683">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（二）招标代理机构违反法律规定，泄露应当保密的与招标投标活动有关的情况和资料的，或者与招标人、投标人串通损害 国家利益、社会公共利益或者他人合法权益的；</w:t>
      </w:r>
    </w:p>
    <w:p w14:paraId="6DD10FCC">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（三）招标人以不合理的条件限制或者排斥潜在投标人的，对潜在投标人实行歧视待遇的，强制要求投标人组成联合体共同 投标的，或者限制投标人之间竞争的；</w:t>
      </w:r>
    </w:p>
    <w:p w14:paraId="0857E7A5">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（四）依法必须进行招标的项目的招标人向他人透露已获取招标文件的潜在投标人的名称、数量或者可能影响公平竞争的有 关招标投标的其他情况的，或者泄露标底的；</w:t>
      </w:r>
    </w:p>
    <w:p w14:paraId="2F5E5306">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（五）投标人相互串通投标或者与招标人串通投标的，投标人以向招标人或者评标委员会成员行贿的手段谋取中标的； </w:t>
      </w:r>
    </w:p>
    <w:p w14:paraId="50A3DBDB">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（六）投标人以他人名义投标或者以其他方式弄虚作假，骗取中标的；</w:t>
      </w:r>
    </w:p>
    <w:p w14:paraId="39362FC2">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（七）依法必须进行招标的项目，招标人违反法律规定，与投标人就投标价格、投标方案等实质性内容进行谈判的；</w:t>
      </w:r>
    </w:p>
    <w:p w14:paraId="6ED2FF17">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2F90F87D">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（九）招标人在评标委员会依法推荐的中标候选人以外确定中标人的，依法必须进行招标的项目在所有投标被评标委员会否 决后自行确定中标人的； </w:t>
      </w:r>
    </w:p>
    <w:p w14:paraId="679992DF">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（十）中标人将中标项目转让给他人的，将中标项目肢解后分别转让给他人的，违反法律规定将中标项目的部分主体、关键 性工作分包给他人的，或者分包人再次分包的； </w:t>
      </w:r>
    </w:p>
    <w:p w14:paraId="09A46F73">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（十一）招标人与中标人不按照招标文件和中标人的投标文件订立合同的，或者招标人、中标人订立背离合同实质性内容的 协议的； </w:t>
      </w:r>
    </w:p>
    <w:p w14:paraId="04543A9D">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（十二）中标人不按照与招标人订立的合同履行义务，情节严重的； </w:t>
      </w:r>
    </w:p>
    <w:p w14:paraId="2E59567A">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34575E10">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16C05A31">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 （十五）采购人对应当实行集中采购的政府采购项目，不委托集中采购机构实行集中采购的； </w:t>
      </w:r>
    </w:p>
    <w:p w14:paraId="6C50BD20">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（十六）采购人、采购代理机构违反法律规定隐匿、销毁应当保存的采购文件或者伪造、变造采购文件的； </w:t>
      </w:r>
    </w:p>
    <w:p w14:paraId="70745EB9">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3B62C0D7">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（十八）疫苗生产企业向县级疾病预防控制机构以外的单位或者个人销售第二类疫苗的； </w:t>
      </w:r>
    </w:p>
    <w:p w14:paraId="568CC5A8">
      <w:pPr>
        <w:adjustRightInd w:val="0"/>
        <w:snapToGrid w:val="0"/>
        <w:spacing w:line="560" w:lineRule="exact"/>
        <w:ind w:left="141" w:leftChars="67" w:firstLine="420" w:firstLineChars="150"/>
        <w:jc w:val="left"/>
        <w:rPr>
          <w:rFonts w:ascii="仿宋_GB2312" w:hAnsi="宋体"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（十九）存在其他违反公共资源交易法律法规行为的。</w:t>
      </w:r>
    </w:p>
    <w:p w14:paraId="718797CB">
      <w:pPr>
        <w:adjustRightInd w:val="0"/>
        <w:snapToGrid w:val="0"/>
        <w:spacing w:line="560" w:lineRule="exact"/>
        <w:ind w:firstLine="894" w:firstLineChars="318"/>
        <w:jc w:val="left"/>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依据：《关于对公共资源交易领域严重失信主体开展联合惩戒的备忘录》（发改法规〔2018〕457号）</w:t>
      </w:r>
    </w:p>
    <w:p w14:paraId="79D737CF">
      <w:pPr>
        <w:adjustRightInd w:val="0"/>
        <w:snapToGrid w:val="0"/>
        <w:spacing w:line="560" w:lineRule="exact"/>
        <w:ind w:firstLine="645"/>
        <w:jc w:val="left"/>
        <w:rPr>
          <w:rFonts w:ascii="仿宋_GB2312" w:hAnsi="宋体" w:eastAsia="仿宋_GB2312" w:cs="Times New Roman"/>
          <w:color w:val="auto"/>
          <w:sz w:val="28"/>
          <w:szCs w:val="28"/>
          <w:highlight w:val="none"/>
        </w:rPr>
      </w:pPr>
    </w:p>
    <w:p w14:paraId="50850426">
      <w:pPr>
        <w:adjustRightInd w:val="0"/>
        <w:snapToGrid w:val="0"/>
        <w:spacing w:line="560" w:lineRule="exact"/>
        <w:ind w:firstLine="645"/>
        <w:jc w:val="left"/>
        <w:rPr>
          <w:rFonts w:ascii="仿宋_GB2312" w:hAnsi="宋体" w:eastAsia="仿宋_GB2312" w:cs="Times New Roman"/>
          <w:b/>
          <w:bCs/>
          <w:color w:val="auto"/>
          <w:sz w:val="28"/>
          <w:szCs w:val="28"/>
          <w:highlight w:val="none"/>
        </w:rPr>
      </w:pPr>
      <w:r>
        <w:rPr>
          <w:rFonts w:hint="eastAsia" w:ascii="仿宋_GB2312" w:hAnsi="宋体" w:eastAsia="仿宋_GB2312" w:cs="Times New Roman"/>
          <w:b/>
          <w:color w:val="auto"/>
          <w:sz w:val="28"/>
          <w:szCs w:val="28"/>
          <w:highlight w:val="none"/>
        </w:rPr>
        <w:t>四、</w:t>
      </w:r>
      <w:r>
        <w:rPr>
          <w:rFonts w:hint="eastAsia" w:ascii="仿宋_GB2312" w:hAnsi="宋体" w:eastAsia="仿宋_GB2312" w:cs="Times New Roman"/>
          <w:b/>
          <w:bCs/>
          <w:color w:val="auto"/>
          <w:sz w:val="28"/>
          <w:szCs w:val="28"/>
          <w:highlight w:val="none"/>
        </w:rPr>
        <w:t>社会保险领域严重失信行为</w:t>
      </w:r>
    </w:p>
    <w:p w14:paraId="19FCFAB3">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（一）用人单位未按相关规定参加社会保险且拒不整改的； </w:t>
      </w:r>
    </w:p>
    <w:p w14:paraId="192A7727">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（二）用人单位未如实申报社会保险缴费基数且拒不整改的； </w:t>
      </w:r>
    </w:p>
    <w:p w14:paraId="0D29C9A5">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（三）应缴纳社会保险费却拒不缴纳的； </w:t>
      </w:r>
    </w:p>
    <w:p w14:paraId="17297471">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（四）隐匿、转移、侵占、挪用社会保险费款、基金或者违规投资运营的；</w:t>
      </w:r>
    </w:p>
    <w:p w14:paraId="2C64E10D">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（五）以欺诈、伪造证明材料或者其他手段参加、申报社会保险和骗取社会保险基金支出或社会保险待遇的； </w:t>
      </w:r>
    </w:p>
    <w:p w14:paraId="351A8CEF">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（六）非法获取、出售或变相交易社会保险个人权益数据的； </w:t>
      </w:r>
    </w:p>
    <w:p w14:paraId="569D852A">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（七）社会保险服务机构违反服务协议或相关规定的； </w:t>
      </w:r>
    </w:p>
    <w:p w14:paraId="740A7C03">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（八）拒绝协助社会保险行政部门、经办机构对事故和问题进 行调查核实的；拒绝接受或协助税务部门对社会保险实施监督检查， 不如实提供与社会保险相关各项资料的； </w:t>
      </w:r>
    </w:p>
    <w:p w14:paraId="51448489">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（九）其他违反法律法规规定的。</w:t>
      </w:r>
    </w:p>
    <w:p w14:paraId="4C9D68F1">
      <w:pPr>
        <w:adjustRightInd w:val="0"/>
        <w:snapToGrid w:val="0"/>
        <w:spacing w:line="560" w:lineRule="exact"/>
        <w:ind w:firstLine="551" w:firstLineChars="196"/>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b/>
          <w:color w:val="auto"/>
          <w:sz w:val="28"/>
          <w:szCs w:val="28"/>
          <w:highlight w:val="none"/>
        </w:rPr>
        <w:t>依据：《</w:t>
      </w:r>
      <w:bookmarkStart w:id="290" w:name="OLE_LINK15"/>
      <w:bookmarkStart w:id="291" w:name="OLE_LINK16"/>
      <w:r>
        <w:rPr>
          <w:rFonts w:hint="eastAsia" w:ascii="仿宋_GB2312" w:hAnsi="Calibri" w:eastAsia="仿宋_GB2312" w:cs="Times New Roman"/>
          <w:b/>
          <w:color w:val="auto"/>
          <w:sz w:val="28"/>
          <w:szCs w:val="28"/>
          <w:highlight w:val="none"/>
        </w:rPr>
        <w:t>关于对社会保险领域严重失信企业及其有关人员实施联合惩戒的合作备忘录</w:t>
      </w:r>
      <w:bookmarkEnd w:id="290"/>
      <w:bookmarkEnd w:id="291"/>
      <w:r>
        <w:rPr>
          <w:rFonts w:hint="eastAsia" w:ascii="仿宋_GB2312" w:hAnsi="Calibri" w:eastAsia="仿宋_GB2312" w:cs="Times New Roman"/>
          <w:b/>
          <w:color w:val="auto"/>
          <w:sz w:val="28"/>
          <w:szCs w:val="28"/>
          <w:highlight w:val="none"/>
        </w:rPr>
        <w:t>》（发改财金〔2018〕1704号）</w:t>
      </w:r>
    </w:p>
    <w:p w14:paraId="4DCFB1FA">
      <w:pPr>
        <w:adjustRightInd w:val="0"/>
        <w:snapToGrid w:val="0"/>
        <w:spacing w:line="560" w:lineRule="exact"/>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 xml:space="preserve">     </w:t>
      </w:r>
    </w:p>
    <w:p w14:paraId="33EBA826">
      <w:pPr>
        <w:adjustRightInd w:val="0"/>
        <w:snapToGrid w:val="0"/>
        <w:spacing w:line="560" w:lineRule="exact"/>
        <w:ind w:firstLine="562" w:firstLineChars="200"/>
        <w:jc w:val="left"/>
        <w:rPr>
          <w:rFonts w:ascii="仿宋_GB2312" w:hAnsi="宋体" w:eastAsia="仿宋_GB2312" w:cs="Times New Roman"/>
          <w:b/>
          <w:bCs/>
          <w:color w:val="auto"/>
          <w:sz w:val="28"/>
          <w:szCs w:val="28"/>
          <w:highlight w:val="none"/>
        </w:rPr>
      </w:pPr>
      <w:r>
        <w:rPr>
          <w:rFonts w:hint="eastAsia" w:ascii="仿宋_GB2312" w:hAnsi="宋体" w:eastAsia="仿宋_GB2312" w:cs="Times New Roman"/>
          <w:b/>
          <w:color w:val="auto"/>
          <w:sz w:val="28"/>
          <w:szCs w:val="28"/>
          <w:highlight w:val="none"/>
        </w:rPr>
        <w:t>五、建筑市场领域</w:t>
      </w:r>
      <w:r>
        <w:rPr>
          <w:rFonts w:hint="eastAsia" w:ascii="仿宋_GB2312" w:hAnsi="宋体" w:eastAsia="仿宋_GB2312" w:cs="Times New Roman"/>
          <w:b/>
          <w:bCs/>
          <w:color w:val="auto"/>
          <w:sz w:val="28"/>
          <w:szCs w:val="28"/>
          <w:highlight w:val="none"/>
        </w:rPr>
        <w:t>严重失信行为</w:t>
      </w:r>
    </w:p>
    <w:p w14:paraId="729E9BF5">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（一）利用虚假材料、以欺骗手段取得企业资质的；</w:t>
      </w:r>
    </w:p>
    <w:p w14:paraId="49D20442">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（二）发生转包、出借资质，受到行政处罚的；</w:t>
      </w:r>
    </w:p>
    <w:p w14:paraId="18FA345E">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（三）发生重大及以上工程质量安全事故，或1年内累计发生2次及以上较大工程质量安全事故，或发生性质恶劣、危害性严重、社会影响大的较大工程质量安全事故，受到行政处罚的；</w:t>
      </w:r>
    </w:p>
    <w:p w14:paraId="51B7AC33">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（四）经法院判决或仲裁机构裁决，认定为拖欠工程款,且拒不履行生效法律文书确定的义务的。</w:t>
      </w:r>
    </w:p>
    <w:p w14:paraId="0E560742">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各级住房城乡建设主管部门应当参照建筑市场主体“黑名单”，对被人力资源社会保障行政部门列入拖欠农民工工资“黑名单”的建筑市场各方主体加强监管。</w:t>
      </w:r>
    </w:p>
    <w:p w14:paraId="15612394">
      <w:pPr>
        <w:ind w:firstLine="562" w:firstLineChars="200"/>
        <w:jc w:val="left"/>
        <w:rPr>
          <w:rFonts w:ascii="宋体" w:hAnsi="宋体" w:eastAsia="宋体" w:cs="Times New Roman"/>
          <w:color w:val="auto"/>
          <w:sz w:val="28"/>
          <w:szCs w:val="28"/>
          <w:highlight w:val="none"/>
        </w:rPr>
      </w:pPr>
      <w:r>
        <w:rPr>
          <w:rFonts w:hint="eastAsia" w:ascii="仿宋_GB2312" w:hAnsi="Calibri" w:eastAsia="仿宋_GB2312" w:cs="Times New Roman"/>
          <w:b/>
          <w:color w:val="auto"/>
          <w:sz w:val="28"/>
          <w:szCs w:val="28"/>
          <w:highlight w:val="none"/>
        </w:rPr>
        <w:t>依据：《</w:t>
      </w:r>
      <w:bookmarkStart w:id="292" w:name="OLE_LINK18"/>
      <w:bookmarkStart w:id="293" w:name="OLE_LINK17"/>
      <w:r>
        <w:rPr>
          <w:rFonts w:hint="eastAsia" w:ascii="仿宋_GB2312" w:hAnsi="Calibri" w:eastAsia="仿宋_GB2312" w:cs="Times New Roman"/>
          <w:b/>
          <w:color w:val="auto"/>
          <w:sz w:val="28"/>
          <w:szCs w:val="28"/>
          <w:highlight w:val="none"/>
        </w:rPr>
        <w:t>建筑市场信用管理暂行办法</w:t>
      </w:r>
      <w:bookmarkEnd w:id="292"/>
      <w:bookmarkEnd w:id="293"/>
      <w:r>
        <w:rPr>
          <w:rFonts w:hint="eastAsia" w:ascii="仿宋_GB2312" w:hAnsi="Calibri" w:eastAsia="仿宋_GB2312" w:cs="Times New Roman"/>
          <w:b/>
          <w:color w:val="auto"/>
          <w:sz w:val="28"/>
          <w:szCs w:val="28"/>
          <w:highlight w:val="none"/>
        </w:rPr>
        <w:t>》（建市〔2017〕241号）</w:t>
      </w:r>
    </w:p>
    <w:p w14:paraId="4A9EABDF">
      <w:pPr>
        <w:adjustRightInd w:val="0"/>
        <w:snapToGrid w:val="0"/>
        <w:spacing w:line="560" w:lineRule="exact"/>
        <w:rPr>
          <w:rFonts w:ascii="仿宋_GB2312" w:hAnsi="宋体" w:eastAsia="仿宋_GB2312" w:cs="Times New Roman"/>
          <w:b/>
          <w:color w:val="auto"/>
          <w:sz w:val="28"/>
          <w:szCs w:val="28"/>
          <w:highlight w:val="none"/>
        </w:rPr>
      </w:pPr>
    </w:p>
    <w:p w14:paraId="44347250">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六、</w:t>
      </w:r>
      <w:bookmarkStart w:id="294" w:name="OLE_LINK19"/>
      <w:bookmarkStart w:id="295" w:name="OLE_LINK20"/>
      <w:r>
        <w:rPr>
          <w:rFonts w:hint="eastAsia" w:ascii="仿宋_GB2312" w:hAnsi="宋体" w:eastAsia="仿宋_GB2312" w:cs="Times New Roman"/>
          <w:b/>
          <w:color w:val="auto"/>
          <w:sz w:val="28"/>
          <w:szCs w:val="28"/>
          <w:highlight w:val="none"/>
        </w:rPr>
        <w:t>政府采购严重失信行为</w:t>
      </w:r>
      <w:bookmarkEnd w:id="294"/>
      <w:bookmarkEnd w:id="295"/>
    </w:p>
    <w:p w14:paraId="2B123AE9">
      <w:pPr>
        <w:adjustRightInd w:val="0"/>
        <w:snapToGrid w:val="0"/>
        <w:spacing w:line="560" w:lineRule="exact"/>
        <w:ind w:firstLine="615"/>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供应商、采购代理机构在三年内受到财政部门作出下列情形之一的行政处罚，列入政府采购严重违法失信行为记录名单。</w:t>
      </w:r>
      <w:r>
        <w:rPr>
          <w:rFonts w:hint="eastAsia" w:ascii="仿宋_GB2312" w:hAnsi="Calibri" w:eastAsia="仿宋_GB2312" w:cs="Times New Roman"/>
          <w:color w:val="auto"/>
          <w:sz w:val="28"/>
          <w:szCs w:val="28"/>
          <w:highlight w:val="none"/>
        </w:rPr>
        <w:br w:type="textWrapping"/>
      </w:r>
      <w:r>
        <w:rPr>
          <w:rFonts w:hint="eastAsia" w:ascii="仿宋_GB2312" w:hAnsi="Calibri" w:eastAsia="仿宋_GB2312" w:cs="Times New Roman"/>
          <w:color w:val="auto"/>
          <w:sz w:val="28"/>
          <w:szCs w:val="28"/>
          <w:highlight w:val="none"/>
        </w:rPr>
        <w:t>　　（一）三万元以上罚款；</w:t>
      </w:r>
      <w:r>
        <w:rPr>
          <w:rFonts w:hint="eastAsia" w:ascii="仿宋_GB2312" w:hAnsi="Calibri" w:eastAsia="仿宋_GB2312" w:cs="Times New Roman"/>
          <w:color w:val="auto"/>
          <w:sz w:val="28"/>
          <w:szCs w:val="28"/>
          <w:highlight w:val="none"/>
        </w:rPr>
        <w:br w:type="textWrapping"/>
      </w:r>
      <w:r>
        <w:rPr>
          <w:rFonts w:hint="eastAsia" w:ascii="仿宋_GB2312" w:hAnsi="Calibri" w:eastAsia="仿宋_GB2312" w:cs="Times New Roman"/>
          <w:color w:val="auto"/>
          <w:sz w:val="28"/>
          <w:szCs w:val="28"/>
          <w:highlight w:val="none"/>
        </w:rPr>
        <w:t>　　（二）在一至三年内禁止参加政府采购活动（处罚期限届满的除外）；</w:t>
      </w:r>
      <w:r>
        <w:rPr>
          <w:rFonts w:hint="eastAsia" w:ascii="仿宋_GB2312" w:hAnsi="Calibri" w:eastAsia="仿宋_GB2312" w:cs="Times New Roman"/>
          <w:color w:val="auto"/>
          <w:sz w:val="28"/>
          <w:szCs w:val="28"/>
          <w:highlight w:val="none"/>
        </w:rPr>
        <w:br w:type="textWrapping"/>
      </w:r>
      <w:r>
        <w:rPr>
          <w:rFonts w:hint="eastAsia" w:ascii="仿宋_GB2312" w:hAnsi="Calibri" w:eastAsia="仿宋_GB2312" w:cs="Times New Roman"/>
          <w:color w:val="auto"/>
          <w:sz w:val="28"/>
          <w:szCs w:val="28"/>
          <w:highlight w:val="none"/>
        </w:rPr>
        <w:t>　　（三）在一至三年内禁止代理政府采购业务（处罚期限届满的除外）；</w:t>
      </w:r>
      <w:r>
        <w:rPr>
          <w:rFonts w:hint="eastAsia" w:ascii="仿宋_GB2312" w:hAnsi="Calibri" w:eastAsia="仿宋_GB2312" w:cs="Times New Roman"/>
          <w:color w:val="auto"/>
          <w:sz w:val="28"/>
          <w:szCs w:val="28"/>
          <w:highlight w:val="none"/>
        </w:rPr>
        <w:br w:type="textWrapping"/>
      </w:r>
      <w:r>
        <w:rPr>
          <w:rFonts w:hint="eastAsia" w:ascii="仿宋_GB2312" w:hAnsi="宋体" w:eastAsia="仿宋_GB2312" w:cs="Times New Roman"/>
          <w:color w:val="auto"/>
          <w:sz w:val="28"/>
          <w:szCs w:val="28"/>
          <w:highlight w:val="none"/>
        </w:rPr>
        <w:t xml:space="preserve">　 </w:t>
      </w:r>
      <w:r>
        <w:rPr>
          <w:rFonts w:hint="eastAsia" w:ascii="仿宋_GB2312" w:hAnsi="Calibri" w:eastAsia="仿宋_GB2312" w:cs="Times New Roman"/>
          <w:color w:val="auto"/>
          <w:sz w:val="28"/>
          <w:szCs w:val="28"/>
          <w:highlight w:val="none"/>
        </w:rPr>
        <w:t>（四）撤销政府采购代理机构资格（仅针对《政府采购法》第78条修改前作出的处罚决定）。</w:t>
      </w:r>
    </w:p>
    <w:p w14:paraId="756AB9EF">
      <w:pPr>
        <w:adjustRightInd w:val="0"/>
        <w:snapToGrid w:val="0"/>
        <w:spacing w:line="560" w:lineRule="exact"/>
        <w:ind w:firstLine="562" w:firstLineChars="200"/>
        <w:jc w:val="left"/>
        <w:rPr>
          <w:rFonts w:ascii="仿宋_GB2312" w:hAnsi="Calibri" w:eastAsia="仿宋_GB2312" w:cs="Times New Roman"/>
          <w:b/>
          <w:color w:val="auto"/>
          <w:sz w:val="28"/>
          <w:szCs w:val="28"/>
          <w:highlight w:val="none"/>
        </w:rPr>
      </w:pPr>
      <w:r>
        <w:rPr>
          <w:rFonts w:hint="eastAsia" w:ascii="仿宋_GB2312" w:hAnsi="Calibri" w:eastAsia="仿宋_GB2312" w:cs="Times New Roman"/>
          <w:b/>
          <w:color w:val="auto"/>
          <w:sz w:val="28"/>
          <w:szCs w:val="28"/>
          <w:highlight w:val="none"/>
        </w:rPr>
        <w:t>依据：《关于报送政府采购严重违法失信行为信息记录的通知》</w:t>
      </w:r>
      <w:r>
        <w:rPr>
          <w:rFonts w:ascii="Calibri" w:hAnsi="Calibri" w:eastAsia="宋体" w:cs="Times New Roman"/>
          <w:b/>
          <w:color w:val="auto"/>
          <w:sz w:val="28"/>
          <w:szCs w:val="28"/>
          <w:highlight w:val="none"/>
        </w:rPr>
        <w:t>（</w:t>
      </w:r>
      <w:r>
        <w:rPr>
          <w:rFonts w:hint="eastAsia" w:ascii="Calibri" w:hAnsi="Calibri" w:eastAsia="宋体" w:cs="Times New Roman"/>
          <w:b/>
          <w:color w:val="auto"/>
          <w:sz w:val="28"/>
          <w:szCs w:val="28"/>
          <w:highlight w:val="none"/>
        </w:rPr>
        <w:t>财办库〔</w:t>
      </w:r>
      <w:r>
        <w:rPr>
          <w:rFonts w:ascii="Calibri" w:hAnsi="Calibri" w:eastAsia="宋体" w:cs="Times New Roman"/>
          <w:b/>
          <w:color w:val="auto"/>
          <w:sz w:val="28"/>
          <w:szCs w:val="28"/>
          <w:highlight w:val="none"/>
        </w:rPr>
        <w:t>201</w:t>
      </w:r>
      <w:r>
        <w:rPr>
          <w:rFonts w:hint="eastAsia" w:ascii="Calibri" w:hAnsi="Calibri" w:eastAsia="宋体" w:cs="Times New Roman"/>
          <w:b/>
          <w:color w:val="auto"/>
          <w:sz w:val="28"/>
          <w:szCs w:val="28"/>
          <w:highlight w:val="none"/>
        </w:rPr>
        <w:t>4〕526</w:t>
      </w:r>
      <w:r>
        <w:rPr>
          <w:rFonts w:ascii="Calibri" w:hAnsi="Calibri" w:eastAsia="宋体" w:cs="Times New Roman"/>
          <w:b/>
          <w:color w:val="auto"/>
          <w:sz w:val="28"/>
          <w:szCs w:val="28"/>
          <w:highlight w:val="none"/>
        </w:rPr>
        <w:t>号）</w:t>
      </w:r>
    </w:p>
    <w:p w14:paraId="1A6BF5FF">
      <w:pPr>
        <w:adjustRightInd w:val="0"/>
        <w:snapToGrid w:val="0"/>
        <w:spacing w:line="560" w:lineRule="exact"/>
        <w:rPr>
          <w:rFonts w:ascii="仿宋_GB2312" w:hAnsi="宋体" w:eastAsia="仿宋_GB2312" w:cs="Times New Roman"/>
          <w:b/>
          <w:color w:val="auto"/>
          <w:sz w:val="28"/>
          <w:szCs w:val="28"/>
          <w:highlight w:val="none"/>
        </w:rPr>
      </w:pPr>
    </w:p>
    <w:p w14:paraId="3AC8E7F7">
      <w:pPr>
        <w:spacing w:line="440" w:lineRule="exact"/>
        <w:ind w:right="-92" w:rightChars="-44" w:firstLine="615"/>
        <w:rPr>
          <w:rFonts w:ascii="宋体" w:hAnsi="宋体" w:eastAsia="宋体" w:cs="宋体"/>
          <w:bCs/>
          <w:color w:val="auto"/>
          <w:sz w:val="24"/>
          <w:highlight w:val="none"/>
        </w:rPr>
      </w:pPr>
      <w:r>
        <w:rPr>
          <w:rFonts w:hint="eastAsia" w:ascii="仿宋_GB2312" w:hAnsi="宋体" w:eastAsia="仿宋_GB2312" w:cs="Times New Roman"/>
          <w:b/>
          <w:color w:val="auto"/>
          <w:sz w:val="28"/>
          <w:szCs w:val="28"/>
          <w:highlight w:val="none"/>
        </w:rPr>
        <w:t>未列出的其他类别严重失信行为，由招标人（代理机构）根据各类别行业主管部门下发的联合惩戒文件进行判断。</w:t>
      </w:r>
    </w:p>
    <w:p w14:paraId="4877CEA3">
      <w:pPr>
        <w:pStyle w:val="13"/>
        <w:ind w:left="1260"/>
        <w:rPr>
          <w:color w:val="auto"/>
          <w:highlight w:val="none"/>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roman"/>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imesNewRomanPSMT">
    <w:altName w:val="Times New Roman"/>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E888D">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A843CC">
                          <w:pPr>
                            <w:pStyle w:val="18"/>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QVKs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Z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4EFSrKwIAAFUEAAAOAAAAAAAAAAEAIAAAAB8BAABkcnMvZTJvRG9jLnhtbFBLBQYAAAAABgAG&#10;AFkBAAC8BQAAAAA=&#10;">
              <v:fill on="f" focussize="0,0"/>
              <v:stroke on="f" weight="0.5pt"/>
              <v:imagedata o:title=""/>
              <o:lock v:ext="edit" aspectratio="f"/>
              <v:textbox inset="0mm,0mm,0mm,0mm" style="mso-fit-shape-to-text:t;">
                <w:txbxContent>
                  <w:p w14:paraId="08A843CC">
                    <w:pPr>
                      <w:pStyle w:val="18"/>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38126">
    <w:pPr>
      <w:pStyle w:val="19"/>
      <w:jc w:val="left"/>
    </w:pPr>
    <w:r>
      <w:rPr>
        <w:rFonts w:hint="eastAsia" w:asciiTheme="minorEastAsia" w:hAnsiTheme="minorEastAsia" w:eastAsiaTheme="minorEastAsia"/>
      </w:rPr>
      <w:t>安徽省政府采购项目公开招标文件示范文本（货物类）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91B21"/>
    <w:multiLevelType w:val="singleLevel"/>
    <w:tmpl w:val="98791B21"/>
    <w:lvl w:ilvl="0" w:tentative="0">
      <w:start w:val="2"/>
      <w:numFmt w:val="chineseCounting"/>
      <w:suff w:val="nothing"/>
      <w:lvlText w:val="%1、"/>
      <w:lvlJc w:val="left"/>
      <w:rPr>
        <w:rFonts w:hint="eastAsia"/>
      </w:rPr>
    </w:lvl>
  </w:abstractNum>
  <w:abstractNum w:abstractNumId="1">
    <w:nsid w:val="C54EA2A8"/>
    <w:multiLevelType w:val="singleLevel"/>
    <w:tmpl w:val="C54EA2A8"/>
    <w:lvl w:ilvl="0" w:tentative="0">
      <w:start w:val="1"/>
      <w:numFmt w:val="decimal"/>
      <w:pStyle w:val="7"/>
      <w:lvlText w:val="%1."/>
      <w:lvlJc w:val="left"/>
      <w:pPr>
        <w:tabs>
          <w:tab w:val="left"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1772"/>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1F7F7E"/>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6550B"/>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03A3B"/>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6C6"/>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2BF2"/>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D5C7A"/>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D70C6"/>
    <w:rsid w:val="00ED77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036F66"/>
    <w:rsid w:val="017B1BF9"/>
    <w:rsid w:val="01E054EB"/>
    <w:rsid w:val="01E93A1B"/>
    <w:rsid w:val="0214602E"/>
    <w:rsid w:val="0301396B"/>
    <w:rsid w:val="03486B27"/>
    <w:rsid w:val="03C2134C"/>
    <w:rsid w:val="03F265B2"/>
    <w:rsid w:val="040A094E"/>
    <w:rsid w:val="04893C18"/>
    <w:rsid w:val="04D87C93"/>
    <w:rsid w:val="05087233"/>
    <w:rsid w:val="056401E1"/>
    <w:rsid w:val="056F201D"/>
    <w:rsid w:val="05A21435"/>
    <w:rsid w:val="05B664D4"/>
    <w:rsid w:val="064B485A"/>
    <w:rsid w:val="068C65C4"/>
    <w:rsid w:val="07076C01"/>
    <w:rsid w:val="071C12AC"/>
    <w:rsid w:val="07A934B3"/>
    <w:rsid w:val="07EB6287"/>
    <w:rsid w:val="07FF38BF"/>
    <w:rsid w:val="0806421B"/>
    <w:rsid w:val="08732C15"/>
    <w:rsid w:val="0980799C"/>
    <w:rsid w:val="0983157E"/>
    <w:rsid w:val="09944B8E"/>
    <w:rsid w:val="09CB4CD3"/>
    <w:rsid w:val="0A493FD8"/>
    <w:rsid w:val="0A6A18DB"/>
    <w:rsid w:val="0A7C412D"/>
    <w:rsid w:val="0A825391"/>
    <w:rsid w:val="0A975B48"/>
    <w:rsid w:val="0AE71698"/>
    <w:rsid w:val="0AEF3828"/>
    <w:rsid w:val="0B406381"/>
    <w:rsid w:val="0B9458C6"/>
    <w:rsid w:val="0BB452AA"/>
    <w:rsid w:val="0BBB665B"/>
    <w:rsid w:val="0C1E733C"/>
    <w:rsid w:val="0C6805B7"/>
    <w:rsid w:val="0E6F2305"/>
    <w:rsid w:val="0E9D59AD"/>
    <w:rsid w:val="0ED40186"/>
    <w:rsid w:val="0EEA6FC1"/>
    <w:rsid w:val="0F790928"/>
    <w:rsid w:val="0FBD187A"/>
    <w:rsid w:val="0FD146C5"/>
    <w:rsid w:val="0FFA00C0"/>
    <w:rsid w:val="10203F6B"/>
    <w:rsid w:val="104F3498"/>
    <w:rsid w:val="108C51BC"/>
    <w:rsid w:val="10C34956"/>
    <w:rsid w:val="10C55FD8"/>
    <w:rsid w:val="10CD72BB"/>
    <w:rsid w:val="11BA3663"/>
    <w:rsid w:val="120D3DE1"/>
    <w:rsid w:val="12197477"/>
    <w:rsid w:val="12E56E05"/>
    <w:rsid w:val="131B5CD3"/>
    <w:rsid w:val="132C0590"/>
    <w:rsid w:val="133E02C4"/>
    <w:rsid w:val="13776448"/>
    <w:rsid w:val="13C02CCD"/>
    <w:rsid w:val="14263231"/>
    <w:rsid w:val="1466407E"/>
    <w:rsid w:val="14834E28"/>
    <w:rsid w:val="148E7D65"/>
    <w:rsid w:val="14EB7761"/>
    <w:rsid w:val="14ED3D4F"/>
    <w:rsid w:val="15135137"/>
    <w:rsid w:val="15231BF9"/>
    <w:rsid w:val="154E392F"/>
    <w:rsid w:val="15681628"/>
    <w:rsid w:val="158B3597"/>
    <w:rsid w:val="15997A33"/>
    <w:rsid w:val="15C4546D"/>
    <w:rsid w:val="168B1A72"/>
    <w:rsid w:val="16CD3E38"/>
    <w:rsid w:val="17A774EC"/>
    <w:rsid w:val="17BD33FC"/>
    <w:rsid w:val="18CE5C46"/>
    <w:rsid w:val="18DD40DB"/>
    <w:rsid w:val="198B3B37"/>
    <w:rsid w:val="19C3210F"/>
    <w:rsid w:val="19DD2D01"/>
    <w:rsid w:val="1A064976"/>
    <w:rsid w:val="1A3B68AA"/>
    <w:rsid w:val="1A3E1C1E"/>
    <w:rsid w:val="1A974724"/>
    <w:rsid w:val="1AC62806"/>
    <w:rsid w:val="1B1F49AA"/>
    <w:rsid w:val="1B6F4F40"/>
    <w:rsid w:val="1C141836"/>
    <w:rsid w:val="1C76537D"/>
    <w:rsid w:val="1CA71392"/>
    <w:rsid w:val="1CF17D9A"/>
    <w:rsid w:val="1CFF6D16"/>
    <w:rsid w:val="1D24052A"/>
    <w:rsid w:val="1D3931EE"/>
    <w:rsid w:val="1DBE0D8E"/>
    <w:rsid w:val="1DEF28E6"/>
    <w:rsid w:val="1DF04C6C"/>
    <w:rsid w:val="1DF22353"/>
    <w:rsid w:val="1E18008F"/>
    <w:rsid w:val="1E403966"/>
    <w:rsid w:val="1E6B6A14"/>
    <w:rsid w:val="1F6115C2"/>
    <w:rsid w:val="20136EDD"/>
    <w:rsid w:val="20550D9A"/>
    <w:rsid w:val="205545EA"/>
    <w:rsid w:val="207E75AD"/>
    <w:rsid w:val="218E2416"/>
    <w:rsid w:val="21A6088D"/>
    <w:rsid w:val="21A63C04"/>
    <w:rsid w:val="21B75E11"/>
    <w:rsid w:val="21C31F1F"/>
    <w:rsid w:val="21CC7627"/>
    <w:rsid w:val="21E464DA"/>
    <w:rsid w:val="226915FE"/>
    <w:rsid w:val="229273EC"/>
    <w:rsid w:val="230C3F3A"/>
    <w:rsid w:val="2375280B"/>
    <w:rsid w:val="23BC656D"/>
    <w:rsid w:val="23FC7B0B"/>
    <w:rsid w:val="241804A5"/>
    <w:rsid w:val="24B97929"/>
    <w:rsid w:val="24BC7F98"/>
    <w:rsid w:val="24D632D7"/>
    <w:rsid w:val="25293712"/>
    <w:rsid w:val="253F23A5"/>
    <w:rsid w:val="25845FD4"/>
    <w:rsid w:val="2621364C"/>
    <w:rsid w:val="265A6D6B"/>
    <w:rsid w:val="26BF38D3"/>
    <w:rsid w:val="26CD6050"/>
    <w:rsid w:val="270468EA"/>
    <w:rsid w:val="271E248E"/>
    <w:rsid w:val="27323351"/>
    <w:rsid w:val="27D65DBA"/>
    <w:rsid w:val="282F7428"/>
    <w:rsid w:val="285F40CA"/>
    <w:rsid w:val="286D0FD7"/>
    <w:rsid w:val="289E1AF0"/>
    <w:rsid w:val="28A22E75"/>
    <w:rsid w:val="28C01ECB"/>
    <w:rsid w:val="296138D0"/>
    <w:rsid w:val="29982084"/>
    <w:rsid w:val="29BF71E3"/>
    <w:rsid w:val="29D6387F"/>
    <w:rsid w:val="2A127B63"/>
    <w:rsid w:val="2A451A6C"/>
    <w:rsid w:val="2A596F21"/>
    <w:rsid w:val="2A990D4C"/>
    <w:rsid w:val="2AAA4765"/>
    <w:rsid w:val="2AC21606"/>
    <w:rsid w:val="2AD63D42"/>
    <w:rsid w:val="2B1E5D64"/>
    <w:rsid w:val="2B560404"/>
    <w:rsid w:val="2B7E7608"/>
    <w:rsid w:val="2B7F04E9"/>
    <w:rsid w:val="2B8B554A"/>
    <w:rsid w:val="2BC635C4"/>
    <w:rsid w:val="2C097269"/>
    <w:rsid w:val="2C7C3EDF"/>
    <w:rsid w:val="2CAB6572"/>
    <w:rsid w:val="2D3C35C7"/>
    <w:rsid w:val="2D496D68"/>
    <w:rsid w:val="2DBD47AF"/>
    <w:rsid w:val="2DD95F4B"/>
    <w:rsid w:val="2E7A48DE"/>
    <w:rsid w:val="2EBA5177"/>
    <w:rsid w:val="2EC41B6D"/>
    <w:rsid w:val="2EDC3ED8"/>
    <w:rsid w:val="2F104B00"/>
    <w:rsid w:val="2F6351B4"/>
    <w:rsid w:val="2F6D6FF2"/>
    <w:rsid w:val="2F820643"/>
    <w:rsid w:val="2FC86126"/>
    <w:rsid w:val="2FCF199E"/>
    <w:rsid w:val="2FE04785"/>
    <w:rsid w:val="2FE34275"/>
    <w:rsid w:val="2FF26266"/>
    <w:rsid w:val="302A3C52"/>
    <w:rsid w:val="30483E83"/>
    <w:rsid w:val="30BF3991"/>
    <w:rsid w:val="30DD6F16"/>
    <w:rsid w:val="3111619A"/>
    <w:rsid w:val="313C59EB"/>
    <w:rsid w:val="319775DB"/>
    <w:rsid w:val="31B139DC"/>
    <w:rsid w:val="31B9703B"/>
    <w:rsid w:val="31E774FF"/>
    <w:rsid w:val="32497AF3"/>
    <w:rsid w:val="327A0EC0"/>
    <w:rsid w:val="343C0775"/>
    <w:rsid w:val="34993154"/>
    <w:rsid w:val="35380BBF"/>
    <w:rsid w:val="356C50EC"/>
    <w:rsid w:val="36137E45"/>
    <w:rsid w:val="36376E0A"/>
    <w:rsid w:val="3700166C"/>
    <w:rsid w:val="373801DA"/>
    <w:rsid w:val="37985945"/>
    <w:rsid w:val="379A1012"/>
    <w:rsid w:val="38061B1B"/>
    <w:rsid w:val="38694EE9"/>
    <w:rsid w:val="387E4B3B"/>
    <w:rsid w:val="38E069CE"/>
    <w:rsid w:val="3A6818FA"/>
    <w:rsid w:val="3AE0388B"/>
    <w:rsid w:val="3B312338"/>
    <w:rsid w:val="3B365CC9"/>
    <w:rsid w:val="3B677B08"/>
    <w:rsid w:val="3B9A7B88"/>
    <w:rsid w:val="3BA945C4"/>
    <w:rsid w:val="3BAC628D"/>
    <w:rsid w:val="3BC82C9D"/>
    <w:rsid w:val="3BF577BA"/>
    <w:rsid w:val="3D2739C8"/>
    <w:rsid w:val="3D2C7AC8"/>
    <w:rsid w:val="3D855D12"/>
    <w:rsid w:val="3D8B42FF"/>
    <w:rsid w:val="3D9F5C7F"/>
    <w:rsid w:val="3DE86C4C"/>
    <w:rsid w:val="3DF36A6E"/>
    <w:rsid w:val="3E0C4997"/>
    <w:rsid w:val="3E375EB7"/>
    <w:rsid w:val="3E8967B6"/>
    <w:rsid w:val="3E9A66EC"/>
    <w:rsid w:val="3EBA1EE9"/>
    <w:rsid w:val="3F456AC9"/>
    <w:rsid w:val="3F792F1E"/>
    <w:rsid w:val="3F8213B4"/>
    <w:rsid w:val="3FC512A1"/>
    <w:rsid w:val="40552625"/>
    <w:rsid w:val="40824826"/>
    <w:rsid w:val="40901729"/>
    <w:rsid w:val="40E63923"/>
    <w:rsid w:val="40F44996"/>
    <w:rsid w:val="40FD6666"/>
    <w:rsid w:val="412E4C7F"/>
    <w:rsid w:val="41375C90"/>
    <w:rsid w:val="41662610"/>
    <w:rsid w:val="41A76EB0"/>
    <w:rsid w:val="42426BD9"/>
    <w:rsid w:val="43A91E5B"/>
    <w:rsid w:val="43B25010"/>
    <w:rsid w:val="43F00AB8"/>
    <w:rsid w:val="44002729"/>
    <w:rsid w:val="449E0D39"/>
    <w:rsid w:val="45B85B30"/>
    <w:rsid w:val="45E32B26"/>
    <w:rsid w:val="463A3650"/>
    <w:rsid w:val="463B28A6"/>
    <w:rsid w:val="46461627"/>
    <w:rsid w:val="464709F1"/>
    <w:rsid w:val="469F0116"/>
    <w:rsid w:val="46A323FD"/>
    <w:rsid w:val="47315BD2"/>
    <w:rsid w:val="475259B7"/>
    <w:rsid w:val="477F2CF9"/>
    <w:rsid w:val="47F053B6"/>
    <w:rsid w:val="488302AE"/>
    <w:rsid w:val="48831CF9"/>
    <w:rsid w:val="48921AF2"/>
    <w:rsid w:val="49024C9C"/>
    <w:rsid w:val="49B1408D"/>
    <w:rsid w:val="4A121587"/>
    <w:rsid w:val="4A205A52"/>
    <w:rsid w:val="4A372155"/>
    <w:rsid w:val="4A7D4FD2"/>
    <w:rsid w:val="4A8365F2"/>
    <w:rsid w:val="4A913C9A"/>
    <w:rsid w:val="4B1F70AC"/>
    <w:rsid w:val="4B240F94"/>
    <w:rsid w:val="4B307F16"/>
    <w:rsid w:val="4B7C17E8"/>
    <w:rsid w:val="4B8169C4"/>
    <w:rsid w:val="4C0832E5"/>
    <w:rsid w:val="4C27283E"/>
    <w:rsid w:val="4C3C565C"/>
    <w:rsid w:val="4C3E2B07"/>
    <w:rsid w:val="4C7C04B3"/>
    <w:rsid w:val="4C7D362F"/>
    <w:rsid w:val="4CC254E6"/>
    <w:rsid w:val="4CCC79C7"/>
    <w:rsid w:val="4D2B7B96"/>
    <w:rsid w:val="4D7555C7"/>
    <w:rsid w:val="4D9F3131"/>
    <w:rsid w:val="4E347D1E"/>
    <w:rsid w:val="4EAE6DA0"/>
    <w:rsid w:val="4FE617D9"/>
    <w:rsid w:val="4FFA6D45"/>
    <w:rsid w:val="5016514B"/>
    <w:rsid w:val="50332ABD"/>
    <w:rsid w:val="506E11C5"/>
    <w:rsid w:val="50947199"/>
    <w:rsid w:val="50BD4DF3"/>
    <w:rsid w:val="50CD10A1"/>
    <w:rsid w:val="50FB4B23"/>
    <w:rsid w:val="50FC1A26"/>
    <w:rsid w:val="51723664"/>
    <w:rsid w:val="51CB1C78"/>
    <w:rsid w:val="51D35A9F"/>
    <w:rsid w:val="51FD6A51"/>
    <w:rsid w:val="522462FB"/>
    <w:rsid w:val="524644C3"/>
    <w:rsid w:val="526B680A"/>
    <w:rsid w:val="52836F71"/>
    <w:rsid w:val="52D26B02"/>
    <w:rsid w:val="535D61E7"/>
    <w:rsid w:val="53FE5EDD"/>
    <w:rsid w:val="541A5D30"/>
    <w:rsid w:val="557D01FC"/>
    <w:rsid w:val="55C1559C"/>
    <w:rsid w:val="55F068CD"/>
    <w:rsid w:val="56462CE4"/>
    <w:rsid w:val="566C3136"/>
    <w:rsid w:val="568D04F2"/>
    <w:rsid w:val="572648C3"/>
    <w:rsid w:val="57E165C9"/>
    <w:rsid w:val="5827444F"/>
    <w:rsid w:val="58D04AE7"/>
    <w:rsid w:val="590649AC"/>
    <w:rsid w:val="592B61C1"/>
    <w:rsid w:val="597E2795"/>
    <w:rsid w:val="5A526582"/>
    <w:rsid w:val="5A551748"/>
    <w:rsid w:val="5A5F5C77"/>
    <w:rsid w:val="5A615ED6"/>
    <w:rsid w:val="5A711A0D"/>
    <w:rsid w:val="5B1613E4"/>
    <w:rsid w:val="5B173E9A"/>
    <w:rsid w:val="5B50604C"/>
    <w:rsid w:val="5B78003B"/>
    <w:rsid w:val="5BA34735"/>
    <w:rsid w:val="5BC11A60"/>
    <w:rsid w:val="5BC63ECE"/>
    <w:rsid w:val="5C35556C"/>
    <w:rsid w:val="5C7A4D54"/>
    <w:rsid w:val="5CD23B73"/>
    <w:rsid w:val="5D7109D2"/>
    <w:rsid w:val="5E165DF3"/>
    <w:rsid w:val="5E756369"/>
    <w:rsid w:val="5EDF21E5"/>
    <w:rsid w:val="5F00691E"/>
    <w:rsid w:val="5F127819"/>
    <w:rsid w:val="5FA42829"/>
    <w:rsid w:val="5FC829BC"/>
    <w:rsid w:val="5FD0361E"/>
    <w:rsid w:val="5FD16DAD"/>
    <w:rsid w:val="60350ED3"/>
    <w:rsid w:val="604C354D"/>
    <w:rsid w:val="60B72AEE"/>
    <w:rsid w:val="61025188"/>
    <w:rsid w:val="61057D5F"/>
    <w:rsid w:val="611759A9"/>
    <w:rsid w:val="611E1001"/>
    <w:rsid w:val="6126068F"/>
    <w:rsid w:val="614D4977"/>
    <w:rsid w:val="61C251E9"/>
    <w:rsid w:val="61FF6C8C"/>
    <w:rsid w:val="622540F5"/>
    <w:rsid w:val="6245254A"/>
    <w:rsid w:val="624C1682"/>
    <w:rsid w:val="626C5880"/>
    <w:rsid w:val="62FD1A73"/>
    <w:rsid w:val="639B60AC"/>
    <w:rsid w:val="63C60FC0"/>
    <w:rsid w:val="63F0603D"/>
    <w:rsid w:val="63F35B2D"/>
    <w:rsid w:val="63FD0222"/>
    <w:rsid w:val="64074A55"/>
    <w:rsid w:val="64BA3D7A"/>
    <w:rsid w:val="64C556CB"/>
    <w:rsid w:val="64F179BC"/>
    <w:rsid w:val="65055B18"/>
    <w:rsid w:val="663A7A43"/>
    <w:rsid w:val="665704D3"/>
    <w:rsid w:val="667C67D7"/>
    <w:rsid w:val="66E300DB"/>
    <w:rsid w:val="67C065A4"/>
    <w:rsid w:val="67C1041C"/>
    <w:rsid w:val="67D359C9"/>
    <w:rsid w:val="68042537"/>
    <w:rsid w:val="688D3503"/>
    <w:rsid w:val="68FE36DD"/>
    <w:rsid w:val="694E60FC"/>
    <w:rsid w:val="69E95A08"/>
    <w:rsid w:val="6A256904"/>
    <w:rsid w:val="6B656832"/>
    <w:rsid w:val="6BD66471"/>
    <w:rsid w:val="6C24541E"/>
    <w:rsid w:val="6C675CE6"/>
    <w:rsid w:val="6D41480A"/>
    <w:rsid w:val="6D4E4680"/>
    <w:rsid w:val="6D4F4321"/>
    <w:rsid w:val="6D5A2261"/>
    <w:rsid w:val="6DF41B82"/>
    <w:rsid w:val="6DFF7360"/>
    <w:rsid w:val="6E7A5F73"/>
    <w:rsid w:val="6E873A42"/>
    <w:rsid w:val="6EE90F9D"/>
    <w:rsid w:val="6FD74228"/>
    <w:rsid w:val="6FF860B0"/>
    <w:rsid w:val="7021106F"/>
    <w:rsid w:val="7056191E"/>
    <w:rsid w:val="70B054D2"/>
    <w:rsid w:val="71633091"/>
    <w:rsid w:val="7199645D"/>
    <w:rsid w:val="71AF12E6"/>
    <w:rsid w:val="72734A09"/>
    <w:rsid w:val="73081CA5"/>
    <w:rsid w:val="732A3D34"/>
    <w:rsid w:val="736B376C"/>
    <w:rsid w:val="738D1811"/>
    <w:rsid w:val="73A82490"/>
    <w:rsid w:val="73BF28B4"/>
    <w:rsid w:val="74201F7D"/>
    <w:rsid w:val="74563DBE"/>
    <w:rsid w:val="7487762D"/>
    <w:rsid w:val="748B7A9D"/>
    <w:rsid w:val="74AC5FB0"/>
    <w:rsid w:val="74C33AA4"/>
    <w:rsid w:val="750556C0"/>
    <w:rsid w:val="75210D7A"/>
    <w:rsid w:val="75385498"/>
    <w:rsid w:val="753F0BD2"/>
    <w:rsid w:val="75F37776"/>
    <w:rsid w:val="76BC207F"/>
    <w:rsid w:val="76EB4904"/>
    <w:rsid w:val="77404C59"/>
    <w:rsid w:val="774C5A91"/>
    <w:rsid w:val="77645DCD"/>
    <w:rsid w:val="777378F5"/>
    <w:rsid w:val="777A2D3C"/>
    <w:rsid w:val="7794703F"/>
    <w:rsid w:val="77C677ED"/>
    <w:rsid w:val="77FA34D6"/>
    <w:rsid w:val="78474930"/>
    <w:rsid w:val="7856163B"/>
    <w:rsid w:val="78B54FA1"/>
    <w:rsid w:val="79074B81"/>
    <w:rsid w:val="794F0939"/>
    <w:rsid w:val="795135CA"/>
    <w:rsid w:val="79AF0FCA"/>
    <w:rsid w:val="7A396538"/>
    <w:rsid w:val="7A9D05C5"/>
    <w:rsid w:val="7AF9279C"/>
    <w:rsid w:val="7BA17640"/>
    <w:rsid w:val="7CC51958"/>
    <w:rsid w:val="7CD53DF9"/>
    <w:rsid w:val="7D097C86"/>
    <w:rsid w:val="7D0C3DED"/>
    <w:rsid w:val="7D507068"/>
    <w:rsid w:val="7DE653B4"/>
    <w:rsid w:val="7E2936C3"/>
    <w:rsid w:val="7E6411B9"/>
    <w:rsid w:val="7FE40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7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0"/>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7"/>
    <w:autoRedefine/>
    <w:qFormat/>
    <w:uiPriority w:val="0"/>
    <w:pPr>
      <w:keepNext/>
      <w:keepLines/>
      <w:spacing w:before="280" w:after="290" w:line="376" w:lineRule="auto"/>
      <w:outlineLvl w:val="3"/>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Calibri" w:hAnsi="Calibri" w:cs="Calibri"/>
      <w:sz w:val="18"/>
      <w:szCs w:val="18"/>
    </w:rPr>
  </w:style>
  <w:style w:type="paragraph" w:styleId="7">
    <w:name w:val="List Number"/>
    <w:basedOn w:val="1"/>
    <w:semiHidden/>
    <w:unhideWhenUsed/>
    <w:qFormat/>
    <w:uiPriority w:val="99"/>
    <w:pPr>
      <w:numPr>
        <w:ilvl w:val="0"/>
        <w:numId w:val="1"/>
      </w:numPr>
    </w:pPr>
  </w:style>
  <w:style w:type="paragraph" w:styleId="8">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46"/>
    <w:autoRedefine/>
    <w:qFormat/>
    <w:uiPriority w:val="0"/>
    <w:pPr>
      <w:jc w:val="left"/>
    </w:pPr>
    <w:rPr>
      <w:rFonts w:ascii="Arial" w:hAnsi="Arial" w:eastAsia="黑体" w:cs="Arial"/>
    </w:rPr>
  </w:style>
  <w:style w:type="paragraph" w:styleId="10">
    <w:name w:val="Body Text"/>
    <w:basedOn w:val="1"/>
    <w:autoRedefine/>
    <w:qFormat/>
    <w:uiPriority w:val="0"/>
    <w:pPr>
      <w:spacing w:after="120"/>
    </w:pPr>
    <w:rPr>
      <w:rFonts w:ascii="@微软简标宋" w:hAnsi="@微软简标宋" w:eastAsia="@微软简标宋" w:cs="@微软简标宋"/>
      <w:szCs w:val="24"/>
      <w:lang w:val="zh-CN"/>
    </w:rPr>
  </w:style>
  <w:style w:type="paragraph" w:styleId="11">
    <w:name w:val="Body Text Indent"/>
    <w:basedOn w:val="1"/>
    <w:next w:val="12"/>
    <w:autoRedefine/>
    <w:qFormat/>
    <w:uiPriority w:val="0"/>
    <w:pPr>
      <w:spacing w:after="120"/>
      <w:ind w:left="420" w:leftChars="200"/>
    </w:pPr>
  </w:style>
  <w:style w:type="paragraph" w:styleId="12">
    <w:name w:val="envelope return"/>
    <w:basedOn w:val="1"/>
    <w:next w:val="6"/>
    <w:qFormat/>
    <w:uiPriority w:val="0"/>
    <w:pPr>
      <w:snapToGrid w:val="0"/>
    </w:pPr>
    <w:rPr>
      <w:rFonts w:ascii="Arial" w:hAnsi="Arial"/>
    </w:rPr>
  </w:style>
  <w:style w:type="paragraph" w:styleId="13">
    <w:name w:val="index 4"/>
    <w:basedOn w:val="1"/>
    <w:next w:val="1"/>
    <w:qFormat/>
    <w:uiPriority w:val="0"/>
    <w:pPr>
      <w:ind w:left="600" w:leftChars="600"/>
    </w:pPr>
    <w:rPr>
      <w:rFonts w:ascii="Times New Roman" w:hAnsi="Times New Roman" w:eastAsia="宋体" w:cs="Times New Roman"/>
    </w:rPr>
  </w:style>
  <w:style w:type="paragraph" w:styleId="14">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5">
    <w:name w:val="Plain Text"/>
    <w:basedOn w:val="1"/>
    <w:link w:val="55"/>
    <w:autoRedefine/>
    <w:qFormat/>
    <w:uiPriority w:val="99"/>
    <w:rPr>
      <w:rFonts w:ascii="宋体" w:hAnsi="Courier New" w:eastAsiaTheme="minorEastAsia" w:cstheme="minorBidi"/>
      <w:szCs w:val="22"/>
    </w:rPr>
  </w:style>
  <w:style w:type="paragraph" w:styleId="16">
    <w:name w:val="Date"/>
    <w:basedOn w:val="1"/>
    <w:next w:val="1"/>
    <w:link w:val="54"/>
    <w:autoRedefine/>
    <w:qFormat/>
    <w:uiPriority w:val="0"/>
    <w:rPr>
      <w:rFonts w:ascii="Arial" w:hAnsi="Arial" w:eastAsia="宋体" w:cs="Arial"/>
      <w:b/>
      <w:sz w:val="28"/>
    </w:rPr>
  </w:style>
  <w:style w:type="paragraph" w:styleId="17">
    <w:name w:val="Balloon Text"/>
    <w:basedOn w:val="1"/>
    <w:link w:val="61"/>
    <w:autoRedefine/>
    <w:semiHidden/>
    <w:unhideWhenUsed/>
    <w:qFormat/>
    <w:uiPriority w:val="99"/>
    <w:rPr>
      <w:sz w:val="18"/>
      <w:szCs w:val="18"/>
    </w:rPr>
  </w:style>
  <w:style w:type="paragraph" w:styleId="18">
    <w:name w:val="footer"/>
    <w:basedOn w:val="1"/>
    <w:link w:val="50"/>
    <w:autoRedefine/>
    <w:unhideWhenUsed/>
    <w:qFormat/>
    <w:uiPriority w:val="99"/>
    <w:pPr>
      <w:tabs>
        <w:tab w:val="center" w:pos="4153"/>
        <w:tab w:val="right" w:pos="8306"/>
      </w:tabs>
      <w:snapToGrid w:val="0"/>
      <w:jc w:val="left"/>
    </w:pPr>
    <w:rPr>
      <w:sz w:val="18"/>
      <w:szCs w:val="18"/>
    </w:rPr>
  </w:style>
  <w:style w:type="paragraph" w:styleId="19">
    <w:name w:val="header"/>
    <w:basedOn w:val="1"/>
    <w:link w:val="7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annotation subject"/>
    <w:basedOn w:val="9"/>
    <w:next w:val="9"/>
    <w:link w:val="59"/>
    <w:autoRedefine/>
    <w:semiHidden/>
    <w:unhideWhenUsed/>
    <w:qFormat/>
    <w:uiPriority w:val="99"/>
    <w:rPr>
      <w:rFonts w:ascii="@仿宋_GB2312" w:hAnsi="@仿宋_GB2312" w:eastAsia="@仿宋_GB2312" w:cs="@仿宋_GB2312"/>
      <w:b/>
      <w:bCs/>
    </w:rPr>
  </w:style>
  <w:style w:type="paragraph" w:styleId="25">
    <w:name w:val="Body Text First Indent"/>
    <w:basedOn w:val="10"/>
    <w:autoRedefine/>
    <w:unhideWhenUsed/>
    <w:qFormat/>
    <w:uiPriority w:val="99"/>
    <w:pPr>
      <w:ind w:firstLine="420" w:firstLineChars="100"/>
    </w:pPr>
  </w:style>
  <w:style w:type="paragraph" w:styleId="26">
    <w:name w:val="Body Text First Indent 2"/>
    <w:basedOn w:val="11"/>
    <w:next w:val="1"/>
    <w:qFormat/>
    <w:uiPriority w:val="0"/>
    <w:pPr>
      <w:spacing w:line="360" w:lineRule="auto"/>
      <w:ind w:firstLine="200"/>
    </w:pPr>
  </w:style>
  <w:style w:type="table" w:styleId="28">
    <w:name w:val="Table Grid"/>
    <w:basedOn w:val="27"/>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autoRedefine/>
    <w:qFormat/>
    <w:uiPriority w:val="0"/>
    <w:rPr>
      <w:b/>
      <w:bCs/>
    </w:rPr>
  </w:style>
  <w:style w:type="character" w:styleId="31">
    <w:name w:val="FollowedHyperlink"/>
    <w:basedOn w:val="29"/>
    <w:semiHidden/>
    <w:unhideWhenUsed/>
    <w:qFormat/>
    <w:uiPriority w:val="99"/>
    <w:rPr>
      <w:color w:val="5C5C5C"/>
      <w:u w:val="none"/>
    </w:rPr>
  </w:style>
  <w:style w:type="character" w:styleId="32">
    <w:name w:val="Emphasis"/>
    <w:basedOn w:val="29"/>
    <w:qFormat/>
    <w:uiPriority w:val="0"/>
    <w:rPr>
      <w:b/>
      <w:bCs/>
    </w:rPr>
  </w:style>
  <w:style w:type="character" w:styleId="33">
    <w:name w:val="HTML Definition"/>
    <w:basedOn w:val="29"/>
    <w:semiHidden/>
    <w:unhideWhenUsed/>
    <w:qFormat/>
    <w:uiPriority w:val="99"/>
  </w:style>
  <w:style w:type="character" w:styleId="34">
    <w:name w:val="HTML Typewriter"/>
    <w:basedOn w:val="29"/>
    <w:semiHidden/>
    <w:unhideWhenUsed/>
    <w:qFormat/>
    <w:uiPriority w:val="99"/>
    <w:rPr>
      <w:rFonts w:hint="default" w:ascii="monospace" w:hAnsi="monospace" w:eastAsia="monospace" w:cs="monospace"/>
      <w:sz w:val="20"/>
    </w:rPr>
  </w:style>
  <w:style w:type="character" w:styleId="35">
    <w:name w:val="HTML Acronym"/>
    <w:basedOn w:val="29"/>
    <w:semiHidden/>
    <w:unhideWhenUsed/>
    <w:qFormat/>
    <w:uiPriority w:val="99"/>
    <w:rPr>
      <w:vanish/>
    </w:rPr>
  </w:style>
  <w:style w:type="character" w:styleId="36">
    <w:name w:val="HTML Variable"/>
    <w:basedOn w:val="29"/>
    <w:semiHidden/>
    <w:unhideWhenUsed/>
    <w:qFormat/>
    <w:uiPriority w:val="99"/>
  </w:style>
  <w:style w:type="character" w:styleId="37">
    <w:name w:val="Hyperlink"/>
    <w:basedOn w:val="29"/>
    <w:autoRedefine/>
    <w:unhideWhenUsed/>
    <w:qFormat/>
    <w:uiPriority w:val="99"/>
    <w:rPr>
      <w:color w:val="0000FF" w:themeColor="hyperlink"/>
      <w:u w:val="single"/>
      <w14:textFill>
        <w14:solidFill>
          <w14:schemeClr w14:val="hlink"/>
        </w14:solidFill>
      </w14:textFill>
    </w:rPr>
  </w:style>
  <w:style w:type="character" w:styleId="38">
    <w:name w:val="HTML Code"/>
    <w:basedOn w:val="29"/>
    <w:semiHidden/>
    <w:unhideWhenUsed/>
    <w:qFormat/>
    <w:uiPriority w:val="99"/>
    <w:rPr>
      <w:rFonts w:hint="default" w:ascii="monospace" w:hAnsi="monospace" w:eastAsia="monospace" w:cs="monospace"/>
      <w:sz w:val="20"/>
    </w:rPr>
  </w:style>
  <w:style w:type="character" w:styleId="39">
    <w:name w:val="annotation reference"/>
    <w:basedOn w:val="29"/>
    <w:autoRedefine/>
    <w:semiHidden/>
    <w:unhideWhenUsed/>
    <w:qFormat/>
    <w:uiPriority w:val="99"/>
    <w:rPr>
      <w:sz w:val="21"/>
      <w:szCs w:val="21"/>
    </w:rPr>
  </w:style>
  <w:style w:type="character" w:styleId="40">
    <w:name w:val="HTML Cite"/>
    <w:basedOn w:val="29"/>
    <w:semiHidden/>
    <w:unhideWhenUsed/>
    <w:qFormat/>
    <w:uiPriority w:val="99"/>
  </w:style>
  <w:style w:type="character" w:styleId="41">
    <w:name w:val="HTML Keyboard"/>
    <w:basedOn w:val="29"/>
    <w:semiHidden/>
    <w:unhideWhenUsed/>
    <w:qFormat/>
    <w:uiPriority w:val="99"/>
    <w:rPr>
      <w:rFonts w:ascii="monospace" w:hAnsi="monospace" w:eastAsia="monospace" w:cs="monospace"/>
      <w:color w:val="D6D6D6"/>
      <w:sz w:val="20"/>
    </w:rPr>
  </w:style>
  <w:style w:type="character" w:styleId="42">
    <w:name w:val="HTML Sample"/>
    <w:basedOn w:val="29"/>
    <w:semiHidden/>
    <w:unhideWhenUsed/>
    <w:qFormat/>
    <w:uiPriority w:val="99"/>
    <w:rPr>
      <w:rFonts w:hint="default" w:ascii="monospace" w:hAnsi="monospace" w:eastAsia="monospace" w:cs="monospace"/>
    </w:rPr>
  </w:style>
  <w:style w:type="paragraph" w:customStyle="1" w:styleId="43">
    <w:name w:val="首行缩进"/>
    <w:basedOn w:val="1"/>
    <w:qFormat/>
    <w:uiPriority w:val="0"/>
    <w:pPr>
      <w:spacing w:line="360" w:lineRule="auto"/>
      <w:ind w:firstLine="480" w:firstLineChars="200"/>
    </w:pPr>
    <w:rPr>
      <w:sz w:val="24"/>
      <w:lang w:val="zh-CN"/>
    </w:rPr>
  </w:style>
  <w:style w:type="character" w:customStyle="1" w:styleId="44">
    <w:name w:val="fontstyle01"/>
    <w:basedOn w:val="29"/>
    <w:autoRedefine/>
    <w:qFormat/>
    <w:uiPriority w:val="0"/>
    <w:rPr>
      <w:rFonts w:hint="eastAsia" w:ascii="宋体" w:hAnsi="宋体" w:eastAsia="宋体"/>
      <w:color w:val="000000"/>
      <w:sz w:val="22"/>
      <w:szCs w:val="22"/>
    </w:rPr>
  </w:style>
  <w:style w:type="paragraph" w:customStyle="1" w:styleId="45">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46">
    <w:name w:val="批注文字 字符"/>
    <w:link w:val="9"/>
    <w:autoRedefine/>
    <w:qFormat/>
    <w:uiPriority w:val="0"/>
    <w:rPr>
      <w:rFonts w:ascii="Arial" w:hAnsi="Arial" w:eastAsia="黑体" w:cs="Arial"/>
      <w:szCs w:val="20"/>
    </w:rPr>
  </w:style>
  <w:style w:type="paragraph" w:customStyle="1" w:styleId="47">
    <w:name w:val="xl25"/>
    <w:basedOn w:val="1"/>
    <w:qFormat/>
    <w:uiPriority w:val="0"/>
    <w:pPr>
      <w:widowControl/>
      <w:spacing w:before="100" w:beforeAutospacing="1" w:after="100" w:afterAutospacing="1"/>
      <w:jc w:val="right"/>
    </w:pPr>
    <w:rPr>
      <w:rFonts w:ascii="Arial Unicode MS" w:hAnsi="Arial Unicode MS" w:cs="Arial Unicode MS"/>
      <w:color w:val="000000"/>
      <w:kern w:val="0"/>
      <w:sz w:val="18"/>
      <w:szCs w:val="18"/>
    </w:rPr>
  </w:style>
  <w:style w:type="paragraph" w:customStyle="1" w:styleId="48">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9">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50">
    <w:name w:val="页脚 字符"/>
    <w:basedOn w:val="29"/>
    <w:link w:val="18"/>
    <w:autoRedefine/>
    <w:qFormat/>
    <w:uiPriority w:val="99"/>
    <w:rPr>
      <w:rFonts w:ascii="@仿宋_GB2312" w:hAnsi="@仿宋_GB2312" w:eastAsia="@仿宋_GB2312" w:cs="@仿宋_GB2312"/>
      <w:sz w:val="18"/>
      <w:szCs w:val="18"/>
    </w:rPr>
  </w:style>
  <w:style w:type="character" w:customStyle="1" w:styleId="51">
    <w:name w:val="标题 4 字符"/>
    <w:basedOn w:val="29"/>
    <w:autoRedefine/>
    <w:semiHidden/>
    <w:qFormat/>
    <w:uiPriority w:val="9"/>
    <w:rPr>
      <w:rFonts w:asciiTheme="majorHAnsi" w:hAnsiTheme="majorHAnsi" w:eastAsiaTheme="majorEastAsia" w:cstheme="majorBidi"/>
      <w:b/>
      <w:bCs/>
      <w:sz w:val="28"/>
      <w:szCs w:val="28"/>
    </w:rPr>
  </w:style>
  <w:style w:type="table" w:customStyle="1" w:styleId="52">
    <w:name w:val="Table Normal"/>
    <w:autoRedefine/>
    <w:semiHidden/>
    <w:unhideWhenUsed/>
    <w:qFormat/>
    <w:uiPriority w:val="0"/>
    <w:tblPr>
      <w:tblCellMar>
        <w:top w:w="0" w:type="dxa"/>
        <w:left w:w="0" w:type="dxa"/>
        <w:bottom w:w="0" w:type="dxa"/>
        <w:right w:w="0" w:type="dxa"/>
      </w:tblCellMar>
    </w:tblPr>
  </w:style>
  <w:style w:type="paragraph" w:styleId="53">
    <w:name w:val="List Paragraph"/>
    <w:basedOn w:val="1"/>
    <w:autoRedefine/>
    <w:qFormat/>
    <w:uiPriority w:val="34"/>
    <w:pPr>
      <w:ind w:firstLine="420" w:firstLineChars="200"/>
    </w:pPr>
  </w:style>
  <w:style w:type="character" w:customStyle="1" w:styleId="54">
    <w:name w:val="日期 字符1"/>
    <w:link w:val="16"/>
    <w:autoRedefine/>
    <w:qFormat/>
    <w:uiPriority w:val="0"/>
    <w:rPr>
      <w:rFonts w:ascii="Arial" w:hAnsi="Arial" w:eastAsia="宋体" w:cs="Arial"/>
      <w:b/>
      <w:sz w:val="28"/>
      <w:szCs w:val="20"/>
    </w:rPr>
  </w:style>
  <w:style w:type="character" w:customStyle="1" w:styleId="55">
    <w:name w:val="纯文本 字符"/>
    <w:link w:val="15"/>
    <w:autoRedefine/>
    <w:qFormat/>
    <w:uiPriority w:val="0"/>
    <w:rPr>
      <w:rFonts w:ascii="宋体" w:hAnsi="Courier New"/>
    </w:rPr>
  </w:style>
  <w:style w:type="character" w:customStyle="1" w:styleId="56">
    <w:name w:val="纯文本 Char1"/>
    <w:autoRedefine/>
    <w:qFormat/>
    <w:locked/>
    <w:uiPriority w:val="99"/>
    <w:rPr>
      <w:rFonts w:ascii="Arial" w:hAnsi="Arial" w:eastAsia="Arial"/>
      <w:kern w:val="2"/>
      <w:sz w:val="21"/>
      <w:lang w:val="en-US" w:eastAsia="zh-CN" w:bidi="ar-SA"/>
    </w:rPr>
  </w:style>
  <w:style w:type="character" w:customStyle="1" w:styleId="57">
    <w:name w:val="日期 字符"/>
    <w:basedOn w:val="29"/>
    <w:autoRedefine/>
    <w:semiHidden/>
    <w:qFormat/>
    <w:uiPriority w:val="99"/>
    <w:rPr>
      <w:rFonts w:ascii="@仿宋_GB2312" w:hAnsi="@仿宋_GB2312" w:eastAsia="@仿宋_GB2312" w:cs="@仿宋_GB2312"/>
      <w:szCs w:val="20"/>
    </w:rPr>
  </w:style>
  <w:style w:type="table" w:customStyle="1" w:styleId="58">
    <w:name w:val="网格表 1 浅色1"/>
    <w:basedOn w:val="27"/>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9">
    <w:name w:val="批注主题 字符"/>
    <w:basedOn w:val="46"/>
    <w:link w:val="24"/>
    <w:autoRedefine/>
    <w:semiHidden/>
    <w:qFormat/>
    <w:uiPriority w:val="99"/>
    <w:rPr>
      <w:rFonts w:ascii="@仿宋_GB2312" w:hAnsi="@仿宋_GB2312" w:eastAsia="@仿宋_GB2312" w:cs="@仿宋_GB2312"/>
      <w:b/>
      <w:bCs/>
      <w:szCs w:val="20"/>
    </w:rPr>
  </w:style>
  <w:style w:type="character" w:customStyle="1" w:styleId="60">
    <w:name w:val="标题 3 字符"/>
    <w:basedOn w:val="29"/>
    <w:link w:val="4"/>
    <w:autoRedefine/>
    <w:semiHidden/>
    <w:qFormat/>
    <w:uiPriority w:val="9"/>
    <w:rPr>
      <w:rFonts w:ascii="@仿宋_GB2312" w:hAnsi="@仿宋_GB2312" w:eastAsia="@仿宋_GB2312" w:cs="@仿宋_GB2312"/>
      <w:b/>
      <w:bCs/>
      <w:sz w:val="32"/>
      <w:szCs w:val="32"/>
    </w:rPr>
  </w:style>
  <w:style w:type="character" w:customStyle="1" w:styleId="61">
    <w:name w:val="批注框文本 字符"/>
    <w:basedOn w:val="29"/>
    <w:link w:val="17"/>
    <w:autoRedefine/>
    <w:semiHidden/>
    <w:qFormat/>
    <w:uiPriority w:val="99"/>
    <w:rPr>
      <w:rFonts w:ascii="@仿宋_GB2312" w:hAnsi="@仿宋_GB2312" w:eastAsia="@仿宋_GB2312" w:cs="@仿宋_GB2312"/>
      <w:sz w:val="18"/>
      <w:szCs w:val="18"/>
    </w:rPr>
  </w:style>
  <w:style w:type="paragraph" w:customStyle="1" w:styleId="62">
    <w:name w:val="Char Char Char Char Char Char Char1 Char"/>
    <w:basedOn w:val="1"/>
    <w:autoRedefine/>
    <w:qFormat/>
    <w:uiPriority w:val="0"/>
    <w:rPr>
      <w:rFonts w:ascii="Arial" w:hAnsi="Arial" w:eastAsia="宋体" w:cs="Arial"/>
      <w:sz w:val="24"/>
    </w:rPr>
  </w:style>
  <w:style w:type="character" w:customStyle="1" w:styleId="63">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4">
    <w:name w:val="批注文字 Char"/>
    <w:basedOn w:val="29"/>
    <w:autoRedefine/>
    <w:semiHidden/>
    <w:qFormat/>
    <w:uiPriority w:val="99"/>
    <w:rPr>
      <w:rFonts w:ascii="@仿宋_GB2312" w:hAnsi="@仿宋_GB2312" w:eastAsia="@仿宋_GB2312" w:cs="@仿宋_GB2312"/>
      <w:szCs w:val="20"/>
    </w:rPr>
  </w:style>
  <w:style w:type="character" w:customStyle="1" w:styleId="65">
    <w:name w:val="纯文本 字符1"/>
    <w:basedOn w:val="29"/>
    <w:autoRedefine/>
    <w:semiHidden/>
    <w:qFormat/>
    <w:uiPriority w:val="99"/>
    <w:rPr>
      <w:rFonts w:hAnsi="Courier New" w:cs="Courier New" w:asciiTheme="minorEastAsia"/>
      <w:szCs w:val="20"/>
    </w:rPr>
  </w:style>
  <w:style w:type="character" w:customStyle="1" w:styleId="66">
    <w:name w:val="fontstyle21"/>
    <w:basedOn w:val="29"/>
    <w:autoRedefine/>
    <w:qFormat/>
    <w:uiPriority w:val="0"/>
    <w:rPr>
      <w:rFonts w:hint="default" w:ascii="TimesNewRomanPSMT" w:hAnsi="TimesNewRomanPSMT"/>
      <w:color w:val="000000"/>
      <w:sz w:val="22"/>
      <w:szCs w:val="22"/>
    </w:rPr>
  </w:style>
  <w:style w:type="character" w:customStyle="1" w:styleId="67">
    <w:name w:val="标题 4 字符1"/>
    <w:link w:val="5"/>
    <w:autoRedefine/>
    <w:qFormat/>
    <w:uiPriority w:val="0"/>
    <w:rPr>
      <w:rFonts w:ascii="@仿宋_GB2312" w:hAnsi="@仿宋_GB2312" w:eastAsia="@仿宋_GB2312" w:cs="@仿宋_GB2312"/>
      <w:b/>
      <w:bCs/>
      <w:sz w:val="28"/>
      <w:szCs w:val="28"/>
    </w:rPr>
  </w:style>
  <w:style w:type="table" w:customStyle="1" w:styleId="68">
    <w:name w:val="网格型1"/>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9">
    <w:name w:val="列出段落1"/>
    <w:basedOn w:val="1"/>
    <w:autoRedefine/>
    <w:qFormat/>
    <w:uiPriority w:val="0"/>
    <w:pPr>
      <w:ind w:firstLine="420" w:firstLineChars="200"/>
    </w:pPr>
    <w:rPr>
      <w:szCs w:val="21"/>
    </w:rPr>
  </w:style>
  <w:style w:type="paragraph" w:customStyle="1" w:styleId="70">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1">
    <w:name w:val="标题 1 字符"/>
    <w:basedOn w:val="29"/>
    <w:link w:val="2"/>
    <w:autoRedefine/>
    <w:qFormat/>
    <w:uiPriority w:val="9"/>
    <w:rPr>
      <w:rFonts w:ascii="@仿宋_GB2312" w:hAnsi="@仿宋_GB2312" w:eastAsia="@仿宋_GB2312" w:cs="@仿宋_GB2312"/>
      <w:b/>
      <w:bCs/>
      <w:kern w:val="44"/>
      <w:sz w:val="44"/>
      <w:szCs w:val="44"/>
    </w:rPr>
  </w:style>
  <w:style w:type="paragraph" w:customStyle="1" w:styleId="72">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73">
    <w:name w:val="Table Text"/>
    <w:basedOn w:val="1"/>
    <w:autoRedefine/>
    <w:semiHidden/>
    <w:qFormat/>
    <w:uiPriority w:val="0"/>
    <w:rPr>
      <w:rFonts w:ascii="Arial" w:hAnsi="Arial" w:eastAsia="Arial" w:cs="Arial"/>
      <w:szCs w:val="21"/>
      <w:lang w:eastAsia="en-US"/>
    </w:rPr>
  </w:style>
  <w:style w:type="character" w:customStyle="1" w:styleId="74">
    <w:name w:val="标题 4 Char"/>
    <w:autoRedefine/>
    <w:qFormat/>
    <w:uiPriority w:val="0"/>
    <w:rPr>
      <w:rFonts w:ascii="Arial" w:hAnsi="Arial" w:eastAsia="Arial"/>
      <w:b/>
      <w:bCs/>
      <w:kern w:val="2"/>
      <w:sz w:val="28"/>
      <w:szCs w:val="28"/>
      <w:lang w:val="en-US" w:eastAsia="zh-CN" w:bidi="ar-SA"/>
    </w:rPr>
  </w:style>
  <w:style w:type="character" w:customStyle="1" w:styleId="75">
    <w:name w:val="页眉 字符"/>
    <w:basedOn w:val="29"/>
    <w:link w:val="19"/>
    <w:autoRedefine/>
    <w:qFormat/>
    <w:uiPriority w:val="99"/>
    <w:rPr>
      <w:rFonts w:ascii="@仿宋_GB2312" w:hAnsi="@仿宋_GB2312" w:eastAsia="@仿宋_GB2312" w:cs="@仿宋_GB2312"/>
      <w:sz w:val="18"/>
      <w:szCs w:val="18"/>
    </w:rPr>
  </w:style>
  <w:style w:type="character" w:customStyle="1" w:styleId="76">
    <w:name w:val="未处理的提及1"/>
    <w:basedOn w:val="29"/>
    <w:autoRedefine/>
    <w:semiHidden/>
    <w:unhideWhenUsed/>
    <w:qFormat/>
    <w:uiPriority w:val="99"/>
    <w:rPr>
      <w:color w:val="605E5C"/>
      <w:shd w:val="clear" w:color="auto" w:fill="E1DFDD"/>
    </w:rPr>
  </w:style>
  <w:style w:type="character" w:customStyle="1" w:styleId="77">
    <w:name w:val="hover"/>
    <w:basedOn w:val="29"/>
    <w:qFormat/>
    <w:uiPriority w:val="0"/>
  </w:style>
  <w:style w:type="character" w:customStyle="1" w:styleId="78">
    <w:name w:val="hover1"/>
    <w:basedOn w:val="29"/>
    <w:qFormat/>
    <w:uiPriority w:val="0"/>
    <w:rPr>
      <w:color w:val="2590EB"/>
    </w:rPr>
  </w:style>
  <w:style w:type="character" w:customStyle="1" w:styleId="79">
    <w:name w:val="hover2"/>
    <w:basedOn w:val="29"/>
    <w:qFormat/>
    <w:uiPriority w:val="0"/>
    <w:rPr>
      <w:color w:val="2590EB"/>
    </w:rPr>
  </w:style>
  <w:style w:type="character" w:customStyle="1" w:styleId="80">
    <w:name w:val="hover3"/>
    <w:basedOn w:val="29"/>
    <w:qFormat/>
    <w:uiPriority w:val="0"/>
    <w:rPr>
      <w:color w:val="2590EB"/>
      <w:shd w:val="clear" w:fill="E9F4F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2532</Words>
  <Characters>2891</Characters>
  <Lines>362</Lines>
  <Paragraphs>102</Paragraphs>
  <TotalTime>4</TotalTime>
  <ScaleCrop>false</ScaleCrop>
  <LinksUpToDate>false</LinksUpToDate>
  <CharactersWithSpaces>3017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2026-05-26T11:18:00Z</dcterms:created>
  <dc:creator>Administrator</dc:creator>
  <cp:lastModifiedBy>韦韦</cp:lastModifiedBy>
  <dcterms:modified xsi:type="dcterms:W3CDTF">2026-09-01T06:00:44Z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eyJoZGlkIjoiZmQ5MGI3YTdkMjVkZTZjM2ZjZTQ5YjMxYTJjZjRlOWEiLCJ1c2VySWQiOiIzNjE4MjQ5In0=</vt:lpwstr>
  </property>
  <property fmtid="{D5CDD505-2E9C-101B-9397-08002B2CF9AE}" pid="3" name="KSOProductBuildVer">
    <vt:lpwstr>2052-12.1.0.28505</vt:lpwstr>
  </property>
  <property fmtid="{D5CDD505-2E9C-101B-9397-08002B2CF9AE}" pid="4" name="ICV">
    <vt:lpwstr>9F8EEC7FBB8E43C2AF337238BF4E229F_13</vt:lpwstr>
  </property>
</Properties>
</file>