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F9C0B">
      <w:pPr>
        <w:spacing w:line="480" w:lineRule="auto"/>
        <w:ind w:firstLine="562"/>
        <w:jc w:val="center"/>
        <w:rPr>
          <w:rFonts w:hint="eastAsia" w:ascii="宋体" w:hAnsi="宋体" w:eastAsia="宋体" w:cs="宋体"/>
          <w:b/>
          <w:bCs/>
          <w:sz w:val="36"/>
          <w:szCs w:val="36"/>
        </w:rPr>
      </w:pPr>
      <w:r>
        <w:rPr>
          <w:rFonts w:hint="eastAsia" w:ascii="宋体" w:hAnsi="宋体" w:eastAsia="宋体" w:cs="宋体"/>
          <w:b/>
          <w:bCs/>
          <w:sz w:val="22"/>
          <w:szCs w:val="28"/>
        </w:rPr>
        <w:tab/>
      </w:r>
      <w:r>
        <w:rPr>
          <w:rFonts w:hint="eastAsia" w:ascii="宋体" w:hAnsi="宋体" w:eastAsia="宋体" w:cs="宋体"/>
          <w:b/>
          <w:bCs/>
          <w:sz w:val="36"/>
          <w:szCs w:val="36"/>
        </w:rPr>
        <w:t>丰乐亭停车场</w:t>
      </w:r>
      <w:r>
        <w:rPr>
          <w:rFonts w:hint="eastAsia" w:ascii="宋体" w:hAnsi="宋体" w:eastAsia="宋体" w:cs="宋体"/>
          <w:b/>
          <w:bCs/>
          <w:sz w:val="36"/>
          <w:szCs w:val="36"/>
          <w:lang w:val="en-US" w:eastAsia="zh-CN"/>
        </w:rPr>
        <w:t>维修</w:t>
      </w:r>
      <w:r>
        <w:rPr>
          <w:rFonts w:hint="eastAsia" w:ascii="宋体" w:hAnsi="宋体" w:eastAsia="宋体" w:cs="宋体"/>
          <w:b/>
          <w:bCs/>
          <w:sz w:val="36"/>
          <w:szCs w:val="36"/>
        </w:rPr>
        <w:t>改造工程</w:t>
      </w:r>
    </w:p>
    <w:p w14:paraId="79BBE326">
      <w:pPr>
        <w:spacing w:line="480" w:lineRule="auto"/>
        <w:ind w:firstLine="562"/>
        <w:jc w:val="center"/>
        <w:rPr>
          <w:rFonts w:ascii="宋体" w:hAnsi="宋体"/>
          <w:b/>
          <w:sz w:val="28"/>
          <w:szCs w:val="28"/>
        </w:rPr>
      </w:pPr>
      <w:r>
        <w:rPr>
          <w:rFonts w:hint="eastAsia" w:ascii="宋体" w:hAnsi="宋体" w:eastAsia="宋体" w:cs="宋体"/>
          <w:b/>
          <w:bCs/>
          <w:sz w:val="36"/>
          <w:szCs w:val="36"/>
        </w:rPr>
        <w:t>控制价编制说明</w:t>
      </w:r>
    </w:p>
    <w:p w14:paraId="656D4C1E">
      <w:pPr>
        <w:snapToGrid w:val="0"/>
        <w:spacing w:line="360" w:lineRule="auto"/>
        <w:ind w:firstLine="241" w:firstLineChars="100"/>
        <w:rPr>
          <w:rFonts w:ascii="宋体" w:hAnsi="宋体" w:eastAsia="宋体"/>
          <w:b/>
          <w:sz w:val="24"/>
        </w:rPr>
      </w:pPr>
      <w:r>
        <w:rPr>
          <w:rFonts w:hint="eastAsia" w:ascii="宋体" w:hAnsi="宋体"/>
          <w:b/>
          <w:sz w:val="24"/>
        </w:rPr>
        <w:t>一、工程概况：</w:t>
      </w:r>
    </w:p>
    <w:p w14:paraId="2BCACAB5">
      <w:pPr>
        <w:snapToGrid w:val="0"/>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rPr>
        <w:t>本工程为丰乐亭停车场</w:t>
      </w:r>
      <w:r>
        <w:rPr>
          <w:rFonts w:hint="eastAsia" w:ascii="宋体" w:hAnsi="宋体" w:eastAsia="宋体" w:cs="Times New Roman"/>
          <w:sz w:val="24"/>
          <w:lang w:val="en-US" w:eastAsia="zh-CN"/>
        </w:rPr>
        <w:t>维修</w:t>
      </w:r>
      <w:r>
        <w:rPr>
          <w:rFonts w:hint="eastAsia" w:ascii="宋体" w:hAnsi="宋体" w:eastAsia="宋体" w:cs="Times New Roman"/>
          <w:sz w:val="24"/>
        </w:rPr>
        <w:t>改造工程。主要包括：</w:t>
      </w:r>
      <w:r>
        <w:rPr>
          <w:rFonts w:hint="eastAsia" w:ascii="宋体" w:hAnsi="宋体" w:eastAsia="宋体" w:cs="Times New Roman"/>
          <w:sz w:val="24"/>
          <w:lang w:val="en-US" w:eastAsia="zh-CN"/>
        </w:rPr>
        <w:t>停车场面层铣刨后加铺沥青路面、损毁路牙石拆除及恢复、停车场树池拆除，停车位划线、增设车辆定位器、停车场电源线、路灯及管线、监控系统等维修改造工程。</w:t>
      </w:r>
    </w:p>
    <w:p w14:paraId="552DC6E3">
      <w:pPr>
        <w:snapToGrid w:val="0"/>
        <w:spacing w:line="360" w:lineRule="auto"/>
        <w:ind w:firstLine="241" w:firstLineChars="100"/>
        <w:rPr>
          <w:rFonts w:ascii="宋体" w:hAnsi="宋体"/>
          <w:b/>
          <w:sz w:val="24"/>
        </w:rPr>
      </w:pPr>
      <w:r>
        <w:rPr>
          <w:rFonts w:hint="eastAsia" w:ascii="宋体" w:hAnsi="宋体"/>
          <w:b/>
          <w:sz w:val="24"/>
        </w:rPr>
        <w:t>二、编制范围：</w:t>
      </w:r>
    </w:p>
    <w:p w14:paraId="199BFA17">
      <w:pPr>
        <w:snapToGrid w:val="0"/>
        <w:spacing w:line="360" w:lineRule="auto"/>
        <w:ind w:firstLine="480" w:firstLineChars="200"/>
        <w:rPr>
          <w:rFonts w:ascii="宋体" w:hAnsi="宋体" w:eastAsia="宋体" w:cs="Times New Roman"/>
          <w:sz w:val="24"/>
        </w:rPr>
      </w:pPr>
      <w:r>
        <w:rPr>
          <w:rFonts w:hint="eastAsia" w:ascii="宋体" w:hAnsi="宋体" w:eastAsia="宋体" w:cs="Times New Roman"/>
          <w:sz w:val="24"/>
        </w:rPr>
        <w:t>详见施工现场及本工程量清单明细内容。</w:t>
      </w:r>
    </w:p>
    <w:p w14:paraId="18A2475D">
      <w:pPr>
        <w:numPr>
          <w:ilvl w:val="0"/>
          <w:numId w:val="1"/>
        </w:numPr>
        <w:snapToGrid w:val="0"/>
        <w:spacing w:line="360" w:lineRule="auto"/>
        <w:ind w:firstLine="241" w:firstLineChars="100"/>
        <w:rPr>
          <w:rFonts w:hint="eastAsia" w:ascii="宋体" w:hAnsi="宋体"/>
          <w:b/>
          <w:sz w:val="24"/>
        </w:rPr>
      </w:pPr>
      <w:r>
        <w:rPr>
          <w:rFonts w:hint="eastAsia" w:ascii="宋体" w:hAnsi="宋体"/>
          <w:b/>
          <w:sz w:val="24"/>
        </w:rPr>
        <w:t>编制依据：</w:t>
      </w:r>
    </w:p>
    <w:p w14:paraId="752EA2FB">
      <w:pPr>
        <w:numPr>
          <w:ilvl w:val="0"/>
          <w:numId w:val="0"/>
        </w:numPr>
        <w:snapToGrid w:val="0"/>
        <w:spacing w:line="360" w:lineRule="auto"/>
        <w:ind w:firstLine="480" w:firstLineChars="200"/>
        <w:rPr>
          <w:rFonts w:ascii="宋体" w:hAnsi="宋体"/>
          <w:sz w:val="24"/>
        </w:rPr>
      </w:pPr>
      <w:r>
        <w:rPr>
          <w:rFonts w:hint="eastAsia" w:ascii="宋体" w:hAnsi="宋体"/>
          <w:sz w:val="24"/>
          <w:lang w:val="en-US" w:eastAsia="zh-CN"/>
        </w:rPr>
        <w:t>1、</w:t>
      </w:r>
      <w:r>
        <w:rPr>
          <w:rFonts w:hint="eastAsia" w:ascii="宋体" w:hAnsi="宋体"/>
          <w:sz w:val="24"/>
        </w:rPr>
        <w:t>《安徽省建设工程工程量清单计价规范》（DBJ26/T-206-2013）、《安徽省建设工程工程量清单计价办法》；</w:t>
      </w:r>
    </w:p>
    <w:p w14:paraId="4C85C63F">
      <w:pPr>
        <w:numPr>
          <w:ilvl w:val="0"/>
          <w:numId w:val="0"/>
        </w:numPr>
        <w:snapToGrid w:val="0"/>
        <w:spacing w:line="360" w:lineRule="auto"/>
        <w:ind w:firstLine="480" w:firstLineChars="200"/>
        <w:rPr>
          <w:rFonts w:ascii="宋体" w:hAnsi="宋体" w:eastAsia="宋体"/>
          <w:sz w:val="24"/>
        </w:rPr>
      </w:pPr>
      <w:r>
        <w:rPr>
          <w:rFonts w:hint="eastAsia" w:ascii="宋体" w:hAnsi="宋体"/>
          <w:sz w:val="24"/>
          <w:lang w:val="en-US" w:eastAsia="zh-CN"/>
        </w:rPr>
        <w:t>2、</w:t>
      </w:r>
      <w:r>
        <w:rPr>
          <w:rFonts w:hint="eastAsia" w:ascii="宋体" w:hAnsi="宋体"/>
          <w:sz w:val="24"/>
        </w:rPr>
        <w:t>安徽省建设工程计价定额(共用册）（2018年）》、《安徽省装饰装修工程计价定额》（2018年）、《安徽省安装工程计价定额》（2018年）、《安徽省建设工程费用定额》（2018年）；</w:t>
      </w:r>
    </w:p>
    <w:p w14:paraId="38A7E8BB">
      <w:pPr>
        <w:numPr>
          <w:ilvl w:val="0"/>
          <w:numId w:val="0"/>
        </w:numPr>
        <w:snapToGrid w:val="0"/>
        <w:spacing w:line="360" w:lineRule="auto"/>
        <w:ind w:firstLine="480" w:firstLineChars="200"/>
        <w:rPr>
          <w:rFonts w:ascii="宋体" w:hAnsi="宋体" w:eastAsia="宋体"/>
          <w:sz w:val="24"/>
        </w:rPr>
      </w:pPr>
      <w:r>
        <w:rPr>
          <w:rFonts w:hint="eastAsia" w:ascii="宋体" w:hAnsi="宋体"/>
          <w:sz w:val="24"/>
          <w:lang w:val="en-US" w:eastAsia="zh-CN"/>
        </w:rPr>
        <w:t>3、</w:t>
      </w:r>
      <w:r>
        <w:rPr>
          <w:rFonts w:hint="eastAsia" w:ascii="宋体" w:hAnsi="宋体"/>
          <w:sz w:val="24"/>
        </w:rPr>
        <w:t>不可竞争费执行《安徽省住房和城乡建设厅关于调整安徽省建设工程不可竞争费构成及计费标准通知》建标【2021】42号文；</w:t>
      </w:r>
    </w:p>
    <w:p w14:paraId="01C8DEDC">
      <w:pPr>
        <w:numPr>
          <w:ilvl w:val="0"/>
          <w:numId w:val="0"/>
        </w:numPr>
        <w:snapToGrid w:val="0"/>
        <w:spacing w:line="360" w:lineRule="auto"/>
        <w:ind w:firstLine="480" w:firstLineChars="200"/>
        <w:rPr>
          <w:rFonts w:ascii="宋体" w:hAnsi="宋体" w:eastAsia="宋体" w:cs="Times New Roman"/>
          <w:sz w:val="24"/>
        </w:rPr>
      </w:pPr>
      <w:r>
        <w:rPr>
          <w:rFonts w:hint="eastAsia" w:ascii="宋体" w:hAnsi="宋体" w:eastAsia="宋体" w:cs="Times New Roman"/>
          <w:sz w:val="24"/>
          <w:lang w:val="en-US" w:eastAsia="zh-CN"/>
        </w:rPr>
        <w:t>4、</w:t>
      </w:r>
      <w:r>
        <w:rPr>
          <w:rFonts w:hint="eastAsia" w:ascii="宋体" w:hAnsi="宋体" w:eastAsia="宋体" w:cs="Times New Roman"/>
          <w:sz w:val="24"/>
        </w:rPr>
        <w:t>根据安徽省建设工程造价管理总站造价〔2019〕7号《关于调整我省现行建设工程计价依据增值税税率的通知》，增值税税率为9%；</w:t>
      </w:r>
    </w:p>
    <w:p w14:paraId="7C0F2643">
      <w:pPr>
        <w:numPr>
          <w:ilvl w:val="0"/>
          <w:numId w:val="0"/>
        </w:numPr>
        <w:snapToGrid w:val="0"/>
        <w:spacing w:line="360" w:lineRule="auto"/>
        <w:ind w:firstLine="480" w:firstLineChars="200"/>
        <w:rPr>
          <w:rFonts w:ascii="宋体" w:hAnsi="宋体" w:eastAsia="宋体" w:cs="Times New Roman"/>
          <w:sz w:val="24"/>
        </w:rPr>
      </w:pPr>
      <w:r>
        <w:rPr>
          <w:rFonts w:hint="eastAsia" w:ascii="宋体" w:hAnsi="宋体" w:eastAsia="宋体" w:cs="Times New Roman"/>
          <w:sz w:val="24"/>
          <w:lang w:val="en-US" w:eastAsia="zh-CN"/>
        </w:rPr>
        <w:t>5、</w:t>
      </w:r>
      <w:r>
        <w:rPr>
          <w:rFonts w:hint="eastAsia" w:ascii="宋体" w:hAnsi="宋体" w:eastAsia="宋体" w:cs="Times New Roman"/>
          <w:sz w:val="24"/>
        </w:rPr>
        <w:t>关于发布《安徽省建设工程计价依据动态调整(第</w:t>
      </w:r>
      <w:r>
        <w:rPr>
          <w:rFonts w:hint="eastAsia" w:ascii="宋体" w:hAnsi="宋体" w:eastAsia="宋体" w:cs="Times New Roman"/>
          <w:sz w:val="24"/>
          <w:lang w:val="en-US" w:eastAsia="zh-CN"/>
        </w:rPr>
        <w:t>2</w:t>
      </w:r>
      <w:r>
        <w:rPr>
          <w:rFonts w:hint="eastAsia" w:ascii="宋体" w:hAnsi="宋体" w:eastAsia="宋体" w:cs="Times New Roman"/>
          <w:sz w:val="24"/>
        </w:rPr>
        <w:t>期)》的公告(安徽省住房和城乡建设厅公告第</w:t>
      </w:r>
      <w:r>
        <w:rPr>
          <w:rFonts w:hint="eastAsia" w:ascii="宋体" w:hAnsi="宋体" w:eastAsia="宋体" w:cs="Times New Roman"/>
          <w:sz w:val="24"/>
          <w:lang w:val="en-US" w:eastAsia="zh-CN"/>
        </w:rPr>
        <w:t>172</w:t>
      </w:r>
      <w:r>
        <w:rPr>
          <w:rFonts w:hint="eastAsia" w:ascii="宋体" w:hAnsi="宋体" w:eastAsia="宋体" w:cs="Times New Roman"/>
          <w:sz w:val="24"/>
        </w:rPr>
        <w:t>号）；</w:t>
      </w:r>
    </w:p>
    <w:p w14:paraId="547DA298">
      <w:pPr>
        <w:numPr>
          <w:ilvl w:val="0"/>
          <w:numId w:val="0"/>
        </w:numPr>
        <w:snapToGrid w:val="0"/>
        <w:spacing w:line="360" w:lineRule="auto"/>
        <w:ind w:firstLine="480" w:firstLineChars="200"/>
        <w:rPr>
          <w:rFonts w:ascii="宋体" w:hAnsi="宋体"/>
          <w:sz w:val="24"/>
        </w:rPr>
      </w:pPr>
      <w:r>
        <w:rPr>
          <w:rFonts w:hint="eastAsia" w:ascii="宋体" w:hAnsi="宋体"/>
          <w:sz w:val="24"/>
          <w:lang w:val="en-US" w:eastAsia="zh-CN"/>
        </w:rPr>
        <w:t>6、</w:t>
      </w:r>
      <w:r>
        <w:rPr>
          <w:rFonts w:hint="eastAsia" w:ascii="宋体" w:hAnsi="宋体"/>
          <w:sz w:val="24"/>
        </w:rPr>
        <w:t>主要材料价格：材料价格参照</w:t>
      </w:r>
      <w:r>
        <w:rPr>
          <w:rFonts w:ascii="宋体" w:hAnsi="宋体"/>
          <w:sz w:val="24"/>
        </w:rPr>
        <w:t>20</w:t>
      </w:r>
      <w:r>
        <w:rPr>
          <w:rFonts w:hint="eastAsia" w:ascii="宋体" w:hAnsi="宋体"/>
          <w:sz w:val="24"/>
        </w:rPr>
        <w:t>2</w:t>
      </w:r>
      <w:r>
        <w:rPr>
          <w:rFonts w:hint="eastAsia" w:ascii="宋体" w:hAnsi="宋体"/>
          <w:sz w:val="24"/>
          <w:lang w:val="en-US" w:eastAsia="zh-CN"/>
        </w:rPr>
        <w:t>6</w:t>
      </w:r>
      <w:r>
        <w:rPr>
          <w:rFonts w:hint="eastAsia" w:ascii="宋体" w:hAnsi="宋体"/>
          <w:sz w:val="24"/>
        </w:rPr>
        <w:t>年滁州工程造价信息第</w:t>
      </w:r>
      <w:r>
        <w:rPr>
          <w:rFonts w:hint="eastAsia" w:ascii="宋体" w:hAnsi="宋体"/>
          <w:sz w:val="24"/>
          <w:lang w:val="en-US" w:eastAsia="zh-CN"/>
        </w:rPr>
        <w:t>2</w:t>
      </w:r>
      <w:r>
        <w:rPr>
          <w:rFonts w:hint="eastAsia" w:ascii="宋体" w:hAnsi="宋体"/>
          <w:sz w:val="24"/>
        </w:rPr>
        <w:t>期滁州市本级部分不含税价格，造价信息上没有的材料价格根据市场询价并经业主同意确定；</w:t>
      </w:r>
    </w:p>
    <w:p w14:paraId="0560422A">
      <w:pPr>
        <w:numPr>
          <w:ilvl w:val="0"/>
          <w:numId w:val="0"/>
        </w:numPr>
        <w:snapToGrid w:val="0"/>
        <w:spacing w:line="360" w:lineRule="auto"/>
        <w:ind w:firstLine="480" w:firstLineChars="200"/>
        <w:rPr>
          <w:rFonts w:ascii="宋体" w:hAnsi="宋体"/>
          <w:sz w:val="24"/>
        </w:rPr>
      </w:pPr>
      <w:r>
        <w:rPr>
          <w:rFonts w:hint="eastAsia" w:ascii="宋体" w:hAnsi="宋体"/>
          <w:sz w:val="24"/>
          <w:lang w:val="en-US" w:eastAsia="zh-CN"/>
        </w:rPr>
        <w:t>7、</w:t>
      </w:r>
      <w:r>
        <w:rPr>
          <w:rFonts w:hint="eastAsia" w:ascii="宋体" w:hAnsi="宋体"/>
          <w:sz w:val="24"/>
        </w:rPr>
        <w:t>人工费按《滁州市住房和城乡建设局</w:t>
      </w:r>
      <w:bookmarkStart w:id="0" w:name="文号"/>
      <w:r>
        <w:rPr>
          <w:rFonts w:hint="eastAsia" w:ascii="宋体" w:hAnsi="宋体"/>
          <w:sz w:val="24"/>
        </w:rPr>
        <w:t>建科[2021]34号</w:t>
      </w:r>
      <w:bookmarkEnd w:id="0"/>
      <w:r>
        <w:rPr>
          <w:rFonts w:hint="eastAsia" w:ascii="宋体" w:hAnsi="宋体"/>
          <w:sz w:val="24"/>
        </w:rPr>
        <w:t>文》：“</w:t>
      </w:r>
      <w:r>
        <w:rPr>
          <w:rFonts w:hint="eastAsia" w:ascii="宋体" w:hAnsi="宋体" w:eastAsia="宋体" w:cs="Times New Roman"/>
          <w:sz w:val="24"/>
        </w:rPr>
        <w:t>关于发布滁州市建设工程人工价格信息的通知调整”，即按</w:t>
      </w:r>
      <w:r>
        <w:rPr>
          <w:rFonts w:hint="eastAsia" w:ascii="宋体" w:hAnsi="宋体"/>
          <w:sz w:val="24"/>
        </w:rPr>
        <w:t>15</w:t>
      </w:r>
      <w:r>
        <w:rPr>
          <w:rFonts w:hint="eastAsia" w:ascii="宋体" w:hAnsi="宋体"/>
          <w:sz w:val="24"/>
          <w:lang w:val="en-US" w:eastAsia="zh-CN"/>
        </w:rPr>
        <w:t>6.5</w:t>
      </w:r>
      <w:r>
        <w:rPr>
          <w:rFonts w:hint="eastAsia" w:ascii="宋体" w:hAnsi="宋体"/>
          <w:sz w:val="24"/>
        </w:rPr>
        <w:t>元/工日计取，其中</w:t>
      </w:r>
      <w:r>
        <w:rPr>
          <w:rFonts w:hint="eastAsia" w:ascii="宋体" w:hAnsi="宋体"/>
          <w:sz w:val="24"/>
          <w:lang w:val="en-US" w:eastAsia="zh-CN"/>
        </w:rPr>
        <w:t>16.5</w:t>
      </w:r>
      <w:r>
        <w:rPr>
          <w:rFonts w:hint="eastAsia" w:ascii="宋体" w:hAnsi="宋体"/>
          <w:sz w:val="24"/>
        </w:rPr>
        <w:t>元/工日仅计取税金；</w:t>
      </w:r>
    </w:p>
    <w:p w14:paraId="727D21CA">
      <w:pPr>
        <w:numPr>
          <w:ilvl w:val="0"/>
          <w:numId w:val="0"/>
        </w:numPr>
        <w:snapToGrid w:val="0"/>
        <w:spacing w:line="360" w:lineRule="auto"/>
        <w:ind w:firstLine="480" w:firstLineChars="200"/>
        <w:rPr>
          <w:rFonts w:ascii="宋体" w:hAnsi="宋体"/>
          <w:bCs/>
          <w:sz w:val="24"/>
        </w:rPr>
      </w:pPr>
      <w:r>
        <w:rPr>
          <w:rFonts w:hint="eastAsia" w:ascii="宋体" w:hAnsi="宋体"/>
          <w:sz w:val="24"/>
          <w:lang w:val="en-US" w:eastAsia="zh-CN"/>
        </w:rPr>
        <w:t>8、</w:t>
      </w:r>
      <w:r>
        <w:rPr>
          <w:rFonts w:hint="eastAsia" w:ascii="宋体" w:hAnsi="宋体"/>
          <w:sz w:val="24"/>
        </w:rPr>
        <w:t>截止202</w:t>
      </w:r>
      <w:r>
        <w:rPr>
          <w:rFonts w:hint="eastAsia" w:ascii="宋体" w:hAnsi="宋体"/>
          <w:sz w:val="24"/>
          <w:lang w:val="en-US" w:eastAsia="zh-CN"/>
        </w:rPr>
        <w:t>6</w:t>
      </w:r>
      <w:r>
        <w:rPr>
          <w:rFonts w:hint="eastAsia" w:ascii="宋体" w:hAnsi="宋体"/>
          <w:sz w:val="24"/>
        </w:rPr>
        <w:t>年</w:t>
      </w:r>
      <w:r>
        <w:rPr>
          <w:rFonts w:hint="eastAsia" w:ascii="宋体" w:hAnsi="宋体"/>
          <w:sz w:val="24"/>
          <w:lang w:val="en-US" w:eastAsia="zh-CN"/>
        </w:rPr>
        <w:t>3</w:t>
      </w:r>
      <w:r>
        <w:rPr>
          <w:rFonts w:hint="eastAsia" w:ascii="宋体" w:hAnsi="宋体"/>
          <w:sz w:val="24"/>
        </w:rPr>
        <w:t>月省、市有关政策性调整文件。</w:t>
      </w:r>
    </w:p>
    <w:p w14:paraId="3D337AC0">
      <w:pPr>
        <w:snapToGrid w:val="0"/>
        <w:spacing w:line="360" w:lineRule="auto"/>
        <w:ind w:firstLine="241" w:firstLineChars="100"/>
        <w:rPr>
          <w:rFonts w:ascii="宋体" w:hAnsi="宋体" w:eastAsia="宋体"/>
          <w:b/>
          <w:sz w:val="24"/>
        </w:rPr>
      </w:pPr>
      <w:r>
        <w:rPr>
          <w:rFonts w:hint="eastAsia" w:ascii="宋体" w:hAnsi="宋体"/>
          <w:b/>
          <w:sz w:val="24"/>
        </w:rPr>
        <w:t>四、编制方法：</w:t>
      </w:r>
    </w:p>
    <w:p w14:paraId="2E0B93F4">
      <w:pPr>
        <w:spacing w:line="360" w:lineRule="auto"/>
        <w:ind w:firstLine="480"/>
        <w:jc w:val="left"/>
        <w:rPr>
          <w:rFonts w:ascii="宋体" w:hAnsi="宋体"/>
          <w:sz w:val="24"/>
        </w:rPr>
      </w:pPr>
      <w:r>
        <w:rPr>
          <w:rFonts w:hint="eastAsia" w:ascii="宋体" w:hAnsi="宋体"/>
          <w:sz w:val="24"/>
        </w:rPr>
        <w:t>工程量清单计价法（增值税一般计税）</w:t>
      </w:r>
      <w:r>
        <w:rPr>
          <w:rFonts w:hint="eastAsia" w:ascii="宋体" w:hAnsi="宋体"/>
          <w:sz w:val="24"/>
          <w:lang w:val="en-US" w:eastAsia="zh-CN"/>
        </w:rPr>
        <w:t>动态调整第2期</w:t>
      </w:r>
      <w:r>
        <w:rPr>
          <w:rFonts w:hint="eastAsia" w:ascii="宋体" w:hAnsi="宋体"/>
          <w:sz w:val="24"/>
        </w:rPr>
        <w:t>。</w:t>
      </w:r>
    </w:p>
    <w:p w14:paraId="02F0795D">
      <w:pPr>
        <w:snapToGrid w:val="0"/>
        <w:spacing w:line="360" w:lineRule="auto"/>
        <w:ind w:firstLine="241" w:firstLineChars="100"/>
        <w:rPr>
          <w:rFonts w:hint="eastAsia" w:ascii="宋体" w:hAnsi="宋体"/>
          <w:b/>
          <w:sz w:val="24"/>
          <w:lang w:val="en-US" w:eastAsia="zh-CN"/>
        </w:rPr>
      </w:pPr>
    </w:p>
    <w:p w14:paraId="42E510A2">
      <w:pPr>
        <w:snapToGrid w:val="0"/>
        <w:spacing w:line="360" w:lineRule="auto"/>
        <w:ind w:firstLine="241" w:firstLineChars="100"/>
        <w:rPr>
          <w:rFonts w:hint="eastAsia" w:ascii="宋体" w:hAnsi="宋体"/>
          <w:b/>
          <w:sz w:val="24"/>
          <w:lang w:val="en-US" w:eastAsia="zh-CN"/>
        </w:rPr>
      </w:pPr>
      <w:r>
        <w:rPr>
          <w:rFonts w:hint="eastAsia" w:ascii="宋体" w:hAnsi="宋体"/>
          <w:b/>
          <w:sz w:val="24"/>
          <w:lang w:val="en-US" w:eastAsia="zh-CN"/>
        </w:rPr>
        <w:t>五、编制有关说明：</w:t>
      </w:r>
    </w:p>
    <w:p w14:paraId="5EBA23CF">
      <w:pPr>
        <w:numPr>
          <w:ilvl w:val="0"/>
          <w:numId w:val="0"/>
        </w:num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1、本工程未设暂列金额；</w:t>
      </w:r>
    </w:p>
    <w:p w14:paraId="7181897A">
      <w:pPr>
        <w:numPr>
          <w:ilvl w:val="0"/>
          <w:numId w:val="0"/>
        </w:num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2、停车场沥青面层铣刨后浇粘层加铺4cm细粒式沥青混凝土，路牙侧石及平石保留，摊铺沥青时不得损坏，损坏部分投标单位自行补齐；</w:t>
      </w:r>
    </w:p>
    <w:p w14:paraId="5C3B9E5F">
      <w:pPr>
        <w:numPr>
          <w:ilvl w:val="0"/>
          <w:numId w:val="0"/>
        </w:numPr>
        <w:snapToGrid w:val="0"/>
        <w:spacing w:line="360" w:lineRule="auto"/>
        <w:ind w:firstLine="480" w:firstLineChars="200"/>
        <w:rPr>
          <w:rFonts w:hint="eastAsia" w:ascii="宋体" w:hAnsi="宋体"/>
          <w:sz w:val="24"/>
          <w:lang w:val="en-US" w:eastAsia="zh-CN"/>
        </w:rPr>
      </w:pPr>
      <w:r>
        <w:rPr>
          <w:rFonts w:hint="eastAsia" w:ascii="宋体" w:hAnsi="宋体"/>
          <w:sz w:val="24"/>
          <w:lang w:val="en-US" w:eastAsia="zh-CN"/>
        </w:rPr>
        <w:t>3、原有局部路牙石破损，拆除后重新铺设新的路牙石，工程量按实结算；</w:t>
      </w:r>
    </w:p>
    <w:p w14:paraId="2CD65601">
      <w:pPr>
        <w:numPr>
          <w:ilvl w:val="0"/>
          <w:numId w:val="0"/>
        </w:numPr>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lang w:val="en-US" w:eastAsia="zh-CN"/>
          <w14:textFill>
            <w14:solidFill>
              <w14:schemeClr w14:val="tx1"/>
            </w14:solidFill>
          </w14:textFill>
        </w:rPr>
        <w:t>4、</w:t>
      </w:r>
      <w:r>
        <w:rPr>
          <w:rFonts w:hint="eastAsia" w:ascii="宋体" w:hAnsi="宋体" w:eastAsia="宋体" w:cs="Times New Roman"/>
          <w:color w:val="000000" w:themeColor="text1"/>
          <w:sz w:val="24"/>
          <w14:textFill>
            <w14:solidFill>
              <w14:schemeClr w14:val="tx1"/>
            </w14:solidFill>
          </w14:textFill>
        </w:rPr>
        <w:t>车位划线工程量暂估，</w:t>
      </w:r>
      <w:r>
        <w:rPr>
          <w:rFonts w:hint="eastAsia" w:ascii="宋体" w:hAnsi="宋体" w:eastAsia="宋体" w:cs="Times New Roman"/>
          <w:color w:val="000000" w:themeColor="text1"/>
          <w:sz w:val="24"/>
          <w:lang w:val="en-US" w:eastAsia="zh-CN"/>
          <w14:textFill>
            <w14:solidFill>
              <w14:schemeClr w14:val="tx1"/>
            </w14:solidFill>
          </w14:textFill>
        </w:rPr>
        <w:t>工程量按实结算；</w:t>
      </w:r>
    </w:p>
    <w:p w14:paraId="32ECD5CF">
      <w:pPr>
        <w:numPr>
          <w:ilvl w:val="0"/>
          <w:numId w:val="0"/>
        </w:numPr>
        <w:spacing w:line="360" w:lineRule="auto"/>
        <w:ind w:firstLine="480" w:firstLineChars="200"/>
        <w:rPr>
          <w:rFonts w:hint="default" w:ascii="宋体" w:hAnsi="宋体" w:eastAsia="宋体" w:cs="Times New Roman"/>
          <w:color w:val="000000" w:themeColor="text1"/>
          <w:sz w:val="24"/>
          <w:lang w:val="en-US" w:eastAsia="zh-CN"/>
          <w14:textFill>
            <w14:solidFill>
              <w14:schemeClr w14:val="tx1"/>
            </w14:solidFill>
          </w14:textFill>
        </w:rPr>
      </w:pPr>
      <w:r>
        <w:rPr>
          <w:rFonts w:hint="eastAsia" w:ascii="宋体" w:hAnsi="宋体" w:eastAsia="宋体" w:cs="Times New Roman"/>
          <w:color w:val="000000" w:themeColor="text1"/>
          <w:sz w:val="24"/>
          <w:lang w:val="en-US" w:eastAsia="zh-CN"/>
          <w14:textFill>
            <w14:solidFill>
              <w14:schemeClr w14:val="tx1"/>
            </w14:solidFill>
          </w14:textFill>
        </w:rPr>
        <w:t>5、路灯按4</w:t>
      </w:r>
      <w:r>
        <w:rPr>
          <w:rFonts w:hint="eastAsia" w:ascii="宋体" w:hAnsi="宋体" w:eastAsia="宋体" w:cs="Times New Roman"/>
          <w:color w:val="000000" w:themeColor="text1"/>
          <w:sz w:val="24"/>
          <w14:textFill>
            <w14:solidFill>
              <w14:schemeClr w14:val="tx1"/>
            </w14:solidFill>
          </w14:textFill>
        </w:rPr>
        <w:t>m高庭院灯</w:t>
      </w:r>
      <w:r>
        <w:rPr>
          <w:rFonts w:hint="eastAsia" w:ascii="宋体" w:hAnsi="宋体" w:eastAsia="宋体" w:cs="Times New Roman"/>
          <w:color w:val="000000" w:themeColor="text1"/>
          <w:sz w:val="24"/>
          <w:lang w:val="en-US" w:eastAsia="zh-CN"/>
          <w14:textFill>
            <w14:solidFill>
              <w14:schemeClr w14:val="tx1"/>
            </w14:solidFill>
          </w14:textFill>
        </w:rPr>
        <w:t>采购，样式由建设单位选样</w:t>
      </w:r>
      <w:r>
        <w:rPr>
          <w:rFonts w:hint="eastAsia" w:ascii="宋体" w:hAnsi="宋体" w:eastAsia="宋体" w:cs="Times New Roman"/>
          <w:color w:val="000000" w:themeColor="text1"/>
          <w:sz w:val="24"/>
          <w14:textFill>
            <w14:solidFill>
              <w14:schemeClr w14:val="tx1"/>
            </w14:solidFill>
          </w14:textFill>
        </w:rPr>
        <w:t>，配套</w:t>
      </w:r>
      <w:r>
        <w:rPr>
          <w:rFonts w:hint="eastAsia" w:ascii="宋体" w:hAnsi="宋体" w:eastAsia="宋体" w:cs="Times New Roman"/>
          <w:color w:val="000000" w:themeColor="text1"/>
          <w:sz w:val="24"/>
          <w:lang w:val="en-US" w:eastAsia="zh-CN"/>
          <w14:textFill>
            <w14:solidFill>
              <w14:schemeClr w14:val="tx1"/>
            </w14:solidFill>
          </w14:textFill>
        </w:rPr>
        <w:t>电源暂按</w:t>
      </w:r>
      <w:r>
        <w:rPr>
          <w:rFonts w:hint="eastAsia" w:ascii="宋体" w:hAnsi="宋体" w:eastAsia="宋体" w:cs="Times New Roman"/>
          <w:color w:val="000000" w:themeColor="text1"/>
          <w:sz w:val="24"/>
          <w14:textFill>
            <w14:solidFill>
              <w14:schemeClr w14:val="tx1"/>
            </w14:solidFill>
          </w14:textFill>
        </w:rPr>
        <w:t>从厕所接线，不重新设配电箱，</w:t>
      </w:r>
      <w:r>
        <w:rPr>
          <w:rFonts w:hint="eastAsia" w:ascii="宋体" w:hAnsi="宋体" w:eastAsia="宋体" w:cs="Times New Roman"/>
          <w:color w:val="000000" w:themeColor="text1"/>
          <w:sz w:val="24"/>
          <w:lang w:val="en-US" w:eastAsia="zh-CN"/>
          <w14:textFill>
            <w14:solidFill>
              <w14:schemeClr w14:val="tx1"/>
            </w14:solidFill>
          </w14:textFill>
        </w:rPr>
        <w:t>施工时如调整按建设单位要求施工；</w:t>
      </w:r>
    </w:p>
    <w:p w14:paraId="46CCF9D8">
      <w:pPr>
        <w:numPr>
          <w:ilvl w:val="0"/>
          <w:numId w:val="0"/>
        </w:numPr>
        <w:spacing w:line="360" w:lineRule="auto"/>
        <w:ind w:firstLine="480" w:firstLineChars="200"/>
        <w:rPr>
          <w:rFonts w:hint="eastAsia" w:ascii="宋体" w:hAnsi="宋体" w:eastAsia="宋体" w:cs="Times New Roman"/>
          <w:color w:val="000000" w:themeColor="text1"/>
          <w:sz w:val="24"/>
          <w14:textFill>
            <w14:solidFill>
              <w14:schemeClr w14:val="tx1"/>
            </w14:solidFill>
          </w14:textFill>
        </w:rPr>
      </w:pPr>
      <w:r>
        <w:rPr>
          <w:rFonts w:hint="eastAsia" w:ascii="宋体" w:hAnsi="宋体" w:eastAsia="宋体" w:cs="Times New Roman"/>
          <w:color w:val="000000" w:themeColor="text1"/>
          <w:sz w:val="24"/>
          <w:lang w:val="en-US" w:eastAsia="zh-CN"/>
          <w14:textFill>
            <w14:solidFill>
              <w14:schemeClr w14:val="tx1"/>
            </w14:solidFill>
          </w14:textFill>
        </w:rPr>
        <w:t>6、</w:t>
      </w:r>
      <w:r>
        <w:rPr>
          <w:rFonts w:hint="eastAsia" w:ascii="宋体" w:hAnsi="宋体" w:eastAsia="宋体" w:cs="Times New Roman"/>
          <w:color w:val="000000" w:themeColor="text1"/>
          <w:sz w:val="24"/>
          <w14:textFill>
            <w14:solidFill>
              <w14:schemeClr w14:val="tx1"/>
            </w14:solidFill>
          </w14:textFill>
        </w:rPr>
        <w:t>原有树池考虑拆除后，下挖30cm，采用10cm碎石+10cmC15砼回填，上铺沥青面层；</w:t>
      </w:r>
    </w:p>
    <w:p w14:paraId="47580710">
      <w:pPr>
        <w:numPr>
          <w:ilvl w:val="0"/>
          <w:numId w:val="0"/>
        </w:numPr>
        <w:spacing w:line="360" w:lineRule="auto"/>
        <w:ind w:firstLine="480" w:firstLineChars="200"/>
        <w:rPr>
          <w:rFonts w:ascii="宋体" w:hAnsi="宋体" w:eastAsia="宋体" w:cs="Times New Roman"/>
          <w:sz w:val="24"/>
        </w:rPr>
      </w:pPr>
      <w:r>
        <w:rPr>
          <w:rFonts w:hint="eastAsia" w:ascii="宋体" w:hAnsi="宋体" w:eastAsia="宋体" w:cs="Times New Roman"/>
          <w:color w:val="000000" w:themeColor="text1"/>
          <w:sz w:val="24"/>
          <w:lang w:val="en-US" w:eastAsia="zh-CN"/>
          <w14:textFill>
            <w14:solidFill>
              <w14:schemeClr w14:val="tx1"/>
            </w14:solidFill>
          </w14:textFill>
        </w:rPr>
        <w:t>7、</w:t>
      </w:r>
      <w:r>
        <w:rPr>
          <w:rFonts w:hint="eastAsia" w:ascii="宋体" w:hAnsi="宋体" w:eastAsia="宋体" w:cs="Times New Roman"/>
          <w:color w:val="000000" w:themeColor="text1"/>
          <w:sz w:val="24"/>
          <w14:textFill>
            <w14:solidFill>
              <w14:schemeClr w14:val="tx1"/>
            </w14:solidFill>
          </w14:textFill>
        </w:rPr>
        <w:t>道闸设备</w:t>
      </w:r>
      <w:r>
        <w:rPr>
          <w:rFonts w:hint="eastAsia" w:ascii="宋体" w:hAnsi="宋体" w:eastAsia="宋体" w:cs="Times New Roman"/>
          <w:color w:val="000000" w:themeColor="text1"/>
          <w:sz w:val="24"/>
          <w:lang w:val="en-US" w:eastAsia="zh-CN"/>
          <w14:textFill>
            <w14:solidFill>
              <w14:schemeClr w14:val="tx1"/>
            </w14:solidFill>
          </w14:textFill>
        </w:rPr>
        <w:t>不在此次编制范围内；</w:t>
      </w:r>
    </w:p>
    <w:p w14:paraId="0861FC0C">
      <w:pPr>
        <w:numPr>
          <w:ilvl w:val="0"/>
          <w:numId w:val="0"/>
        </w:numPr>
        <w:spacing w:line="360" w:lineRule="auto"/>
        <w:ind w:firstLine="480" w:firstLineChars="200"/>
        <w:rPr>
          <w:rFonts w:hint="default" w:ascii="宋体" w:hAnsi="宋体" w:eastAsia="宋体" w:cs="Times New Roman"/>
          <w:sz w:val="24"/>
          <w:lang w:val="en-US" w:eastAsia="zh-CN"/>
        </w:rPr>
      </w:pPr>
      <w:r>
        <w:rPr>
          <w:rFonts w:hint="eastAsia" w:ascii="宋体" w:hAnsi="宋体" w:eastAsia="宋体" w:cs="Times New Roman"/>
          <w:sz w:val="24"/>
          <w:lang w:val="en-US" w:eastAsia="zh-CN"/>
        </w:rPr>
        <w:t>8、监控系统需跟现有监控平台兼容；</w:t>
      </w:r>
    </w:p>
    <w:p w14:paraId="3921EE9E">
      <w:pPr>
        <w:numPr>
          <w:ilvl w:val="0"/>
          <w:numId w:val="0"/>
        </w:numPr>
        <w:spacing w:line="360" w:lineRule="auto"/>
        <w:ind w:firstLine="480" w:firstLineChars="200"/>
        <w:rPr>
          <w:rFonts w:ascii="宋体" w:hAnsi="宋体" w:eastAsia="宋体" w:cs="Times New Roman"/>
          <w:sz w:val="24"/>
        </w:rPr>
      </w:pPr>
      <w:r>
        <w:rPr>
          <w:rFonts w:hint="eastAsia" w:ascii="宋体" w:hAnsi="宋体" w:eastAsia="宋体" w:cs="Times New Roman"/>
          <w:sz w:val="24"/>
          <w:lang w:val="en-US" w:eastAsia="zh-CN"/>
        </w:rPr>
        <w:t>9、</w:t>
      </w:r>
      <w:r>
        <w:rPr>
          <w:rFonts w:hint="eastAsia" w:ascii="宋体" w:hAnsi="宋体" w:eastAsia="宋体" w:cs="Times New Roman"/>
          <w:sz w:val="24"/>
        </w:rPr>
        <w:t>本工程赶工措施费、非夜间施工增加费</w:t>
      </w:r>
      <w:r>
        <w:rPr>
          <w:rFonts w:hint="eastAsia" w:ascii="宋体" w:hAnsi="宋体" w:eastAsia="宋体" w:cs="Times New Roman"/>
          <w:sz w:val="24"/>
          <w:lang w:eastAsia="zh-CN"/>
        </w:rPr>
        <w:t>、</w:t>
      </w:r>
      <w:r>
        <w:rPr>
          <w:rFonts w:hint="eastAsia" w:ascii="宋体" w:hAnsi="宋体" w:eastAsia="宋体" w:cs="Times New Roman"/>
          <w:sz w:val="24"/>
          <w:lang w:val="en-US" w:eastAsia="zh-CN"/>
        </w:rPr>
        <w:t>智慧工地建设费</w:t>
      </w:r>
      <w:r>
        <w:rPr>
          <w:rFonts w:hint="eastAsia" w:ascii="宋体" w:hAnsi="宋体" w:eastAsia="宋体" w:cs="Times New Roman"/>
          <w:sz w:val="24"/>
        </w:rPr>
        <w:t>均不计取</w:t>
      </w:r>
      <w:r>
        <w:rPr>
          <w:rFonts w:hint="eastAsia" w:ascii="宋体" w:hAnsi="宋体" w:eastAsia="宋体" w:cs="Times New Roman"/>
          <w:sz w:val="24"/>
          <w:lang w:eastAsia="zh-CN"/>
        </w:rPr>
        <w:t>；</w:t>
      </w:r>
    </w:p>
    <w:p w14:paraId="7CBDF3DC">
      <w:pPr>
        <w:numPr>
          <w:ilvl w:val="0"/>
          <w:numId w:val="0"/>
        </w:numPr>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10、所有工程量均为暂定量，施工前工程范围及材料品种等均需得到建设单位、监理单位同意后方能实施；</w:t>
      </w:r>
    </w:p>
    <w:p w14:paraId="5DA7DA1F">
      <w:pPr>
        <w:numPr>
          <w:ilvl w:val="0"/>
          <w:numId w:val="0"/>
        </w:numPr>
        <w:spacing w:line="360" w:lineRule="auto"/>
        <w:ind w:firstLine="480" w:firstLineChars="200"/>
        <w:rPr>
          <w:rFonts w:hint="eastAsia" w:ascii="宋体" w:hAnsi="宋体" w:eastAsia="宋体" w:cs="Times New Roman"/>
          <w:sz w:val="24"/>
          <w:lang w:eastAsia="zh-CN"/>
        </w:rPr>
      </w:pPr>
      <w:r>
        <w:rPr>
          <w:rFonts w:hint="eastAsia" w:ascii="宋体" w:hAnsi="宋体" w:eastAsia="宋体" w:cs="Times New Roman"/>
          <w:sz w:val="24"/>
          <w:lang w:val="en-US" w:eastAsia="zh-CN"/>
        </w:rPr>
        <w:t>11、</w:t>
      </w:r>
      <w:r>
        <w:rPr>
          <w:rFonts w:hint="eastAsia" w:ascii="宋体" w:hAnsi="宋体" w:eastAsia="宋体" w:cs="Times New Roman"/>
          <w:sz w:val="24"/>
        </w:rPr>
        <w:t>工程量清单列出的每个项目已包括涉及与该细目有关的全部工程内容，投标人应将工程量清单与招标文件、合同通用条款、专用条款以及技术规范一起对照阅读</w:t>
      </w:r>
      <w:r>
        <w:rPr>
          <w:rFonts w:hint="eastAsia" w:ascii="宋体" w:hAnsi="宋体" w:eastAsia="宋体" w:cs="Times New Roman"/>
          <w:sz w:val="24"/>
          <w:lang w:eastAsia="zh-CN"/>
        </w:rPr>
        <w:t>。</w:t>
      </w:r>
    </w:p>
    <w:p w14:paraId="05B74FE4">
      <w:pPr>
        <w:pStyle w:val="8"/>
        <w:spacing w:line="360" w:lineRule="auto"/>
        <w:ind w:firstLine="241" w:firstLineChars="100"/>
        <w:rPr>
          <w:rFonts w:ascii="宋体" w:hAnsi="宋体"/>
          <w:b/>
          <w:sz w:val="24"/>
        </w:rPr>
      </w:pPr>
      <w:r>
        <w:rPr>
          <w:rFonts w:hint="eastAsia" w:ascii="宋体" w:hAnsi="宋体"/>
          <w:b/>
          <w:sz w:val="24"/>
        </w:rPr>
        <w:t>六、编制结论：</w:t>
      </w:r>
    </w:p>
    <w:p w14:paraId="7ADCB877">
      <w:pPr>
        <w:pStyle w:val="8"/>
        <w:spacing w:line="360" w:lineRule="auto"/>
        <w:rPr>
          <w:rFonts w:hint="default" w:ascii="宋体" w:hAnsi="宋体" w:eastAsia="宋体" w:cs="宋体"/>
          <w:b w:val="0"/>
          <w:bCs/>
          <w:sz w:val="24"/>
          <w:szCs w:val="24"/>
          <w:lang w:val="en-US" w:eastAsia="zh-CN"/>
        </w:rPr>
      </w:pPr>
      <w:r>
        <w:rPr>
          <w:rFonts w:hint="eastAsia"/>
          <w:b w:val="0"/>
          <w:bCs/>
          <w:sz w:val="24"/>
          <w:szCs w:val="24"/>
          <w:lang w:val="en-US" w:eastAsia="zh-CN"/>
        </w:rPr>
        <w:t>最高投标限价：326696.48</w:t>
      </w:r>
      <w:r>
        <w:rPr>
          <w:rFonts w:hint="eastAsia" w:ascii="宋体" w:hAnsi="宋体" w:eastAsia="宋体" w:cs="宋体"/>
          <w:b w:val="0"/>
          <w:bCs/>
          <w:sz w:val="24"/>
          <w:szCs w:val="24"/>
          <w:lang w:val="en-US" w:eastAsia="zh-CN"/>
        </w:rPr>
        <w:t>元</w:t>
      </w:r>
    </w:p>
    <w:p w14:paraId="639AC220">
      <w:pPr>
        <w:pStyle w:val="8"/>
        <w:spacing w:line="360" w:lineRule="auto"/>
        <w:rPr>
          <w:rFonts w:hint="eastAsia" w:ascii="宋体" w:hAnsi="宋体" w:eastAsia="宋体" w:cs="Times New Roman"/>
          <w:sz w:val="24"/>
        </w:rPr>
      </w:pPr>
      <w:r>
        <w:rPr>
          <w:rFonts w:hint="eastAsia" w:ascii="宋体" w:hAnsi="宋体"/>
          <w:bCs/>
          <w:sz w:val="24"/>
        </w:rPr>
        <w:t>人民币大写：</w:t>
      </w:r>
      <w:r>
        <w:rPr>
          <w:rFonts w:hint="eastAsia" w:ascii="宋体" w:hAnsi="宋体"/>
          <w:bCs/>
          <w:sz w:val="24"/>
          <w:lang w:val="en-US" w:eastAsia="zh-CN"/>
        </w:rPr>
        <w:t>叁拾</w:t>
      </w:r>
      <w:bookmarkStart w:id="1" w:name="_GoBack"/>
      <w:bookmarkEnd w:id="1"/>
      <w:r>
        <w:rPr>
          <w:rFonts w:hint="eastAsia" w:ascii="宋体" w:hAnsi="宋体"/>
          <w:bCs/>
          <w:sz w:val="24"/>
          <w:lang w:val="en-US" w:eastAsia="zh-CN"/>
        </w:rPr>
        <w:t>贰万陆仟陆佰玖拾陆元肆角捌分。</w:t>
      </w:r>
      <w:r>
        <w:rPr>
          <w:rFonts w:hint="eastAsia" w:ascii="宋体" w:hAnsi="宋体" w:eastAsia="宋体" w:cs="Times New Roman"/>
          <w:sz w:val="24"/>
        </w:rPr>
        <w:t xml:space="preserve">           </w:t>
      </w:r>
    </w:p>
    <w:p w14:paraId="6AACEF79">
      <w:pPr>
        <w:pStyle w:val="8"/>
        <w:spacing w:line="360" w:lineRule="auto"/>
        <w:rPr>
          <w:rFonts w:ascii="宋体" w:hAnsi="宋体"/>
          <w:bCs/>
          <w:sz w:val="24"/>
        </w:rPr>
      </w:pPr>
      <w:r>
        <w:rPr>
          <w:rFonts w:hint="eastAsia" w:ascii="宋体" w:hAnsi="宋体" w:eastAsia="宋体" w:cs="Times New Roman"/>
          <w:sz w:val="24"/>
        </w:rPr>
        <w:t xml:space="preserve">                                                                                             </w:t>
      </w:r>
    </w:p>
    <w:p w14:paraId="661C2DE9">
      <w:pPr>
        <w:spacing w:line="360" w:lineRule="auto"/>
        <w:jc w:val="right"/>
        <w:rPr>
          <w:rFonts w:hint="eastAsia" w:ascii="宋体" w:hAnsi="宋体" w:eastAsia="宋体" w:cs="Times New Roman"/>
          <w:sz w:val="24"/>
        </w:rPr>
      </w:pPr>
    </w:p>
    <w:p w14:paraId="33C979F4">
      <w:pPr>
        <w:spacing w:line="360" w:lineRule="auto"/>
        <w:jc w:val="right"/>
        <w:rPr>
          <w:rFonts w:hint="eastAsia" w:ascii="宋体" w:hAnsi="宋体" w:eastAsia="宋体" w:cs="Times New Roman"/>
          <w:sz w:val="24"/>
        </w:rPr>
      </w:pPr>
      <w:r>
        <w:rPr>
          <w:rFonts w:hint="eastAsia" w:ascii="宋体" w:hAnsi="宋体" w:eastAsia="宋体" w:cs="Times New Roman"/>
          <w:sz w:val="24"/>
        </w:rPr>
        <w:t xml:space="preserve">                                             </w:t>
      </w:r>
    </w:p>
    <w:p w14:paraId="5DB3ADFC">
      <w:pPr>
        <w:spacing w:line="360" w:lineRule="auto"/>
        <w:jc w:val="right"/>
        <w:rPr>
          <w:rFonts w:hint="eastAsia" w:ascii="宋体" w:hAnsi="宋体" w:eastAsia="宋体" w:cs="Times New Roman"/>
          <w:sz w:val="24"/>
        </w:rPr>
      </w:pPr>
    </w:p>
    <w:p w14:paraId="7856836C">
      <w:pPr>
        <w:spacing w:line="360" w:lineRule="auto"/>
        <w:jc w:val="right"/>
        <w:rPr>
          <w:rFonts w:ascii="宋体" w:hAnsi="宋体" w:eastAsia="宋体" w:cs="Times New Roman"/>
          <w:sz w:val="22"/>
          <w:szCs w:val="22"/>
        </w:rPr>
      </w:pPr>
      <w:r>
        <w:rPr>
          <w:rFonts w:hint="eastAsia" w:ascii="宋体" w:hAnsi="宋体" w:eastAsia="宋体" w:cs="Times New Roman"/>
          <w:sz w:val="24"/>
        </w:rPr>
        <w:t>202</w:t>
      </w:r>
      <w:r>
        <w:rPr>
          <w:rFonts w:hint="eastAsia" w:ascii="宋体" w:hAnsi="宋体" w:eastAsia="宋体" w:cs="Times New Roman"/>
          <w:sz w:val="24"/>
          <w:lang w:val="en-US" w:eastAsia="zh-CN"/>
        </w:rPr>
        <w:t>6</w:t>
      </w:r>
      <w:r>
        <w:rPr>
          <w:rFonts w:hint="eastAsia" w:ascii="宋体" w:hAnsi="宋体" w:eastAsia="宋体" w:cs="Times New Roman"/>
          <w:sz w:val="24"/>
        </w:rPr>
        <w:t>年</w:t>
      </w:r>
      <w:r>
        <w:rPr>
          <w:rFonts w:hint="eastAsia" w:ascii="宋体" w:hAnsi="宋体" w:eastAsia="宋体" w:cs="Times New Roman"/>
          <w:sz w:val="24"/>
          <w:lang w:val="en-US" w:eastAsia="zh-CN"/>
        </w:rPr>
        <w:t>3</w:t>
      </w:r>
      <w:r>
        <w:rPr>
          <w:rFonts w:hint="eastAsia" w:ascii="宋体" w:hAnsi="宋体" w:eastAsia="宋体" w:cs="Times New Roman"/>
          <w:sz w:val="24"/>
        </w:rPr>
        <w:t>月</w:t>
      </w:r>
      <w:r>
        <w:rPr>
          <w:rFonts w:hint="eastAsia" w:ascii="宋体" w:hAnsi="宋体" w:eastAsia="宋体" w:cs="Times New Roman"/>
          <w:sz w:val="24"/>
          <w:lang w:val="en-US" w:eastAsia="zh-CN"/>
        </w:rPr>
        <w:t>31</w:t>
      </w:r>
      <w:r>
        <w:rPr>
          <w:rFonts w:hint="eastAsia" w:ascii="宋体" w:hAnsi="宋体" w:eastAsia="宋体" w:cs="Times New Roman"/>
          <w:sz w:val="24"/>
        </w:rPr>
        <w:t>日</w:t>
      </w:r>
    </w:p>
    <w:sectPr>
      <w:pgSz w:w="11906" w:h="16838"/>
      <w:pgMar w:top="1440" w:right="157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756435"/>
    <w:multiLevelType w:val="singleLevel"/>
    <w:tmpl w:val="3C75643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VkY2Y4ODQxYTZhMTA0ZDM3MTJhMjFlNmIxYTRlZGUifQ=="/>
    <w:docVar w:name="KSO_WPS_MARK_KEY" w:val="d75f156f-38ca-4994-b617-15e5eed74358"/>
  </w:docVars>
  <w:rsids>
    <w:rsidRoot w:val="1C2B6FAE"/>
    <w:rsid w:val="000335E5"/>
    <w:rsid w:val="00076791"/>
    <w:rsid w:val="00162A13"/>
    <w:rsid w:val="00200701"/>
    <w:rsid w:val="003124B7"/>
    <w:rsid w:val="00321CF0"/>
    <w:rsid w:val="003601B5"/>
    <w:rsid w:val="003B06FC"/>
    <w:rsid w:val="004D77C7"/>
    <w:rsid w:val="004F4EEE"/>
    <w:rsid w:val="00546699"/>
    <w:rsid w:val="00565B23"/>
    <w:rsid w:val="00592D67"/>
    <w:rsid w:val="00601403"/>
    <w:rsid w:val="006B5C17"/>
    <w:rsid w:val="006C5B67"/>
    <w:rsid w:val="00723168"/>
    <w:rsid w:val="008D6F08"/>
    <w:rsid w:val="00950B66"/>
    <w:rsid w:val="009526AA"/>
    <w:rsid w:val="009E08A5"/>
    <w:rsid w:val="00A3073F"/>
    <w:rsid w:val="00A46E53"/>
    <w:rsid w:val="00B12CDD"/>
    <w:rsid w:val="00BF4E05"/>
    <w:rsid w:val="00C102F4"/>
    <w:rsid w:val="00CF4C7A"/>
    <w:rsid w:val="00E12DD0"/>
    <w:rsid w:val="00E84DE7"/>
    <w:rsid w:val="00EE3C30"/>
    <w:rsid w:val="00F84748"/>
    <w:rsid w:val="01E37E5F"/>
    <w:rsid w:val="03761886"/>
    <w:rsid w:val="05056DF6"/>
    <w:rsid w:val="067A062E"/>
    <w:rsid w:val="067D76F5"/>
    <w:rsid w:val="06B86A37"/>
    <w:rsid w:val="073F4EB6"/>
    <w:rsid w:val="075F6EB2"/>
    <w:rsid w:val="083E3A16"/>
    <w:rsid w:val="093904B4"/>
    <w:rsid w:val="093C74AB"/>
    <w:rsid w:val="0B24626A"/>
    <w:rsid w:val="0C295743"/>
    <w:rsid w:val="0C3C2AB9"/>
    <w:rsid w:val="0CA37841"/>
    <w:rsid w:val="0CDB399A"/>
    <w:rsid w:val="0D5F7C0C"/>
    <w:rsid w:val="0D714979"/>
    <w:rsid w:val="0DF824CB"/>
    <w:rsid w:val="0E5A3659"/>
    <w:rsid w:val="0F696162"/>
    <w:rsid w:val="0FCB2F92"/>
    <w:rsid w:val="10CF0774"/>
    <w:rsid w:val="10D4446D"/>
    <w:rsid w:val="10D574DB"/>
    <w:rsid w:val="115E33CE"/>
    <w:rsid w:val="11925121"/>
    <w:rsid w:val="12AD29CC"/>
    <w:rsid w:val="13702C1E"/>
    <w:rsid w:val="148F7029"/>
    <w:rsid w:val="14E8498B"/>
    <w:rsid w:val="155A67A3"/>
    <w:rsid w:val="15731764"/>
    <w:rsid w:val="160F7CF5"/>
    <w:rsid w:val="169A13E1"/>
    <w:rsid w:val="16C4636E"/>
    <w:rsid w:val="16DB032D"/>
    <w:rsid w:val="170855F8"/>
    <w:rsid w:val="18D414D2"/>
    <w:rsid w:val="193E7E8C"/>
    <w:rsid w:val="1A22687C"/>
    <w:rsid w:val="1B3E1742"/>
    <w:rsid w:val="1BDC144C"/>
    <w:rsid w:val="1C2B6FAE"/>
    <w:rsid w:val="1C8F7618"/>
    <w:rsid w:val="1FE56859"/>
    <w:rsid w:val="1FFA3CDB"/>
    <w:rsid w:val="20566C4C"/>
    <w:rsid w:val="221B26FB"/>
    <w:rsid w:val="222A759F"/>
    <w:rsid w:val="22396826"/>
    <w:rsid w:val="23112E5E"/>
    <w:rsid w:val="23286509"/>
    <w:rsid w:val="233C3C6C"/>
    <w:rsid w:val="235A71CB"/>
    <w:rsid w:val="236541E7"/>
    <w:rsid w:val="237C67CB"/>
    <w:rsid w:val="23CA3AF4"/>
    <w:rsid w:val="23D20CE0"/>
    <w:rsid w:val="24C603C8"/>
    <w:rsid w:val="24E12A7B"/>
    <w:rsid w:val="252A5A7D"/>
    <w:rsid w:val="25756D71"/>
    <w:rsid w:val="25B52667"/>
    <w:rsid w:val="262D4649"/>
    <w:rsid w:val="26BF074A"/>
    <w:rsid w:val="273E10FC"/>
    <w:rsid w:val="275C35D1"/>
    <w:rsid w:val="27942EE5"/>
    <w:rsid w:val="28BD7C51"/>
    <w:rsid w:val="28D56B7C"/>
    <w:rsid w:val="28F412B7"/>
    <w:rsid w:val="29226C1E"/>
    <w:rsid w:val="2ABD4ACF"/>
    <w:rsid w:val="2ADA252B"/>
    <w:rsid w:val="2B48075A"/>
    <w:rsid w:val="2B7A57CE"/>
    <w:rsid w:val="2BAF5818"/>
    <w:rsid w:val="2BE7528C"/>
    <w:rsid w:val="2D323A7F"/>
    <w:rsid w:val="2D7E4BB4"/>
    <w:rsid w:val="2D921C3B"/>
    <w:rsid w:val="2DE375AC"/>
    <w:rsid w:val="2E1A63DC"/>
    <w:rsid w:val="2E255564"/>
    <w:rsid w:val="2EA9714E"/>
    <w:rsid w:val="2F4D56BE"/>
    <w:rsid w:val="2FE36023"/>
    <w:rsid w:val="2FFB0115"/>
    <w:rsid w:val="31DD7894"/>
    <w:rsid w:val="3235770F"/>
    <w:rsid w:val="327650C8"/>
    <w:rsid w:val="32847F41"/>
    <w:rsid w:val="338A1331"/>
    <w:rsid w:val="338F084E"/>
    <w:rsid w:val="34056893"/>
    <w:rsid w:val="34727F91"/>
    <w:rsid w:val="34EE74E3"/>
    <w:rsid w:val="352E1AEE"/>
    <w:rsid w:val="354D65C6"/>
    <w:rsid w:val="35793FBE"/>
    <w:rsid w:val="366071F9"/>
    <w:rsid w:val="36A007CA"/>
    <w:rsid w:val="393142DE"/>
    <w:rsid w:val="3986543D"/>
    <w:rsid w:val="39D722E4"/>
    <w:rsid w:val="3A17516E"/>
    <w:rsid w:val="3A4D2A17"/>
    <w:rsid w:val="3AA34EF9"/>
    <w:rsid w:val="3ADF6227"/>
    <w:rsid w:val="3B4268D5"/>
    <w:rsid w:val="3B6B2F5C"/>
    <w:rsid w:val="3BC66ADB"/>
    <w:rsid w:val="3BCD4418"/>
    <w:rsid w:val="3BD21133"/>
    <w:rsid w:val="3DA65304"/>
    <w:rsid w:val="3E474C77"/>
    <w:rsid w:val="3EF22DDE"/>
    <w:rsid w:val="3F126122"/>
    <w:rsid w:val="3F59655C"/>
    <w:rsid w:val="3F8D3C05"/>
    <w:rsid w:val="40036482"/>
    <w:rsid w:val="40913315"/>
    <w:rsid w:val="40AF7D4B"/>
    <w:rsid w:val="413A45AB"/>
    <w:rsid w:val="438B2093"/>
    <w:rsid w:val="447555AA"/>
    <w:rsid w:val="44F00088"/>
    <w:rsid w:val="45B7168C"/>
    <w:rsid w:val="47192EC0"/>
    <w:rsid w:val="47641ACE"/>
    <w:rsid w:val="47F24BFD"/>
    <w:rsid w:val="496438D9"/>
    <w:rsid w:val="49CA745B"/>
    <w:rsid w:val="4AB2452E"/>
    <w:rsid w:val="4AB41401"/>
    <w:rsid w:val="4AE6444A"/>
    <w:rsid w:val="4B0C4228"/>
    <w:rsid w:val="4BB36BEB"/>
    <w:rsid w:val="4BC62629"/>
    <w:rsid w:val="4BCE3B21"/>
    <w:rsid w:val="4C10297F"/>
    <w:rsid w:val="4C483847"/>
    <w:rsid w:val="4DC21784"/>
    <w:rsid w:val="4E467799"/>
    <w:rsid w:val="4F223031"/>
    <w:rsid w:val="4FBC3B8C"/>
    <w:rsid w:val="50551D9E"/>
    <w:rsid w:val="5080549C"/>
    <w:rsid w:val="50961D90"/>
    <w:rsid w:val="50CC2D83"/>
    <w:rsid w:val="50CE7163"/>
    <w:rsid w:val="51226632"/>
    <w:rsid w:val="512D0F30"/>
    <w:rsid w:val="516B1A79"/>
    <w:rsid w:val="526D2519"/>
    <w:rsid w:val="527672C6"/>
    <w:rsid w:val="52B0193D"/>
    <w:rsid w:val="531C22CA"/>
    <w:rsid w:val="53E2021C"/>
    <w:rsid w:val="54754BEC"/>
    <w:rsid w:val="55690BF5"/>
    <w:rsid w:val="556E1C28"/>
    <w:rsid w:val="561A21BD"/>
    <w:rsid w:val="568E0BB4"/>
    <w:rsid w:val="56C52155"/>
    <w:rsid w:val="56FA22AC"/>
    <w:rsid w:val="57D2221E"/>
    <w:rsid w:val="58040325"/>
    <w:rsid w:val="582C7E6B"/>
    <w:rsid w:val="582E1252"/>
    <w:rsid w:val="584B1044"/>
    <w:rsid w:val="58B63086"/>
    <w:rsid w:val="59155B71"/>
    <w:rsid w:val="592D3965"/>
    <w:rsid w:val="59562D4B"/>
    <w:rsid w:val="5A3222E9"/>
    <w:rsid w:val="5A6330F1"/>
    <w:rsid w:val="5B371311"/>
    <w:rsid w:val="5BCA7785"/>
    <w:rsid w:val="5C950D30"/>
    <w:rsid w:val="5CB82A05"/>
    <w:rsid w:val="5D6C036B"/>
    <w:rsid w:val="5E6742B1"/>
    <w:rsid w:val="5E6F6B50"/>
    <w:rsid w:val="5EB153BA"/>
    <w:rsid w:val="5F2142EE"/>
    <w:rsid w:val="5F44309B"/>
    <w:rsid w:val="5F4E73D5"/>
    <w:rsid w:val="5FF76DFD"/>
    <w:rsid w:val="60230446"/>
    <w:rsid w:val="60D558AF"/>
    <w:rsid w:val="60EF02B7"/>
    <w:rsid w:val="61EA6D97"/>
    <w:rsid w:val="628206C2"/>
    <w:rsid w:val="63260125"/>
    <w:rsid w:val="637707DC"/>
    <w:rsid w:val="63A00324"/>
    <w:rsid w:val="64C03088"/>
    <w:rsid w:val="64F31483"/>
    <w:rsid w:val="65601D2C"/>
    <w:rsid w:val="65B8190F"/>
    <w:rsid w:val="65C43AA1"/>
    <w:rsid w:val="6687333F"/>
    <w:rsid w:val="66876248"/>
    <w:rsid w:val="66B5736C"/>
    <w:rsid w:val="677504ED"/>
    <w:rsid w:val="684841B1"/>
    <w:rsid w:val="684E01B1"/>
    <w:rsid w:val="692E1CDD"/>
    <w:rsid w:val="69456E2B"/>
    <w:rsid w:val="69583C09"/>
    <w:rsid w:val="6980692E"/>
    <w:rsid w:val="698C7E4B"/>
    <w:rsid w:val="69BC2C46"/>
    <w:rsid w:val="6A631E13"/>
    <w:rsid w:val="6A636AC1"/>
    <w:rsid w:val="6A9A3695"/>
    <w:rsid w:val="6B2D7B77"/>
    <w:rsid w:val="6B3934C7"/>
    <w:rsid w:val="6B703A31"/>
    <w:rsid w:val="6CA26529"/>
    <w:rsid w:val="6CF070AE"/>
    <w:rsid w:val="6D2334B1"/>
    <w:rsid w:val="6DBE2173"/>
    <w:rsid w:val="6DE54739"/>
    <w:rsid w:val="6E6E4EF9"/>
    <w:rsid w:val="6E807139"/>
    <w:rsid w:val="6E9B0A68"/>
    <w:rsid w:val="6F1F7391"/>
    <w:rsid w:val="6FF1412A"/>
    <w:rsid w:val="71305719"/>
    <w:rsid w:val="725C7810"/>
    <w:rsid w:val="738A0DEA"/>
    <w:rsid w:val="74A37E7A"/>
    <w:rsid w:val="75412314"/>
    <w:rsid w:val="75DC3FE5"/>
    <w:rsid w:val="75F47506"/>
    <w:rsid w:val="76630B63"/>
    <w:rsid w:val="76817229"/>
    <w:rsid w:val="770A0F59"/>
    <w:rsid w:val="77456F99"/>
    <w:rsid w:val="77C65741"/>
    <w:rsid w:val="77C95012"/>
    <w:rsid w:val="791A388B"/>
    <w:rsid w:val="79EA56DC"/>
    <w:rsid w:val="7AA80FC8"/>
    <w:rsid w:val="7BFB4504"/>
    <w:rsid w:val="7C9238AE"/>
    <w:rsid w:val="7E6E2528"/>
    <w:rsid w:val="7E6E42D6"/>
    <w:rsid w:val="7E7E7318"/>
    <w:rsid w:val="7FE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pPr>
      <w:ind w:left="160"/>
    </w:pPr>
    <w:rPr>
      <w:sz w:val="24"/>
    </w:rPr>
  </w:style>
  <w:style w:type="paragraph" w:styleId="3">
    <w:name w:val="footer"/>
    <w:basedOn w:val="1"/>
    <w:link w:val="10"/>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rFonts w:cs="Times New Roman"/>
      <w:kern w:val="0"/>
      <w:sz w:val="24"/>
    </w:rPr>
  </w:style>
  <w:style w:type="paragraph" w:styleId="8">
    <w:name w:val="List Paragraph"/>
    <w:basedOn w:val="1"/>
    <w:autoRedefine/>
    <w:qFormat/>
    <w:uiPriority w:val="34"/>
    <w:pPr>
      <w:ind w:firstLine="420" w:firstLineChars="200"/>
    </w:pPr>
  </w:style>
  <w:style w:type="character" w:customStyle="1" w:styleId="9">
    <w:name w:val="页眉 字符"/>
    <w:basedOn w:val="7"/>
    <w:link w:val="4"/>
    <w:autoRedefine/>
    <w:qFormat/>
    <w:uiPriority w:val="0"/>
    <w:rPr>
      <w:rFonts w:asciiTheme="minorHAnsi" w:hAnsiTheme="minorHAnsi" w:eastAsiaTheme="minorEastAsia" w:cstheme="minorBidi"/>
      <w:kern w:val="2"/>
      <w:sz w:val="18"/>
      <w:szCs w:val="18"/>
    </w:rPr>
  </w:style>
  <w:style w:type="character" w:customStyle="1" w:styleId="10">
    <w:name w:val="页脚 字符"/>
    <w:basedOn w:val="7"/>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1124</Words>
  <Characters>1211</Characters>
  <Lines>8</Lines>
  <Paragraphs>2</Paragraphs>
  <TotalTime>2</TotalTime>
  <ScaleCrop>false</ScaleCrop>
  <LinksUpToDate>false</LinksUpToDate>
  <CharactersWithSpaces>1363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2023-03-22T22:59:00Z</dcterms:created>
  <dc:creator>，</dc:creator>
  <cp:lastModifiedBy>水晶之恋</cp:lastModifiedBy>
  <dcterms:modified xsi:type="dcterms:W3CDTF">2026-03-31T11:19:36Z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C83C6BC92F0644D2BF21357C8EF0E5EA</vt:lpwstr>
  </property>
  <property fmtid="{D5CDD505-2E9C-101B-9397-08002B2CF9AE}" pid="4" name="KSOTemplateDocerSaveRecord">
    <vt:lpwstr>eyJoZGlkIjoiNmQzYzYyODUwNGNlNTc3MmIwZTkzMjMwOTI4MjZmNmYiLCJ1c2VySWQiOiI1MDExMjM1NDkifQ==</vt:lpwstr>
  </property>
</Properties>
</file>