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6996898"/>
      <w:bookmarkStart w:id="1" w:name="_Toc247085669"/>
      <w:bookmarkStart w:id="2" w:name="_Toc461631222"/>
      <w:bookmarkStart w:id="3" w:name="_Toc324404811"/>
      <w:bookmarkStart w:id="4" w:name="_Toc15058843"/>
      <w:bookmarkStart w:id="5" w:name="_Toc296602400"/>
      <w:bookmarkStart w:id="6" w:name="_Toc506107265"/>
      <w:bookmarkStart w:id="7" w:name="OLE_LINK3"/>
      <w:bookmarkStart w:id="8" w:name="OLE_LINK2"/>
      <w:bookmarkStart w:id="9" w:name="OLE_LINK4"/>
      <w:bookmarkStart w:id="10" w:name="OLE_LINK5"/>
      <w:bookmarkStart w:id="11" w:name="OLE_LINK1"/>
    </w:p>
    <w:p w14:paraId="03BEA7F1">
      <w:pPr>
        <w:pStyle w:val="2"/>
        <w:ind w:left="0" w:leftChars="0" w:firstLine="0" w:firstLineChars="0"/>
        <w:jc w:val="center"/>
        <w:rPr>
          <w:rFonts w:hint="eastAsia" w:hAnsi="宋体" w:cs="宋体"/>
          <w:b/>
          <w:color w:val="auto"/>
          <w:kern w:val="0"/>
          <w:sz w:val="52"/>
          <w:szCs w:val="52"/>
          <w:highlight w:val="none"/>
          <w:lang w:eastAsia="zh-CN"/>
        </w:rPr>
      </w:pPr>
    </w:p>
    <w:p w14:paraId="7D884F81">
      <w:pPr>
        <w:jc w:val="center"/>
        <w:rPr>
          <w:rFonts w:hint="eastAsia" w:ascii="宋体" w:hAnsi="宋体"/>
          <w:b/>
          <w:bCs/>
          <w:color w:val="auto"/>
          <w:sz w:val="96"/>
          <w:szCs w:val="96"/>
          <w:highlight w:val="none"/>
        </w:rPr>
      </w:pPr>
      <w:r>
        <w:rPr>
          <w:rFonts w:hint="eastAsia" w:hAnsi="宋体" w:cs="宋体"/>
          <w:b/>
          <w:color w:val="auto"/>
          <w:kern w:val="0"/>
          <w:sz w:val="56"/>
          <w:szCs w:val="56"/>
          <w:highlight w:val="none"/>
          <w:lang w:eastAsia="zh-CN"/>
        </w:rPr>
        <w:t>2025年度分布式光伏工程审计项目</w:t>
      </w:r>
    </w:p>
    <w:p w14:paraId="19197C58">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2"/>
        <w:rPr>
          <w:color w:val="auto"/>
          <w:highlight w:val="none"/>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p>
    <w:p w14:paraId="3BD0CE75">
      <w:pPr>
        <w:rPr>
          <w:color w:val="auto"/>
          <w:highlight w:val="none"/>
        </w:rPr>
      </w:pPr>
    </w:p>
    <w:p w14:paraId="31EEA548">
      <w:pPr>
        <w:pStyle w:val="2"/>
      </w:pPr>
    </w:p>
    <w:p w14:paraId="6EBADFFD"/>
    <w:p w14:paraId="57C971B3">
      <w:pPr>
        <w:pStyle w:val="2"/>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9</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2287"/>
      <w:bookmarkStart w:id="13" w:name="_Toc179632527"/>
      <w:bookmarkStart w:id="14" w:name="_Toc144974479"/>
      <w:bookmarkStart w:id="15" w:name="_Toc152045511"/>
    </w:p>
    <w:p w14:paraId="2AB9629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招标公告信息..................................................1</w:t>
      </w:r>
    </w:p>
    <w:p w14:paraId="71FA9264">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第一章 投标人须知.............................................4</w:t>
      </w:r>
    </w:p>
    <w:p w14:paraId="7562FD93">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第二章 </w:t>
      </w:r>
      <w:r>
        <w:rPr>
          <w:rFonts w:hint="eastAsia" w:ascii="宋体" w:hAnsi="宋体" w:eastAsia="宋体" w:cs="宋体"/>
          <w:b w:val="0"/>
          <w:bCs w:val="0"/>
          <w:caps w:val="0"/>
          <w:sz w:val="24"/>
          <w:szCs w:val="24"/>
          <w:highlight w:val="none"/>
          <w:lang w:val="en-US" w:eastAsia="zh-CN"/>
        </w:rPr>
        <w:t>资格审查办法</w:t>
      </w:r>
      <w:r>
        <w:rPr>
          <w:rFonts w:hint="eastAsia" w:ascii="宋体" w:hAnsi="宋体" w:cs="宋体"/>
          <w:b w:val="0"/>
          <w:bCs w:val="0"/>
          <w:caps w:val="0"/>
          <w:sz w:val="24"/>
          <w:szCs w:val="24"/>
          <w:highlight w:val="none"/>
          <w:lang w:val="en-US" w:eastAsia="zh-CN"/>
        </w:rPr>
        <w:t>...........................................15</w:t>
      </w:r>
    </w:p>
    <w:p w14:paraId="076B34F6">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第三章 评标办法...............................................17</w:t>
      </w:r>
    </w:p>
    <w:p w14:paraId="02CBB3F5">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第四章 </w:t>
      </w:r>
      <w:r>
        <w:rPr>
          <w:rFonts w:hint="eastAsia" w:ascii="宋体" w:hAnsi="宋体" w:eastAsia="宋体" w:cs="宋体"/>
          <w:b w:val="0"/>
          <w:bCs w:val="0"/>
          <w:caps w:val="0"/>
          <w:sz w:val="24"/>
          <w:szCs w:val="24"/>
          <w:highlight w:val="none"/>
          <w:lang w:val="en-US" w:eastAsia="zh-CN"/>
        </w:rPr>
        <w:t>合同条款及格式</w:t>
      </w:r>
      <w:r>
        <w:rPr>
          <w:rFonts w:hint="eastAsia" w:ascii="宋体" w:hAnsi="宋体" w:cs="宋体"/>
          <w:b w:val="0"/>
          <w:bCs w:val="0"/>
          <w:caps w:val="0"/>
          <w:sz w:val="24"/>
          <w:szCs w:val="24"/>
          <w:highlight w:val="none"/>
          <w:lang w:val="en-US" w:eastAsia="zh-CN"/>
        </w:rPr>
        <w:t>.........................................24</w:t>
      </w:r>
    </w:p>
    <w:p w14:paraId="21B1162F">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第五章 技术标准和要求</w:t>
      </w:r>
      <w:r>
        <w:rPr>
          <w:rFonts w:hint="eastAsia" w:ascii="宋体" w:hAnsi="宋体" w:cs="宋体"/>
          <w:b w:val="0"/>
          <w:bCs w:val="0"/>
          <w:caps w:val="0"/>
          <w:sz w:val="24"/>
          <w:szCs w:val="24"/>
          <w:highlight w:val="none"/>
          <w:lang w:val="en-US" w:eastAsia="zh-CN"/>
        </w:rPr>
        <w:t>.........................................27</w:t>
      </w:r>
    </w:p>
    <w:p w14:paraId="6BF78672">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第六章 </w:t>
      </w:r>
      <w:r>
        <w:rPr>
          <w:rFonts w:hint="eastAsia" w:ascii="宋体" w:hAnsi="宋体" w:eastAsia="宋体" w:cs="宋体"/>
          <w:b w:val="0"/>
          <w:bCs w:val="0"/>
          <w:caps w:val="0"/>
          <w:sz w:val="24"/>
          <w:szCs w:val="24"/>
          <w:highlight w:val="none"/>
          <w:lang w:val="en-US" w:eastAsia="zh-CN"/>
        </w:rPr>
        <w:t>投标文件格式</w:t>
      </w:r>
      <w:r>
        <w:rPr>
          <w:rFonts w:hint="eastAsia" w:ascii="宋体" w:hAnsi="宋体" w:cs="宋体"/>
          <w:b w:val="0"/>
          <w:bCs w:val="0"/>
          <w:caps w:val="0"/>
          <w:sz w:val="24"/>
          <w:szCs w:val="24"/>
          <w:highlight w:val="none"/>
          <w:lang w:val="en-US" w:eastAsia="zh-CN"/>
        </w:rPr>
        <w:t>...........................................28</w:t>
      </w:r>
    </w:p>
    <w:p w14:paraId="2128627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第七章 </w:t>
      </w:r>
      <w:r>
        <w:rPr>
          <w:rFonts w:hint="eastAsia" w:ascii="宋体" w:hAnsi="宋体" w:eastAsia="宋体" w:cs="宋体"/>
          <w:b w:val="0"/>
          <w:bCs w:val="0"/>
          <w:caps w:val="0"/>
          <w:sz w:val="24"/>
          <w:szCs w:val="24"/>
          <w:highlight w:val="none"/>
          <w:lang w:val="en-US" w:eastAsia="zh-CN"/>
        </w:rPr>
        <w:t>招标单位、招标代理机构对本招标文件的确认</w:t>
      </w:r>
      <w:r>
        <w:rPr>
          <w:rFonts w:hint="eastAsia" w:ascii="宋体" w:hAnsi="宋体" w:cs="宋体"/>
          <w:b w:val="0"/>
          <w:bCs w:val="0"/>
          <w:caps w:val="0"/>
          <w:sz w:val="24"/>
          <w:szCs w:val="24"/>
          <w:highlight w:val="none"/>
          <w:lang w:val="en-US" w:eastAsia="zh-CN"/>
        </w:rPr>
        <w:t>...............38</w:t>
      </w:r>
    </w:p>
    <w:p w14:paraId="35CE4D10">
      <w:pPr>
        <w:pStyle w:val="2"/>
        <w:spacing w:line="700" w:lineRule="exact"/>
        <w:ind w:left="0" w:leftChars="0" w:firstLine="480"/>
        <w:jc w:val="left"/>
        <w:rPr>
          <w:sz w:val="24"/>
          <w:szCs w:val="24"/>
          <w:highlight w:val="none"/>
        </w:rPr>
      </w:pPr>
    </w:p>
    <w:p w14:paraId="3004C8EC">
      <w:pPr>
        <w:pStyle w:val="43"/>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3"/>
        <w:spacing w:beforeLines="50" w:afterLines="50" w:line="440" w:lineRule="exact"/>
        <w:rPr>
          <w:bCs/>
          <w:szCs w:val="32"/>
          <w:highlight w:val="none"/>
        </w:rPr>
      </w:pPr>
      <w:bookmarkStart w:id="16" w:name="_Toc78803320"/>
      <w:bookmarkStart w:id="17" w:name="_Toc506107267"/>
      <w:bookmarkStart w:id="18" w:name="_Toc247085687"/>
      <w:bookmarkStart w:id="19" w:name="_Toc246996173"/>
      <w:bookmarkStart w:id="20" w:name="_Toc15058844"/>
      <w:bookmarkStart w:id="21" w:name="_Toc324404813"/>
      <w:bookmarkStart w:id="22" w:name="_Toc179632544"/>
      <w:bookmarkStart w:id="23" w:name="_Toc152045527"/>
      <w:bookmarkStart w:id="24" w:name="_Toc35425050"/>
      <w:bookmarkStart w:id="25" w:name="_Toc35424883"/>
      <w:bookmarkStart w:id="26" w:name="_Toc144974495"/>
      <w:bookmarkStart w:id="27" w:name="_Toc246996916"/>
      <w:bookmarkStart w:id="28" w:name="_Toc152042303"/>
      <w:r>
        <w:rPr>
          <w:rFonts w:hint="eastAsia"/>
          <w:bCs/>
          <w:color w:val="auto"/>
          <w:szCs w:val="32"/>
          <w:highlight w:val="none"/>
          <w:lang w:eastAsia="zh-CN"/>
        </w:rPr>
        <w:t>2025年度分布式光伏工程审计项目</w:t>
      </w:r>
      <w:r>
        <w:rPr>
          <w:rFonts w:hint="eastAsia"/>
          <w:bCs/>
          <w:color w:val="auto"/>
          <w:szCs w:val="32"/>
          <w:highlight w:val="none"/>
        </w:rPr>
        <w:t>招标</w:t>
      </w:r>
      <w:r>
        <w:rPr>
          <w:rFonts w:hint="eastAsia"/>
          <w:bCs/>
          <w:szCs w:val="32"/>
          <w:highlight w:val="none"/>
        </w:rPr>
        <w:t>公告信息</w:t>
      </w:r>
      <w:bookmarkEnd w:id="16"/>
    </w:p>
    <w:tbl>
      <w:tblPr>
        <w:tblStyle w:val="46"/>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r>
              <w:rPr>
                <w:rFonts w:hint="eastAsia" w:ascii="宋体" w:hAnsi="宋体" w:cs="宋体"/>
                <w:bCs/>
                <w:color w:val="auto"/>
                <w:kern w:val="1"/>
                <w:sz w:val="21"/>
                <w:szCs w:val="21"/>
                <w:highlight w:val="none"/>
                <w:lang w:eastAsia="zh-CN"/>
              </w:rPr>
              <w:t>2025年度分布式光伏工程审计项目</w:t>
            </w:r>
          </w:p>
        </w:tc>
      </w:tr>
      <w:tr w14:paraId="7AE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4E6DE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7997" w:type="dxa"/>
            <w:noWrap w:val="0"/>
            <w:vAlign w:val="center"/>
          </w:tcPr>
          <w:p w14:paraId="224D5931">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87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91BC4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7997" w:type="dxa"/>
            <w:noWrap w:val="0"/>
            <w:vAlign w:val="center"/>
          </w:tcPr>
          <w:p w14:paraId="7D9E5005">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2025年度分布式光伏工程审计项目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w:t>
            </w:r>
            <w:r>
              <w:rPr>
                <w:rFonts w:hint="eastAsia" w:hAnsi="宋体" w:cs="宋体"/>
                <w:szCs w:val="21"/>
                <w:highlight w:val="none"/>
                <w:lang w:val="en-US" w:eastAsia="zh-CN"/>
              </w:rPr>
              <w:t>项目</w:t>
            </w:r>
            <w:r>
              <w:rPr>
                <w:rFonts w:hint="eastAsia" w:ascii="宋体" w:hAnsi="宋体" w:eastAsia="宋体" w:cs="宋体"/>
                <w:szCs w:val="21"/>
                <w:highlight w:val="none"/>
                <w:lang w:val="en-US" w:eastAsia="zh-CN"/>
              </w:rPr>
              <w:t>地点（不限于滁州市内）</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3DB75AE9">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color w:val="auto"/>
                <w:sz w:val="21"/>
                <w:szCs w:val="21"/>
                <w:highlight w:val="none"/>
                <w:lang w:eastAsia="zh-CN"/>
              </w:rPr>
              <w:t>滁州市翼然新能源开发有限公司</w:t>
            </w:r>
            <w:r>
              <w:rPr>
                <w:rFonts w:hint="eastAsia" w:ascii="宋体" w:hAnsi="宋体" w:eastAsia="宋体" w:cs="宋体"/>
                <w:szCs w:val="21"/>
                <w:highlight w:val="none"/>
                <w:lang w:val="en-US" w:eastAsia="zh-CN"/>
              </w:rPr>
              <w:t>2025年度内所有分布式光伏工程或其他新能源工程的</w:t>
            </w:r>
            <w:r>
              <w:rPr>
                <w:rFonts w:hint="eastAsia" w:hAnsi="宋体" w:cs="宋体"/>
                <w:bCs/>
                <w:color w:val="auto"/>
                <w:kern w:val="1"/>
                <w:sz w:val="21"/>
                <w:szCs w:val="21"/>
                <w:highlight w:val="none"/>
                <w:lang w:eastAsia="zh-CN"/>
              </w:rPr>
              <w:t>工程审计服务</w:t>
            </w:r>
            <w:r>
              <w:rPr>
                <w:rFonts w:hint="eastAsia" w:ascii="宋体" w:hAnsi="宋体" w:eastAsia="宋体" w:cs="宋体"/>
                <w:szCs w:val="21"/>
                <w:highlight w:val="none"/>
                <w:lang w:val="en-US" w:eastAsia="zh-CN"/>
              </w:rPr>
              <w:t>，规划总装机容量5兆瓦。</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kinsoku/>
              <w:wordWrap w:val="0"/>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自签订合同之日起至项目整体交付使用并出具经审核的审核成果文件止，总体服务期一年</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color w:val="auto"/>
                <w:sz w:val="21"/>
                <w:szCs w:val="21"/>
                <w:highlight w:val="none"/>
                <w:lang w:val="en-US"/>
              </w:rPr>
            </w:pPr>
            <w:r>
              <w:rPr>
                <w:rFonts w:hint="eastAsia" w:ascii="宋体" w:hAnsi="宋体" w:cs="宋体"/>
                <w:szCs w:val="21"/>
                <w:highlight w:val="none"/>
                <w:lang w:val="en-US" w:eastAsia="zh-CN"/>
              </w:rPr>
              <w:t>2025年度内各</w:t>
            </w:r>
            <w:r>
              <w:rPr>
                <w:rFonts w:hint="eastAsia" w:ascii="宋体" w:hAnsi="宋体" w:eastAsia="宋体" w:cs="宋体"/>
                <w:szCs w:val="21"/>
                <w:highlight w:val="none"/>
                <w:lang w:val="en-US" w:eastAsia="zh-CN"/>
              </w:rPr>
              <w:t>工程的审计服务，详见技术标准和要求</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工程审计服务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3" w:type="dxa"/>
            <w:noWrap w:val="0"/>
            <w:vAlign w:val="center"/>
          </w:tcPr>
          <w:p w14:paraId="3D8EAA9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2DA74F9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具有相应服务能力的企业</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51B3EE9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投标人拟派的项目负责人必须具有建设部颁发的注册在投标单位的土建工程专业一级造价工程师注册证书（或原注册造价工程师）</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B9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A907D0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7997" w:type="dxa"/>
            <w:noWrap w:val="0"/>
            <w:vAlign w:val="center"/>
          </w:tcPr>
          <w:p w14:paraId="09940DA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1.滁州市翼然新能源开发有限公司2025年度工程已中标的监理单位、代理单位、设计单位、施工单位不得参加本项目投标。</w:t>
            </w:r>
          </w:p>
          <w:p w14:paraId="0F529B7A">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highlight w:val="none"/>
                <w:lang w:val="en-US" w:eastAsia="zh-CN"/>
              </w:rPr>
            </w:pPr>
            <w:r>
              <w:rPr>
                <w:rFonts w:hint="eastAsia" w:ascii="宋体" w:hAnsi="宋体" w:eastAsia="宋体" w:cs="宋体"/>
                <w:color w:val="auto"/>
                <w:kern w:val="0"/>
                <w:sz w:val="21"/>
                <w:szCs w:val="21"/>
                <w:highlight w:val="none"/>
                <w:lang w:val="en-US" w:eastAsia="zh-CN"/>
              </w:rPr>
              <w:t>2.单位负责人为同一人或者存在控股、管理关系的不同单位，不得参加同一标段投标或者未划分标段的同一招标项目投标，违反上述规定的，相关单位投标均无效。</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11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16</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w:t>
            </w:r>
            <w:r>
              <w:rPr>
                <w:rFonts w:hint="eastAsia" w:cs="Times New Roman"/>
                <w:lang w:val="en-US" w:eastAsia="zh-CN"/>
              </w:rPr>
              <w:t>网站</w:t>
            </w:r>
            <w:r>
              <w:rPr>
                <w:rFonts w:hint="eastAsia" w:ascii="Times New Roman" w:hAnsi="Times New Roman" w:eastAsia="宋体" w:cs="Times New Roman"/>
                <w:lang w:val="en-US" w:eastAsia="zh-CN"/>
              </w:rPr>
              <w:t>（https://www.czctgczx.com/）下载</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滁州市翼然新能源开发有限公司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18900509886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075714E0">
      <w:pPr>
        <w:jc w:val="left"/>
        <w:rPr>
          <w:highlight w:val="none"/>
        </w:rPr>
      </w:pPr>
    </w:p>
    <w:p w14:paraId="32A53F0D">
      <w:pPr>
        <w:pStyle w:val="43"/>
        <w:spacing w:beforeLines="50" w:afterLines="50" w:line="440" w:lineRule="exact"/>
        <w:rPr>
          <w:bCs/>
          <w:szCs w:val="32"/>
          <w:highlight w:val="none"/>
        </w:rPr>
      </w:pPr>
      <w:bookmarkStart w:id="29" w:name="_Toc78803321"/>
      <w:r>
        <w:rPr>
          <w:rFonts w:hint="eastAsia"/>
          <w:bCs/>
          <w:szCs w:val="32"/>
          <w:highlight w:val="none"/>
        </w:rPr>
        <w:br w:type="page"/>
      </w:r>
      <w:r>
        <w:rPr>
          <w:rFonts w:hint="eastAsia"/>
          <w:bCs/>
          <w:szCs w:val="32"/>
          <w:highlight w:val="none"/>
        </w:rPr>
        <w:t>第一章  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594BBBF6">
      <w:pPr>
        <w:spacing w:beforeLines="50" w:afterLines="50" w:line="440" w:lineRule="exact"/>
        <w:jc w:val="center"/>
        <w:rPr>
          <w:b/>
          <w:bCs/>
          <w:sz w:val="28"/>
          <w:szCs w:val="28"/>
          <w:highlight w:val="none"/>
        </w:rPr>
      </w:pPr>
      <w:bookmarkStart w:id="30" w:name="_Toc246996174"/>
      <w:bookmarkStart w:id="31" w:name="_Toc152042304"/>
      <w:bookmarkStart w:id="32" w:name="_Toc324404814"/>
      <w:bookmarkStart w:id="33" w:name="_Toc506107268"/>
      <w:bookmarkStart w:id="34" w:name="_Toc179632545"/>
      <w:bookmarkStart w:id="35" w:name="_Toc144974496"/>
      <w:bookmarkStart w:id="36" w:name="_Toc15058845"/>
      <w:bookmarkStart w:id="37" w:name="_Toc246996917"/>
      <w:bookmarkStart w:id="38" w:name="_Toc35424884"/>
      <w:bookmarkStart w:id="39" w:name="_Toc247085688"/>
      <w:bookmarkStart w:id="40" w:name="_Toc35425051"/>
      <w:bookmarkStart w:id="41" w:name="_Toc152045528"/>
      <w:r>
        <w:rPr>
          <w:rFonts w:hint="eastAsia"/>
          <w:b/>
          <w:bCs/>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6"/>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2" w:name="_Toc506107269"/>
            <w:bookmarkStart w:id="43" w:name="_Toc246996175"/>
            <w:bookmarkStart w:id="44" w:name="_Toc144974497"/>
            <w:bookmarkStart w:id="45" w:name="_Toc179632546"/>
            <w:bookmarkStart w:id="46" w:name="_Toc152045529"/>
            <w:bookmarkStart w:id="47" w:name="_Toc246996918"/>
            <w:bookmarkStart w:id="48" w:name="_Toc247085689"/>
            <w:bookmarkStart w:id="49" w:name="_Toc324404815"/>
            <w:bookmarkStart w:id="50" w:name="_Toc152042305"/>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详见招标公告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highlight w:val="none"/>
              </w:rPr>
              <w:t>综合评估法</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服务期限</w:t>
            </w:r>
          </w:p>
        </w:tc>
        <w:tc>
          <w:tcPr>
            <w:tcW w:w="7251" w:type="dxa"/>
            <w:tcBorders>
              <w:top w:val="single" w:color="auto" w:sz="4" w:space="0"/>
              <w:left w:val="single" w:color="auto" w:sz="4" w:space="0"/>
              <w:bottom w:val="single" w:color="auto" w:sz="4" w:space="0"/>
              <w:right w:val="single" w:color="auto" w:sz="4" w:space="0"/>
            </w:tcBorders>
            <w:noWrap/>
            <w:vAlign w:val="center"/>
          </w:tcPr>
          <w:p w14:paraId="41AAB3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color w:val="000000"/>
                <w:szCs w:val="21"/>
                <w:highlight w:val="none"/>
              </w:rPr>
              <w:t>详见招标公告</w:t>
            </w:r>
          </w:p>
        </w:tc>
      </w:tr>
      <w:tr w14:paraId="4024D16D">
        <w:tblPrEx>
          <w:tblCellMar>
            <w:top w:w="0" w:type="dxa"/>
            <w:left w:w="108" w:type="dxa"/>
            <w:bottom w:w="0" w:type="dxa"/>
            <w:right w:w="108" w:type="dxa"/>
          </w:tblCellMar>
        </w:tblPrEx>
        <w:trPr>
          <w:trHeight w:val="4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必须符合国家强制性规范、条文、标准和招标文件要求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keepNext w:val="0"/>
              <w:keepLines w:val="0"/>
              <w:pageBreakBefore w:val="0"/>
              <w:kinsoku/>
              <w:wordWrap/>
              <w:overflowPunct/>
              <w:autoSpaceDN/>
              <w:bidi w:val="0"/>
              <w:spacing w:line="400" w:lineRule="exact"/>
              <w:textAlignment w:val="auto"/>
              <w:rPr>
                <w:rFonts w:hint="eastAsia" w:ascii="宋体" w:hAnsi="宋体" w:cs="宋体"/>
                <w:kern w:val="0"/>
                <w:szCs w:val="21"/>
                <w:highlight w:val="none"/>
              </w:rPr>
            </w:pPr>
            <w:r>
              <w:rPr>
                <w:rFonts w:hint="eastAsia" w:ascii="宋体" w:hAnsi="宋体" w:cs="宋体"/>
                <w:kern w:val="0"/>
                <w:szCs w:val="21"/>
                <w:highlight w:val="none"/>
              </w:rPr>
              <w:t>详见招标公告信息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hint="eastAsia" w:ascii="宋体" w:hAnsi="宋体" w:cs="宋体"/>
                <w:kern w:val="0"/>
                <w:szCs w:val="21"/>
                <w:highlight w:val="none"/>
              </w:rPr>
            </w:pPr>
            <w:r>
              <w:rPr>
                <w:rFonts w:hint="eastAsia" w:ascii="宋体" w:hAnsi="宋体" w:cs="宋体"/>
                <w:kern w:val="0"/>
                <w:szCs w:val="21"/>
                <w:highlight w:val="none"/>
              </w:rPr>
              <w:t>详见招标公告信息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日1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9</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最高限价（费率）</w:t>
            </w:r>
          </w:p>
        </w:tc>
        <w:tc>
          <w:tcPr>
            <w:tcW w:w="7251" w:type="dxa"/>
            <w:tcBorders>
              <w:top w:val="single" w:color="auto" w:sz="4" w:space="0"/>
              <w:left w:val="single" w:color="auto" w:sz="4" w:space="0"/>
              <w:bottom w:val="single" w:color="auto" w:sz="4" w:space="0"/>
              <w:right w:val="single" w:color="auto" w:sz="4" w:space="0"/>
            </w:tcBorders>
            <w:noWrap/>
            <w:vAlign w:val="center"/>
          </w:tcPr>
          <w:p w14:paraId="632A9810">
            <w:pPr>
              <w:keepNext w:val="0"/>
              <w:keepLines w:val="0"/>
              <w:pageBreakBefore w:val="0"/>
              <w:numPr>
                <w:ilvl w:val="0"/>
                <w:numId w:val="0"/>
              </w:numPr>
              <w:kinsoku/>
              <w:wordWrap/>
              <w:overflowPunct/>
              <w:autoSpaceDN/>
              <w:bidi w:val="0"/>
              <w:spacing w:line="400" w:lineRule="exact"/>
              <w:ind w:lef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1.基本费率2‰；审核成果费率1.50%（审核成果费率固定不变）。</w:t>
            </w:r>
          </w:p>
          <w:p w14:paraId="36C2C3C8">
            <w:pPr>
              <w:keepNext w:val="0"/>
              <w:keepLines w:val="0"/>
              <w:pageBreakBefore w:val="0"/>
              <w:numPr>
                <w:ilvl w:val="0"/>
                <w:numId w:val="0"/>
              </w:numPr>
              <w:kinsoku/>
              <w:wordWrap/>
              <w:overflowPunct/>
              <w:autoSpaceDN/>
              <w:bidi w:val="0"/>
              <w:spacing w:line="400" w:lineRule="exact"/>
              <w:ind w:lef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报价时只需报基本费率，投标报价费率要求精确到小数点后第二位，如填报多位小数的，按小数点后第三位四舍五入修正投标报价费率（如：某投标报价费率为0.785‰，则修正为0.79‰；某投标报价费率为0.784‰，则修正为0.78‰）。</w:t>
            </w:r>
          </w:p>
          <w:p w14:paraId="33B1DB57">
            <w:pPr>
              <w:keepNext w:val="0"/>
              <w:keepLines w:val="0"/>
              <w:pageBreakBefore w:val="0"/>
              <w:numPr>
                <w:ilvl w:val="0"/>
                <w:numId w:val="0"/>
              </w:numPr>
              <w:kinsoku/>
              <w:wordWrap/>
              <w:overflowPunct/>
              <w:autoSpaceDN/>
              <w:bidi w:val="0"/>
              <w:spacing w:line="400" w:lineRule="exact"/>
              <w:ind w:lef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2.商务报价得分按照各投标单位所报费率计算得出的审计费用参与计算。投标单位所报基本费率为0‰或负数的，其商务标不得分，且该报价所对应的审计费不得作为评标基准价。审计费用计算公式=所报基本费率</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500万元+（500万元</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5%）</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1.5%。</w:t>
            </w:r>
          </w:p>
          <w:p w14:paraId="69ED9A5E">
            <w:pPr>
              <w:keepNext w:val="0"/>
              <w:keepLines w:val="0"/>
              <w:pageBreakBefore w:val="0"/>
              <w:numPr>
                <w:ilvl w:val="0"/>
                <w:numId w:val="0"/>
              </w:numPr>
              <w:kinsoku/>
              <w:wordWrap/>
              <w:overflowPunct/>
              <w:autoSpaceDN/>
              <w:bidi w:val="0"/>
              <w:spacing w:line="400" w:lineRule="exact"/>
              <w:ind w:lef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注：①基本费用中的500万元仅为计算商务报价得分时审计费用的取费基数，最终结算基数以最终审定工程结算价为准。</w:t>
            </w:r>
          </w:p>
          <w:p w14:paraId="50C973D6">
            <w:pPr>
              <w:keepNext w:val="0"/>
              <w:keepLines w:val="0"/>
              <w:pageBreakBefore w:val="0"/>
              <w:numPr>
                <w:ilvl w:val="0"/>
                <w:numId w:val="0"/>
              </w:numPr>
              <w:kinsoku/>
              <w:wordWrap/>
              <w:overflowPunct/>
              <w:autoSpaceDN/>
              <w:bidi w:val="0"/>
              <w:spacing w:line="400" w:lineRule="exact"/>
              <w:ind w:left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②审核成果费中的（500万元</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5%）仅为计算商务报价得分时审计费用的取费基数，最终结算基数以实际审减额为准。</w:t>
            </w:r>
          </w:p>
          <w:p w14:paraId="695448C8">
            <w:pPr>
              <w:keepNext w:val="0"/>
              <w:keepLines w:val="0"/>
              <w:pageBreakBefore w:val="0"/>
              <w:numPr>
                <w:ilvl w:val="0"/>
                <w:numId w:val="0"/>
              </w:numPr>
              <w:kinsoku/>
              <w:wordWrap/>
              <w:overflowPunct/>
              <w:autoSpaceDN/>
              <w:bidi w:val="0"/>
              <w:spacing w:line="400" w:lineRule="exact"/>
              <w:ind w:lef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3.开评审过程中计算出的审计费用仅用作于商务报价计算得分，不作为合同价的依据。后期结算时以中标基本费率、最终审定工程结算价及实际审减额为基数计算。即最终审计费用=中标费率</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各项目工程结算造价+（各项目工程结算造价</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5%）</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1.5%。</w:t>
            </w:r>
          </w:p>
          <w:p w14:paraId="2BA6419D">
            <w:pPr>
              <w:keepNext w:val="0"/>
              <w:keepLines w:val="0"/>
              <w:pageBreakBefore w:val="0"/>
              <w:numPr>
                <w:ilvl w:val="0"/>
                <w:numId w:val="0"/>
              </w:numPr>
              <w:kinsoku/>
              <w:wordWrap/>
              <w:overflowPunct/>
              <w:autoSpaceDN/>
              <w:bidi w:val="0"/>
              <w:spacing w:line="400" w:lineRule="exact"/>
              <w:ind w:leftChars="0"/>
              <w:textAlignment w:val="auto"/>
              <w:rPr>
                <w:rFonts w:hint="default"/>
                <w:lang w:val="en-US" w:eastAsia="zh-CN"/>
              </w:rPr>
            </w:pPr>
            <w:r>
              <w:rPr>
                <w:rFonts w:hint="eastAsia" w:ascii="宋体" w:hAnsi="宋体" w:eastAsia="宋体" w:cs="宋体"/>
                <w:color w:val="auto"/>
                <w:highlight w:val="none"/>
                <w:lang w:val="en-US" w:eastAsia="zh-CN"/>
              </w:rPr>
              <w:t>3.合同履行期内各项目审计费用累计至29万元时，完成履约项目后合同终止，正在履约的项目不做费用增加。</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2"/>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2"/>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hAnsi="宋体" w:cs="宋体"/>
                <w:b/>
                <w:bCs/>
                <w:i w:val="0"/>
                <w:iCs w:val="0"/>
                <w:color w:val="auto"/>
                <w:kern w:val="0"/>
                <w:sz w:val="21"/>
                <w:szCs w:val="21"/>
                <w:highlight w:val="none"/>
                <w:u w:val="single"/>
                <w:lang w:val="en-US" w:eastAsia="zh-CN"/>
              </w:rPr>
              <w:t>1</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11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7"/>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日1</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02C5CEC">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10A402B3">
            <w:pPr>
              <w:keepNext w:val="0"/>
              <w:keepLines w:val="0"/>
              <w:pageBreakBefore w:val="0"/>
              <w:kinsoku/>
              <w:wordWrap/>
              <w:overflowPunct/>
              <w:autoSpaceDE/>
              <w:autoSpaceDN/>
              <w:bidi w:val="0"/>
              <w:spacing w:line="38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083E72E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0C3BAEEF">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15D4030E">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3DAA719">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履约保证金退还时限：履约保证金在合同履行期满后一个月内无息退还。</w:t>
            </w:r>
          </w:p>
          <w:p w14:paraId="05BD39E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7046FE60">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17F774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0C5DEFA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5B31A48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7971BD57">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80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按招标人要求及时完成各工程审计工作并出具审核报告，交付招标人审查确认后，按照审计委托协议约定一次性无息支付结算后审计服务费用。</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1000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r>
              <w:rPr>
                <w:rFonts w:hint="eastAsia" w:ascii="宋体" w:hAnsi="宋体" w:eastAsia="宋体" w:cs="宋体"/>
                <w:color w:val="000000"/>
                <w:kern w:val="2"/>
                <w:sz w:val="21"/>
                <w:szCs w:val="21"/>
                <w:highlight w:val="none"/>
                <w:u w:color="000000"/>
                <w:lang w:val="en-US" w:eastAsia="zh-CN" w:bidi="ar"/>
              </w:rPr>
              <w:t>预计2000元整</w:t>
            </w:r>
            <w:r>
              <w:rPr>
                <w:rFonts w:hint="eastAsia" w:ascii="宋体" w:hAnsi="宋体" w:cs="宋体"/>
                <w:color w:val="auto"/>
                <w:sz w:val="21"/>
                <w:szCs w:val="21"/>
                <w:highlight w:val="none"/>
                <w:lang w:val="en-US" w:eastAsia="zh-CN"/>
              </w:rPr>
              <w:t>。</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1" w:name="_Toc5813"/>
            <w:bookmarkStart w:id="52" w:name="_Toc78803322"/>
            <w:bookmarkStart w:id="53" w:name="_Toc35425053"/>
            <w:bookmarkStart w:id="54" w:name="_Toc35424887"/>
            <w:bookmarkStart w:id="55" w:name="_Toc15058846"/>
            <w:r>
              <w:rPr>
                <w:rFonts w:hint="eastAsia" w:ascii="宋体" w:hAnsi="宋体" w:cs="宋体"/>
                <w:sz w:val="21"/>
                <w:szCs w:val="21"/>
                <w:lang w:val="en-US" w:eastAsia="zh-CN"/>
              </w:rPr>
              <w:t>重要说明</w:t>
            </w:r>
          </w:p>
        </w:tc>
        <w:tc>
          <w:tcPr>
            <w:tcW w:w="8550" w:type="dxa"/>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AE7C8E8">
      <w:pPr>
        <w:pStyle w:val="7"/>
        <w:ind w:firstLine="422" w:firstLineChars="200"/>
        <w:rPr>
          <w:rFonts w:ascii="宋体" w:hAnsi="宋体" w:eastAsia="宋体" w:cs="宋体"/>
          <w:kern w:val="44"/>
          <w:highlight w:val="none"/>
        </w:rPr>
      </w:pPr>
      <w:bookmarkStart w:id="56" w:name="_Toc246996176"/>
      <w:bookmarkStart w:id="57" w:name="_Toc246996919"/>
      <w:bookmarkStart w:id="58" w:name="_Toc152045530"/>
      <w:bookmarkStart w:id="59" w:name="_Toc296602421"/>
      <w:bookmarkStart w:id="60" w:name="_Toc35424888"/>
      <w:bookmarkStart w:id="61" w:name="_Toc152042306"/>
      <w:bookmarkStart w:id="62" w:name="_Toc15058847"/>
      <w:bookmarkStart w:id="63" w:name="_Toc78803323"/>
      <w:bookmarkStart w:id="64" w:name="_Toc247085690"/>
      <w:bookmarkStart w:id="65" w:name="_Toc179632547"/>
      <w:bookmarkStart w:id="66" w:name="_Toc324404816"/>
      <w:bookmarkStart w:id="67" w:name="_Toc35425054"/>
      <w:bookmarkStart w:id="68" w:name="_Toc506107270"/>
      <w:bookmarkStart w:id="69" w:name="_Toc4678"/>
      <w:bookmarkStart w:id="70" w:name="_Toc144974498"/>
      <w:r>
        <w:rPr>
          <w:rFonts w:hint="eastAsia" w:ascii="宋体" w:hAnsi="宋体" w:eastAsia="宋体" w:cs="宋体"/>
          <w:kern w:val="44"/>
          <w:highlight w:val="none"/>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7"/>
        <w:ind w:firstLine="422" w:firstLineChars="200"/>
        <w:rPr>
          <w:rFonts w:ascii="宋体" w:hAnsi="宋体" w:eastAsia="宋体" w:cs="宋体"/>
          <w:highlight w:val="none"/>
        </w:rPr>
      </w:pPr>
      <w:bookmarkStart w:id="71" w:name="_Toc247085691"/>
      <w:bookmarkStart w:id="72" w:name="_Toc152045531"/>
      <w:bookmarkStart w:id="73" w:name="_Toc152042307"/>
      <w:bookmarkStart w:id="74" w:name="_Toc246996920"/>
      <w:bookmarkStart w:id="75" w:name="_Toc7142"/>
      <w:bookmarkStart w:id="76" w:name="_Toc246996177"/>
      <w:bookmarkStart w:id="77" w:name="_Toc15058848"/>
      <w:bookmarkStart w:id="78" w:name="_Toc506107271"/>
      <w:bookmarkStart w:id="79" w:name="_Toc35424889"/>
      <w:bookmarkStart w:id="80" w:name="_Toc179632548"/>
      <w:bookmarkStart w:id="81" w:name="_Toc324404817"/>
      <w:bookmarkStart w:id="82" w:name="_Toc78803324"/>
      <w:bookmarkStart w:id="83" w:name="_Toc35425055"/>
      <w:bookmarkStart w:id="84" w:name="_Toc296602422"/>
      <w:bookmarkStart w:id="85" w:name="_Toc144974499"/>
      <w:r>
        <w:rPr>
          <w:rFonts w:hint="eastAsia" w:ascii="宋体" w:hAnsi="宋体" w:eastAsia="宋体" w:cs="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7"/>
        <w:ind w:firstLine="422" w:firstLineChars="200"/>
        <w:rPr>
          <w:rFonts w:ascii="宋体" w:hAnsi="宋体" w:eastAsia="宋体" w:cs="宋体"/>
          <w:highlight w:val="none"/>
        </w:rPr>
      </w:pPr>
      <w:bookmarkStart w:id="86" w:name="_Toc6330"/>
      <w:bookmarkStart w:id="87" w:name="_Toc246996178"/>
      <w:bookmarkStart w:id="88" w:name="_Toc506107272"/>
      <w:bookmarkStart w:id="89" w:name="_Toc144974500"/>
      <w:bookmarkStart w:id="90" w:name="_Toc152045532"/>
      <w:bookmarkStart w:id="91" w:name="_Toc324404818"/>
      <w:bookmarkStart w:id="92" w:name="_Toc35425056"/>
      <w:bookmarkStart w:id="93" w:name="_Toc246996921"/>
      <w:bookmarkStart w:id="94" w:name="_Toc35424890"/>
      <w:bookmarkStart w:id="95" w:name="_Toc15058849"/>
      <w:bookmarkStart w:id="96" w:name="_Toc179632549"/>
      <w:bookmarkStart w:id="97" w:name="_Toc296602423"/>
      <w:bookmarkStart w:id="98" w:name="_Toc78803325"/>
      <w:bookmarkStart w:id="99" w:name="_Toc247085692"/>
      <w:bookmarkStart w:id="100" w:name="_Toc152042308"/>
      <w:r>
        <w:rPr>
          <w:rFonts w:hint="eastAsia" w:ascii="宋体" w:hAnsi="宋体" w:eastAsia="宋体" w:cs="宋体"/>
          <w:highlight w:val="none"/>
        </w:rPr>
        <w:t>1.3 招标范围、服务期限、质量要求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7"/>
        <w:ind w:firstLine="422" w:firstLineChars="200"/>
        <w:rPr>
          <w:rFonts w:ascii="宋体" w:hAnsi="宋体" w:eastAsia="宋体" w:cs="宋体"/>
          <w:highlight w:val="none"/>
        </w:rPr>
      </w:pPr>
      <w:bookmarkStart w:id="101" w:name="_Toc152042310"/>
      <w:bookmarkStart w:id="102" w:name="_Toc144974502"/>
      <w:bookmarkStart w:id="103" w:name="_Toc247085693"/>
      <w:bookmarkStart w:id="104" w:name="_Toc246996922"/>
      <w:bookmarkStart w:id="105" w:name="_Toc26897"/>
      <w:bookmarkStart w:id="106" w:name="_Toc35424891"/>
      <w:bookmarkStart w:id="107" w:name="_Toc506107273"/>
      <w:bookmarkStart w:id="108" w:name="_Toc246996179"/>
      <w:bookmarkStart w:id="109" w:name="_Toc324404819"/>
      <w:bookmarkStart w:id="110" w:name="_Toc179632551"/>
      <w:bookmarkStart w:id="111" w:name="_Toc152045534"/>
      <w:bookmarkStart w:id="112" w:name="_Toc78803326"/>
      <w:bookmarkStart w:id="113" w:name="_Toc15058850"/>
      <w:bookmarkStart w:id="114" w:name="_Toc35425057"/>
      <w:bookmarkStart w:id="115" w:name="_Toc296602424"/>
      <w:r>
        <w:rPr>
          <w:rFonts w:hint="eastAsia" w:ascii="宋体" w:hAnsi="宋体" w:eastAsia="宋体" w:cs="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73C4A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2635E8E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（1）资质条件：见投标人须知前附表；</w:t>
      </w:r>
    </w:p>
    <w:p w14:paraId="4D8A91F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（2）项目负责人资格：见投标人须知前附表；</w:t>
      </w:r>
    </w:p>
    <w:p w14:paraId="6356665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）其他要求：见投标人须知前附表。</w:t>
      </w:r>
    </w:p>
    <w:p w14:paraId="3FF553E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投标人不得存在下列情形之一：</w:t>
      </w:r>
    </w:p>
    <w:p w14:paraId="07B4452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77EC82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00323A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（3）与本标段的其他投标人同为一个单位负责人；</w:t>
      </w:r>
    </w:p>
    <w:p w14:paraId="4B6FCCF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（4）与本标段的其他投标人存在控股、管理关系；</w:t>
      </w:r>
    </w:p>
    <w:p w14:paraId="5CF77BBE">
      <w:pPr>
        <w:spacing w:line="440" w:lineRule="exact"/>
        <w:ind w:firstLine="420" w:firstLineChars="200"/>
        <w:jc w:val="left"/>
        <w:rPr>
          <w:rFonts w:hint="eastAsia" w:ascii="宋体" w:hAnsi="宋体" w:cs="宋体"/>
          <w:color w:val="000000"/>
          <w:szCs w:val="21"/>
        </w:rPr>
      </w:pPr>
      <w:r>
        <w:rPr>
          <w:rFonts w:hint="eastAsia" w:ascii="宋体" w:hAnsi="宋体" w:cs="宋体"/>
          <w:szCs w:val="21"/>
          <w:highlight w:val="none"/>
        </w:rPr>
        <w:t>（5）为本标段前期准备提供设计或咨询服务的法人或其任何附属机构（单位）</w:t>
      </w:r>
      <w:r>
        <w:rPr>
          <w:rFonts w:hint="eastAsia" w:ascii="宋体" w:hAnsi="宋体" w:cs="宋体"/>
          <w:color w:val="000000"/>
          <w:szCs w:val="21"/>
        </w:rPr>
        <w:t>；</w:t>
      </w:r>
    </w:p>
    <w:p w14:paraId="60E2443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（6）为本标段的监理人；</w:t>
      </w:r>
    </w:p>
    <w:p w14:paraId="4EF9AA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（7）为本标段的代建人；</w:t>
      </w:r>
    </w:p>
    <w:p w14:paraId="561E8C4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（8）为本标段的招标代理机构；</w:t>
      </w:r>
    </w:p>
    <w:p w14:paraId="354920B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（9）与本标段的监理人或代建人或招标代理机构同为一个法定代表人；</w:t>
      </w:r>
    </w:p>
    <w:p w14:paraId="02E8960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（10）与本标段的监理人或代建人或招标代理机构存在控股或参股关系；</w:t>
      </w:r>
    </w:p>
    <w:p w14:paraId="5D13A36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（11）法律法规或投标人须知前附表规定的其他情形。</w:t>
      </w:r>
    </w:p>
    <w:p w14:paraId="0147B1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1.4.3 单位负责人为同一人或者存在控股、管理关系的不同单位，不得同时参加本招标项目投标。</w:t>
      </w:r>
    </w:p>
    <w:p w14:paraId="4D283291">
      <w:pPr>
        <w:pStyle w:val="7"/>
        <w:ind w:firstLine="422" w:firstLineChars="200"/>
        <w:rPr>
          <w:rFonts w:ascii="宋体" w:hAnsi="宋体" w:eastAsia="宋体" w:cs="宋体"/>
          <w:highlight w:val="none"/>
        </w:rPr>
      </w:pPr>
      <w:bookmarkStart w:id="116" w:name="_Toc246996923"/>
      <w:bookmarkStart w:id="117" w:name="_Toc15058851"/>
      <w:bookmarkStart w:id="118" w:name="_Toc179632552"/>
      <w:bookmarkStart w:id="119" w:name="_Toc35424892"/>
      <w:bookmarkStart w:id="120" w:name="_Toc35425058"/>
      <w:bookmarkStart w:id="121" w:name="_Toc152042311"/>
      <w:bookmarkStart w:id="122" w:name="_Toc10179"/>
      <w:bookmarkStart w:id="123" w:name="_Toc78803327"/>
      <w:bookmarkStart w:id="124" w:name="_Toc296602425"/>
      <w:bookmarkStart w:id="125" w:name="_Toc506107274"/>
      <w:bookmarkStart w:id="126" w:name="_Toc246996180"/>
      <w:bookmarkStart w:id="127" w:name="_Toc144974503"/>
      <w:bookmarkStart w:id="128" w:name="_Toc247085694"/>
      <w:bookmarkStart w:id="129" w:name="_Toc152045535"/>
      <w:bookmarkStart w:id="130" w:name="_Toc324404820"/>
      <w:r>
        <w:rPr>
          <w:rFonts w:hint="eastAsia" w:ascii="宋体" w:hAnsi="宋体" w:eastAsia="宋体" w:cs="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7"/>
        <w:ind w:firstLine="422" w:firstLineChars="200"/>
        <w:rPr>
          <w:rFonts w:ascii="宋体" w:hAnsi="宋体" w:eastAsia="宋体" w:cs="宋体"/>
          <w:highlight w:val="none"/>
        </w:rPr>
      </w:pPr>
      <w:bookmarkStart w:id="131" w:name="_Toc296602426"/>
      <w:bookmarkStart w:id="132" w:name="_Toc35424893"/>
      <w:bookmarkStart w:id="133" w:name="_Toc152045536"/>
      <w:bookmarkStart w:id="134" w:name="_Toc152042312"/>
      <w:bookmarkStart w:id="135" w:name="_Toc324404821"/>
      <w:bookmarkStart w:id="136" w:name="_Toc15058852"/>
      <w:bookmarkStart w:id="137" w:name="_Toc247085695"/>
      <w:bookmarkStart w:id="138" w:name="_Toc35425059"/>
      <w:bookmarkStart w:id="139" w:name="_Toc144974504"/>
      <w:bookmarkStart w:id="140" w:name="_Toc78803328"/>
      <w:bookmarkStart w:id="141" w:name="_Toc4092"/>
      <w:bookmarkStart w:id="142" w:name="_Toc246996181"/>
      <w:bookmarkStart w:id="143" w:name="_Toc179632553"/>
      <w:bookmarkStart w:id="144" w:name="_Toc506107275"/>
      <w:bookmarkStart w:id="145" w:name="_Toc246996924"/>
      <w:r>
        <w:rPr>
          <w:rFonts w:hint="eastAsia" w:ascii="宋体" w:hAnsi="宋体" w:eastAsia="宋体" w:cs="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7"/>
        <w:ind w:firstLine="422" w:firstLineChars="200"/>
        <w:rPr>
          <w:rFonts w:ascii="宋体" w:hAnsi="宋体" w:eastAsia="宋体" w:cs="宋体"/>
          <w:highlight w:val="none"/>
        </w:rPr>
      </w:pPr>
      <w:bookmarkStart w:id="146" w:name="_Toc144974505"/>
      <w:bookmarkStart w:id="147" w:name="_Toc296602427"/>
      <w:bookmarkStart w:id="148" w:name="_Toc246996925"/>
      <w:bookmarkStart w:id="149" w:name="_Toc4119"/>
      <w:bookmarkStart w:id="150" w:name="_Toc78803329"/>
      <w:bookmarkStart w:id="151" w:name="_Toc35425060"/>
      <w:bookmarkStart w:id="152" w:name="_Toc246996182"/>
      <w:bookmarkStart w:id="153" w:name="_Toc35424894"/>
      <w:bookmarkStart w:id="154" w:name="_Toc506107276"/>
      <w:bookmarkStart w:id="155" w:name="_Toc179632554"/>
      <w:bookmarkStart w:id="156" w:name="_Toc247085696"/>
      <w:bookmarkStart w:id="157" w:name="_Toc324404822"/>
      <w:bookmarkStart w:id="158" w:name="_Toc15058853"/>
      <w:bookmarkStart w:id="159" w:name="_Toc152042313"/>
      <w:bookmarkStart w:id="160" w:name="_Toc152045537"/>
      <w:r>
        <w:rPr>
          <w:rFonts w:hint="eastAsia" w:ascii="宋体" w:hAnsi="宋体" w:eastAsia="宋体" w:cs="宋体"/>
          <w:highlight w:val="none"/>
        </w:rPr>
        <w:t>1.7 语言</w:t>
      </w:r>
      <w:bookmarkEnd w:id="146"/>
      <w:r>
        <w:rPr>
          <w:rFonts w:hint="eastAsia" w:ascii="宋体" w:hAnsi="宋体" w:eastAsia="宋体" w:cs="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3039B6C">
      <w:pPr>
        <w:spacing w:line="440" w:lineRule="exact"/>
        <w:ind w:firstLine="420" w:firstLineChars="200"/>
        <w:jc w:val="left"/>
        <w:rPr>
          <w:rFonts w:ascii="宋体" w:hAnsi="宋体" w:cs="宋体"/>
          <w:szCs w:val="21"/>
          <w:highlight w:val="none"/>
        </w:rPr>
      </w:pPr>
      <w:bookmarkStart w:id="161" w:name="_Toc179632555"/>
      <w:bookmarkStart w:id="162" w:name="_Toc152042314"/>
      <w:bookmarkStart w:id="163" w:name="_Toc247085697"/>
      <w:bookmarkStart w:id="164" w:name="_Toc246996926"/>
      <w:bookmarkStart w:id="165" w:name="_Toc152045538"/>
      <w:bookmarkStart w:id="166" w:name="_Toc144974506"/>
      <w:bookmarkStart w:id="167" w:name="_Toc246996183"/>
      <w:r>
        <w:rPr>
          <w:rFonts w:hint="eastAsia" w:ascii="宋体" w:hAnsi="宋体" w:cs="宋体"/>
          <w:szCs w:val="21"/>
          <w:highlight w:val="none"/>
        </w:rPr>
        <w:t>招标投标文件使用的语言文字为中文。专用术语使用外文的，应附有中文注释。</w:t>
      </w:r>
    </w:p>
    <w:p w14:paraId="07887133">
      <w:pPr>
        <w:pStyle w:val="7"/>
        <w:ind w:firstLine="422" w:firstLineChars="200"/>
        <w:rPr>
          <w:rFonts w:ascii="宋体" w:hAnsi="宋体" w:eastAsia="宋体" w:cs="宋体"/>
          <w:highlight w:val="none"/>
        </w:rPr>
      </w:pPr>
      <w:bookmarkStart w:id="168" w:name="_Toc35424895"/>
      <w:bookmarkStart w:id="169" w:name="_Toc324404823"/>
      <w:bookmarkStart w:id="170" w:name="_Toc296602428"/>
      <w:bookmarkStart w:id="171" w:name="_Toc506107277"/>
      <w:bookmarkStart w:id="172" w:name="_Toc35425061"/>
      <w:bookmarkStart w:id="173" w:name="_Toc15058854"/>
      <w:bookmarkStart w:id="174" w:name="_Toc13408"/>
      <w:bookmarkStart w:id="175" w:name="_Toc78803330"/>
      <w:r>
        <w:rPr>
          <w:rFonts w:hint="eastAsia" w:ascii="宋体" w:hAnsi="宋体" w:eastAsia="宋体" w:cs="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7"/>
        <w:ind w:firstLine="422" w:firstLineChars="200"/>
        <w:rPr>
          <w:rFonts w:ascii="宋体" w:hAnsi="宋体" w:eastAsia="宋体" w:cs="宋体"/>
          <w:highlight w:val="none"/>
        </w:rPr>
      </w:pPr>
      <w:bookmarkStart w:id="176" w:name="_Toc247527563"/>
      <w:bookmarkStart w:id="177" w:name="_Toc152045539"/>
      <w:bookmarkStart w:id="178" w:name="_Toc144974507"/>
      <w:bookmarkStart w:id="179" w:name="_Toc152042315"/>
      <w:bookmarkStart w:id="180" w:name="_Toc78803331"/>
      <w:bookmarkStart w:id="181" w:name="_Toc506107278"/>
      <w:bookmarkStart w:id="182" w:name="_Toc296602429"/>
      <w:bookmarkStart w:id="183" w:name="_Toc35425062"/>
      <w:bookmarkStart w:id="184" w:name="_Toc247513962"/>
      <w:bookmarkStart w:id="185" w:name="_Toc35424896"/>
      <w:bookmarkStart w:id="186" w:name="_Toc15058855"/>
      <w:bookmarkStart w:id="187" w:name="_Toc247592876"/>
      <w:bookmarkStart w:id="188" w:name="_Toc11493"/>
      <w:bookmarkStart w:id="189" w:name="_Toc324404824"/>
      <w:r>
        <w:rPr>
          <w:rFonts w:hint="eastAsia" w:ascii="宋体" w:hAnsi="宋体" w:eastAsia="宋体" w:cs="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2A71B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1.9.1 投标人须知前附表规定组织踏勘现场的，招标人按投标人须知前附表规定的时间、地点组织投标人踏勘项目现场。 </w:t>
      </w:r>
    </w:p>
    <w:p w14:paraId="7CA0E90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1.9.2 投标人踏勘现场发生的费用自理。</w:t>
      </w:r>
    </w:p>
    <w:p w14:paraId="127465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9BF0E5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179FDA06">
      <w:pPr>
        <w:pStyle w:val="7"/>
        <w:ind w:firstLine="422" w:firstLineChars="200"/>
        <w:rPr>
          <w:rFonts w:ascii="宋体" w:hAnsi="宋体" w:eastAsia="宋体" w:cs="宋体"/>
          <w:highlight w:val="none"/>
        </w:rPr>
      </w:pPr>
      <w:bookmarkStart w:id="190" w:name="_Toc35425063"/>
      <w:bookmarkStart w:id="191" w:name="_Toc296602430"/>
      <w:bookmarkStart w:id="192" w:name="_Toc35424897"/>
      <w:bookmarkStart w:id="193" w:name="_Toc247592877"/>
      <w:bookmarkStart w:id="194" w:name="_Toc152045540"/>
      <w:bookmarkStart w:id="195" w:name="_Toc78803332"/>
      <w:bookmarkStart w:id="196" w:name="_Toc22954"/>
      <w:bookmarkStart w:id="197" w:name="_Toc144974508"/>
      <w:bookmarkStart w:id="198" w:name="_Toc324404825"/>
      <w:bookmarkStart w:id="199" w:name="_Toc506107279"/>
      <w:bookmarkStart w:id="200" w:name="_Toc15058856"/>
      <w:bookmarkStart w:id="201" w:name="_Toc152042316"/>
      <w:bookmarkStart w:id="202" w:name="_Toc247527564"/>
      <w:bookmarkStart w:id="203" w:name="_Toc247513963"/>
      <w:r>
        <w:rPr>
          <w:rFonts w:hint="eastAsia" w:ascii="宋体" w:hAnsi="宋体" w:eastAsia="宋体" w:cs="宋体"/>
          <w:highlight w:val="none"/>
        </w:rPr>
        <w:t>1.10 投标预备会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8EE1D1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14:paraId="5D6BD2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1.10.2投标人应在投标人须知前附表规定的时间前，将提出的问题送达招标人，以便招标人澄清。</w:t>
      </w:r>
    </w:p>
    <w:p w14:paraId="5AA3AE0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1.10.3招标人在投标人须知前附表规定的时间，将对投标人所提的问题进行澄清。该澄清内容为招标文件的组成部分。</w:t>
      </w:r>
    </w:p>
    <w:p w14:paraId="01FA1CA0">
      <w:pPr>
        <w:pStyle w:val="7"/>
        <w:ind w:firstLine="422" w:firstLineChars="200"/>
        <w:rPr>
          <w:rFonts w:ascii="宋体" w:hAnsi="宋体" w:eastAsia="宋体" w:cs="宋体"/>
          <w:highlight w:val="none"/>
        </w:rPr>
      </w:pPr>
      <w:bookmarkStart w:id="204" w:name="_Toc35424898"/>
      <w:bookmarkStart w:id="205" w:name="_Toc15058857"/>
      <w:bookmarkStart w:id="206" w:name="_Toc35425064"/>
      <w:bookmarkStart w:id="207" w:name="_Toc506107280"/>
      <w:bookmarkStart w:id="208" w:name="_Toc296602431"/>
      <w:bookmarkStart w:id="209" w:name="_Toc324404826"/>
      <w:bookmarkStart w:id="210" w:name="_Toc78803333"/>
      <w:bookmarkStart w:id="211" w:name="_Toc32016"/>
      <w:r>
        <w:rPr>
          <w:rFonts w:hint="eastAsia" w:ascii="宋体" w:hAnsi="宋体" w:eastAsia="宋体" w:cs="宋体"/>
          <w:highlight w:val="none"/>
        </w:rPr>
        <w:t>1.11 偏离</w:t>
      </w:r>
      <w:bookmarkEnd w:id="204"/>
      <w:bookmarkEnd w:id="205"/>
      <w:bookmarkEnd w:id="206"/>
      <w:bookmarkEnd w:id="207"/>
      <w:bookmarkEnd w:id="208"/>
      <w:bookmarkEnd w:id="209"/>
      <w:bookmarkEnd w:id="210"/>
      <w:bookmarkEnd w:id="211"/>
    </w:p>
    <w:p w14:paraId="7B46C04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258F395D">
      <w:pPr>
        <w:pStyle w:val="7"/>
        <w:spacing w:beforeLines="50" w:afterLines="50"/>
        <w:ind w:firstLine="482" w:firstLineChars="200"/>
        <w:rPr>
          <w:rFonts w:ascii="宋体" w:hAnsi="宋体" w:eastAsia="宋体" w:cs="宋体"/>
          <w:sz w:val="24"/>
          <w:szCs w:val="24"/>
          <w:highlight w:val="none"/>
        </w:rPr>
      </w:pPr>
      <w:bookmarkStart w:id="212" w:name="_Toc15058858"/>
      <w:bookmarkStart w:id="213" w:name="_Toc324404827"/>
      <w:bookmarkStart w:id="214" w:name="_Toc35424899"/>
      <w:bookmarkStart w:id="215" w:name="_Toc246996187"/>
      <w:bookmarkStart w:id="216" w:name="_Toc179632560"/>
      <w:bookmarkStart w:id="217" w:name="_Toc246996930"/>
      <w:bookmarkStart w:id="218" w:name="_Toc144974510"/>
      <w:bookmarkStart w:id="219" w:name="_Toc247085701"/>
      <w:bookmarkStart w:id="220" w:name="_Toc152045542"/>
      <w:bookmarkStart w:id="221" w:name="_Toc78803334"/>
      <w:bookmarkStart w:id="222" w:name="_Toc506107281"/>
      <w:bookmarkStart w:id="223" w:name="_Toc35425065"/>
      <w:bookmarkStart w:id="224" w:name="_Toc152042318"/>
      <w:bookmarkStart w:id="225" w:name="_Toc4012"/>
      <w:r>
        <w:rPr>
          <w:rFonts w:hint="eastAsia" w:ascii="宋体" w:hAnsi="宋体" w:eastAsia="宋体" w:cs="宋体"/>
          <w:sz w:val="24"/>
          <w:szCs w:val="24"/>
          <w:highlight w:val="none"/>
        </w:rPr>
        <w:t>2. 招标文件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E9A892E">
      <w:pPr>
        <w:pStyle w:val="7"/>
        <w:ind w:firstLine="422" w:firstLineChars="200"/>
        <w:rPr>
          <w:rFonts w:ascii="宋体" w:hAnsi="宋体" w:eastAsia="宋体" w:cs="宋体"/>
          <w:highlight w:val="none"/>
        </w:rPr>
      </w:pPr>
      <w:bookmarkStart w:id="226" w:name="_Toc324404828"/>
      <w:bookmarkStart w:id="227" w:name="_Toc179632561"/>
      <w:bookmarkStart w:id="228" w:name="_Toc506107282"/>
      <w:bookmarkStart w:id="229" w:name="_Toc246996931"/>
      <w:bookmarkStart w:id="230" w:name="_Toc15058859"/>
      <w:bookmarkStart w:id="231" w:name="_Toc246996188"/>
      <w:bookmarkStart w:id="232" w:name="_Toc296602433"/>
      <w:bookmarkStart w:id="233" w:name="_Toc144974511"/>
      <w:bookmarkStart w:id="234" w:name="_Toc152042319"/>
      <w:bookmarkStart w:id="235" w:name="_Toc35425066"/>
      <w:bookmarkStart w:id="236" w:name="_Toc35424900"/>
      <w:bookmarkStart w:id="237" w:name="_Toc78803335"/>
      <w:bookmarkStart w:id="238" w:name="_Toc152045543"/>
      <w:bookmarkStart w:id="239" w:name="_Toc247085702"/>
      <w:bookmarkStart w:id="240" w:name="_Toc13213"/>
      <w:r>
        <w:rPr>
          <w:rFonts w:hint="eastAsia" w:ascii="宋体" w:hAnsi="宋体" w:eastAsia="宋体" w:cs="宋体"/>
          <w:highlight w:val="none"/>
        </w:rPr>
        <w:t>2.1 招标文件的组成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14:paraId="309C973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14:paraId="794E1B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（3）资格审查办法</w:t>
      </w:r>
    </w:p>
    <w:p w14:paraId="0F96BD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（4）评标办法；</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（5）合同条款及格式；</w:t>
      </w:r>
    </w:p>
    <w:p w14:paraId="609086E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技术标准和要求</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）投标文件格式；</w:t>
      </w:r>
    </w:p>
    <w:p w14:paraId="58EF797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）投标人须知前附表规定的其他材料。</w:t>
      </w:r>
    </w:p>
    <w:p w14:paraId="4A2A59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3B513EA0">
      <w:pPr>
        <w:pStyle w:val="7"/>
        <w:ind w:firstLine="422" w:firstLineChars="200"/>
        <w:rPr>
          <w:rFonts w:ascii="宋体" w:hAnsi="宋体" w:eastAsia="宋体" w:cs="宋体"/>
          <w:highlight w:val="none"/>
        </w:rPr>
      </w:pPr>
      <w:bookmarkStart w:id="241" w:name="_Toc35424901"/>
      <w:bookmarkStart w:id="242" w:name="_Toc152045544"/>
      <w:bookmarkStart w:id="243" w:name="_Toc324404829"/>
      <w:bookmarkStart w:id="244" w:name="_Toc144974512"/>
      <w:bookmarkStart w:id="245" w:name="_Toc247085703"/>
      <w:bookmarkStart w:id="246" w:name="_Toc78803336"/>
      <w:bookmarkStart w:id="247" w:name="_Toc32239"/>
      <w:bookmarkStart w:id="248" w:name="_Toc296602434"/>
      <w:bookmarkStart w:id="249" w:name="_Toc179632562"/>
      <w:bookmarkStart w:id="250" w:name="_Toc246996932"/>
      <w:bookmarkStart w:id="251" w:name="_Toc15058860"/>
      <w:bookmarkStart w:id="252" w:name="_Toc35425067"/>
      <w:bookmarkStart w:id="253" w:name="_Toc246996189"/>
      <w:bookmarkStart w:id="254" w:name="_Toc506107283"/>
      <w:bookmarkStart w:id="255" w:name="_Toc152042320"/>
      <w:r>
        <w:rPr>
          <w:rFonts w:hint="eastAsia" w:ascii="宋体" w:hAnsi="宋体" w:eastAsia="宋体" w:cs="宋体"/>
          <w:highlight w:val="none"/>
        </w:rPr>
        <w:t>2.2 招标文件的澄清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2.2.1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2.2.2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5EC8A5BB">
      <w:pPr>
        <w:pStyle w:val="7"/>
        <w:ind w:firstLine="422" w:firstLineChars="200"/>
        <w:rPr>
          <w:rFonts w:ascii="宋体" w:hAnsi="宋体" w:eastAsia="宋体" w:cs="宋体"/>
          <w:highlight w:val="none"/>
        </w:rPr>
      </w:pPr>
      <w:bookmarkStart w:id="256" w:name="_Toc246996933"/>
      <w:bookmarkStart w:id="257" w:name="_Toc144974513"/>
      <w:bookmarkStart w:id="258" w:name="_Toc78803337"/>
      <w:bookmarkStart w:id="259" w:name="_Toc324404830"/>
      <w:bookmarkStart w:id="260" w:name="_Toc35424902"/>
      <w:bookmarkStart w:id="261" w:name="_Toc247085704"/>
      <w:bookmarkStart w:id="262" w:name="_Toc296602435"/>
      <w:bookmarkStart w:id="263" w:name="_Toc35425068"/>
      <w:bookmarkStart w:id="264" w:name="_Toc246996190"/>
      <w:bookmarkStart w:id="265" w:name="_Toc24633"/>
      <w:bookmarkStart w:id="266" w:name="_Toc179632563"/>
      <w:bookmarkStart w:id="267" w:name="_Toc506107284"/>
      <w:bookmarkStart w:id="268" w:name="_Toc152042321"/>
      <w:bookmarkStart w:id="269" w:name="_Toc152045545"/>
      <w:bookmarkStart w:id="270" w:name="_Toc15058861"/>
      <w:r>
        <w:rPr>
          <w:rFonts w:hint="eastAsia" w:ascii="宋体" w:hAnsi="宋体" w:eastAsia="宋体" w:cs="宋体"/>
          <w:highlight w:val="none"/>
        </w:rPr>
        <w:t>2.3 招标文件的修改</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844B2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2.3.1招标人可以修改招标文件，并以澄清的方式在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0E2ED339">
      <w:pPr>
        <w:pStyle w:val="7"/>
        <w:ind w:firstLine="422" w:firstLineChars="200"/>
        <w:rPr>
          <w:rFonts w:ascii="宋体" w:hAnsi="宋体" w:eastAsia="宋体" w:cs="宋体"/>
          <w:highlight w:val="none"/>
        </w:rPr>
      </w:pPr>
      <w:bookmarkStart w:id="271" w:name="_Toc324404831"/>
      <w:bookmarkStart w:id="272" w:name="_Toc78803338"/>
      <w:bookmarkStart w:id="273" w:name="_Toc15058862"/>
      <w:bookmarkStart w:id="274" w:name="_Toc2696"/>
      <w:bookmarkStart w:id="275" w:name="_Toc35424903"/>
      <w:bookmarkStart w:id="276" w:name="_Toc35425069"/>
      <w:r>
        <w:rPr>
          <w:rFonts w:hint="eastAsia" w:ascii="宋体" w:hAnsi="宋体" w:eastAsia="宋体" w:cs="宋体"/>
          <w:highlight w:val="none"/>
        </w:rPr>
        <w:t>2.4</w:t>
      </w:r>
      <w:bookmarkEnd w:id="271"/>
      <w:r>
        <w:rPr>
          <w:rFonts w:hint="eastAsia" w:ascii="宋体" w:hAnsi="宋体" w:eastAsia="宋体" w:cs="宋体"/>
          <w:highlight w:val="none"/>
        </w:rPr>
        <w:t>最高限价</w:t>
      </w:r>
      <w:bookmarkEnd w:id="272"/>
      <w:bookmarkEnd w:id="273"/>
      <w:bookmarkEnd w:id="274"/>
      <w:bookmarkEnd w:id="275"/>
      <w:bookmarkEnd w:id="276"/>
    </w:p>
    <w:p w14:paraId="5D85920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2.4.1最高限价的作用和说明</w:t>
      </w:r>
    </w:p>
    <w:p w14:paraId="0696B91C">
      <w:pPr>
        <w:spacing w:line="440" w:lineRule="exact"/>
        <w:ind w:firstLine="420" w:firstLineChars="200"/>
        <w:jc w:val="left"/>
        <w:rPr>
          <w:rFonts w:ascii="宋体" w:hAnsi="宋体" w:cs="宋体"/>
          <w:highlight w:val="none"/>
        </w:rPr>
      </w:pPr>
      <w:bookmarkStart w:id="277" w:name="_Toc324404832"/>
      <w:bookmarkStart w:id="278" w:name="_Toc247085705"/>
      <w:bookmarkStart w:id="279" w:name="_Toc15058863"/>
      <w:bookmarkStart w:id="280" w:name="_Toc179632564"/>
      <w:bookmarkStart w:id="281" w:name="_Toc152045546"/>
      <w:bookmarkStart w:id="282" w:name="_Toc144974514"/>
      <w:bookmarkStart w:id="283" w:name="_Toc246996191"/>
      <w:bookmarkStart w:id="284" w:name="_Toc246996934"/>
      <w:bookmarkStart w:id="285" w:name="_Toc35425070"/>
      <w:bookmarkStart w:id="286" w:name="_Toc78803339"/>
      <w:bookmarkStart w:id="287" w:name="_Toc35424904"/>
      <w:bookmarkStart w:id="288" w:name="_Toc152042322"/>
      <w:bookmarkStart w:id="289" w:name="_Toc6464"/>
      <w:bookmarkStart w:id="290" w:name="_Toc506107285"/>
      <w:r>
        <w:rPr>
          <w:rFonts w:hint="eastAsia" w:ascii="宋体" w:hAnsi="宋体" w:cs="宋体"/>
          <w:szCs w:val="21"/>
          <w:highlight w:val="none"/>
        </w:rPr>
        <w:t>（1）</w:t>
      </w:r>
      <w:r>
        <w:rPr>
          <w:rFonts w:hint="eastAsia" w:ascii="宋体" w:hAnsi="宋体" w:cs="宋体"/>
          <w:highlight w:val="none"/>
        </w:rPr>
        <w:t>投标人的投标报价不得</w:t>
      </w:r>
      <w:r>
        <w:rPr>
          <w:rFonts w:hint="eastAsia" w:ascii="宋体" w:hAnsi="宋体" w:cs="宋体"/>
          <w:highlight w:val="none"/>
          <w:lang w:val="en-US" w:eastAsia="zh-CN"/>
        </w:rPr>
        <w:t>高于</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的发布时间及方式在投标人须知前附表中载明。</w:t>
      </w:r>
    </w:p>
    <w:p w14:paraId="2E0586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（2）投标人对最高限价（费率）有异议的，可在</w:t>
      </w:r>
      <w:r>
        <w:rPr>
          <w:rFonts w:hint="eastAsia" w:ascii="宋体" w:hAnsi="宋体" w:cs="宋体"/>
          <w:highlight w:val="none"/>
        </w:rPr>
        <w:t>投标人须知前附表规定的时间内向招标人提出异议，</w:t>
      </w:r>
      <w:r>
        <w:rPr>
          <w:rFonts w:hint="eastAsia" w:ascii="宋体" w:hAnsi="宋体" w:cs="宋体"/>
          <w:szCs w:val="21"/>
          <w:highlight w:val="none"/>
        </w:rPr>
        <w:t>未在规定时间内提出异议的或投标人提出异议经招标人复核后的最高限价（费率），视为合理有效。</w:t>
      </w:r>
    </w:p>
    <w:p w14:paraId="5681C7DF">
      <w:pPr>
        <w:pStyle w:val="7"/>
        <w:spacing w:beforeLines="50" w:afterLines="50"/>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8225A2">
      <w:pPr>
        <w:pStyle w:val="7"/>
        <w:ind w:firstLine="422" w:firstLineChars="200"/>
        <w:rPr>
          <w:rFonts w:ascii="宋体" w:hAnsi="宋体" w:eastAsia="宋体" w:cs="宋体"/>
          <w:highlight w:val="none"/>
        </w:rPr>
      </w:pPr>
      <w:bookmarkStart w:id="291" w:name="_Toc152045547"/>
      <w:bookmarkStart w:id="292" w:name="_Toc296602437"/>
      <w:bookmarkStart w:id="293" w:name="_Toc246996192"/>
      <w:bookmarkStart w:id="294" w:name="_Toc179632565"/>
      <w:bookmarkStart w:id="295" w:name="_Toc35424905"/>
      <w:bookmarkStart w:id="296" w:name="_Toc35425071"/>
      <w:bookmarkStart w:id="297" w:name="_Toc144974515"/>
      <w:bookmarkStart w:id="298" w:name="_Toc324404833"/>
      <w:bookmarkStart w:id="299" w:name="_Toc247085706"/>
      <w:bookmarkStart w:id="300" w:name="_Toc152042323"/>
      <w:bookmarkStart w:id="301" w:name="_Toc15058864"/>
      <w:bookmarkStart w:id="302" w:name="_Toc157"/>
      <w:bookmarkStart w:id="303" w:name="_Toc506107286"/>
      <w:bookmarkStart w:id="304" w:name="_Toc246996935"/>
      <w:bookmarkStart w:id="305" w:name="_Toc78803340"/>
      <w:r>
        <w:rPr>
          <w:rFonts w:hint="eastAsia" w:ascii="宋体" w:hAnsi="宋体" w:eastAsia="宋体" w:cs="宋体"/>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rPr>
        <w:t>二（技术标）和</w:t>
      </w:r>
      <w:r>
        <w:rPr>
          <w:rFonts w:hint="eastAsia" w:ascii="宋体" w:hAnsi="宋体" w:cs="宋体"/>
          <w:szCs w:val="21"/>
          <w:highlight w:val="none"/>
          <w:lang w:eastAsia="zh-CN"/>
        </w:rPr>
        <w:t>投标文件</w:t>
      </w:r>
      <w:r>
        <w:rPr>
          <w:rFonts w:hint="eastAsia" w:ascii="宋体" w:hAnsi="宋体" w:cs="宋体"/>
          <w:szCs w:val="21"/>
          <w:highlight w:val="none"/>
        </w:rPr>
        <w:t>三（商务标）三部分组成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w:t>
      </w:r>
    </w:p>
    <w:p w14:paraId="68B92645">
      <w:pPr>
        <w:pStyle w:val="7"/>
        <w:ind w:firstLine="422" w:firstLineChars="200"/>
        <w:rPr>
          <w:rFonts w:ascii="宋体" w:hAnsi="宋体" w:eastAsia="宋体" w:cs="宋体"/>
          <w:highlight w:val="none"/>
        </w:rPr>
      </w:pPr>
      <w:bookmarkStart w:id="306" w:name="_Toc246996936"/>
      <w:bookmarkStart w:id="307" w:name="_Toc246996193"/>
      <w:bookmarkStart w:id="308" w:name="_Toc144974516"/>
      <w:bookmarkStart w:id="309" w:name="_Toc296602438"/>
      <w:bookmarkStart w:id="310" w:name="_Toc152042324"/>
      <w:bookmarkStart w:id="311" w:name="_Toc179632566"/>
      <w:bookmarkStart w:id="312" w:name="_Toc15058865"/>
      <w:bookmarkStart w:id="313" w:name="_Toc152045548"/>
      <w:bookmarkStart w:id="314" w:name="_Toc6829"/>
      <w:bookmarkStart w:id="315" w:name="_Toc35425072"/>
      <w:bookmarkStart w:id="316" w:name="_Toc506107287"/>
      <w:bookmarkStart w:id="317" w:name="_Toc78803341"/>
      <w:bookmarkStart w:id="318" w:name="_Toc324404834"/>
      <w:bookmarkStart w:id="319" w:name="_Toc35424906"/>
      <w:bookmarkStart w:id="320" w:name="_Toc247085707"/>
      <w:r>
        <w:rPr>
          <w:rFonts w:hint="eastAsia" w:ascii="宋体" w:hAnsi="宋体" w:eastAsia="宋体" w:cs="宋体"/>
          <w:highlight w:val="none"/>
        </w:rPr>
        <w:t>3.2 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7D53DC4">
      <w:pPr>
        <w:spacing w:line="440" w:lineRule="exact"/>
        <w:ind w:firstLine="420" w:firstLineChars="200"/>
        <w:jc w:val="left"/>
        <w:rPr>
          <w:rFonts w:ascii="宋体" w:hAnsi="宋体" w:cs="宋体"/>
          <w:highlight w:val="none"/>
        </w:rPr>
      </w:pPr>
      <w:bookmarkStart w:id="321" w:name="_Toc15058866"/>
      <w:bookmarkStart w:id="322" w:name="_Toc247085708"/>
      <w:bookmarkStart w:id="323" w:name="_Toc296602439"/>
      <w:bookmarkStart w:id="324" w:name="_Toc179632567"/>
      <w:bookmarkStart w:id="325" w:name="_Toc152042325"/>
      <w:bookmarkStart w:id="326" w:name="_Toc246996937"/>
      <w:bookmarkStart w:id="327" w:name="_Toc246996194"/>
      <w:bookmarkStart w:id="328" w:name="_Toc506107288"/>
      <w:bookmarkStart w:id="329" w:name="_Toc35425073"/>
      <w:bookmarkStart w:id="330" w:name="_Toc144974517"/>
      <w:bookmarkStart w:id="331" w:name="_Toc31735"/>
      <w:bookmarkStart w:id="332" w:name="_Toc152045549"/>
      <w:bookmarkStart w:id="333" w:name="_Toc324404835"/>
      <w:bookmarkStart w:id="334" w:name="_Toc78803342"/>
      <w:bookmarkStart w:id="335" w:name="_Toc35424907"/>
      <w:r>
        <w:rPr>
          <w:rFonts w:hint="eastAsia" w:ascii="宋体" w:hAnsi="宋体" w:cs="宋体"/>
          <w:highlight w:val="none"/>
        </w:rPr>
        <w:t>3.2.1 投标人的投标报价不得</w:t>
      </w:r>
      <w:r>
        <w:rPr>
          <w:rFonts w:hint="eastAsia" w:ascii="宋体" w:hAnsi="宋体" w:cs="宋体"/>
          <w:highlight w:val="none"/>
          <w:lang w:val="en-US" w:eastAsia="zh-CN"/>
        </w:rPr>
        <w:t>高于</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，最高限价</w:t>
      </w:r>
      <w:r>
        <w:rPr>
          <w:rFonts w:hint="eastAsia" w:ascii="宋体" w:hAnsi="宋体" w:cs="宋体"/>
          <w:szCs w:val="21"/>
          <w:highlight w:val="none"/>
        </w:rPr>
        <w:t>（费率）</w:t>
      </w:r>
      <w:r>
        <w:rPr>
          <w:rFonts w:hint="eastAsia" w:ascii="宋体" w:hAnsi="宋体" w:cs="宋体"/>
          <w:highlight w:val="none"/>
        </w:rPr>
        <w:t>的发布时间及方式在投标人须知前附表中载明。</w:t>
      </w:r>
    </w:p>
    <w:p w14:paraId="5DE05706">
      <w:pPr>
        <w:spacing w:line="440" w:lineRule="exact"/>
        <w:ind w:firstLine="420" w:firstLineChars="200"/>
        <w:jc w:val="left"/>
        <w:rPr>
          <w:rFonts w:ascii="宋体" w:hAnsi="宋体" w:cs="宋体"/>
          <w:highlight w:val="none"/>
        </w:rPr>
      </w:pPr>
      <w:r>
        <w:rPr>
          <w:rFonts w:hint="eastAsia" w:ascii="宋体" w:hAnsi="宋体" w:cs="宋体"/>
          <w:highlight w:val="none"/>
        </w:rPr>
        <w:t>3.2.2投标报价应由法定代表人或被授权人签署。</w:t>
      </w:r>
    </w:p>
    <w:p w14:paraId="248C4ACA">
      <w:pPr>
        <w:spacing w:line="440" w:lineRule="exact"/>
        <w:ind w:left="15" w:leftChars="7" w:firstLine="420" w:firstLineChars="200"/>
        <w:jc w:val="left"/>
        <w:rPr>
          <w:rFonts w:ascii="宋体" w:hAnsi="宋体" w:cs="宋体"/>
          <w:highlight w:val="none"/>
        </w:rPr>
      </w:pPr>
      <w:r>
        <w:rPr>
          <w:rFonts w:hint="eastAsia" w:ascii="宋体" w:hAnsi="宋体" w:cs="宋体"/>
          <w:highlight w:val="none"/>
        </w:rPr>
        <w:t>3.2.3投标人的投标报价应为项目招标范围内监理单位所提供的全部服务工作内容所需的全部费用，包含所有成本、利润和税金等全部费用。</w:t>
      </w:r>
    </w:p>
    <w:p w14:paraId="466F5F2C">
      <w:pPr>
        <w:spacing w:line="440" w:lineRule="exact"/>
        <w:ind w:firstLine="420" w:firstLineChars="200"/>
        <w:jc w:val="left"/>
        <w:rPr>
          <w:rFonts w:ascii="宋体" w:hAnsi="宋体" w:cs="宋体"/>
          <w:highlight w:val="none"/>
        </w:rPr>
      </w:pPr>
      <w:r>
        <w:rPr>
          <w:rFonts w:hint="eastAsia" w:ascii="宋体" w:hAnsi="宋体" w:cs="宋体"/>
          <w:highlight w:val="none"/>
        </w:rPr>
        <w:t>3.2.4不论任何原因导致的工期延长，招标人均不再补偿监理费用。</w:t>
      </w:r>
    </w:p>
    <w:p w14:paraId="454C15E1">
      <w:pPr>
        <w:pStyle w:val="7"/>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7"/>
        <w:ind w:firstLine="422" w:firstLineChars="200"/>
        <w:rPr>
          <w:rFonts w:hint="eastAsia" w:ascii="宋体" w:hAnsi="宋体" w:eastAsia="宋体" w:cs="宋体"/>
          <w:highlight w:val="none"/>
        </w:rPr>
      </w:pPr>
      <w:bookmarkStart w:id="336" w:name="_Toc506107289"/>
      <w:bookmarkStart w:id="337" w:name="_Toc296602440"/>
      <w:bookmarkStart w:id="338" w:name="_Toc144974518"/>
      <w:bookmarkStart w:id="339" w:name="_Toc246996195"/>
      <w:bookmarkStart w:id="340" w:name="_Toc15058867"/>
      <w:bookmarkStart w:id="341" w:name="_Toc35424908"/>
      <w:bookmarkStart w:id="342" w:name="_Toc247085709"/>
      <w:bookmarkStart w:id="343" w:name="_Toc35425074"/>
      <w:bookmarkStart w:id="344" w:name="_Toc152042326"/>
      <w:bookmarkStart w:id="345" w:name="_Toc78803343"/>
      <w:bookmarkStart w:id="346" w:name="_Toc179632568"/>
      <w:bookmarkStart w:id="347" w:name="_Toc152045550"/>
      <w:bookmarkStart w:id="348" w:name="_Toc246996938"/>
      <w:bookmarkStart w:id="349" w:name="_Toc324404836"/>
      <w:bookmarkStart w:id="350" w:name="_Toc10714"/>
      <w:r>
        <w:rPr>
          <w:rFonts w:hint="eastAsia" w:ascii="宋体" w:hAnsi="宋体" w:eastAsia="宋体" w:cs="宋体"/>
          <w:highlight w:val="none"/>
        </w:rPr>
        <w:t>3.4 投标保证金</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7"/>
        <w:ind w:firstLine="422" w:firstLineChars="200"/>
        <w:rPr>
          <w:rFonts w:ascii="宋体" w:hAnsi="宋体" w:eastAsia="宋体" w:cs="宋体"/>
          <w:highlight w:val="none"/>
        </w:rPr>
      </w:pPr>
      <w:bookmarkStart w:id="351" w:name="_Toc296602442"/>
      <w:bookmarkStart w:id="352" w:name="_Toc15058868"/>
      <w:bookmarkStart w:id="353" w:name="_Toc19037"/>
      <w:bookmarkStart w:id="354" w:name="_Toc35424909"/>
      <w:bookmarkStart w:id="355" w:name="_Toc78803344"/>
      <w:bookmarkStart w:id="356" w:name="_Toc324404837"/>
      <w:bookmarkStart w:id="357" w:name="_Toc506107290"/>
      <w:bookmarkStart w:id="358" w:name="_Toc35425075"/>
      <w:bookmarkStart w:id="359" w:name="_Toc247085711"/>
      <w:bookmarkStart w:id="360" w:name="_Toc152045553"/>
      <w:bookmarkStart w:id="361" w:name="_Toc152042329"/>
      <w:bookmarkStart w:id="362" w:name="_Toc179632571"/>
      <w:bookmarkStart w:id="363" w:name="_Toc144974521"/>
      <w:bookmarkStart w:id="364" w:name="_Toc246996940"/>
      <w:bookmarkStart w:id="365" w:name="_Toc246996197"/>
      <w:r>
        <w:rPr>
          <w:rFonts w:hint="eastAsia" w:ascii="宋体" w:hAnsi="宋体" w:eastAsia="宋体" w:cs="宋体"/>
          <w:highlight w:val="none"/>
        </w:rPr>
        <w:t>3.5投标文件的编制</w:t>
      </w:r>
      <w:bookmarkEnd w:id="351"/>
      <w:bookmarkEnd w:id="352"/>
      <w:bookmarkEnd w:id="353"/>
      <w:bookmarkEnd w:id="354"/>
      <w:bookmarkEnd w:id="355"/>
      <w:bookmarkEnd w:id="356"/>
      <w:bookmarkEnd w:id="357"/>
      <w:bookmarkEnd w:id="358"/>
    </w:p>
    <w:p w14:paraId="243A59D4">
      <w:pPr>
        <w:spacing w:line="460" w:lineRule="exact"/>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szCs w:val="21"/>
          <w:highlight w:val="none"/>
          <w:lang w:val="en-US" w:eastAsia="zh-CN"/>
        </w:rPr>
        <w:t>投标文件</w:t>
      </w:r>
      <w:r>
        <w:rPr>
          <w:rFonts w:hint="eastAsia" w:ascii="宋体" w:hAnsi="宋体" w:cs="宋体"/>
          <w:szCs w:val="21"/>
          <w:highlight w:val="none"/>
        </w:rPr>
        <w:t>应按第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章“投标文件格式”进行编写，如有必要，可以增加附页，作为投标文件的组成部分。</w:t>
      </w:r>
    </w:p>
    <w:p w14:paraId="7A6AE0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w:t>
      </w:r>
      <w:bookmarkEnd w:id="359"/>
      <w:bookmarkEnd w:id="360"/>
      <w:bookmarkEnd w:id="361"/>
      <w:bookmarkEnd w:id="362"/>
      <w:bookmarkEnd w:id="363"/>
      <w:bookmarkEnd w:id="364"/>
      <w:bookmarkEnd w:id="365"/>
      <w:bookmarkStart w:id="366" w:name="_Toc179632573"/>
      <w:bookmarkStart w:id="367" w:name="_Toc247085713"/>
      <w:bookmarkStart w:id="368" w:name="_Toc246996199"/>
      <w:bookmarkStart w:id="369" w:name="_Toc152042331"/>
      <w:bookmarkStart w:id="370" w:name="_Toc152045555"/>
      <w:bookmarkStart w:id="371" w:name="_Toc144974523"/>
      <w:bookmarkStart w:id="372" w:name="_Toc246996942"/>
      <w:bookmarkStart w:id="373" w:name="_Toc324404838"/>
      <w:r>
        <w:rPr>
          <w:rFonts w:hint="eastAsia" w:ascii="宋体" w:hAnsi="宋体" w:cs="宋体"/>
          <w:szCs w:val="21"/>
          <w:highlight w:val="none"/>
        </w:rPr>
        <w:t>.5.2 投标文件应当对招标文件有关工期、投标有效期、质量要求、技术标准和要求、招标范围等实质性内容作出响应。</w:t>
      </w:r>
    </w:p>
    <w:p w14:paraId="4D2617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3.5.3本次投标不需要提供纸质投标文件，投标人应按照</w:t>
      </w:r>
      <w:r>
        <w:rPr>
          <w:rFonts w:hint="eastAsia" w:ascii="宋体" w:hAnsi="宋体" w:cs="宋体"/>
          <w:szCs w:val="21"/>
          <w:highlight w:val="none"/>
          <w:lang w:val="en-US" w:eastAsia="zh-CN"/>
        </w:rPr>
        <w:t>招标公告</w:t>
      </w:r>
      <w:r>
        <w:rPr>
          <w:rFonts w:hint="eastAsia" w:ascii="宋体" w:hAnsi="宋体" w:cs="宋体"/>
          <w:szCs w:val="21"/>
          <w:highlight w:val="none"/>
        </w:rPr>
        <w:t>的要求</w:t>
      </w:r>
      <w:r>
        <w:rPr>
          <w:rFonts w:hint="eastAsia" w:ascii="宋体" w:hAnsi="宋体" w:cs="宋体"/>
          <w:szCs w:val="21"/>
          <w:highlight w:val="none"/>
          <w:lang w:val="en-US" w:eastAsia="zh-CN"/>
        </w:rPr>
        <w:t>上传</w:t>
      </w:r>
      <w:r>
        <w:rPr>
          <w:rFonts w:hint="eastAsia" w:ascii="宋体" w:hAnsi="宋体" w:cs="宋体"/>
          <w:szCs w:val="21"/>
          <w:highlight w:val="none"/>
        </w:rPr>
        <w:t>电子投标文件。</w:t>
      </w:r>
    </w:p>
    <w:p w14:paraId="7240D5C8">
      <w:pPr>
        <w:spacing w:line="440" w:lineRule="exact"/>
        <w:ind w:firstLine="420" w:firstLineChars="200"/>
        <w:jc w:val="left"/>
        <w:rPr>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4</w:t>
      </w:r>
      <w:r>
        <w:rPr>
          <w:rFonts w:hint="eastAsia" w:ascii="宋体" w:hAnsi="宋体" w:cs="宋体"/>
          <w:szCs w:val="21"/>
          <w:highlight w:val="none"/>
        </w:rPr>
        <w:t xml:space="preserve"> 投标人中标后须递交与网上电子投标文件完全一致的纸质版投标文件，在领取中标通知书时，一并递交给招标代理机构</w:t>
      </w:r>
      <w:r>
        <w:rPr>
          <w:rFonts w:hint="eastAsia" w:ascii="宋体" w:hAnsi="宋体" w:cs="宋体"/>
          <w:kern w:val="0"/>
          <w:szCs w:val="21"/>
          <w:highlight w:val="none"/>
        </w:rPr>
        <w:t>。</w:t>
      </w:r>
    </w:p>
    <w:p w14:paraId="66C99F80">
      <w:pPr>
        <w:pStyle w:val="7"/>
        <w:spacing w:beforeLines="50" w:afterLines="50"/>
        <w:ind w:firstLine="482" w:firstLineChars="200"/>
        <w:rPr>
          <w:rFonts w:ascii="宋体" w:hAnsi="宋体" w:eastAsia="宋体" w:cs="宋体"/>
          <w:sz w:val="24"/>
          <w:szCs w:val="24"/>
          <w:highlight w:val="none"/>
        </w:rPr>
      </w:pPr>
      <w:bookmarkStart w:id="374" w:name="_Toc506107291"/>
      <w:bookmarkStart w:id="375" w:name="_Toc19455"/>
      <w:bookmarkStart w:id="376" w:name="_Toc35425076"/>
      <w:bookmarkStart w:id="377" w:name="_Toc78803345"/>
      <w:bookmarkStart w:id="378" w:name="_Toc35424910"/>
      <w:bookmarkStart w:id="379" w:name="_Toc15058869"/>
      <w:r>
        <w:rPr>
          <w:rFonts w:hint="eastAsia" w:ascii="宋体" w:hAnsi="宋体" w:eastAsia="宋体" w:cs="宋体"/>
          <w:sz w:val="24"/>
          <w:szCs w:val="24"/>
          <w:highlight w:val="none"/>
        </w:rPr>
        <w:t>4.投标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59E95E8">
      <w:pPr>
        <w:pStyle w:val="7"/>
        <w:ind w:firstLine="422" w:firstLineChars="200"/>
        <w:rPr>
          <w:rFonts w:hint="default" w:ascii="宋体" w:hAnsi="宋体" w:eastAsia="宋体" w:cs="宋体"/>
          <w:highlight w:val="none"/>
          <w:lang w:val="en-US" w:eastAsia="zh-CN"/>
        </w:rPr>
      </w:pPr>
      <w:bookmarkStart w:id="380" w:name="_Toc35425077"/>
      <w:bookmarkStart w:id="381" w:name="_Toc14473"/>
      <w:bookmarkStart w:id="382" w:name="_Toc78803346"/>
      <w:bookmarkStart w:id="383" w:name="_Toc35424911"/>
      <w:bookmarkStart w:id="384" w:name="_Toc15058870"/>
      <w:r>
        <w:rPr>
          <w:rFonts w:hint="eastAsia" w:ascii="宋体" w:hAnsi="宋体" w:eastAsia="宋体" w:cs="宋体"/>
          <w:highlight w:val="none"/>
        </w:rPr>
        <w:t>4.1投标文件</w:t>
      </w:r>
      <w:bookmarkEnd w:id="380"/>
      <w:bookmarkEnd w:id="381"/>
      <w:bookmarkEnd w:id="382"/>
      <w:bookmarkEnd w:id="383"/>
      <w:bookmarkEnd w:id="384"/>
      <w:r>
        <w:rPr>
          <w:rFonts w:hint="eastAsia" w:ascii="宋体" w:hAnsi="宋体" w:eastAsia="宋体" w:cs="宋体"/>
          <w:highlight w:val="none"/>
          <w:lang w:val="en-US" w:eastAsia="zh-CN"/>
        </w:rPr>
        <w:t>的提交</w:t>
      </w:r>
    </w:p>
    <w:p w14:paraId="12502F5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1697B84E">
      <w:pPr>
        <w:pStyle w:val="7"/>
        <w:ind w:firstLine="422" w:firstLineChars="200"/>
        <w:rPr>
          <w:rFonts w:ascii="宋体" w:hAnsi="宋体" w:eastAsia="宋体" w:cs="宋体"/>
          <w:highlight w:val="none"/>
        </w:rPr>
      </w:pPr>
      <w:bookmarkStart w:id="385" w:name="_Toc247085716"/>
      <w:bookmarkStart w:id="386" w:name="_Toc35424914"/>
      <w:bookmarkStart w:id="387" w:name="_Toc324404841"/>
      <w:bookmarkStart w:id="388" w:name="_Toc19572"/>
      <w:bookmarkStart w:id="389" w:name="_Toc78803347"/>
      <w:bookmarkStart w:id="390" w:name="_Toc246996945"/>
      <w:bookmarkStart w:id="391" w:name="_Toc296602446"/>
      <w:bookmarkStart w:id="392" w:name="_Toc35425080"/>
      <w:bookmarkStart w:id="393" w:name="_Toc152042334"/>
      <w:bookmarkStart w:id="394" w:name="_Toc179632576"/>
      <w:bookmarkStart w:id="395" w:name="_Toc144974526"/>
      <w:bookmarkStart w:id="396" w:name="_Toc15058873"/>
      <w:bookmarkStart w:id="397" w:name="_Toc246996202"/>
      <w:bookmarkStart w:id="398" w:name="_Toc152045558"/>
      <w:bookmarkStart w:id="399" w:name="_Toc506107294"/>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xml:space="preserve"> 投标文件的修改与撤回</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11E7AF7">
      <w:pP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4.</w:t>
      </w:r>
      <w:r>
        <w:rPr>
          <w:rFonts w:hint="eastAsia" w:ascii="宋体" w:hAnsi="宋体" w:cs="宋体"/>
          <w:b/>
          <w:szCs w:val="21"/>
          <w:highlight w:val="none"/>
          <w:lang w:val="en-US" w:eastAsia="zh-CN"/>
        </w:rPr>
        <w:t>2</w:t>
      </w:r>
      <w:r>
        <w:rPr>
          <w:rFonts w:hint="eastAsia" w:ascii="宋体" w:hAnsi="宋体" w:cs="宋体"/>
          <w:b/>
          <w:szCs w:val="21"/>
          <w:highlight w:val="none"/>
        </w:rPr>
        <w:t>.1 在规定的投标截止时间前，投标人可以自行从网上招投标系统撤回已递交的投标文件，并可修改后重新上传，开标时以投标截止时间前投标人最终上传的投标文件为准。</w:t>
      </w:r>
    </w:p>
    <w:p w14:paraId="7AF40F87">
      <w:pPr>
        <w:pStyle w:val="7"/>
        <w:spacing w:beforeLines="50" w:afterLines="50"/>
        <w:ind w:firstLine="482" w:firstLineChars="200"/>
        <w:rPr>
          <w:rFonts w:ascii="宋体" w:hAnsi="宋体" w:eastAsia="宋体" w:cs="宋体"/>
          <w:sz w:val="24"/>
          <w:szCs w:val="24"/>
          <w:highlight w:val="none"/>
        </w:rPr>
      </w:pPr>
      <w:bookmarkStart w:id="400" w:name="_Toc144974527"/>
      <w:bookmarkStart w:id="401" w:name="_Toc152042335"/>
      <w:bookmarkStart w:id="402" w:name="_Toc246996946"/>
      <w:bookmarkStart w:id="403" w:name="_Toc324404842"/>
      <w:bookmarkStart w:id="404" w:name="_Toc35424915"/>
      <w:bookmarkStart w:id="405" w:name="_Toc179632577"/>
      <w:bookmarkStart w:id="406" w:name="_Toc246996203"/>
      <w:bookmarkStart w:id="407" w:name="_Toc152045559"/>
      <w:bookmarkStart w:id="408" w:name="_Toc247085717"/>
      <w:bookmarkStart w:id="409" w:name="_Toc35425081"/>
      <w:bookmarkStart w:id="410" w:name="_Toc78803348"/>
      <w:bookmarkStart w:id="411" w:name="_Toc15058874"/>
      <w:bookmarkStart w:id="412" w:name="_Toc506107295"/>
      <w:bookmarkStart w:id="413" w:name="_Toc29639"/>
      <w:r>
        <w:rPr>
          <w:rFonts w:hint="eastAsia" w:ascii="宋体" w:hAnsi="宋体" w:eastAsia="宋体" w:cs="宋体"/>
          <w:sz w:val="24"/>
          <w:szCs w:val="24"/>
          <w:highlight w:val="none"/>
        </w:rPr>
        <w:t>5. 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4DFC292">
      <w:pPr>
        <w:pStyle w:val="7"/>
        <w:ind w:firstLine="422" w:firstLineChars="200"/>
        <w:rPr>
          <w:rFonts w:ascii="宋体" w:hAnsi="宋体" w:eastAsia="宋体" w:cs="宋体"/>
          <w:highlight w:val="none"/>
        </w:rPr>
      </w:pPr>
      <w:bookmarkStart w:id="414" w:name="_Toc246996947"/>
      <w:bookmarkStart w:id="415" w:name="_Toc144974528"/>
      <w:bookmarkStart w:id="416" w:name="_Toc152045560"/>
      <w:bookmarkStart w:id="417" w:name="_Toc324404843"/>
      <w:bookmarkStart w:id="418" w:name="_Toc246996204"/>
      <w:bookmarkStart w:id="419" w:name="_Toc179632578"/>
      <w:bookmarkStart w:id="420" w:name="_Toc152042336"/>
      <w:bookmarkStart w:id="421" w:name="_Toc296602448"/>
      <w:bookmarkStart w:id="422" w:name="_Toc35424916"/>
      <w:bookmarkStart w:id="423" w:name="_Toc35425082"/>
      <w:bookmarkStart w:id="424" w:name="_Toc78803349"/>
      <w:bookmarkStart w:id="425" w:name="_Toc15058875"/>
      <w:bookmarkStart w:id="426" w:name="_Toc13691"/>
      <w:bookmarkStart w:id="427" w:name="_Toc506107296"/>
      <w:bookmarkStart w:id="428" w:name="_Toc247085718"/>
      <w:r>
        <w:rPr>
          <w:rFonts w:hint="eastAsia" w:ascii="宋体" w:hAnsi="宋体" w:eastAsia="宋体" w:cs="宋体"/>
          <w:highlight w:val="none"/>
        </w:rPr>
        <w:t>5.1 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75623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招标人在投标人须知前附表规定的投标截止时间（开标时间）和地点公开开标。</w:t>
      </w:r>
    </w:p>
    <w:p w14:paraId="72027328">
      <w:pPr>
        <w:pStyle w:val="7"/>
        <w:ind w:firstLine="422" w:firstLineChars="200"/>
        <w:rPr>
          <w:rFonts w:ascii="宋体" w:hAnsi="宋体" w:eastAsia="宋体" w:cs="宋体"/>
          <w:highlight w:val="none"/>
        </w:rPr>
      </w:pPr>
      <w:bookmarkStart w:id="429" w:name="_Toc506107297"/>
      <w:bookmarkStart w:id="430" w:name="_Toc32451"/>
      <w:bookmarkStart w:id="431" w:name="_Toc246996948"/>
      <w:bookmarkStart w:id="432" w:name="_Toc35424917"/>
      <w:bookmarkStart w:id="433" w:name="_Toc324404844"/>
      <w:bookmarkStart w:id="434" w:name="_Toc296602449"/>
      <w:bookmarkStart w:id="435" w:name="_Toc15058876"/>
      <w:bookmarkStart w:id="436" w:name="_Toc179632579"/>
      <w:bookmarkStart w:id="437" w:name="_Toc78803350"/>
      <w:bookmarkStart w:id="438" w:name="_Toc152045561"/>
      <w:bookmarkStart w:id="439" w:name="_Toc144974529"/>
      <w:bookmarkStart w:id="440" w:name="_Toc246996205"/>
      <w:bookmarkStart w:id="441" w:name="_Toc35425083"/>
      <w:bookmarkStart w:id="442" w:name="_Toc152042337"/>
      <w:bookmarkStart w:id="443" w:name="_Toc247085719"/>
      <w:r>
        <w:rPr>
          <w:rFonts w:hint="eastAsia" w:ascii="宋体" w:hAnsi="宋体" w:eastAsia="宋体" w:cs="宋体"/>
          <w:highlight w:val="none"/>
        </w:rPr>
        <w:t>5.2 开标程序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EC273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bookmarkStart w:id="444" w:name="_Toc324404845"/>
      <w:bookmarkStart w:id="445" w:name="_Toc296602450"/>
    </w:p>
    <w:p w14:paraId="1544E322">
      <w:pPr>
        <w:spacing w:line="440" w:lineRule="exact"/>
        <w:ind w:firstLine="420" w:firstLineChars="200"/>
        <w:jc w:val="left"/>
        <w:rPr>
          <w:rFonts w:ascii="宋体" w:hAnsi="宋体" w:cs="宋体"/>
          <w:szCs w:val="21"/>
          <w:highlight w:val="none"/>
        </w:rPr>
      </w:pPr>
      <w:bookmarkStart w:id="446" w:name="_Toc15058877"/>
      <w:bookmarkStart w:id="447" w:name="_Toc506107298"/>
      <w:r>
        <w:rPr>
          <w:rFonts w:hint="eastAsia" w:ascii="宋体" w:hAnsi="宋体" w:cs="宋体"/>
          <w:szCs w:val="21"/>
          <w:highlight w:val="none"/>
        </w:rPr>
        <w:t>（1）宣布开标纪律；</w:t>
      </w:r>
      <w:bookmarkEnd w:id="446"/>
    </w:p>
    <w:p w14:paraId="603C63D9">
      <w:pPr>
        <w:spacing w:line="440" w:lineRule="exact"/>
        <w:ind w:firstLine="420" w:firstLineChars="200"/>
        <w:jc w:val="left"/>
        <w:rPr>
          <w:rFonts w:ascii="宋体" w:hAnsi="宋体" w:cs="宋体"/>
          <w:szCs w:val="21"/>
          <w:highlight w:val="none"/>
        </w:rPr>
      </w:pPr>
      <w:bookmarkStart w:id="448" w:name="_Toc15058878"/>
      <w:r>
        <w:rPr>
          <w:rFonts w:hint="eastAsia" w:ascii="宋体" w:hAnsi="宋体" w:cs="宋体"/>
          <w:szCs w:val="21"/>
          <w:highlight w:val="none"/>
        </w:rPr>
        <w:t>（2）宣布招标人、代理机构主持人等有关人员姓名；</w:t>
      </w:r>
      <w:bookmarkEnd w:id="448"/>
    </w:p>
    <w:p w14:paraId="0CE529F8">
      <w:pPr>
        <w:spacing w:line="440" w:lineRule="exact"/>
        <w:ind w:firstLine="420" w:firstLineChars="200"/>
        <w:jc w:val="left"/>
        <w:rPr>
          <w:rFonts w:ascii="宋体" w:hAnsi="宋体" w:cs="宋体"/>
          <w:szCs w:val="21"/>
          <w:highlight w:val="none"/>
        </w:rPr>
      </w:pPr>
      <w:bookmarkStart w:id="449" w:name="_Toc15058881"/>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）公布投标人投标报价、质量目标、工期及其他内容，并记录在案；</w:t>
      </w:r>
      <w:bookmarkEnd w:id="449"/>
    </w:p>
    <w:p w14:paraId="326BF18C">
      <w:pPr>
        <w:spacing w:line="440" w:lineRule="exact"/>
        <w:ind w:firstLine="420" w:firstLineChars="200"/>
        <w:jc w:val="left"/>
        <w:rPr>
          <w:rFonts w:ascii="宋体" w:hAnsi="宋体" w:cs="宋体"/>
          <w:szCs w:val="21"/>
          <w:highlight w:val="none"/>
        </w:rPr>
      </w:pPr>
      <w:bookmarkStart w:id="450" w:name="_Toc15058882"/>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）开标结束。</w:t>
      </w:r>
      <w:bookmarkEnd w:id="450"/>
    </w:p>
    <w:bookmarkEnd w:id="444"/>
    <w:bookmarkEnd w:id="445"/>
    <w:bookmarkEnd w:id="447"/>
    <w:p w14:paraId="0FABB25E">
      <w:pPr>
        <w:pStyle w:val="7"/>
        <w:spacing w:beforeLines="50" w:afterLines="50"/>
        <w:ind w:firstLine="482" w:firstLineChars="200"/>
        <w:rPr>
          <w:rFonts w:ascii="宋体" w:hAnsi="宋体" w:eastAsia="宋体" w:cs="宋体"/>
          <w:sz w:val="24"/>
          <w:szCs w:val="24"/>
          <w:highlight w:val="none"/>
        </w:rPr>
      </w:pPr>
      <w:bookmarkStart w:id="451" w:name="_Toc152045562"/>
      <w:bookmarkStart w:id="452" w:name="_Toc15058884"/>
      <w:bookmarkStart w:id="453" w:name="_Toc246996206"/>
      <w:bookmarkStart w:id="454" w:name="_Toc324404846"/>
      <w:bookmarkStart w:id="455" w:name="_Toc179632580"/>
      <w:bookmarkStart w:id="456" w:name="_Toc20689"/>
      <w:bookmarkStart w:id="457" w:name="_Toc35424919"/>
      <w:bookmarkStart w:id="458" w:name="_Toc506107299"/>
      <w:bookmarkStart w:id="459" w:name="_Toc246996949"/>
      <w:bookmarkStart w:id="460" w:name="_Toc152042338"/>
      <w:bookmarkStart w:id="461" w:name="_Toc247085720"/>
      <w:bookmarkStart w:id="462" w:name="_Toc78803352"/>
      <w:bookmarkStart w:id="463" w:name="_Toc35425085"/>
      <w:bookmarkStart w:id="464" w:name="_Toc144974530"/>
      <w:r>
        <w:rPr>
          <w:rFonts w:hint="eastAsia" w:ascii="宋体" w:hAnsi="宋体" w:eastAsia="宋体" w:cs="宋体"/>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6A3D30E">
      <w:pPr>
        <w:pStyle w:val="7"/>
        <w:ind w:firstLine="422" w:firstLineChars="200"/>
        <w:rPr>
          <w:rFonts w:ascii="宋体" w:hAnsi="宋体" w:eastAsia="宋体" w:cs="宋体"/>
          <w:highlight w:val="none"/>
        </w:rPr>
      </w:pPr>
      <w:bookmarkStart w:id="465" w:name="_Toc78803353"/>
      <w:bookmarkStart w:id="466" w:name="_Toc246996207"/>
      <w:bookmarkStart w:id="467" w:name="_Toc247085721"/>
      <w:bookmarkStart w:id="468" w:name="_Toc35425086"/>
      <w:bookmarkStart w:id="469" w:name="_Toc35424920"/>
      <w:bookmarkStart w:id="470" w:name="_Toc246996950"/>
      <w:bookmarkStart w:id="471" w:name="_Toc506107300"/>
      <w:bookmarkStart w:id="472" w:name="_Toc14249"/>
      <w:bookmarkStart w:id="473" w:name="_Toc152042339"/>
      <w:bookmarkStart w:id="474" w:name="_Toc15058885"/>
      <w:bookmarkStart w:id="475" w:name="_Toc324404847"/>
      <w:bookmarkStart w:id="476" w:name="_Toc179632581"/>
      <w:bookmarkStart w:id="477" w:name="_Toc144974531"/>
      <w:bookmarkStart w:id="478" w:name="_Toc152045563"/>
      <w:bookmarkStart w:id="479" w:name="_Toc296602452"/>
      <w:r>
        <w:rPr>
          <w:rFonts w:hint="eastAsia" w:ascii="宋体" w:hAnsi="宋体" w:eastAsia="宋体" w:cs="宋体"/>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357D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6.1.1 评标由招标人依法组建的评标委员会负责。评标委员会由招标人或其委托的招标代理机构熟悉相关业务的代表，以及有关技术、经济等方面的专家组成。</w:t>
      </w:r>
    </w:p>
    <w:p w14:paraId="096A60C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38E96C9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14:paraId="286925F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14:paraId="63829B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14:paraId="67CCA8F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5142437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（5）与投标人有其他利害关系。</w:t>
      </w:r>
    </w:p>
    <w:p w14:paraId="083CC1C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4148600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cs="宋体"/>
          <w:szCs w:val="21"/>
          <w:highlight w:val="none"/>
        </w:rPr>
        <w:t>6.1.</w:t>
      </w:r>
      <w:r>
        <w:rPr>
          <w:rFonts w:hint="eastAsia" w:ascii="宋体" w:hAnsi="宋体" w:eastAsia="宋体" w:cs="宋体"/>
          <w:bCs/>
          <w:color w:val="000000"/>
          <w:kern w:val="0"/>
          <w:sz w:val="21"/>
          <w:szCs w:val="21"/>
          <w:highlight w:val="none"/>
          <w:u w:color="000000"/>
          <w:lang w:val="en-US" w:eastAsia="zh-CN" w:bidi="ar"/>
        </w:rPr>
        <w:t>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2C15BB0C">
      <w:pPr>
        <w:pStyle w:val="7"/>
        <w:ind w:firstLine="422" w:firstLineChars="200"/>
        <w:rPr>
          <w:rFonts w:ascii="宋体" w:hAnsi="宋体" w:eastAsia="宋体" w:cs="宋体"/>
          <w:highlight w:val="none"/>
        </w:rPr>
      </w:pPr>
      <w:bookmarkStart w:id="480" w:name="_Toc35424921"/>
      <w:bookmarkStart w:id="481" w:name="_Toc152045564"/>
      <w:bookmarkStart w:id="482" w:name="_Toc506107301"/>
      <w:bookmarkStart w:id="483" w:name="_Toc246996951"/>
      <w:bookmarkStart w:id="484" w:name="_Toc144974532"/>
      <w:bookmarkStart w:id="485" w:name="_Toc152042340"/>
      <w:bookmarkStart w:id="486" w:name="_Toc296602453"/>
      <w:bookmarkStart w:id="487" w:name="_Toc15058886"/>
      <w:bookmarkStart w:id="488" w:name="_Toc246996208"/>
      <w:bookmarkStart w:id="489" w:name="_Toc324404848"/>
      <w:bookmarkStart w:id="490" w:name="_Toc78803354"/>
      <w:bookmarkStart w:id="491" w:name="_Toc247085722"/>
      <w:bookmarkStart w:id="492" w:name="_Toc179632582"/>
      <w:bookmarkStart w:id="493" w:name="_Toc35425087"/>
      <w:bookmarkStart w:id="494" w:name="_Toc12948"/>
      <w:r>
        <w:rPr>
          <w:rFonts w:hint="eastAsia" w:ascii="宋体" w:hAnsi="宋体" w:eastAsia="宋体" w:cs="宋体"/>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7"/>
        <w:ind w:firstLine="422" w:firstLineChars="200"/>
        <w:rPr>
          <w:rFonts w:ascii="宋体" w:hAnsi="宋体" w:eastAsia="宋体" w:cs="宋体"/>
          <w:highlight w:val="none"/>
        </w:rPr>
      </w:pPr>
      <w:bookmarkStart w:id="495" w:name="_Toc246996209"/>
      <w:bookmarkStart w:id="496" w:name="_Toc78803355"/>
      <w:bookmarkStart w:id="497" w:name="_Toc247085723"/>
      <w:bookmarkStart w:id="498" w:name="_Toc152042341"/>
      <w:bookmarkStart w:id="499" w:name="_Toc35425088"/>
      <w:bookmarkStart w:id="500" w:name="_Toc506107302"/>
      <w:bookmarkStart w:id="501" w:name="_Toc152045565"/>
      <w:bookmarkStart w:id="502" w:name="_Toc296602454"/>
      <w:bookmarkStart w:id="503" w:name="_Toc324404849"/>
      <w:bookmarkStart w:id="504" w:name="_Toc144974533"/>
      <w:bookmarkStart w:id="505" w:name="_Toc14892"/>
      <w:bookmarkStart w:id="506" w:name="_Toc15058887"/>
      <w:bookmarkStart w:id="507" w:name="_Toc35424922"/>
      <w:bookmarkStart w:id="508" w:name="_Toc246996952"/>
      <w:bookmarkStart w:id="509" w:name="_Toc179632583"/>
      <w:r>
        <w:rPr>
          <w:rFonts w:hint="eastAsia" w:ascii="宋体" w:hAnsi="宋体" w:eastAsia="宋体" w:cs="宋体"/>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29DC3A">
      <w:pPr>
        <w:spacing w:line="440" w:lineRule="exact"/>
        <w:ind w:firstLine="420" w:firstLineChars="200"/>
        <w:jc w:val="left"/>
        <w:rPr>
          <w:rFonts w:ascii="宋体" w:hAnsi="宋体" w:cs="宋体"/>
          <w:szCs w:val="21"/>
          <w:highlight w:val="none"/>
        </w:rPr>
      </w:pPr>
      <w:bookmarkStart w:id="510" w:name="_Toc246996210"/>
      <w:bookmarkStart w:id="511" w:name="_Toc246996953"/>
      <w:bookmarkStart w:id="512" w:name="_Toc144974534"/>
      <w:bookmarkStart w:id="513" w:name="_Toc152045566"/>
      <w:bookmarkStart w:id="514" w:name="_Toc152042342"/>
      <w:bookmarkStart w:id="515" w:name="_Toc179632584"/>
      <w:bookmarkStart w:id="516" w:name="_Toc324404850"/>
      <w:bookmarkStart w:id="517" w:name="_Toc247085724"/>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7"/>
        <w:spacing w:beforeLines="50" w:afterLines="50"/>
        <w:ind w:firstLine="482" w:firstLineChars="200"/>
        <w:rPr>
          <w:rFonts w:ascii="宋体" w:hAnsi="宋体" w:eastAsia="宋体" w:cs="宋体"/>
          <w:sz w:val="24"/>
          <w:szCs w:val="24"/>
          <w:highlight w:val="none"/>
        </w:rPr>
      </w:pPr>
      <w:bookmarkStart w:id="518" w:name="_Toc78803356"/>
      <w:bookmarkStart w:id="519" w:name="_Toc506107303"/>
      <w:bookmarkStart w:id="520" w:name="_Toc15058888"/>
      <w:bookmarkStart w:id="521" w:name="_Toc35425089"/>
      <w:bookmarkStart w:id="522" w:name="_Toc26182"/>
      <w:bookmarkStart w:id="523" w:name="_Toc35424923"/>
      <w:r>
        <w:rPr>
          <w:rFonts w:hint="eastAsia" w:ascii="宋体" w:hAnsi="宋体" w:eastAsia="宋体" w:cs="宋体"/>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F565433">
      <w:pPr>
        <w:pStyle w:val="7"/>
        <w:ind w:firstLine="422" w:firstLineChars="200"/>
        <w:rPr>
          <w:rFonts w:ascii="宋体" w:hAnsi="宋体" w:eastAsia="宋体" w:cs="宋体"/>
          <w:highlight w:val="none"/>
        </w:rPr>
      </w:pPr>
      <w:bookmarkStart w:id="524" w:name="_Toc324404851"/>
      <w:bookmarkStart w:id="525" w:name="_Toc296602456"/>
      <w:bookmarkStart w:id="526" w:name="_Toc506107304"/>
      <w:bookmarkStart w:id="527" w:name="_Toc35424924"/>
      <w:bookmarkStart w:id="528" w:name="_Toc20532"/>
      <w:bookmarkStart w:id="529" w:name="_Toc152045567"/>
      <w:bookmarkStart w:id="530" w:name="_Toc3945"/>
      <w:bookmarkStart w:id="531" w:name="_Toc179632585"/>
      <w:bookmarkStart w:id="532" w:name="_Toc247085725"/>
      <w:bookmarkStart w:id="533" w:name="_Toc152042343"/>
      <w:bookmarkStart w:id="534" w:name="_Toc78803357"/>
      <w:bookmarkStart w:id="535" w:name="_Toc144974535"/>
      <w:bookmarkStart w:id="536" w:name="_Toc246996954"/>
      <w:bookmarkStart w:id="537" w:name="_Toc246996211"/>
      <w:bookmarkStart w:id="538" w:name="_Toc15058889"/>
      <w:bookmarkStart w:id="539" w:name="_Toc35425090"/>
      <w:bookmarkStart w:id="540" w:name="_Toc14692"/>
      <w:bookmarkStart w:id="541" w:name="_Toc152042344"/>
      <w:bookmarkStart w:id="542" w:name="_Toc152045568"/>
      <w:bookmarkStart w:id="543" w:name="_Toc144974536"/>
      <w:bookmarkStart w:id="544" w:name="_Toc296602458"/>
      <w:bookmarkStart w:id="545" w:name="_Toc246996212"/>
      <w:bookmarkStart w:id="546" w:name="_Toc324404853"/>
      <w:bookmarkStart w:id="547" w:name="_Toc247085726"/>
      <w:bookmarkStart w:id="548" w:name="_Toc246996955"/>
      <w:bookmarkStart w:id="549" w:name="_Toc179632586"/>
      <w:bookmarkStart w:id="550" w:name="_Toc35424927"/>
      <w:bookmarkStart w:id="551" w:name="_Toc15058891"/>
      <w:bookmarkStart w:id="552" w:name="_Toc35425093"/>
      <w:bookmarkStart w:id="553" w:name="_Toc506107306"/>
      <w:r>
        <w:rPr>
          <w:rFonts w:hint="eastAsia" w:ascii="宋体" w:hAnsi="宋体" w:eastAsia="宋体" w:cs="宋体"/>
          <w:highlight w:val="none"/>
        </w:rPr>
        <w:t xml:space="preserve">7.1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highlight w:val="none"/>
        </w:rPr>
        <w:t>中标候选人公示</w:t>
      </w:r>
    </w:p>
    <w:p w14:paraId="54632C5F">
      <w:pPr>
        <w:spacing w:line="440" w:lineRule="exact"/>
        <w:ind w:firstLine="420" w:firstLineChars="200"/>
        <w:jc w:val="left"/>
        <w:rPr>
          <w:rFonts w:ascii="宋体" w:hAnsi="宋体" w:cs="宋体"/>
          <w:szCs w:val="21"/>
          <w:highlight w:val="none"/>
        </w:rPr>
      </w:pPr>
      <w:bookmarkStart w:id="554" w:name="_Toc324404852"/>
      <w:bookmarkStart w:id="555" w:name="_Toc296602457"/>
      <w:r>
        <w:rPr>
          <w:rFonts w:hint="eastAsia" w:ascii="宋体" w:hAnsi="宋体" w:cs="宋体"/>
          <w:szCs w:val="21"/>
          <w:highlight w:val="none"/>
        </w:rPr>
        <w:t>7.1.1招标人在收到评标报告之日起3日内，按照投标人须知前附表规定的公示媒介和期限依法公示中标候选人，公示期不得少于3日。</w:t>
      </w:r>
    </w:p>
    <w:p w14:paraId="3229C23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7.1.2投标人或其他利害关系人对评标结果有异议的，应在中标候选人公示期间提出。招标人将在收到异议之日起3日内作出答复；作出答复前，将暂停招标投标活动。</w:t>
      </w:r>
    </w:p>
    <w:bookmarkEnd w:id="554"/>
    <w:bookmarkEnd w:id="555"/>
    <w:p w14:paraId="1D0EB461">
      <w:pPr>
        <w:pStyle w:val="7"/>
        <w:ind w:firstLine="422" w:firstLineChars="200"/>
        <w:rPr>
          <w:rFonts w:ascii="宋体" w:hAnsi="宋体" w:eastAsia="宋体" w:cs="宋体"/>
          <w:highlight w:val="none"/>
        </w:rPr>
      </w:pPr>
      <w:bookmarkStart w:id="556" w:name="_Toc27040"/>
      <w:bookmarkStart w:id="557" w:name="_Toc8261"/>
      <w:bookmarkStart w:id="558" w:name="_Toc35425092"/>
      <w:bookmarkStart w:id="559" w:name="_Toc78803359"/>
      <w:bookmarkStart w:id="560" w:name="_Toc35424926"/>
      <w:r>
        <w:rPr>
          <w:rFonts w:hint="eastAsia" w:ascii="宋体" w:hAnsi="宋体" w:eastAsia="宋体" w:cs="宋体"/>
          <w:highlight w:val="none"/>
        </w:rPr>
        <w:t>7.</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bookmarkEnd w:id="556"/>
      <w:bookmarkEnd w:id="557"/>
      <w:bookmarkEnd w:id="558"/>
      <w:bookmarkEnd w:id="559"/>
      <w:bookmarkEnd w:id="560"/>
      <w:r>
        <w:rPr>
          <w:rFonts w:hint="eastAsia" w:ascii="宋体" w:hAnsi="宋体" w:eastAsia="宋体" w:cs="宋体"/>
          <w:highlight w:val="none"/>
        </w:rPr>
        <w:t>定标</w:t>
      </w:r>
    </w:p>
    <w:p w14:paraId="3D28E1B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1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42B6009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.2招标人在确定中标人后，按照投标人须知前附表规定的公示媒介依法公示中标结果。</w:t>
      </w:r>
    </w:p>
    <w:p w14:paraId="53EE4FBD">
      <w:pPr>
        <w:pStyle w:val="7"/>
        <w:ind w:firstLine="422" w:firstLineChars="200"/>
        <w:rPr>
          <w:rFonts w:hint="eastAsia" w:ascii="宋体" w:hAnsi="宋体" w:eastAsia="宋体" w:cs="宋体"/>
          <w:highlight w:val="none"/>
        </w:rPr>
      </w:pPr>
      <w:bookmarkStart w:id="561" w:name="_Toc4204"/>
      <w:bookmarkStart w:id="562" w:name="_Toc78803360"/>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中标结果公示</w:t>
      </w:r>
      <w:bookmarkEnd w:id="561"/>
    </w:p>
    <w:p w14:paraId="3D9572D3">
      <w:pPr>
        <w:spacing w:line="440" w:lineRule="exact"/>
        <w:ind w:firstLine="420" w:firstLineChars="200"/>
        <w:jc w:val="left"/>
        <w:rPr>
          <w:rFonts w:hint="eastAsia" w:ascii="宋体" w:hAnsi="宋体" w:eastAsia="宋体" w:cs="宋体"/>
          <w:highlight w:val="none"/>
        </w:rPr>
      </w:pPr>
      <w:r>
        <w:rPr>
          <w:rFonts w:hint="eastAsia" w:ascii="宋体" w:hAnsi="宋体" w:cs="宋体"/>
          <w:szCs w:val="21"/>
          <w:lang w:val="en-US" w:eastAsia="zh-CN"/>
        </w:rPr>
        <w:t>7.3.1</w:t>
      </w:r>
      <w:r>
        <w:rPr>
          <w:rFonts w:hint="eastAsia" w:ascii="宋体" w:hAnsi="宋体" w:cs="宋体"/>
          <w:szCs w:val="21"/>
        </w:rPr>
        <w:t>招标人在投标人须知前附表规定的媒介公示。</w:t>
      </w:r>
    </w:p>
    <w:p w14:paraId="50E88422">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62"/>
    </w:p>
    <w:p w14:paraId="3880A89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7.4.1</w:t>
      </w:r>
      <w:r>
        <w:rPr>
          <w:rFonts w:hint="eastAsia" w:ascii="宋体" w:hAnsi="宋体" w:cs="宋体"/>
          <w:szCs w:val="21"/>
          <w:highlight w:val="none"/>
        </w:rPr>
        <w:t>在本章第3.3款规定的投标有效期内，招标人</w:t>
      </w:r>
      <w:r>
        <w:rPr>
          <w:rFonts w:hint="eastAsia" w:ascii="宋体" w:hAnsi="宋体" w:cs="宋体"/>
          <w:szCs w:val="21"/>
        </w:rPr>
        <w:t>以书面形式</w:t>
      </w:r>
      <w:r>
        <w:rPr>
          <w:rFonts w:hint="eastAsia" w:ascii="宋体" w:hAnsi="宋体" w:cs="宋体"/>
          <w:szCs w:val="21"/>
          <w:highlight w:val="none"/>
        </w:rPr>
        <w:t>向中标人发出中标通知书。</w:t>
      </w:r>
    </w:p>
    <w:p w14:paraId="76BD1912">
      <w:pPr>
        <w:pStyle w:val="7"/>
        <w:ind w:firstLine="422" w:firstLineChars="200"/>
        <w:rPr>
          <w:rFonts w:ascii="宋体" w:hAnsi="宋体" w:eastAsia="宋体" w:cs="宋体"/>
          <w:highlight w:val="none"/>
        </w:rPr>
      </w:pPr>
      <w:bookmarkStart w:id="563" w:name="_Toc152042345"/>
      <w:bookmarkStart w:id="564" w:name="_Toc152045569"/>
      <w:bookmarkStart w:id="565" w:name="_Toc246996213"/>
      <w:bookmarkStart w:id="566" w:name="_Toc179632587"/>
      <w:bookmarkStart w:id="567" w:name="_Toc506107307"/>
      <w:bookmarkStart w:id="568" w:name="_Toc15058892"/>
      <w:bookmarkStart w:id="569" w:name="_Toc247085727"/>
      <w:bookmarkStart w:id="570" w:name="_Toc144974537"/>
      <w:bookmarkStart w:id="571" w:name="_Toc296602459"/>
      <w:bookmarkStart w:id="572" w:name="_Toc25501"/>
      <w:bookmarkStart w:id="573" w:name="_Toc324404854"/>
      <w:bookmarkStart w:id="574" w:name="_Toc35424929"/>
      <w:bookmarkStart w:id="575" w:name="_Toc78803362"/>
      <w:bookmarkStart w:id="576" w:name="_Toc246996956"/>
      <w:bookmarkStart w:id="577" w:name="_Toc35425095"/>
      <w:r>
        <w:rPr>
          <w:rFonts w:hint="eastAsia" w:ascii="宋体" w:hAnsi="宋体" w:eastAsia="宋体" w:cs="宋体"/>
          <w:highlight w:val="none"/>
        </w:rPr>
        <w:t>7.</w:t>
      </w:r>
      <w:r>
        <w:rPr>
          <w:rFonts w:hint="eastAsia" w:ascii="宋体" w:hAnsi="宋体" w:eastAsia="宋体" w:cs="宋体"/>
          <w:highlight w:val="none"/>
          <w:lang w:val="en-US" w:eastAsia="zh-CN"/>
        </w:rPr>
        <w:t>5</w:t>
      </w:r>
      <w:r>
        <w:rPr>
          <w:rFonts w:hint="eastAsia" w:ascii="宋体" w:hAnsi="宋体" w:eastAsia="宋体" w:cs="宋体"/>
          <w:highlight w:val="none"/>
        </w:rPr>
        <w:t xml:space="preserve">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12BA13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1在签订合同前，中标人应按投标人须知前附表规定的担保形式和招标文件第四章“合同条款及格式”规定的或者事先经过招标人书面认可的履约担保格式向招标人提交履约担保。履约担保金额的相关要求见投标人须知前附表。</w:t>
      </w:r>
    </w:p>
    <w:p w14:paraId="7EC8048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.2 中标人不能按本章第7.6.1项要求提交履约担保的，视为放弃中标，给招标人造成的损失的，中标人还应当予以赔偿。</w:t>
      </w:r>
    </w:p>
    <w:p w14:paraId="3B4E380F">
      <w:pPr>
        <w:pStyle w:val="7"/>
        <w:ind w:firstLine="422" w:firstLineChars="200"/>
        <w:rPr>
          <w:rFonts w:ascii="宋体" w:hAnsi="宋体" w:eastAsia="宋体" w:cs="宋体"/>
          <w:highlight w:val="none"/>
        </w:rPr>
      </w:pPr>
      <w:bookmarkStart w:id="578" w:name="_Toc179632588"/>
      <w:bookmarkStart w:id="579" w:name="_Toc296602460"/>
      <w:bookmarkStart w:id="580" w:name="_Toc247085728"/>
      <w:bookmarkStart w:id="581" w:name="_Toc506107308"/>
      <w:bookmarkStart w:id="582" w:name="_Toc324404855"/>
      <w:bookmarkStart w:id="583" w:name="_Toc144974538"/>
      <w:bookmarkStart w:id="584" w:name="_Toc152042346"/>
      <w:bookmarkStart w:id="585" w:name="_Toc152045570"/>
      <w:bookmarkStart w:id="586" w:name="_Toc246996214"/>
      <w:bookmarkStart w:id="587" w:name="_Toc78803363"/>
      <w:bookmarkStart w:id="588" w:name="_Toc35424930"/>
      <w:bookmarkStart w:id="589" w:name="_Toc11010"/>
      <w:bookmarkStart w:id="590" w:name="_Toc246996957"/>
      <w:bookmarkStart w:id="591" w:name="_Toc15058893"/>
      <w:bookmarkStart w:id="592" w:name="_Toc35425096"/>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签订合同</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2DE0C53">
      <w:pPr>
        <w:wordWrap w:val="0"/>
        <w:spacing w:line="440" w:lineRule="exact"/>
        <w:ind w:firstLine="420" w:firstLineChars="200"/>
        <w:jc w:val="left"/>
        <w:rPr>
          <w:rFonts w:ascii="宋体" w:hAnsi="宋体" w:cs="宋体"/>
          <w:bCs/>
          <w:szCs w:val="21"/>
          <w:highlight w:val="none"/>
        </w:rPr>
      </w:pPr>
      <w:bookmarkStart w:id="593" w:name="_Toc506107309"/>
      <w:bookmarkStart w:id="594" w:name="_Toc324404856"/>
      <w:bookmarkStart w:id="595" w:name="_Toc15058894"/>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 xml:space="preserve">.1本招标工程的施工合同将授予按本须知第7.1条规定所确定的中标人。 </w:t>
      </w:r>
    </w:p>
    <w:p w14:paraId="18516895">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.2中标人须在中标通知书发出后30日内完成履约保证金缴纳及合同签订。否则，取消中标资格。</w:t>
      </w:r>
    </w:p>
    <w:p w14:paraId="01E0BEC3">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.3发出中标通知书后，招标单位无正当理由拒签合同的，给中标人造成损失的，还应当赔偿损失。</w:t>
      </w:r>
    </w:p>
    <w:p w14:paraId="77257B7E">
      <w:pPr>
        <w:wordWrap w:val="0"/>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.4除法定情形外，合同履行期间项目负责人不得更换。项目负责人确需变更的，应根据招标文件要求，变更后的项目负责人不低于投标文件中拟派项目负责人的资格条件。</w:t>
      </w:r>
    </w:p>
    <w:bookmarkEnd w:id="593"/>
    <w:bookmarkEnd w:id="594"/>
    <w:bookmarkEnd w:id="595"/>
    <w:p w14:paraId="2B48F8A1">
      <w:pPr>
        <w:pStyle w:val="7"/>
        <w:spacing w:beforeLines="50" w:afterLines="50"/>
        <w:ind w:firstLine="422" w:firstLineChars="200"/>
        <w:rPr>
          <w:rFonts w:hint="eastAsia" w:ascii="宋体" w:hAnsi="宋体" w:eastAsia="宋体" w:cs="宋体"/>
          <w:highlight w:val="none"/>
        </w:rPr>
      </w:pPr>
      <w:bookmarkStart w:id="596" w:name="_Toc78803364"/>
      <w:bookmarkStart w:id="597" w:name="_Toc31686"/>
      <w:bookmarkStart w:id="598" w:name="_Toc25375"/>
      <w:bookmarkStart w:id="599" w:name="_Toc26974"/>
      <w:bookmarkStart w:id="600" w:name="_Toc35425097"/>
      <w:bookmarkStart w:id="601" w:name="_Toc35424931"/>
      <w:bookmarkStart w:id="602" w:name="_Toc324404864"/>
      <w:bookmarkStart w:id="603" w:name="_Toc506107317"/>
      <w:bookmarkStart w:id="604" w:name="_Toc35425105"/>
      <w:bookmarkStart w:id="605" w:name="_Toc35424939"/>
      <w:bookmarkStart w:id="606" w:name="_Toc15058902"/>
      <w:bookmarkStart w:id="607" w:name="_Toc296602475"/>
      <w:r>
        <w:rPr>
          <w:rFonts w:hint="eastAsia" w:ascii="宋体" w:hAnsi="宋体" w:eastAsia="宋体" w:cs="宋体"/>
          <w:highlight w:val="none"/>
        </w:rPr>
        <w:t>8.</w:t>
      </w:r>
      <w:bookmarkEnd w:id="596"/>
      <w:r>
        <w:rPr>
          <w:rFonts w:hint="eastAsia" w:ascii="宋体" w:hAnsi="宋体" w:eastAsia="宋体" w:cs="宋体"/>
          <w:highlight w:val="none"/>
        </w:rPr>
        <w:t>变更交易方式</w:t>
      </w:r>
    </w:p>
    <w:p w14:paraId="15E23106">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highlight w:val="none"/>
          <w:lang w:val="en-US"/>
        </w:rPr>
      </w:pPr>
      <w:bookmarkStart w:id="608" w:name="_Toc78803367"/>
      <w:r>
        <w:rPr>
          <w:rFonts w:hint="eastAsia" w:ascii="宋体" w:hAnsi="宋体" w:eastAsia="宋体" w:cs="宋体"/>
          <w:color w:val="000000"/>
          <w:kern w:val="0"/>
          <w:sz w:val="21"/>
          <w:szCs w:val="21"/>
          <w:highlight w:val="none"/>
          <w:u w:color="000000"/>
          <w:lang w:val="en-US" w:eastAsia="zh-CN" w:bidi="ar"/>
        </w:rPr>
        <w:t>8.1若有效投标人不足三家，则采用竞争性谈判方式确定中标候选人，若有效投标人只有一家则项目流标。</w:t>
      </w:r>
    </w:p>
    <w:p w14:paraId="31B2E77F">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597"/>
      <w:bookmarkEnd w:id="598"/>
      <w:bookmarkEnd w:id="599"/>
      <w:bookmarkEnd w:id="600"/>
      <w:bookmarkEnd w:id="601"/>
      <w:bookmarkEnd w:id="608"/>
    </w:p>
    <w:p w14:paraId="49CA1A8F">
      <w:pPr>
        <w:pStyle w:val="7"/>
        <w:ind w:firstLine="422" w:firstLineChars="200"/>
        <w:rPr>
          <w:rFonts w:ascii="宋体" w:hAnsi="宋体" w:eastAsia="宋体" w:cs="宋体"/>
          <w:highlight w:val="none"/>
        </w:rPr>
      </w:pPr>
      <w:bookmarkStart w:id="609" w:name="_Toc2855"/>
      <w:bookmarkStart w:id="610" w:name="_Toc144974543"/>
      <w:bookmarkStart w:id="611" w:name="_Toc78803368"/>
      <w:bookmarkStart w:id="612" w:name="_Toc506107310"/>
      <w:bookmarkStart w:id="613" w:name="_Toc152042351"/>
      <w:bookmarkStart w:id="614" w:name="_Toc324404857"/>
      <w:bookmarkStart w:id="615" w:name="_Toc246996219"/>
      <w:bookmarkStart w:id="616" w:name="_Toc152045575"/>
      <w:bookmarkStart w:id="617" w:name="_Toc35424932"/>
      <w:bookmarkStart w:id="618" w:name="_Toc35425098"/>
      <w:bookmarkStart w:id="619" w:name="_Toc179632593"/>
      <w:bookmarkStart w:id="620" w:name="_Toc15058895"/>
      <w:bookmarkStart w:id="621" w:name="_Toc246996962"/>
      <w:bookmarkStart w:id="622" w:name="_Toc15607"/>
      <w:bookmarkStart w:id="623" w:name="_Toc296602462"/>
      <w:bookmarkStart w:id="624" w:name="_Toc247085733"/>
      <w:bookmarkStart w:id="625" w:name="_Toc296590983"/>
      <w:r>
        <w:rPr>
          <w:rFonts w:hint="eastAsia" w:ascii="宋体" w:hAnsi="宋体" w:eastAsia="宋体" w:cs="宋体"/>
          <w:highlight w:val="none"/>
        </w:rPr>
        <w:t>9.1 对招标人的纪律要求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7"/>
        <w:ind w:firstLine="422" w:firstLineChars="200"/>
        <w:rPr>
          <w:rFonts w:ascii="宋体" w:hAnsi="宋体" w:eastAsia="宋体" w:cs="宋体"/>
          <w:highlight w:val="none"/>
        </w:rPr>
      </w:pPr>
      <w:bookmarkStart w:id="626" w:name="_Toc179632594"/>
      <w:bookmarkStart w:id="627" w:name="_Toc144974544"/>
      <w:bookmarkStart w:id="628" w:name="_Toc35424933"/>
      <w:bookmarkStart w:id="629" w:name="_Toc32177"/>
      <w:bookmarkStart w:id="630" w:name="_Toc246996220"/>
      <w:bookmarkStart w:id="631" w:name="_Toc152042352"/>
      <w:bookmarkStart w:id="632" w:name="_Toc296602463"/>
      <w:bookmarkStart w:id="633" w:name="_Toc152045576"/>
      <w:bookmarkStart w:id="634" w:name="_Toc247085734"/>
      <w:bookmarkStart w:id="635" w:name="_Toc246996963"/>
      <w:bookmarkStart w:id="636" w:name="_Toc19779"/>
      <w:bookmarkStart w:id="637" w:name="_Toc35425099"/>
      <w:bookmarkStart w:id="638" w:name="_Toc15058896"/>
      <w:bookmarkStart w:id="639" w:name="_Toc506107311"/>
      <w:bookmarkStart w:id="640" w:name="_Toc324404858"/>
      <w:bookmarkStart w:id="641" w:name="_Toc78803369"/>
      <w:r>
        <w:rPr>
          <w:rFonts w:hint="eastAsia" w:ascii="宋体" w:hAnsi="宋体" w:eastAsia="宋体" w:cs="宋体"/>
          <w:highlight w:val="none"/>
        </w:rPr>
        <w:t>9.2 对投标人的纪律要求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7"/>
        <w:ind w:firstLine="422" w:firstLineChars="200"/>
        <w:rPr>
          <w:rFonts w:ascii="宋体" w:hAnsi="宋体" w:eastAsia="宋体" w:cs="宋体"/>
          <w:highlight w:val="none"/>
        </w:rPr>
      </w:pPr>
      <w:bookmarkStart w:id="642" w:name="_Toc78803370"/>
      <w:bookmarkStart w:id="643" w:name="_Toc152045577"/>
      <w:bookmarkStart w:id="644" w:name="_Toc15058897"/>
      <w:bookmarkStart w:id="645" w:name="_Toc506107312"/>
      <w:bookmarkStart w:id="646" w:name="_Toc35425100"/>
      <w:bookmarkStart w:id="647" w:name="_Toc12564"/>
      <w:bookmarkStart w:id="648" w:name="_Toc296602464"/>
      <w:bookmarkStart w:id="649" w:name="_Toc179632595"/>
      <w:bookmarkStart w:id="650" w:name="_Toc144974545"/>
      <w:bookmarkStart w:id="651" w:name="_Toc246996964"/>
      <w:bookmarkStart w:id="652" w:name="_Toc35424934"/>
      <w:bookmarkStart w:id="653" w:name="_Toc324404859"/>
      <w:bookmarkStart w:id="654" w:name="_Toc152042353"/>
      <w:bookmarkStart w:id="655" w:name="_Toc246996221"/>
      <w:bookmarkStart w:id="656" w:name="_Toc13043"/>
      <w:bookmarkStart w:id="657" w:name="_Toc247085735"/>
      <w:r>
        <w:rPr>
          <w:rFonts w:hint="eastAsia" w:ascii="宋体" w:hAnsi="宋体" w:eastAsia="宋体" w:cs="宋体"/>
          <w:highlight w:val="none"/>
        </w:rPr>
        <w:t>9.3 对评标委员会成员的纪律要求</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7"/>
        <w:ind w:firstLine="422" w:firstLineChars="200"/>
        <w:rPr>
          <w:rFonts w:ascii="宋体" w:hAnsi="宋体" w:eastAsia="宋体" w:cs="宋体"/>
          <w:highlight w:val="none"/>
        </w:rPr>
      </w:pPr>
      <w:bookmarkStart w:id="658" w:name="_Toc152045578"/>
      <w:bookmarkStart w:id="659" w:name="_Toc246996222"/>
      <w:bookmarkStart w:id="660" w:name="_Toc18329"/>
      <w:bookmarkStart w:id="661" w:name="_Toc246996965"/>
      <w:bookmarkStart w:id="662" w:name="_Toc324404860"/>
      <w:bookmarkStart w:id="663" w:name="_Toc247085736"/>
      <w:bookmarkStart w:id="664" w:name="_Toc32214"/>
      <w:bookmarkStart w:id="665" w:name="_Toc152042354"/>
      <w:bookmarkStart w:id="666" w:name="_Toc15058898"/>
      <w:bookmarkStart w:id="667" w:name="_Toc35424935"/>
      <w:bookmarkStart w:id="668" w:name="_Toc78803371"/>
      <w:bookmarkStart w:id="669" w:name="_Toc506107313"/>
      <w:bookmarkStart w:id="670" w:name="_Toc179632596"/>
      <w:bookmarkStart w:id="671" w:name="_Toc296602465"/>
      <w:bookmarkStart w:id="672" w:name="_Toc35425101"/>
      <w:bookmarkStart w:id="673" w:name="_Toc144974546"/>
      <w:r>
        <w:rPr>
          <w:rFonts w:hint="eastAsia" w:ascii="宋体" w:hAnsi="宋体" w:eastAsia="宋体" w:cs="宋体"/>
          <w:highlight w:val="none"/>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66BE765">
      <w:pPr>
        <w:spacing w:line="440" w:lineRule="exact"/>
        <w:ind w:firstLine="420" w:firstLineChars="200"/>
        <w:jc w:val="left"/>
        <w:rPr>
          <w:rFonts w:ascii="宋体" w:hAnsi="宋体" w:cs="宋体"/>
          <w:szCs w:val="21"/>
          <w:highlight w:val="none"/>
        </w:rPr>
      </w:pPr>
      <w:bookmarkStart w:id="674"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4"/>
    </w:p>
    <w:p w14:paraId="6EC5285F">
      <w:pPr>
        <w:pStyle w:val="7"/>
        <w:ind w:firstLine="422" w:firstLineChars="200"/>
        <w:rPr>
          <w:rFonts w:ascii="宋体" w:hAnsi="宋体" w:eastAsia="宋体" w:cs="宋体"/>
          <w:highlight w:val="none"/>
        </w:rPr>
      </w:pPr>
      <w:bookmarkStart w:id="675" w:name="_Toc296602466"/>
      <w:bookmarkStart w:id="676" w:name="_Toc246996966"/>
      <w:bookmarkStart w:id="677" w:name="_Toc35424936"/>
      <w:bookmarkStart w:id="678" w:name="_Toc152042356"/>
      <w:bookmarkStart w:id="679" w:name="_Toc15058899"/>
      <w:bookmarkStart w:id="680" w:name="_Toc2811"/>
      <w:bookmarkStart w:id="681" w:name="_Toc179632597"/>
      <w:bookmarkStart w:id="682" w:name="_Toc246996223"/>
      <w:bookmarkStart w:id="683" w:name="_Toc324404861"/>
      <w:bookmarkStart w:id="684" w:name="_Toc35425102"/>
      <w:bookmarkStart w:id="685" w:name="_Toc506107314"/>
      <w:bookmarkStart w:id="686" w:name="_Toc152045579"/>
      <w:bookmarkStart w:id="687" w:name="_Toc247085737"/>
      <w:bookmarkStart w:id="688" w:name="_Toc78803372"/>
      <w:bookmarkStart w:id="689" w:name="_Toc23607"/>
      <w:r>
        <w:rPr>
          <w:rFonts w:hint="eastAsia" w:ascii="宋体" w:hAnsi="宋体" w:eastAsia="宋体" w:cs="宋体"/>
          <w:highlight w:val="none"/>
        </w:rPr>
        <w:t>9.5 投诉</w:t>
      </w:r>
      <w:bookmarkEnd w:id="67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B9C537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9.5.1投标人或者其他利害关系人认为招标投标活动不符合法律、行政法规规定的，可以自知道或者应当知道之日起10日内向有关行政监督部门投诉。投诉应当有明确的请求和必要的证明材料。</w:t>
      </w:r>
    </w:p>
    <w:p w14:paraId="3941694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9.5.2投标人和其他利害关系人对招标文件、开标和评标结果事项投诉的，应当按照投标人须知第2.3.2款、第5.3款、和第7.1.2款的规定先向招标人提出异议。异议答复期间不计算在第9.5.1款规定的期限内。</w:t>
      </w:r>
    </w:p>
    <w:p w14:paraId="39FC7842">
      <w:pPr>
        <w:pStyle w:val="7"/>
        <w:spacing w:beforeLines="50" w:afterLines="50"/>
        <w:ind w:firstLine="422" w:firstLineChars="200"/>
        <w:rPr>
          <w:rFonts w:ascii="宋体" w:hAnsi="宋体" w:eastAsia="宋体" w:cs="宋体"/>
          <w:highlight w:val="none"/>
        </w:rPr>
      </w:pPr>
      <w:bookmarkStart w:id="690" w:name="_Toc152042357"/>
      <w:bookmarkStart w:id="691" w:name="_Toc506107315"/>
      <w:bookmarkStart w:id="692" w:name="_Toc324404862"/>
      <w:bookmarkStart w:id="693" w:name="_Toc179632598"/>
      <w:bookmarkStart w:id="694" w:name="_Toc31643"/>
      <w:bookmarkStart w:id="695" w:name="_Toc78803373"/>
      <w:bookmarkStart w:id="696" w:name="_Toc15058900"/>
      <w:bookmarkStart w:id="697" w:name="_Toc152045580"/>
      <w:bookmarkStart w:id="698" w:name="_Toc246996967"/>
      <w:bookmarkStart w:id="699" w:name="_Toc35424937"/>
      <w:bookmarkStart w:id="700" w:name="_Toc35425103"/>
      <w:bookmarkStart w:id="701" w:name="_Toc246996224"/>
      <w:bookmarkStart w:id="702" w:name="_Toc247085738"/>
      <w:bookmarkStart w:id="703" w:name="_Toc16463"/>
      <w:bookmarkStart w:id="704" w:name="_Toc144974547"/>
      <w:bookmarkStart w:id="705" w:name="_Toc20669"/>
      <w:r>
        <w:rPr>
          <w:rFonts w:hint="eastAsia" w:ascii="宋体" w:hAnsi="宋体" w:eastAsia="宋体" w:cs="宋体"/>
          <w:highlight w:val="none"/>
        </w:rPr>
        <w:t>10.需要补充的其他内容</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610702A">
      <w:pPr>
        <w:spacing w:line="440" w:lineRule="exact"/>
        <w:ind w:firstLine="420" w:firstLineChars="200"/>
        <w:jc w:val="left"/>
        <w:rPr>
          <w:rFonts w:ascii="宋体" w:hAnsi="宋体" w:cs="宋体"/>
          <w:szCs w:val="21"/>
          <w:highlight w:val="none"/>
        </w:rPr>
      </w:pPr>
      <w:bookmarkStart w:id="706" w:name="_Toc15058901"/>
      <w:r>
        <w:rPr>
          <w:rFonts w:hint="eastAsia" w:ascii="宋体" w:hAnsi="宋体" w:cs="宋体"/>
          <w:szCs w:val="21"/>
          <w:highlight w:val="none"/>
        </w:rPr>
        <w:t>需要补充的其他内容：见投标人须知前附表。</w:t>
      </w:r>
      <w:bookmarkEnd w:id="706"/>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07" w:name="_Toc78803375"/>
      <w:r>
        <w:rPr>
          <w:rFonts w:hint="eastAsia" w:ascii="宋体"/>
          <w:b/>
          <w:sz w:val="32"/>
          <w:szCs w:val="32"/>
          <w:highlight w:val="none"/>
        </w:rPr>
        <w:t>第二章  资格审查</w:t>
      </w:r>
      <w:bookmarkEnd w:id="602"/>
      <w:r>
        <w:rPr>
          <w:rFonts w:hint="eastAsia" w:ascii="宋体"/>
          <w:b/>
          <w:sz w:val="32"/>
          <w:szCs w:val="32"/>
          <w:highlight w:val="none"/>
        </w:rPr>
        <w:t>办法</w:t>
      </w:r>
      <w:bookmarkEnd w:id="603"/>
      <w:bookmarkEnd w:id="604"/>
      <w:bookmarkEnd w:id="605"/>
      <w:bookmarkEnd w:id="606"/>
      <w:bookmarkEnd w:id="707"/>
    </w:p>
    <w:p w14:paraId="510BB1C6">
      <w:pPr>
        <w:spacing w:beforeLines="50" w:afterLines="50" w:line="440" w:lineRule="exact"/>
        <w:jc w:val="center"/>
        <w:rPr>
          <w:rFonts w:ascii="宋体" w:hAnsi="宋体" w:cs="宋体"/>
          <w:b/>
          <w:bCs/>
          <w:sz w:val="28"/>
          <w:szCs w:val="22"/>
          <w:highlight w:val="none"/>
        </w:rPr>
      </w:pPr>
      <w:bookmarkStart w:id="708" w:name="_Toc35424940"/>
      <w:bookmarkStart w:id="709" w:name="_Toc15058903"/>
      <w:bookmarkStart w:id="710" w:name="_Toc324404865"/>
      <w:bookmarkStart w:id="711" w:name="_Toc506107318"/>
      <w:bookmarkStart w:id="712" w:name="_Toc35425106"/>
      <w:r>
        <w:rPr>
          <w:rFonts w:hint="eastAsia" w:ascii="宋体" w:hAnsi="宋体" w:cs="宋体"/>
          <w:b/>
          <w:bCs/>
          <w:sz w:val="28"/>
          <w:szCs w:val="22"/>
          <w:highlight w:val="none"/>
        </w:rPr>
        <w:t>资格审查办法前附表</w:t>
      </w:r>
      <w:bookmarkEnd w:id="708"/>
      <w:bookmarkEnd w:id="709"/>
      <w:bookmarkEnd w:id="710"/>
      <w:bookmarkEnd w:id="711"/>
      <w:bookmarkEnd w:id="712"/>
    </w:p>
    <w:p w14:paraId="07C7DA4B">
      <w:pPr>
        <w:spacing w:beforeLines="50" w:afterLines="50" w:line="440" w:lineRule="exact"/>
        <w:jc w:val="center"/>
        <w:rPr>
          <w:b/>
          <w:bCs/>
          <w:sz w:val="24"/>
          <w:highlight w:val="none"/>
        </w:rPr>
      </w:pPr>
      <w:r>
        <w:rPr>
          <w:rFonts w:hint="eastAsia"/>
          <w:b/>
          <w:bCs/>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bCs/>
                <w:color w:val="auto"/>
                <w:highlight w:val="none"/>
                <w:lang w:eastAsia="zh-CN"/>
              </w:rPr>
              <w:t>投标人拟派的项目负责人必须具有建设部颁发的注册在投标单位的土建工程专业</w:t>
            </w:r>
            <w:r>
              <w:rPr>
                <w:rFonts w:hint="eastAsia" w:ascii="宋体" w:hAnsi="宋体" w:cs="宋体"/>
                <w:color w:val="auto"/>
                <w:kern w:val="0"/>
                <w:sz w:val="21"/>
                <w:szCs w:val="21"/>
                <w:highlight w:val="none"/>
                <w:lang w:val="en-US" w:eastAsia="zh-CN"/>
              </w:rPr>
              <w:t>一级造价工程师注册证书</w:t>
            </w:r>
            <w:r>
              <w:rPr>
                <w:rFonts w:hint="eastAsia" w:ascii="宋体" w:hAnsi="宋体" w:cs="宋体"/>
                <w:bCs/>
                <w:color w:val="auto"/>
                <w:highlight w:val="none"/>
                <w:lang w:eastAsia="zh-CN"/>
              </w:rPr>
              <w:t>（或原注册造价工程师）</w:t>
            </w:r>
          </w:p>
        </w:tc>
        <w:tc>
          <w:tcPr>
            <w:tcW w:w="1860" w:type="dxa"/>
            <w:vMerge w:val="continue"/>
            <w:noWrap/>
            <w:vAlign w:val="center"/>
          </w:tcPr>
          <w:p w14:paraId="2BFDCB77">
            <w:pPr>
              <w:spacing w:line="440" w:lineRule="exact"/>
              <w:rPr>
                <w:rFonts w:ascii="宋体" w:hAnsi="宋体" w:cs="宋体"/>
                <w:szCs w:val="21"/>
                <w:highlight w:val="none"/>
              </w:rPr>
            </w:pPr>
          </w:p>
        </w:tc>
      </w:tr>
      <w:tr w14:paraId="7C44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08434D79">
            <w:pPr>
              <w:spacing w:line="440" w:lineRule="exact"/>
              <w:jc w:val="center"/>
              <w:rPr>
                <w:rFonts w:ascii="宋体" w:hAnsi="宋体" w:cs="宋体"/>
                <w:szCs w:val="21"/>
                <w:highlight w:val="none"/>
              </w:rPr>
            </w:pPr>
          </w:p>
        </w:tc>
        <w:tc>
          <w:tcPr>
            <w:tcW w:w="1258" w:type="dxa"/>
            <w:vMerge w:val="continue"/>
            <w:noWrap/>
            <w:vAlign w:val="center"/>
          </w:tcPr>
          <w:p w14:paraId="08C3DF84">
            <w:pPr>
              <w:spacing w:line="440" w:lineRule="exact"/>
              <w:jc w:val="center"/>
              <w:rPr>
                <w:rFonts w:ascii="宋体" w:hAnsi="宋体" w:cs="宋体"/>
                <w:b/>
                <w:bCs/>
                <w:szCs w:val="21"/>
                <w:highlight w:val="none"/>
              </w:rPr>
            </w:pPr>
          </w:p>
        </w:tc>
        <w:tc>
          <w:tcPr>
            <w:tcW w:w="6183" w:type="dxa"/>
            <w:noWrap/>
            <w:vAlign w:val="top"/>
          </w:tcPr>
          <w:p w14:paraId="6547F5B2">
            <w:pPr>
              <w:keepNext w:val="0"/>
              <w:keepLines w:val="0"/>
              <w:pageBreakBefore w:val="0"/>
              <w:kinsoku/>
              <w:wordWrap/>
              <w:overflowPunct/>
              <w:topLinePunct w:val="0"/>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Cs w:val="21"/>
                <w:highlight w:val="none"/>
              </w:rPr>
              <w:t>投标人的法定代表人(或委托代理人)和</w:t>
            </w:r>
            <w:r>
              <w:rPr>
                <w:rFonts w:hint="eastAsia" w:ascii="宋体" w:hAnsi="宋体" w:cs="宋体"/>
                <w:bCs/>
                <w:color w:val="auto"/>
                <w:highlight w:val="none"/>
                <w:lang w:eastAsia="zh-CN"/>
              </w:rPr>
              <w:t>项目负责人</w:t>
            </w:r>
            <w:r>
              <w:rPr>
                <w:rFonts w:hint="eastAsia" w:ascii="宋体" w:hAnsi="宋体" w:cs="宋体"/>
                <w:szCs w:val="21"/>
                <w:highlight w:val="none"/>
              </w:rPr>
              <w:t>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223D78F9">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65" w:type="dxa"/>
            <w:vMerge w:val="continue"/>
            <w:noWrap/>
            <w:vAlign w:val="center"/>
          </w:tcPr>
          <w:p w14:paraId="2C443F97">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hint="eastAsia" w:ascii="宋体" w:hAnsi="宋体" w:eastAsia="宋体" w:cs="宋体"/>
                <w:highlight w:val="none"/>
                <w:lang w:eastAsia="zh-CN"/>
              </w:rPr>
            </w:pPr>
            <w:r>
              <w:rPr>
                <w:rFonts w:hint="eastAsia" w:ascii="宋体" w:hAnsi="宋体" w:eastAsia="宋体" w:cs="Times New Roman"/>
                <w:color w:val="000000"/>
                <w:szCs w:val="21"/>
                <w:highlight w:val="none"/>
                <w:lang w:val="en-US" w:eastAsia="zh-CN"/>
              </w:rPr>
              <w:t>服务承诺书</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7"/>
        <w:spacing w:beforeLines="50" w:afterLines="50"/>
        <w:ind w:firstLine="422" w:firstLineChars="200"/>
        <w:rPr>
          <w:rFonts w:ascii="宋体" w:hAnsi="宋体" w:eastAsia="宋体" w:cs="宋体"/>
          <w:highlight w:val="none"/>
        </w:rPr>
      </w:pPr>
      <w:bookmarkStart w:id="713" w:name="_Toc35424941"/>
      <w:bookmarkStart w:id="714" w:name="_Toc324404866"/>
      <w:bookmarkStart w:id="715" w:name="_Toc506107319"/>
      <w:bookmarkStart w:id="716" w:name="_Toc15058904"/>
      <w:bookmarkStart w:id="717" w:name="_Toc78803376"/>
      <w:bookmarkStart w:id="718" w:name="_Toc27127"/>
      <w:bookmarkStart w:id="719" w:name="_Toc35425107"/>
      <w:r>
        <w:rPr>
          <w:rFonts w:hint="eastAsia" w:ascii="宋体" w:hAnsi="宋体" w:eastAsia="宋体" w:cs="宋体"/>
          <w:highlight w:val="none"/>
        </w:rPr>
        <w:t>1.审查资料</w:t>
      </w:r>
      <w:bookmarkEnd w:id="713"/>
      <w:bookmarkEnd w:id="714"/>
      <w:bookmarkEnd w:id="715"/>
      <w:bookmarkEnd w:id="716"/>
      <w:bookmarkEnd w:id="717"/>
      <w:bookmarkEnd w:id="718"/>
      <w:bookmarkEnd w:id="719"/>
    </w:p>
    <w:p w14:paraId="393FDB9F">
      <w:pPr>
        <w:spacing w:line="440" w:lineRule="exact"/>
        <w:ind w:firstLine="420" w:firstLineChars="200"/>
        <w:jc w:val="left"/>
        <w:rPr>
          <w:rFonts w:hint="eastAsia" w:ascii="宋体" w:hAnsi="宋体" w:cs="宋体"/>
          <w:szCs w:val="21"/>
          <w:highlight w:val="none"/>
        </w:rPr>
      </w:pPr>
      <w:bookmarkStart w:id="720" w:name="_Toc15058905"/>
      <w:bookmarkStart w:id="721" w:name="_Toc35424942"/>
      <w:bookmarkStart w:id="722" w:name="_Toc12549"/>
      <w:bookmarkStart w:id="723" w:name="_Toc35425108"/>
      <w:bookmarkStart w:id="724" w:name="_Toc78803377"/>
      <w:bookmarkStart w:id="725" w:name="_Toc324404867"/>
      <w:bookmarkStart w:id="726" w:name="_Toc15058909"/>
      <w:bookmarkStart w:id="727" w:name="_Toc506107320"/>
      <w:r>
        <w:rPr>
          <w:rFonts w:hint="eastAsia" w:ascii="宋体" w:hAnsi="宋体" w:cs="宋体"/>
          <w:szCs w:val="21"/>
          <w:highlight w:val="none"/>
        </w:rPr>
        <w:t>（1）法定代表人身份证明文件和本人有效身份证(或法定代表人授权委托书和委托代理人有效身份证)；</w:t>
      </w:r>
    </w:p>
    <w:p w14:paraId="5E343F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3B7B0F5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181A1371">
      <w:pPr>
        <w:spacing w:line="440" w:lineRule="exact"/>
        <w:ind w:firstLine="420" w:firstLineChars="200"/>
        <w:jc w:val="left"/>
        <w:rPr>
          <w:rFonts w:hint="eastAsia" w:ascii="宋体" w:hAnsi="宋体" w:cs="宋体"/>
          <w:bCs/>
          <w:color w:val="auto"/>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bCs/>
          <w:color w:val="auto"/>
          <w:highlight w:val="none"/>
          <w:lang w:eastAsia="zh-CN"/>
        </w:rPr>
        <w:t>投标人拟派的项目负责人必须具有建设部颁发的注册在投标单位的土建工程专业</w:t>
      </w:r>
      <w:r>
        <w:rPr>
          <w:rFonts w:hint="eastAsia" w:ascii="宋体" w:hAnsi="宋体" w:cs="宋体"/>
          <w:color w:val="auto"/>
          <w:kern w:val="0"/>
          <w:sz w:val="21"/>
          <w:szCs w:val="21"/>
          <w:highlight w:val="none"/>
          <w:lang w:val="en-US" w:eastAsia="zh-CN"/>
        </w:rPr>
        <w:t>一级造价工程师注册证书</w:t>
      </w:r>
      <w:r>
        <w:rPr>
          <w:rFonts w:hint="eastAsia" w:ascii="宋体" w:hAnsi="宋体" w:cs="宋体"/>
          <w:bCs/>
          <w:color w:val="auto"/>
          <w:highlight w:val="none"/>
          <w:lang w:eastAsia="zh-CN"/>
        </w:rPr>
        <w:t>（或原注册造价工程师）；</w:t>
      </w:r>
    </w:p>
    <w:p w14:paraId="723A86E7">
      <w:pPr>
        <w:spacing w:line="440" w:lineRule="exact"/>
        <w:ind w:firstLine="420" w:firstLineChars="200"/>
        <w:jc w:val="left"/>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lang w:eastAsia="zh-CN"/>
        </w:rPr>
        <w:t>）</w:t>
      </w:r>
      <w:r>
        <w:rPr>
          <w:rFonts w:hint="eastAsia" w:ascii="宋体" w:hAnsi="宋体" w:cs="宋体"/>
          <w:szCs w:val="21"/>
          <w:highlight w:val="none"/>
        </w:rPr>
        <w:t>投标人的法定代表人(或委托代理人)和</w:t>
      </w:r>
      <w:r>
        <w:rPr>
          <w:rFonts w:hint="eastAsia" w:ascii="宋体" w:hAnsi="宋体" w:cs="宋体"/>
          <w:bCs/>
          <w:color w:val="auto"/>
          <w:highlight w:val="none"/>
          <w:lang w:eastAsia="zh-CN"/>
        </w:rPr>
        <w:t>项目负责人</w:t>
      </w:r>
      <w:r>
        <w:rPr>
          <w:rFonts w:hint="eastAsia" w:ascii="宋体" w:hAnsi="宋体" w:cs="宋体"/>
          <w:szCs w:val="21"/>
          <w:highlight w:val="none"/>
        </w:rPr>
        <w:t>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eastAsia="宋体" w:cs="宋体"/>
          <w:bCs/>
          <w:color w:val="auto"/>
          <w:highlight w:val="none"/>
          <w:lang w:eastAsia="zh-CN"/>
        </w:rPr>
        <w:t>；</w:t>
      </w:r>
    </w:p>
    <w:p w14:paraId="06464384">
      <w:pPr>
        <w:spacing w:line="440" w:lineRule="exact"/>
        <w:ind w:firstLine="420" w:firstLineChars="200"/>
        <w:jc w:val="left"/>
        <w:rPr>
          <w:rFonts w:hint="eastAsia"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eastAsia="宋体" w:cs="Times New Roman"/>
          <w:color w:val="000000"/>
          <w:szCs w:val="21"/>
          <w:highlight w:val="none"/>
          <w:lang w:val="en-US" w:eastAsia="zh-CN"/>
        </w:rPr>
        <w:t>服务承诺书</w:t>
      </w:r>
      <w:r>
        <w:rPr>
          <w:rFonts w:hint="eastAsia" w:ascii="宋体" w:hAnsi="宋体" w:cs="宋体"/>
          <w:highlight w:val="none"/>
          <w:lang w:eastAsia="zh-CN"/>
        </w:rPr>
        <w:t>。</w:t>
      </w:r>
    </w:p>
    <w:bookmarkEnd w:id="720"/>
    <w:p w14:paraId="5990719C">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2.审查办法</w:t>
      </w:r>
      <w:bookmarkEnd w:id="721"/>
      <w:bookmarkEnd w:id="722"/>
      <w:bookmarkEnd w:id="723"/>
      <w:bookmarkEnd w:id="724"/>
      <w:bookmarkEnd w:id="725"/>
      <w:bookmarkEnd w:id="726"/>
      <w:bookmarkEnd w:id="727"/>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7"/>
        <w:spacing w:beforeLines="50" w:afterLines="50"/>
        <w:ind w:firstLine="422" w:firstLineChars="200"/>
        <w:rPr>
          <w:rFonts w:ascii="宋体" w:hAnsi="宋体" w:eastAsia="宋体" w:cs="宋体"/>
          <w:highlight w:val="none"/>
        </w:rPr>
      </w:pPr>
      <w:bookmarkStart w:id="728" w:name="_Toc324404868"/>
      <w:bookmarkStart w:id="729" w:name="_Toc35425109"/>
      <w:bookmarkStart w:id="730" w:name="_Toc15058910"/>
      <w:bookmarkStart w:id="731" w:name="_Toc15626"/>
      <w:bookmarkStart w:id="732" w:name="_Toc35424943"/>
      <w:bookmarkStart w:id="733" w:name="_Toc78803378"/>
      <w:bookmarkStart w:id="734" w:name="_Toc506107321"/>
      <w:r>
        <w:rPr>
          <w:rFonts w:hint="eastAsia" w:ascii="宋体" w:hAnsi="宋体" w:eastAsia="宋体" w:cs="宋体"/>
          <w:highlight w:val="none"/>
        </w:rPr>
        <w:t>3.资格审查委员会和审查标准</w:t>
      </w:r>
      <w:bookmarkEnd w:id="728"/>
      <w:bookmarkEnd w:id="729"/>
      <w:bookmarkEnd w:id="730"/>
      <w:bookmarkEnd w:id="731"/>
      <w:bookmarkEnd w:id="732"/>
      <w:bookmarkEnd w:id="733"/>
      <w:bookmarkEnd w:id="734"/>
    </w:p>
    <w:p w14:paraId="48F20776">
      <w:pPr>
        <w:spacing w:line="440" w:lineRule="exact"/>
        <w:ind w:firstLine="420" w:firstLineChars="200"/>
        <w:jc w:val="left"/>
        <w:rPr>
          <w:rFonts w:hint="eastAsia" w:ascii="宋体" w:hAnsi="宋体" w:eastAsia="宋体" w:cs="宋体"/>
          <w:szCs w:val="21"/>
          <w:highlight w:val="none"/>
        </w:rPr>
      </w:pPr>
      <w:bookmarkStart w:id="735" w:name="_Toc35424944"/>
      <w:bookmarkStart w:id="736" w:name="_Toc10330"/>
      <w:bookmarkStart w:id="737" w:name="_Toc15058911"/>
      <w:bookmarkStart w:id="738" w:name="_Toc324404869"/>
      <w:bookmarkStart w:id="739" w:name="_Toc78803379"/>
      <w:bookmarkStart w:id="740" w:name="_Toc506107322"/>
      <w:bookmarkStart w:id="741" w:name="_Toc35425110"/>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35"/>
      <w:bookmarkEnd w:id="736"/>
      <w:bookmarkEnd w:id="737"/>
      <w:bookmarkEnd w:id="738"/>
      <w:bookmarkEnd w:id="739"/>
      <w:bookmarkEnd w:id="740"/>
      <w:bookmarkEnd w:id="741"/>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42" w:name="_Toc506107323"/>
    </w:p>
    <w:p w14:paraId="500CB5F4">
      <w:pPr>
        <w:pStyle w:val="6"/>
        <w:spacing w:beforeLines="50" w:afterLines="50"/>
        <w:rPr>
          <w:highlight w:val="none"/>
        </w:rPr>
      </w:pPr>
      <w:bookmarkStart w:id="743" w:name="_Toc15058912"/>
      <w:bookmarkStart w:id="744" w:name="_Toc35424945"/>
      <w:bookmarkStart w:id="745" w:name="_Toc35425111"/>
      <w:r>
        <w:rPr>
          <w:rFonts w:hint="eastAsia"/>
          <w:highlight w:val="none"/>
        </w:rPr>
        <w:br w:type="page"/>
      </w:r>
      <w:bookmarkStart w:id="746" w:name="_Toc78803380"/>
      <w:r>
        <w:rPr>
          <w:rFonts w:hint="eastAsia" w:ascii="Arial" w:hAnsi="Arial"/>
          <w:kern w:val="0"/>
          <w:sz w:val="32"/>
          <w:szCs w:val="32"/>
          <w:highlight w:val="none"/>
        </w:rPr>
        <w:t>第三章  评标办法</w:t>
      </w:r>
      <w:bookmarkEnd w:id="607"/>
      <w:bookmarkEnd w:id="742"/>
      <w:bookmarkEnd w:id="743"/>
      <w:bookmarkEnd w:id="744"/>
      <w:bookmarkEnd w:id="745"/>
      <w:bookmarkEnd w:id="746"/>
    </w:p>
    <w:p w14:paraId="3303ED71">
      <w:pPr>
        <w:spacing w:beforeLines="50" w:afterLines="50" w:line="440" w:lineRule="exact"/>
        <w:jc w:val="center"/>
        <w:rPr>
          <w:rFonts w:ascii="宋体" w:hAnsi="宋体" w:cs="宋体"/>
          <w:b/>
          <w:bCs/>
          <w:sz w:val="28"/>
          <w:szCs w:val="28"/>
          <w:highlight w:val="none"/>
        </w:rPr>
      </w:pPr>
      <w:bookmarkStart w:id="747" w:name="_Toc35425112"/>
      <w:bookmarkStart w:id="748" w:name="_Toc35424946"/>
      <w:r>
        <w:rPr>
          <w:rFonts w:hint="eastAsia" w:ascii="宋体" w:hAnsi="宋体" w:cs="宋体"/>
          <w:b/>
          <w:bCs/>
          <w:sz w:val="28"/>
          <w:szCs w:val="28"/>
          <w:highlight w:val="none"/>
        </w:rPr>
        <w:t>评标办法前附表</w:t>
      </w:r>
      <w:bookmarkEnd w:id="747"/>
      <w:bookmarkEnd w:id="748"/>
    </w:p>
    <w:p w14:paraId="1395A076">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cs="Times New Roman"/>
          <w:b/>
          <w:color w:val="auto"/>
          <w:sz w:val="28"/>
          <w:szCs w:val="21"/>
          <w:lang w:val="en-US" w:eastAsia="zh-CN"/>
        </w:rPr>
        <w:t>（一）</w:t>
      </w:r>
      <w:r>
        <w:rPr>
          <w:rFonts w:hint="eastAsia" w:ascii="Times New Roman" w:hAnsi="Times New Roman" w:eastAsia="宋体" w:cs="Times New Roman"/>
          <w:b/>
          <w:color w:val="auto"/>
          <w:sz w:val="28"/>
          <w:szCs w:val="21"/>
          <w:lang w:val="en-US" w:eastAsia="zh-CN"/>
        </w:rPr>
        <w:t>资信标评分细则（45分）</w:t>
      </w:r>
    </w:p>
    <w:tbl>
      <w:tblPr>
        <w:tblStyle w:val="47"/>
        <w:tblW w:w="1020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990"/>
      </w:tblGrid>
      <w:tr w14:paraId="76CF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138AE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评审因素</w:t>
            </w:r>
          </w:p>
        </w:tc>
        <w:tc>
          <w:tcPr>
            <w:tcW w:w="7990" w:type="dxa"/>
            <w:vAlign w:val="center"/>
          </w:tcPr>
          <w:p w14:paraId="1C278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评审标准</w:t>
            </w:r>
          </w:p>
        </w:tc>
      </w:tr>
      <w:tr w14:paraId="62F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4534747D">
            <w:pPr>
              <w:keepNext w:val="0"/>
              <w:keepLines w:val="0"/>
              <w:suppressLineNumbers w:val="0"/>
              <w:spacing w:before="0" w:beforeAutospacing="0" w:after="0" w:afterAutospacing="0" w:line="500" w:lineRule="exact"/>
              <w:ind w:left="0" w:right="0" w:firstLine="28" w:firstLineChars="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企业业绩（20分）</w:t>
            </w:r>
          </w:p>
        </w:tc>
        <w:tc>
          <w:tcPr>
            <w:tcW w:w="7990" w:type="dxa"/>
            <w:vAlign w:val="center"/>
          </w:tcPr>
          <w:p w14:paraId="7A4121DB">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w:t>
            </w:r>
            <w:r>
              <w:rPr>
                <w:rFonts w:hint="eastAsia" w:ascii="宋体" w:hAnsi="宋体" w:eastAsia="宋体" w:cs="宋体"/>
                <w:color w:val="auto"/>
                <w:sz w:val="21"/>
                <w:szCs w:val="21"/>
                <w:highlight w:val="none"/>
                <w:lang w:val="en-US" w:eastAsia="zh-CN"/>
              </w:rPr>
              <w:t>时间，投标人每</w:t>
            </w:r>
            <w:r>
              <w:rPr>
                <w:rFonts w:hint="eastAsia" w:ascii="宋体" w:hAnsi="宋体" w:eastAsia="宋体" w:cs="宋体"/>
                <w:color w:val="auto"/>
                <w:sz w:val="21"/>
                <w:szCs w:val="21"/>
                <w:highlight w:val="none"/>
              </w:rPr>
              <w:t>完成过</w:t>
            </w:r>
            <w:r>
              <w:rPr>
                <w:rFonts w:hint="eastAsia" w:ascii="宋体" w:hAnsi="宋体" w:eastAsia="宋体" w:cs="宋体"/>
                <w:color w:val="auto"/>
                <w:sz w:val="21"/>
                <w:szCs w:val="21"/>
                <w:highlight w:val="none"/>
                <w:lang w:val="en-US" w:eastAsia="zh-CN"/>
              </w:rPr>
              <w:t>一个金额为</w:t>
            </w:r>
            <w:r>
              <w:rPr>
                <w:rFonts w:hint="eastAsia" w:ascii="宋体" w:hAnsi="宋体" w:cs="宋体"/>
                <w:color w:val="auto"/>
                <w:sz w:val="21"/>
                <w:szCs w:val="21"/>
                <w:highlight w:val="none"/>
                <w:lang w:val="en-US" w:eastAsia="zh-CN"/>
              </w:rPr>
              <w:t>500</w:t>
            </w:r>
            <w:r>
              <w:rPr>
                <w:rFonts w:hint="eastAsia" w:ascii="宋体" w:hAnsi="宋体" w:eastAsia="宋体" w:cs="宋体"/>
                <w:color w:val="auto"/>
                <w:sz w:val="21"/>
                <w:szCs w:val="21"/>
                <w:highlight w:val="none"/>
                <w:lang w:val="en-US" w:eastAsia="zh-CN"/>
              </w:rPr>
              <w:t>万元及以上建筑工程的</w:t>
            </w:r>
            <w:r>
              <w:rPr>
                <w:rFonts w:hint="eastAsia" w:ascii="宋体" w:hAnsi="宋体" w:eastAsia="宋体" w:cs="宋体"/>
                <w:color w:val="auto"/>
                <w:sz w:val="21"/>
                <w:szCs w:val="21"/>
                <w:highlight w:val="none"/>
              </w:rPr>
              <w:t>跟踪审计（全过程造价控制）项目的得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其他的不得分，</w:t>
            </w:r>
            <w:r>
              <w:rPr>
                <w:rFonts w:hint="eastAsia" w:ascii="宋体" w:hAnsi="宋体" w:eastAsia="宋体" w:cs="宋体"/>
                <w:color w:val="auto"/>
                <w:sz w:val="21"/>
                <w:szCs w:val="21"/>
                <w:highlight w:val="none"/>
                <w:lang w:val="zh-CN"/>
              </w:rPr>
              <w:t>本项最高</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p>
          <w:p w14:paraId="48379A51">
            <w:pPr>
              <w:keepNext w:val="0"/>
              <w:keepLines w:val="0"/>
              <w:suppressLineNumbers w:val="0"/>
              <w:adjustRightInd w:val="0"/>
              <w:spacing w:before="0" w:beforeAutospacing="0" w:after="0" w:afterAutospacing="0" w:line="360" w:lineRule="auto"/>
              <w:ind w:left="0" w:right="0"/>
              <w:rPr>
                <w:rFonts w:hint="eastAsia" w:ascii="宋体" w:hAnsi="宋体" w:cs="仿宋_GB2312"/>
                <w:b w:val="0"/>
                <w:bCs w:val="0"/>
                <w:color w:val="auto"/>
                <w:szCs w:val="21"/>
                <w:highlight w:val="none"/>
                <w:lang w:val="en-US" w:eastAsia="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lang w:val="en-US" w:eastAsia="zh-CN"/>
              </w:rPr>
              <w:t>同时提供项目</w:t>
            </w:r>
            <w:r>
              <w:rPr>
                <w:rFonts w:hint="eastAsia" w:ascii="宋体" w:hAnsi="宋体" w:eastAsia="宋体" w:cs="宋体"/>
                <w:color w:val="auto"/>
                <w:sz w:val="21"/>
                <w:szCs w:val="21"/>
                <w:highlight w:val="none"/>
              </w:rPr>
              <w:t>咨询</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咨询成果报告（文件），咨询成果报告（文件）是指</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作为全过程造价管理咨询单位出具的经建设单位认可的工程竣工审计报告主要页面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时间以咨询成果报告（文件）出具时间为准，金额以咨询成果报告（文件）中载明的审定金额为准。若上述证明材料不能明确反映项目类型、项目规模等内容的，应另行提供委托单位出具并加盖其公章的证明材料。</w:t>
            </w:r>
          </w:p>
        </w:tc>
      </w:tr>
      <w:tr w14:paraId="4CF2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18" w:type="dxa"/>
            <w:vAlign w:val="center"/>
          </w:tcPr>
          <w:p w14:paraId="2E8CE0FB">
            <w:pPr>
              <w:keepNext w:val="0"/>
              <w:keepLines w:val="0"/>
              <w:suppressLineNumbers w:val="0"/>
              <w:spacing w:before="0" w:beforeAutospacing="0" w:after="0" w:afterAutospacing="0" w:line="500" w:lineRule="exact"/>
              <w:ind w:left="0" w:right="0" w:firstLine="28" w:firstLineChars="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项目负责人实力</w:t>
            </w:r>
          </w:p>
          <w:p w14:paraId="7734AA4B">
            <w:pPr>
              <w:keepNext w:val="0"/>
              <w:keepLines w:val="0"/>
              <w:suppressLineNumbers w:val="0"/>
              <w:spacing w:before="0" w:beforeAutospacing="0" w:after="0" w:afterAutospacing="0" w:line="500" w:lineRule="exact"/>
              <w:ind w:left="0" w:right="0" w:firstLine="28" w:firstLineChars="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（5分）</w:t>
            </w:r>
          </w:p>
        </w:tc>
        <w:tc>
          <w:tcPr>
            <w:tcW w:w="7990" w:type="dxa"/>
            <w:vAlign w:val="center"/>
          </w:tcPr>
          <w:p w14:paraId="552DCAE5">
            <w:pPr>
              <w:keepNext w:val="0"/>
              <w:keepLines w:val="0"/>
              <w:suppressLineNumbers w:val="0"/>
              <w:adjustRightInd w:val="0"/>
              <w:spacing w:before="0" w:beforeAutospacing="0" w:after="0" w:afterAutospacing="0" w:line="360" w:lineRule="auto"/>
              <w:ind w:left="0" w:right="0"/>
              <w:rPr>
                <w:rFonts w:hint="default"/>
                <w:lang w:val="en-US" w:eastAsia="zh-CN"/>
              </w:rPr>
            </w:pPr>
            <w:r>
              <w:rPr>
                <w:rFonts w:hint="eastAsia"/>
                <w:lang w:val="en-US" w:eastAsia="zh-CN"/>
              </w:rPr>
              <w:t>拟派项目负责人</w:t>
            </w:r>
            <w:r>
              <w:rPr>
                <w:rFonts w:hint="eastAsia" w:ascii="宋体" w:hAnsi="宋体" w:eastAsia="宋体" w:cs="宋体"/>
                <w:color w:val="auto"/>
                <w:kern w:val="0"/>
                <w:sz w:val="21"/>
                <w:szCs w:val="21"/>
                <w:highlight w:val="none"/>
                <w:lang w:val="en-US" w:eastAsia="zh-CN"/>
              </w:rPr>
              <w:t>具有工程类高级及以上职称证书的得5分，</w:t>
            </w:r>
          </w:p>
        </w:tc>
      </w:tr>
      <w:tr w14:paraId="658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18" w:type="dxa"/>
            <w:vAlign w:val="center"/>
          </w:tcPr>
          <w:p w14:paraId="6BBBD55E">
            <w:pPr>
              <w:keepNext w:val="0"/>
              <w:keepLines w:val="0"/>
              <w:suppressLineNumbers w:val="0"/>
              <w:spacing w:before="0" w:beforeAutospacing="0" w:after="0" w:afterAutospacing="0" w:line="500" w:lineRule="exact"/>
              <w:ind w:left="0" w:right="0" w:firstLine="28" w:firstLineChars="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人员配置（20分）</w:t>
            </w:r>
          </w:p>
        </w:tc>
        <w:tc>
          <w:tcPr>
            <w:tcW w:w="7990" w:type="dxa"/>
            <w:vAlign w:val="center"/>
          </w:tcPr>
          <w:p w14:paraId="0DE42ABC">
            <w:pPr>
              <w:keepNext w:val="0"/>
              <w:keepLines w:val="0"/>
              <w:suppressLineNumbers w:val="0"/>
              <w:adjustRightInd w:val="0"/>
              <w:spacing w:before="0" w:beforeAutospacing="0" w:after="0" w:afterAutospacing="0" w:line="360" w:lineRule="auto"/>
              <w:ind w:left="0" w:right="0"/>
              <w:rPr>
                <w:rFonts w:hint="eastAsia"/>
                <w:lang w:val="en-US" w:eastAsia="zh-CN"/>
              </w:rPr>
            </w:pPr>
            <w:r>
              <w:rPr>
                <w:rFonts w:hint="eastAsia"/>
                <w:lang w:val="en-US" w:eastAsia="zh-CN"/>
              </w:rPr>
              <w:t>1、除项目负责人外，配备满足下列要求的项目组成员（不得少于3人）：①土建专业成员不少于1名，具有注册在投标单位的土木建筑工程专业二级及以上造价工程师注册证书；②安装专业成员不少于2名，具有注册在投标单位的安装工程专业二级及以上造价工程师注册证书；全部满足的得10分，其他的不得分。</w:t>
            </w:r>
          </w:p>
          <w:p w14:paraId="1B450D1D">
            <w:pPr>
              <w:keepNext w:val="0"/>
              <w:keepLines w:val="0"/>
              <w:suppressLineNumbers w:val="0"/>
              <w:adjustRightInd w:val="0"/>
              <w:spacing w:before="0" w:beforeAutospacing="0" w:after="0" w:afterAutospacing="0" w:line="360" w:lineRule="auto"/>
              <w:ind w:left="0" w:right="0"/>
              <w:rPr>
                <w:rFonts w:hint="default"/>
                <w:lang w:val="en-US" w:eastAsia="zh-CN"/>
              </w:rPr>
            </w:pPr>
            <w:r>
              <w:rPr>
                <w:rFonts w:hint="eastAsia"/>
                <w:lang w:val="en-US" w:eastAsia="zh-CN"/>
              </w:rPr>
              <w:t>注：同时提供人员配备表和对应人员身份证及注册证书。</w:t>
            </w:r>
          </w:p>
          <w:p w14:paraId="7EC7BF80">
            <w:pPr>
              <w:keepNext w:val="0"/>
              <w:keepLines w:val="0"/>
              <w:suppressLineNumbers w:val="0"/>
              <w:adjustRightInd w:val="0"/>
              <w:spacing w:before="0" w:beforeAutospacing="0" w:after="0" w:afterAutospacing="0" w:line="360" w:lineRule="auto"/>
              <w:ind w:left="0" w:right="0"/>
              <w:rPr>
                <w:rFonts w:hint="default"/>
                <w:lang w:val="en-US" w:eastAsia="zh-CN"/>
              </w:rPr>
            </w:pPr>
            <w:r>
              <w:rPr>
                <w:rFonts w:hint="eastAsia"/>
                <w:lang w:val="en-US" w:eastAsia="zh-CN"/>
              </w:rPr>
              <w:t>2、除项目负责人外，所配备人员中每有1人具有工程类中级及以上职称证书的得5分，其他的不得分，</w:t>
            </w:r>
            <w:r>
              <w:rPr>
                <w:rFonts w:hint="eastAsia"/>
                <w:lang w:val="zh-CN" w:eastAsia="zh-CN"/>
              </w:rPr>
              <w:t>本项最高</w:t>
            </w:r>
            <w:r>
              <w:rPr>
                <w:rFonts w:hint="eastAsia"/>
                <w:lang w:val="en-US" w:eastAsia="zh-CN"/>
              </w:rPr>
              <w:t>10</w:t>
            </w:r>
            <w:r>
              <w:rPr>
                <w:rFonts w:hint="eastAsia"/>
                <w:lang w:val="zh-CN" w:eastAsia="zh-CN"/>
              </w:rPr>
              <w:t>分。</w:t>
            </w:r>
          </w:p>
          <w:p w14:paraId="15343B16">
            <w:pPr>
              <w:keepNext w:val="0"/>
              <w:keepLines w:val="0"/>
              <w:suppressLineNumbers w:val="0"/>
              <w:adjustRightInd w:val="0"/>
              <w:spacing w:before="0" w:beforeAutospacing="0" w:after="0" w:afterAutospacing="0" w:line="360" w:lineRule="auto"/>
              <w:ind w:left="0" w:right="0"/>
              <w:rPr>
                <w:rFonts w:hint="default"/>
                <w:lang w:val="en-US" w:eastAsia="zh-CN"/>
              </w:rPr>
            </w:pPr>
            <w:r>
              <w:rPr>
                <w:rFonts w:hint="eastAsia"/>
                <w:lang w:val="en-US" w:eastAsia="zh-CN"/>
              </w:rPr>
              <w:t>注：提供职称证书扫描件。</w:t>
            </w:r>
          </w:p>
        </w:tc>
      </w:tr>
    </w:tbl>
    <w:p w14:paraId="6EF3540D">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（二）技术标评分细则（</w:t>
      </w:r>
      <w:r>
        <w:rPr>
          <w:rFonts w:hint="eastAsia" w:cs="Times New Roman"/>
          <w:b/>
          <w:color w:val="auto"/>
          <w:sz w:val="28"/>
          <w:szCs w:val="21"/>
          <w:highlight w:val="none"/>
          <w:lang w:val="en-US" w:eastAsia="zh-CN"/>
        </w:rPr>
        <w:t>40</w:t>
      </w:r>
      <w:r>
        <w:rPr>
          <w:rFonts w:hint="eastAsia" w:ascii="Times New Roman" w:hAnsi="Times New Roman" w:eastAsia="宋体" w:cs="Times New Roman"/>
          <w:b/>
          <w:color w:val="auto"/>
          <w:sz w:val="28"/>
          <w:szCs w:val="21"/>
          <w:lang w:val="en-US" w:eastAsia="zh-CN"/>
        </w:rPr>
        <w:t>分）</w:t>
      </w:r>
    </w:p>
    <w:tbl>
      <w:tblPr>
        <w:tblStyle w:val="46"/>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
        <w:gridCol w:w="1136"/>
        <w:gridCol w:w="2610"/>
        <w:gridCol w:w="5614"/>
      </w:tblGrid>
      <w:tr w14:paraId="7390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gridSpan w:val="2"/>
            <w:noWrap w:val="0"/>
            <w:vAlign w:val="center"/>
          </w:tcPr>
          <w:p w14:paraId="155CA13A">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3746" w:type="dxa"/>
            <w:gridSpan w:val="2"/>
            <w:noWrap w:val="0"/>
            <w:vAlign w:val="center"/>
          </w:tcPr>
          <w:p w14:paraId="3F2A93D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14" w:type="dxa"/>
            <w:noWrap w:val="0"/>
            <w:vAlign w:val="center"/>
          </w:tcPr>
          <w:p w14:paraId="7E45889C">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25D4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6748EED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gridSpan w:val="2"/>
            <w:noWrap w:val="0"/>
            <w:vAlign w:val="center"/>
          </w:tcPr>
          <w:p w14:paraId="59D4E2F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610" w:type="dxa"/>
            <w:noWrap w:val="0"/>
            <w:vAlign w:val="center"/>
          </w:tcPr>
          <w:p w14:paraId="5CB5932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14" w:type="dxa"/>
            <w:noWrap w:val="0"/>
            <w:vAlign w:val="center"/>
          </w:tcPr>
          <w:p w14:paraId="28CE7FDB">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color w:val="auto"/>
                <w:highlight w:val="none"/>
              </w:rPr>
            </w:pPr>
            <w:r>
              <w:rPr>
                <w:rFonts w:hint="eastAsia"/>
                <w:color w:val="auto"/>
                <w:highlight w:val="none"/>
              </w:rPr>
              <w:t>符合第</w:t>
            </w:r>
            <w:r>
              <w:rPr>
                <w:rFonts w:hint="eastAsia"/>
                <w:color w:val="auto"/>
                <w:highlight w:val="none"/>
                <w:lang w:val="en-US" w:eastAsia="zh-CN"/>
              </w:rPr>
              <w:t>六</w:t>
            </w:r>
            <w:r>
              <w:rPr>
                <w:rFonts w:hint="eastAsia"/>
                <w:color w:val="auto"/>
                <w:highlight w:val="none"/>
              </w:rPr>
              <w:t>章“投标文件格式”的要求，</w:t>
            </w:r>
          </w:p>
          <w:p w14:paraId="006D442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color w:val="auto"/>
                <w:highlight w:val="none"/>
              </w:rPr>
            </w:pPr>
            <w:r>
              <w:rPr>
                <w:rFonts w:hint="eastAsia"/>
                <w:color w:val="auto"/>
                <w:highlight w:val="none"/>
              </w:rPr>
              <w:t>否则经评委会一致认定后,按照无效投标处理。</w:t>
            </w:r>
          </w:p>
        </w:tc>
      </w:tr>
      <w:tr w14:paraId="54BD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restart"/>
            <w:noWrap w:val="0"/>
            <w:vAlign w:val="center"/>
          </w:tcPr>
          <w:p w14:paraId="4ED9C8E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gridSpan w:val="2"/>
            <w:vMerge w:val="restart"/>
            <w:noWrap w:val="0"/>
            <w:vAlign w:val="center"/>
          </w:tcPr>
          <w:p w14:paraId="497040A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610" w:type="dxa"/>
            <w:noWrap w:val="0"/>
            <w:vAlign w:val="center"/>
          </w:tcPr>
          <w:p w14:paraId="37D3F8F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614" w:type="dxa"/>
            <w:noWrap w:val="0"/>
            <w:vAlign w:val="top"/>
          </w:tcPr>
          <w:p w14:paraId="3FD7635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章“投标人须知”第2.1项规定</w:t>
            </w:r>
          </w:p>
        </w:tc>
      </w:tr>
      <w:tr w14:paraId="61C6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continue"/>
            <w:noWrap w:val="0"/>
            <w:vAlign w:val="top"/>
          </w:tcPr>
          <w:p w14:paraId="32F0C41F">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78C1214A">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564B9B9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614" w:type="dxa"/>
            <w:noWrap w:val="0"/>
            <w:vAlign w:val="top"/>
          </w:tcPr>
          <w:p w14:paraId="78BD690B">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09D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4" w:type="dxa"/>
            <w:vMerge w:val="continue"/>
            <w:noWrap w:val="0"/>
            <w:vAlign w:val="top"/>
          </w:tcPr>
          <w:p w14:paraId="5D0543B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1180E46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0FFFF8FB">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614" w:type="dxa"/>
            <w:noWrap w:val="0"/>
            <w:vAlign w:val="top"/>
          </w:tcPr>
          <w:p w14:paraId="50F7701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E09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4" w:type="dxa"/>
            <w:vMerge w:val="restart"/>
            <w:noWrap w:val="0"/>
            <w:vAlign w:val="center"/>
          </w:tcPr>
          <w:p w14:paraId="43A906D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gridSpan w:val="2"/>
            <w:vMerge w:val="restart"/>
            <w:noWrap w:val="0"/>
            <w:vAlign w:val="center"/>
          </w:tcPr>
          <w:p w14:paraId="23B7BF8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14:paraId="04B9BA4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vMerge w:val="restart"/>
            <w:noWrap w:val="0"/>
            <w:vAlign w:val="center"/>
          </w:tcPr>
          <w:p w14:paraId="3AEA5EC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eastAsia="宋体"/>
                <w:color w:val="auto"/>
                <w:highlight w:val="none"/>
                <w:lang w:val="en-US" w:eastAsia="zh-CN"/>
              </w:rPr>
            </w:pPr>
            <w:r>
              <w:rPr>
                <w:rFonts w:hint="eastAsia" w:eastAsia="宋体"/>
                <w:color w:val="auto"/>
                <w:highlight w:val="none"/>
                <w:lang w:val="en-US" w:eastAsia="zh-CN"/>
              </w:rPr>
              <w:t>服务方案</w:t>
            </w:r>
          </w:p>
        </w:tc>
        <w:tc>
          <w:tcPr>
            <w:tcW w:w="5614" w:type="dxa"/>
            <w:shd w:val="clear" w:color="auto" w:fill="auto"/>
            <w:noWrap w:val="0"/>
            <w:vAlign w:val="center"/>
          </w:tcPr>
          <w:p w14:paraId="3FC1F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针对本</w:t>
            </w:r>
            <w:r>
              <w:rPr>
                <w:rFonts w:hint="eastAsia" w:ascii="宋体" w:hAnsi="宋体" w:cs="宋体"/>
                <w:bCs/>
                <w:color w:val="auto"/>
                <w:kern w:val="1"/>
                <w:sz w:val="21"/>
                <w:szCs w:val="21"/>
                <w:highlight w:val="none"/>
                <w:lang w:eastAsia="zh-CN"/>
              </w:rPr>
              <w:t>分布式光伏</w:t>
            </w:r>
            <w:r>
              <w:rPr>
                <w:rFonts w:hint="default" w:ascii="宋体" w:hAnsi="宋体" w:eastAsia="宋体" w:cs="宋体"/>
                <w:color w:val="auto"/>
                <w:highlight w:val="none"/>
                <w:lang w:val="en-US" w:eastAsia="zh-CN"/>
              </w:rPr>
              <w:t>工程特点，进行造价咨询难点、重点分析，制定相应的方案措施。根据方案的可行性、重难点分析的合理性</w:t>
            </w:r>
            <w:r>
              <w:rPr>
                <w:rFonts w:hint="eastAsia" w:ascii="宋体" w:hAnsi="宋体" w:eastAsia="宋体" w:cs="宋体"/>
                <w:color w:val="auto"/>
                <w:highlight w:val="none"/>
                <w:lang w:val="en-US" w:eastAsia="zh-CN"/>
              </w:rPr>
              <w:t>。</w:t>
            </w:r>
          </w:p>
          <w:p w14:paraId="0D8F3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1、方案全面详细，定位准确，服务内容针对 性强的得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 xml:space="preserve">分； </w:t>
            </w:r>
          </w:p>
          <w:p w14:paraId="02A0A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分； </w:t>
            </w:r>
          </w:p>
          <w:p w14:paraId="49E78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分； </w:t>
            </w:r>
          </w:p>
          <w:p w14:paraId="1C223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53CCF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r>
      <w:tr w14:paraId="233B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4" w:type="dxa"/>
            <w:vMerge w:val="continue"/>
            <w:noWrap w:val="0"/>
            <w:vAlign w:val="center"/>
          </w:tcPr>
          <w:p w14:paraId="3D9CFC3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5C1951FA">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vMerge w:val="continue"/>
            <w:noWrap w:val="0"/>
            <w:vAlign w:val="center"/>
          </w:tcPr>
          <w:p w14:paraId="216C43BD">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color w:val="auto"/>
                <w:highlight w:val="none"/>
              </w:rPr>
            </w:pPr>
          </w:p>
        </w:tc>
        <w:tc>
          <w:tcPr>
            <w:tcW w:w="5614" w:type="dxa"/>
            <w:shd w:val="clear" w:color="auto" w:fill="auto"/>
            <w:noWrap w:val="0"/>
            <w:vAlign w:val="center"/>
          </w:tcPr>
          <w:p w14:paraId="276D4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全过程跟踪审计工作质量及进度的保证措施。根据工作内容是否全面、工作方法和实施程序是否合理进行评审</w:t>
            </w:r>
            <w:r>
              <w:rPr>
                <w:rFonts w:hint="eastAsia" w:ascii="Times New Roman" w:hAnsi="Times New Roman" w:eastAsia="宋体" w:cs="Times New Roman"/>
                <w:lang w:val="en-US" w:eastAsia="zh-CN"/>
              </w:rPr>
              <w:t>。</w:t>
            </w:r>
          </w:p>
          <w:p w14:paraId="5B8A7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1、方案全面详细，定位准确，服务内容针对 性强的得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 xml:space="preserve">分； </w:t>
            </w:r>
          </w:p>
          <w:p w14:paraId="3C421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分； </w:t>
            </w:r>
          </w:p>
          <w:p w14:paraId="6EEF83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分； </w:t>
            </w:r>
          </w:p>
          <w:p w14:paraId="40EA5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27661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r>
      <w:tr w14:paraId="4089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4" w:type="dxa"/>
            <w:vMerge w:val="continue"/>
            <w:noWrap w:val="0"/>
            <w:vAlign w:val="center"/>
          </w:tcPr>
          <w:p w14:paraId="07668FE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2E450C87">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75CA15B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sz w:val="21"/>
                <w:szCs w:val="21"/>
                <w:highlight w:val="none"/>
              </w:rPr>
            </w:pPr>
          </w:p>
        </w:tc>
        <w:tc>
          <w:tcPr>
            <w:tcW w:w="5614" w:type="dxa"/>
            <w:shd w:val="clear" w:color="auto" w:fill="auto"/>
            <w:noWrap w:val="0"/>
            <w:vAlign w:val="center"/>
          </w:tcPr>
          <w:p w14:paraId="7E7C0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对风险控制措施和跟审资料信息管理措施，服务质量保证措施、质量控制措施等进行评审，根据信息管理措施是否全面、是合理，是否可行进行评审</w:t>
            </w:r>
            <w:r>
              <w:rPr>
                <w:rFonts w:hint="eastAsia" w:ascii="宋体" w:hAnsi="宋体" w:eastAsia="宋体" w:cs="宋体"/>
                <w:color w:val="auto"/>
                <w:highlight w:val="none"/>
                <w:lang w:val="en-US" w:eastAsia="zh-CN"/>
              </w:rPr>
              <w:t>。</w:t>
            </w:r>
          </w:p>
          <w:p w14:paraId="02FD5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1、方案全面详细，定位准确，服务内容针对 性强的得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 xml:space="preserve">分； </w:t>
            </w:r>
          </w:p>
          <w:p w14:paraId="67C289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分； </w:t>
            </w:r>
          </w:p>
          <w:p w14:paraId="069FB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分； </w:t>
            </w:r>
          </w:p>
          <w:p w14:paraId="3DA20D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5F7FA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1"/>
                <w:szCs w:val="21"/>
                <w:highlight w:val="none"/>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r>
      <w:tr w14:paraId="2A89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4" w:type="dxa"/>
            <w:vMerge w:val="continue"/>
            <w:noWrap w:val="0"/>
            <w:vAlign w:val="center"/>
          </w:tcPr>
          <w:p w14:paraId="5527771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261C13C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77EB8FA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sz w:val="21"/>
                <w:szCs w:val="21"/>
                <w:highlight w:val="none"/>
              </w:rPr>
            </w:pPr>
          </w:p>
        </w:tc>
        <w:tc>
          <w:tcPr>
            <w:tcW w:w="5614" w:type="dxa"/>
            <w:shd w:val="clear" w:color="auto" w:fill="auto"/>
            <w:noWrap w:val="0"/>
            <w:vAlign w:val="center"/>
          </w:tcPr>
          <w:p w14:paraId="20934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廉洁自律措施。根据管理措施是否全面、是合理，是否可行进行评审</w:t>
            </w:r>
            <w:r>
              <w:rPr>
                <w:rFonts w:hint="eastAsia" w:ascii="宋体" w:hAnsi="宋体" w:eastAsia="宋体" w:cs="宋体"/>
                <w:color w:val="auto"/>
                <w:highlight w:val="none"/>
                <w:lang w:val="en-US" w:eastAsia="zh-CN"/>
              </w:rPr>
              <w:t>。</w:t>
            </w:r>
          </w:p>
          <w:p w14:paraId="53E11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1、方案全面详细，定位准确，服务内容针对 性强的得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 xml:space="preserve">分； </w:t>
            </w:r>
          </w:p>
          <w:p w14:paraId="595A02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分； </w:t>
            </w:r>
          </w:p>
          <w:p w14:paraId="0E95A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分； </w:t>
            </w:r>
          </w:p>
          <w:p w14:paraId="0B960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7ECF7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r>
      <w:tr w14:paraId="1F87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4" w:type="dxa"/>
            <w:vMerge w:val="continue"/>
            <w:noWrap w:val="0"/>
            <w:vAlign w:val="center"/>
          </w:tcPr>
          <w:p w14:paraId="04F4E73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30D64B07">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rPr>
            </w:pPr>
          </w:p>
        </w:tc>
        <w:tc>
          <w:tcPr>
            <w:tcW w:w="2610" w:type="dxa"/>
            <w:vMerge w:val="continue"/>
            <w:noWrap w:val="0"/>
            <w:vAlign w:val="center"/>
          </w:tcPr>
          <w:p w14:paraId="32A8475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left"/>
              <w:textAlignment w:val="auto"/>
              <w:rPr>
                <w:rFonts w:hint="eastAsia" w:ascii="宋体" w:hAnsi="宋体" w:eastAsia="宋体" w:cs="宋体"/>
                <w:sz w:val="21"/>
                <w:szCs w:val="21"/>
                <w:highlight w:val="none"/>
              </w:rPr>
            </w:pPr>
          </w:p>
        </w:tc>
        <w:tc>
          <w:tcPr>
            <w:tcW w:w="5614" w:type="dxa"/>
            <w:shd w:val="clear" w:color="auto" w:fill="auto"/>
            <w:noWrap w:val="0"/>
            <w:vAlign w:val="center"/>
          </w:tcPr>
          <w:p w14:paraId="419D0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w:t>
            </w:r>
            <w:r>
              <w:rPr>
                <w:rFonts w:hint="default" w:ascii="宋体" w:hAnsi="宋体" w:eastAsia="宋体" w:cs="宋体"/>
                <w:color w:val="auto"/>
                <w:highlight w:val="none"/>
                <w:lang w:val="en-US" w:eastAsia="zh-CN"/>
              </w:rPr>
              <w:t>项目组人员分工、责任进行详细</w:t>
            </w:r>
            <w:r>
              <w:rPr>
                <w:rFonts w:hint="eastAsia" w:ascii="宋体" w:hAnsi="宋体" w:eastAsia="宋体" w:cs="宋体"/>
                <w:color w:val="auto"/>
                <w:highlight w:val="none"/>
                <w:lang w:val="en-US" w:eastAsia="zh-CN"/>
              </w:rPr>
              <w:t>方案进行评审。</w:t>
            </w:r>
          </w:p>
          <w:p w14:paraId="32217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1、方案全面详细，定位准确，服务内容针对 性强的得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 xml:space="preserve">分； </w:t>
            </w:r>
          </w:p>
          <w:p w14:paraId="7851C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 xml:space="preserve">分； </w:t>
            </w:r>
          </w:p>
          <w:p w14:paraId="45458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分； </w:t>
            </w:r>
          </w:p>
          <w:p w14:paraId="71E42C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4375A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r>
    </w:tbl>
    <w:p w14:paraId="669BBA0D">
      <w:pPr>
        <w:pStyle w:val="198"/>
        <w:keepNext w:val="0"/>
        <w:keepLines w:val="0"/>
        <w:pageBreakBefore w:val="0"/>
        <w:widowControl w:val="0"/>
        <w:kinsoku/>
        <w:wordWrap/>
        <w:overflowPunct/>
        <w:topLinePunct w:val="0"/>
        <w:autoSpaceDE/>
        <w:autoSpaceDN/>
        <w:bidi w:val="0"/>
        <w:spacing w:line="440" w:lineRule="exact"/>
        <w:ind w:left="59" w:leftChars="28" w:firstLine="0"/>
        <w:jc w:val="lef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t>备注</w:t>
      </w:r>
      <w:r>
        <w:rPr>
          <w:rFonts w:hint="eastAsia" w:ascii="宋体" w:hAnsi="宋体" w:cs="宋体"/>
          <w:b/>
          <w:bCs/>
          <w:szCs w:val="21"/>
          <w:highlight w:val="none"/>
          <w:lang w:eastAsia="zh-CN"/>
        </w:rPr>
        <w:t>：</w:t>
      </w:r>
      <w:r>
        <w:rPr>
          <w:rFonts w:hint="eastAsia" w:ascii="宋体" w:hAnsi="宋体" w:cs="宋体"/>
          <w:b/>
          <w:bCs/>
          <w:szCs w:val="21"/>
          <w:highlight w:val="none"/>
        </w:rPr>
        <w:t>该项由专家评委评审打分，取所有评委评分的平均值为最终得分，保留两位小数点，第三位四舍五入</w:t>
      </w:r>
      <w:r>
        <w:rPr>
          <w:rFonts w:hint="eastAsia" w:ascii="宋体" w:hAnsi="宋体" w:cs="宋体"/>
          <w:b/>
          <w:bCs/>
          <w:szCs w:val="21"/>
          <w:highlight w:val="none"/>
          <w:lang w:eastAsia="zh-CN"/>
        </w:rPr>
        <w:t>。</w:t>
      </w:r>
    </w:p>
    <w:p w14:paraId="0B4C7729">
      <w:pPr>
        <w:spacing w:beforeLines="80" w:afterLines="80" w:line="440" w:lineRule="exact"/>
        <w:jc w:val="center"/>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）商务标评审</w:t>
      </w:r>
    </w:p>
    <w:tbl>
      <w:tblPr>
        <w:tblStyle w:val="4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307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noWrap/>
            <w:vAlign w:val="center"/>
          </w:tcPr>
          <w:p w14:paraId="7C34A325">
            <w:pPr>
              <w:spacing w:line="44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2158" w:type="dxa"/>
            <w:noWrap/>
            <w:vAlign w:val="center"/>
          </w:tcPr>
          <w:p w14:paraId="1CF92DDF">
            <w:pPr>
              <w:spacing w:line="440" w:lineRule="exact"/>
              <w:jc w:val="center"/>
              <w:rPr>
                <w:rFonts w:ascii="宋体" w:hAnsi="宋体" w:cs="宋体"/>
                <w:b/>
                <w:bCs/>
                <w:szCs w:val="21"/>
                <w:highlight w:val="none"/>
              </w:rPr>
            </w:pPr>
            <w:r>
              <w:rPr>
                <w:rFonts w:hint="eastAsia" w:ascii="宋体" w:hAnsi="宋体" w:cs="宋体"/>
                <w:b/>
                <w:bCs/>
                <w:szCs w:val="21"/>
                <w:highlight w:val="none"/>
              </w:rPr>
              <w:t>评审因素</w:t>
            </w:r>
          </w:p>
        </w:tc>
        <w:tc>
          <w:tcPr>
            <w:tcW w:w="4727" w:type="dxa"/>
            <w:noWrap/>
            <w:vAlign w:val="center"/>
          </w:tcPr>
          <w:p w14:paraId="10027A3D">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3C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ign w:val="center"/>
          </w:tcPr>
          <w:p w14:paraId="1606681B">
            <w:pPr>
              <w:spacing w:line="440" w:lineRule="exact"/>
              <w:jc w:val="center"/>
              <w:rPr>
                <w:rFonts w:ascii="宋体" w:hAnsi="宋体" w:cs="宋体"/>
                <w:szCs w:val="21"/>
                <w:highlight w:val="none"/>
              </w:rPr>
            </w:pPr>
            <w:r>
              <w:rPr>
                <w:rFonts w:hint="eastAsia" w:ascii="宋体" w:hAnsi="宋体" w:cs="宋体"/>
                <w:szCs w:val="21"/>
                <w:highlight w:val="none"/>
              </w:rPr>
              <w:t>4.2.1</w:t>
            </w:r>
          </w:p>
        </w:tc>
        <w:tc>
          <w:tcPr>
            <w:tcW w:w="1860" w:type="dxa"/>
            <w:gridSpan w:val="2"/>
            <w:vMerge w:val="restart"/>
            <w:noWrap/>
            <w:vAlign w:val="center"/>
          </w:tcPr>
          <w:p w14:paraId="2ABF61DD">
            <w:pPr>
              <w:spacing w:line="440" w:lineRule="exact"/>
              <w:jc w:val="center"/>
              <w:rPr>
                <w:rFonts w:ascii="宋体" w:hAnsi="宋体" w:cs="宋体"/>
                <w:szCs w:val="21"/>
                <w:highlight w:val="none"/>
              </w:rPr>
            </w:pPr>
            <w:r>
              <w:rPr>
                <w:rFonts w:hint="eastAsia" w:ascii="宋体" w:hAnsi="宋体" w:cs="宋体"/>
                <w:szCs w:val="21"/>
                <w:highlight w:val="none"/>
              </w:rPr>
              <w:t>形式评审标准</w:t>
            </w:r>
          </w:p>
        </w:tc>
        <w:tc>
          <w:tcPr>
            <w:tcW w:w="2158" w:type="dxa"/>
            <w:noWrap/>
            <w:vAlign w:val="center"/>
          </w:tcPr>
          <w:p w14:paraId="73517A2E">
            <w:pPr>
              <w:spacing w:line="440" w:lineRule="exact"/>
              <w:rPr>
                <w:rFonts w:ascii="宋体" w:hAnsi="宋体" w:cs="宋体"/>
                <w:szCs w:val="21"/>
                <w:highlight w:val="none"/>
              </w:rPr>
            </w:pPr>
            <w:r>
              <w:rPr>
                <w:rFonts w:hint="eastAsia" w:ascii="宋体" w:hAnsi="宋体" w:cs="宋体"/>
                <w:szCs w:val="21"/>
                <w:highlight w:val="none"/>
              </w:rPr>
              <w:t>投标函签字盖章</w:t>
            </w:r>
          </w:p>
        </w:tc>
        <w:tc>
          <w:tcPr>
            <w:tcW w:w="4727" w:type="dxa"/>
            <w:noWrap/>
          </w:tcPr>
          <w:p w14:paraId="2DBE6DD3">
            <w:pPr>
              <w:spacing w:line="440" w:lineRule="exact"/>
              <w:rPr>
                <w:rFonts w:ascii="宋体" w:hAnsi="宋体" w:cs="宋体"/>
                <w:szCs w:val="21"/>
                <w:highlight w:val="none"/>
              </w:rPr>
            </w:pPr>
            <w:r>
              <w:rPr>
                <w:rFonts w:hint="eastAsia" w:ascii="宋体" w:hAnsi="宋体" w:cs="宋体"/>
                <w:szCs w:val="21"/>
                <w:highlight w:val="none"/>
              </w:rPr>
              <w:t>有投标人及其法定代表人签章</w:t>
            </w:r>
          </w:p>
        </w:tc>
      </w:tr>
      <w:tr w14:paraId="5E0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noWrap/>
          </w:tcPr>
          <w:p w14:paraId="274A7B26">
            <w:pPr>
              <w:spacing w:line="440" w:lineRule="exact"/>
              <w:rPr>
                <w:rFonts w:ascii="宋体" w:hAnsi="宋体" w:cs="宋体"/>
                <w:szCs w:val="21"/>
                <w:highlight w:val="none"/>
              </w:rPr>
            </w:pPr>
          </w:p>
        </w:tc>
        <w:tc>
          <w:tcPr>
            <w:tcW w:w="1860" w:type="dxa"/>
            <w:gridSpan w:val="2"/>
            <w:vMerge w:val="continue"/>
            <w:noWrap/>
          </w:tcPr>
          <w:p w14:paraId="7570E8C7">
            <w:pPr>
              <w:spacing w:line="440" w:lineRule="exact"/>
              <w:rPr>
                <w:rFonts w:ascii="宋体" w:hAnsi="宋体" w:cs="宋体"/>
                <w:szCs w:val="21"/>
                <w:highlight w:val="none"/>
              </w:rPr>
            </w:pPr>
          </w:p>
        </w:tc>
        <w:tc>
          <w:tcPr>
            <w:tcW w:w="2158" w:type="dxa"/>
            <w:noWrap/>
            <w:vAlign w:val="center"/>
          </w:tcPr>
          <w:p w14:paraId="45179B0C">
            <w:pPr>
              <w:spacing w:line="440" w:lineRule="exact"/>
              <w:rPr>
                <w:rFonts w:ascii="宋体" w:hAnsi="宋体" w:cs="宋体"/>
                <w:szCs w:val="21"/>
                <w:highlight w:val="none"/>
              </w:rPr>
            </w:pPr>
            <w:r>
              <w:rPr>
                <w:rFonts w:hint="eastAsia" w:ascii="宋体" w:hAnsi="宋体" w:cs="宋体"/>
                <w:szCs w:val="21"/>
                <w:highlight w:val="none"/>
              </w:rPr>
              <w:t>投标文件格式</w:t>
            </w:r>
          </w:p>
        </w:tc>
        <w:tc>
          <w:tcPr>
            <w:tcW w:w="4727" w:type="dxa"/>
            <w:noWrap/>
          </w:tcPr>
          <w:p w14:paraId="24166B6D">
            <w:pPr>
              <w:spacing w:line="440" w:lineRule="exact"/>
              <w:jc w:val="left"/>
              <w:rPr>
                <w:rFonts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章“投标文件格式”的要求</w:t>
            </w:r>
          </w:p>
        </w:tc>
      </w:tr>
      <w:tr w14:paraId="327F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7C9F9938">
            <w:pPr>
              <w:spacing w:line="440" w:lineRule="exact"/>
              <w:rPr>
                <w:rFonts w:ascii="宋体" w:hAnsi="宋体" w:cs="宋体"/>
                <w:szCs w:val="21"/>
                <w:highlight w:val="none"/>
              </w:rPr>
            </w:pPr>
          </w:p>
        </w:tc>
        <w:tc>
          <w:tcPr>
            <w:tcW w:w="1860" w:type="dxa"/>
            <w:gridSpan w:val="2"/>
            <w:vMerge w:val="continue"/>
            <w:noWrap/>
          </w:tcPr>
          <w:p w14:paraId="083A6289">
            <w:pPr>
              <w:spacing w:line="440" w:lineRule="exact"/>
              <w:rPr>
                <w:rFonts w:ascii="宋体" w:hAnsi="宋体" w:cs="宋体"/>
                <w:szCs w:val="21"/>
                <w:highlight w:val="none"/>
              </w:rPr>
            </w:pPr>
          </w:p>
        </w:tc>
        <w:tc>
          <w:tcPr>
            <w:tcW w:w="2158" w:type="dxa"/>
            <w:noWrap/>
            <w:vAlign w:val="center"/>
          </w:tcPr>
          <w:p w14:paraId="5EC25201">
            <w:pPr>
              <w:spacing w:line="440" w:lineRule="exact"/>
              <w:rPr>
                <w:rFonts w:ascii="宋体" w:hAnsi="宋体" w:cs="宋体"/>
                <w:szCs w:val="21"/>
                <w:highlight w:val="none"/>
              </w:rPr>
            </w:pPr>
            <w:r>
              <w:rPr>
                <w:rFonts w:hint="eastAsia" w:ascii="宋体" w:hAnsi="宋体" w:cs="宋体"/>
                <w:szCs w:val="21"/>
                <w:highlight w:val="none"/>
              </w:rPr>
              <w:t>报价唯一</w:t>
            </w:r>
          </w:p>
        </w:tc>
        <w:tc>
          <w:tcPr>
            <w:tcW w:w="4727" w:type="dxa"/>
            <w:noWrap/>
          </w:tcPr>
          <w:p w14:paraId="1080A4B7">
            <w:pPr>
              <w:spacing w:line="440" w:lineRule="exact"/>
              <w:jc w:val="left"/>
              <w:rPr>
                <w:rFonts w:ascii="宋体" w:hAnsi="宋体" w:cs="宋体"/>
                <w:szCs w:val="21"/>
                <w:highlight w:val="none"/>
              </w:rPr>
            </w:pPr>
            <w:r>
              <w:rPr>
                <w:rFonts w:hint="eastAsia" w:ascii="宋体" w:hAnsi="宋体" w:cs="宋体"/>
                <w:szCs w:val="21"/>
                <w:highlight w:val="none"/>
              </w:rPr>
              <w:t>只能有一个报价</w:t>
            </w:r>
          </w:p>
        </w:tc>
      </w:tr>
      <w:tr w14:paraId="7D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noWrap/>
            <w:vAlign w:val="center"/>
          </w:tcPr>
          <w:p w14:paraId="27814028">
            <w:pPr>
              <w:spacing w:line="440" w:lineRule="exact"/>
              <w:jc w:val="center"/>
              <w:rPr>
                <w:rFonts w:ascii="宋体" w:hAnsi="宋体" w:cs="宋体"/>
                <w:szCs w:val="21"/>
                <w:highlight w:val="none"/>
              </w:rPr>
            </w:pPr>
            <w:r>
              <w:rPr>
                <w:rFonts w:hint="eastAsia" w:ascii="宋体" w:hAnsi="宋体" w:cs="宋体"/>
                <w:szCs w:val="21"/>
                <w:highlight w:val="none"/>
              </w:rPr>
              <w:t>4.2.2</w:t>
            </w:r>
          </w:p>
        </w:tc>
        <w:tc>
          <w:tcPr>
            <w:tcW w:w="1860" w:type="dxa"/>
            <w:gridSpan w:val="2"/>
            <w:vMerge w:val="restart"/>
            <w:noWrap/>
            <w:vAlign w:val="center"/>
          </w:tcPr>
          <w:p w14:paraId="477FB6B5">
            <w:pPr>
              <w:spacing w:line="440" w:lineRule="exact"/>
              <w:rPr>
                <w:rFonts w:ascii="宋体" w:hAnsi="宋体" w:cs="宋体"/>
                <w:szCs w:val="21"/>
                <w:highlight w:val="none"/>
              </w:rPr>
            </w:pPr>
            <w:r>
              <w:rPr>
                <w:rFonts w:hint="eastAsia" w:ascii="宋体" w:hAnsi="宋体" w:cs="宋体"/>
                <w:szCs w:val="21"/>
                <w:highlight w:val="none"/>
              </w:rPr>
              <w:t>响应性评审标准</w:t>
            </w:r>
          </w:p>
        </w:tc>
        <w:tc>
          <w:tcPr>
            <w:tcW w:w="2158" w:type="dxa"/>
            <w:noWrap/>
            <w:vAlign w:val="center"/>
          </w:tcPr>
          <w:p w14:paraId="341144D6">
            <w:pPr>
              <w:spacing w:line="440" w:lineRule="exact"/>
              <w:rPr>
                <w:rFonts w:ascii="宋体" w:hAnsi="宋体" w:cs="宋体"/>
                <w:szCs w:val="21"/>
                <w:highlight w:val="none"/>
              </w:rPr>
            </w:pPr>
            <w:r>
              <w:rPr>
                <w:rFonts w:hint="eastAsia" w:ascii="宋体" w:hAnsi="宋体" w:cs="宋体"/>
                <w:szCs w:val="21"/>
                <w:highlight w:val="none"/>
              </w:rPr>
              <w:t>服务期限</w:t>
            </w:r>
          </w:p>
        </w:tc>
        <w:tc>
          <w:tcPr>
            <w:tcW w:w="4727" w:type="dxa"/>
            <w:noWrap/>
            <w:vAlign w:val="center"/>
          </w:tcPr>
          <w:p w14:paraId="37215412">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550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1AFE4EF1">
            <w:pPr>
              <w:spacing w:line="440" w:lineRule="exact"/>
              <w:rPr>
                <w:rFonts w:ascii="宋体" w:hAnsi="宋体" w:cs="宋体"/>
                <w:szCs w:val="21"/>
                <w:highlight w:val="none"/>
              </w:rPr>
            </w:pPr>
          </w:p>
        </w:tc>
        <w:tc>
          <w:tcPr>
            <w:tcW w:w="1860" w:type="dxa"/>
            <w:gridSpan w:val="2"/>
            <w:vMerge w:val="continue"/>
            <w:noWrap/>
          </w:tcPr>
          <w:p w14:paraId="7B4C01AA">
            <w:pPr>
              <w:spacing w:line="440" w:lineRule="exact"/>
              <w:rPr>
                <w:rFonts w:ascii="宋体" w:hAnsi="宋体" w:cs="宋体"/>
                <w:szCs w:val="21"/>
                <w:highlight w:val="none"/>
              </w:rPr>
            </w:pPr>
          </w:p>
        </w:tc>
        <w:tc>
          <w:tcPr>
            <w:tcW w:w="2158" w:type="dxa"/>
            <w:noWrap/>
            <w:vAlign w:val="center"/>
          </w:tcPr>
          <w:p w14:paraId="1A3A3F53">
            <w:pPr>
              <w:spacing w:line="440" w:lineRule="exact"/>
              <w:rPr>
                <w:rFonts w:ascii="宋体" w:hAnsi="宋体" w:cs="宋体"/>
                <w:szCs w:val="21"/>
                <w:highlight w:val="none"/>
              </w:rPr>
            </w:pPr>
            <w:r>
              <w:rPr>
                <w:rFonts w:hint="eastAsia" w:ascii="宋体" w:hAnsi="宋体" w:cs="宋体"/>
                <w:szCs w:val="21"/>
                <w:highlight w:val="none"/>
              </w:rPr>
              <w:t>投标有效期</w:t>
            </w:r>
          </w:p>
        </w:tc>
        <w:tc>
          <w:tcPr>
            <w:tcW w:w="4727" w:type="dxa"/>
            <w:noWrap/>
            <w:vAlign w:val="center"/>
          </w:tcPr>
          <w:p w14:paraId="4CC287BA">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3F3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noWrap/>
          </w:tcPr>
          <w:p w14:paraId="2D8AC126">
            <w:pPr>
              <w:spacing w:line="440" w:lineRule="exact"/>
              <w:rPr>
                <w:rFonts w:ascii="宋体" w:hAnsi="宋体" w:cs="宋体"/>
                <w:szCs w:val="21"/>
                <w:highlight w:val="none"/>
              </w:rPr>
            </w:pPr>
          </w:p>
        </w:tc>
        <w:tc>
          <w:tcPr>
            <w:tcW w:w="1860" w:type="dxa"/>
            <w:gridSpan w:val="2"/>
            <w:vMerge w:val="continue"/>
            <w:noWrap/>
          </w:tcPr>
          <w:p w14:paraId="6058B882">
            <w:pPr>
              <w:spacing w:line="440" w:lineRule="exact"/>
              <w:rPr>
                <w:rFonts w:ascii="宋体" w:hAnsi="宋体" w:cs="宋体"/>
                <w:szCs w:val="21"/>
                <w:highlight w:val="none"/>
              </w:rPr>
            </w:pPr>
          </w:p>
        </w:tc>
        <w:tc>
          <w:tcPr>
            <w:tcW w:w="2158" w:type="dxa"/>
            <w:noWrap/>
            <w:vAlign w:val="center"/>
          </w:tcPr>
          <w:p w14:paraId="59243F41">
            <w:pPr>
              <w:spacing w:line="440" w:lineRule="exact"/>
              <w:rPr>
                <w:rFonts w:ascii="宋体" w:hAnsi="宋体" w:cs="宋体"/>
                <w:szCs w:val="21"/>
                <w:highlight w:val="none"/>
              </w:rPr>
            </w:pPr>
            <w:r>
              <w:rPr>
                <w:rFonts w:hint="eastAsia" w:ascii="宋体" w:hAnsi="宋体" w:cs="宋体"/>
                <w:szCs w:val="21"/>
                <w:highlight w:val="none"/>
              </w:rPr>
              <w:t>工程质量</w:t>
            </w:r>
          </w:p>
        </w:tc>
        <w:tc>
          <w:tcPr>
            <w:tcW w:w="4727" w:type="dxa"/>
            <w:noWrap/>
            <w:vAlign w:val="center"/>
          </w:tcPr>
          <w:p w14:paraId="6B69FB9B">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2F1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noWrap/>
          </w:tcPr>
          <w:p w14:paraId="58017497">
            <w:pPr>
              <w:spacing w:line="440" w:lineRule="exact"/>
              <w:rPr>
                <w:rFonts w:ascii="宋体" w:hAnsi="宋体" w:cs="宋体"/>
                <w:szCs w:val="21"/>
                <w:highlight w:val="none"/>
              </w:rPr>
            </w:pPr>
          </w:p>
        </w:tc>
        <w:tc>
          <w:tcPr>
            <w:tcW w:w="1860" w:type="dxa"/>
            <w:gridSpan w:val="2"/>
            <w:vMerge w:val="continue"/>
            <w:noWrap/>
          </w:tcPr>
          <w:p w14:paraId="03CDB8FB">
            <w:pPr>
              <w:spacing w:line="440" w:lineRule="exact"/>
              <w:rPr>
                <w:rFonts w:ascii="宋体" w:hAnsi="宋体" w:cs="宋体"/>
                <w:szCs w:val="21"/>
                <w:highlight w:val="none"/>
              </w:rPr>
            </w:pPr>
          </w:p>
        </w:tc>
        <w:tc>
          <w:tcPr>
            <w:tcW w:w="2158" w:type="dxa"/>
            <w:noWrap/>
            <w:vAlign w:val="center"/>
          </w:tcPr>
          <w:p w14:paraId="68CD3BA7">
            <w:pPr>
              <w:spacing w:line="440" w:lineRule="exact"/>
              <w:rPr>
                <w:rFonts w:ascii="宋体" w:hAnsi="宋体" w:cs="宋体"/>
                <w:szCs w:val="21"/>
                <w:highlight w:val="none"/>
              </w:rPr>
            </w:pPr>
            <w:r>
              <w:rPr>
                <w:rFonts w:hint="eastAsia" w:ascii="宋体" w:hAnsi="宋体" w:cs="宋体"/>
                <w:szCs w:val="21"/>
                <w:highlight w:val="none"/>
              </w:rPr>
              <w:t>投标文件内容</w:t>
            </w:r>
          </w:p>
        </w:tc>
        <w:tc>
          <w:tcPr>
            <w:tcW w:w="4727" w:type="dxa"/>
            <w:noWrap/>
            <w:vAlign w:val="center"/>
          </w:tcPr>
          <w:p w14:paraId="7A7D463D">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1D9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noWrap/>
          </w:tcPr>
          <w:p w14:paraId="7CC84D4C">
            <w:pPr>
              <w:spacing w:line="440" w:lineRule="exact"/>
              <w:rPr>
                <w:rFonts w:ascii="宋体" w:hAnsi="宋体" w:cs="宋体"/>
                <w:szCs w:val="21"/>
                <w:highlight w:val="none"/>
              </w:rPr>
            </w:pPr>
          </w:p>
        </w:tc>
        <w:tc>
          <w:tcPr>
            <w:tcW w:w="1860" w:type="dxa"/>
            <w:gridSpan w:val="2"/>
            <w:vMerge w:val="continue"/>
            <w:noWrap/>
          </w:tcPr>
          <w:p w14:paraId="6C3BBE5A">
            <w:pPr>
              <w:spacing w:line="440" w:lineRule="exact"/>
              <w:rPr>
                <w:rFonts w:ascii="宋体" w:hAnsi="宋体" w:cs="宋体"/>
                <w:szCs w:val="21"/>
                <w:highlight w:val="none"/>
              </w:rPr>
            </w:pPr>
          </w:p>
        </w:tc>
        <w:tc>
          <w:tcPr>
            <w:tcW w:w="2158" w:type="dxa"/>
            <w:noWrap/>
            <w:vAlign w:val="center"/>
          </w:tcPr>
          <w:p w14:paraId="7B8E7F30">
            <w:pPr>
              <w:spacing w:line="440" w:lineRule="exact"/>
              <w:rPr>
                <w:rFonts w:ascii="宋体" w:hAnsi="宋体" w:cs="宋体"/>
                <w:szCs w:val="21"/>
                <w:highlight w:val="none"/>
              </w:rPr>
            </w:pPr>
            <w:r>
              <w:rPr>
                <w:rFonts w:hint="eastAsia" w:ascii="宋体" w:hAnsi="宋体" w:cs="宋体"/>
                <w:szCs w:val="21"/>
                <w:highlight w:val="none"/>
              </w:rPr>
              <w:t>投标报价</w:t>
            </w:r>
          </w:p>
        </w:tc>
        <w:tc>
          <w:tcPr>
            <w:tcW w:w="4727" w:type="dxa"/>
            <w:noWrap/>
            <w:vAlign w:val="center"/>
          </w:tcPr>
          <w:p w14:paraId="2BF22B2C">
            <w:pPr>
              <w:spacing w:line="440" w:lineRule="exact"/>
              <w:rPr>
                <w:rFonts w:ascii="宋体" w:hAnsi="宋体" w:cs="宋体"/>
                <w:szCs w:val="21"/>
                <w:highlight w:val="none"/>
              </w:rPr>
            </w:pPr>
            <w:r>
              <w:rPr>
                <w:rFonts w:hint="eastAsia" w:ascii="宋体" w:hAnsi="宋体" w:cs="宋体"/>
                <w:szCs w:val="21"/>
                <w:highlight w:val="none"/>
              </w:rPr>
              <w:t>不高于最高限价</w:t>
            </w:r>
          </w:p>
        </w:tc>
      </w:tr>
      <w:tr w14:paraId="1CF6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noWrap/>
            <w:vAlign w:val="center"/>
          </w:tcPr>
          <w:p w14:paraId="66B78BC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报价（费率）</w:t>
            </w:r>
          </w:p>
          <w:p w14:paraId="49517FE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lang w:val="en-US"/>
              </w:rPr>
            </w:pPr>
            <w:r>
              <w:rPr>
                <w:rFonts w:hint="eastAsia" w:ascii="宋体" w:hAnsi="宋体" w:cs="宋体"/>
                <w:color w:val="auto"/>
                <w:sz w:val="21"/>
                <w:szCs w:val="21"/>
                <w:highlight w:val="none"/>
                <w:lang w:val="en-US" w:eastAsia="zh-CN"/>
              </w:rPr>
              <w:t>（15分）</w:t>
            </w:r>
          </w:p>
        </w:tc>
        <w:tc>
          <w:tcPr>
            <w:tcW w:w="7830" w:type="dxa"/>
            <w:gridSpan w:val="3"/>
            <w:noWrap/>
            <w:vAlign w:val="center"/>
          </w:tcPr>
          <w:p w14:paraId="7E45AB29">
            <w:pPr>
              <w:keepNext w:val="0"/>
              <w:keepLines w:val="0"/>
              <w:pageBreakBefore w:val="0"/>
              <w:widowControl w:val="0"/>
              <w:suppressLineNumbers w:val="0"/>
              <w:tabs>
                <w:tab w:val="left" w:pos="108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rPr>
            </w:pPr>
            <w:r>
              <w:rPr>
                <w:rFonts w:hint="eastAsia"/>
              </w:rPr>
              <w:t>采购人设置投标报价最高限价，各投标人有效报价不得高于最高限价，否则，其投标文件按无效标处理。投标单位所报基本费率为0‰或负数的，其商务标不得分，且该报价所对应的审计费不得作为评标基准价。</w:t>
            </w:r>
          </w:p>
          <w:p w14:paraId="03D58ADF">
            <w:pPr>
              <w:keepNext w:val="0"/>
              <w:keepLines w:val="0"/>
              <w:pageBreakBefore w:val="0"/>
              <w:widowControl w:val="0"/>
              <w:suppressLineNumbers w:val="0"/>
              <w:tabs>
                <w:tab w:val="left" w:pos="1080"/>
              </w:tabs>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rPr>
            </w:pPr>
            <w:r>
              <w:rPr>
                <w:rFonts w:hint="eastAsia"/>
              </w:rPr>
              <w:t>1.评标基准价=所有有效投标人的最低报价；其得分为满分；</w:t>
            </w:r>
          </w:p>
          <w:p w14:paraId="1890079A">
            <w:pPr>
              <w:keepNext w:val="0"/>
              <w:keepLines w:val="0"/>
              <w:pageBreakBefore w:val="0"/>
              <w:widowControl w:val="0"/>
              <w:suppressLineNumbers w:val="0"/>
              <w:tabs>
                <w:tab w:val="left" w:pos="1080"/>
              </w:tabs>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rPr>
            </w:pPr>
            <w:r>
              <w:rPr>
                <w:rFonts w:hint="eastAsia"/>
              </w:rPr>
              <w:t>2</w:t>
            </w:r>
            <w:r>
              <w:rPr>
                <w:rFonts w:hint="eastAsia"/>
                <w:lang w:val="en-US" w:eastAsia="zh-CN"/>
              </w:rPr>
              <w:t>.</w:t>
            </w:r>
            <w:r>
              <w:rPr>
                <w:rFonts w:hint="eastAsia"/>
              </w:rPr>
              <w:t>其它报价得分=评标基准价/投标报价*</w:t>
            </w:r>
            <w:r>
              <w:rPr>
                <w:rFonts w:hint="eastAsia"/>
                <w:lang w:val="en-US" w:eastAsia="zh-CN"/>
              </w:rPr>
              <w:t>15</w:t>
            </w:r>
            <w:r>
              <w:rPr>
                <w:rFonts w:hint="eastAsia"/>
              </w:rPr>
              <w:t>分，小数点后保留两位小数，第三位四舍五入；</w:t>
            </w:r>
          </w:p>
          <w:p w14:paraId="2401C476">
            <w:pPr>
              <w:keepNext w:val="0"/>
              <w:keepLines w:val="0"/>
              <w:pageBreakBefore w:val="0"/>
              <w:widowControl w:val="0"/>
              <w:suppressLineNumbers w:val="0"/>
              <w:tabs>
                <w:tab w:val="left" w:pos="1080"/>
              </w:tabs>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lang w:eastAsia="zh-CN"/>
              </w:rPr>
            </w:pPr>
            <w:r>
              <w:rPr>
                <w:rFonts w:hint="eastAsia"/>
                <w:lang w:val="en-US" w:eastAsia="zh-CN"/>
              </w:rPr>
              <w:t>3</w:t>
            </w:r>
            <w:r>
              <w:rPr>
                <w:rFonts w:hint="eastAsia"/>
              </w:rPr>
              <w:t>.本项分值由评标委员会负责组织计算</w:t>
            </w:r>
            <w:r>
              <w:rPr>
                <w:rFonts w:hint="eastAsia"/>
                <w:lang w:eastAsia="zh-CN"/>
              </w:rPr>
              <w:t>。</w:t>
            </w:r>
          </w:p>
          <w:p w14:paraId="17F2C858">
            <w:pPr>
              <w:keepNext w:val="0"/>
              <w:keepLines w:val="0"/>
              <w:pageBreakBefore w:val="0"/>
              <w:numPr>
                <w:ilvl w:val="0"/>
                <w:numId w:val="0"/>
              </w:numPr>
              <w:kinsoku/>
              <w:wordWrap/>
              <w:overflowPunct/>
              <w:autoSpaceDN/>
              <w:bidi w:val="0"/>
              <w:spacing w:line="400" w:lineRule="exact"/>
              <w:ind w:leftChars="0"/>
              <w:textAlignment w:val="auto"/>
              <w:rPr>
                <w:rFonts w:hint="eastAsia"/>
                <w:lang w:val="en-US" w:eastAsia="zh-CN"/>
              </w:rPr>
            </w:pPr>
            <w:r>
              <w:rPr>
                <w:rFonts w:hint="eastAsia"/>
                <w:lang w:val="en-US" w:eastAsia="zh-CN"/>
              </w:rPr>
              <w:t>注：（1）商务报价得分按照各投标单位所报费率计算得出的审计费用参与计算。投标单位所报基本费率为0‰或负数的，其商务标不得分，且该报价所对应的审计费不得作为评标基准价。审计费用计算公式=所报基本费率</w:t>
            </w:r>
            <w:r>
              <w:rPr>
                <w:rFonts w:hint="default"/>
                <w:lang w:val="en-US" w:eastAsia="zh-CN"/>
              </w:rPr>
              <w:t>×</w:t>
            </w:r>
            <w:r>
              <w:rPr>
                <w:rFonts w:hint="eastAsia"/>
                <w:lang w:val="en-US" w:eastAsia="zh-CN"/>
              </w:rPr>
              <w:t>500万元+（500万元</w:t>
            </w:r>
            <w:r>
              <w:rPr>
                <w:rFonts w:hint="default"/>
                <w:lang w:val="en-US" w:eastAsia="zh-CN"/>
              </w:rPr>
              <w:t>×</w:t>
            </w:r>
            <w:r>
              <w:rPr>
                <w:rFonts w:hint="eastAsia"/>
                <w:lang w:val="en-US" w:eastAsia="zh-CN"/>
              </w:rPr>
              <w:t>5%）</w:t>
            </w:r>
            <w:r>
              <w:rPr>
                <w:rFonts w:hint="default"/>
                <w:lang w:val="en-US" w:eastAsia="zh-CN"/>
              </w:rPr>
              <w:t>×</w:t>
            </w:r>
            <w:r>
              <w:rPr>
                <w:rFonts w:hint="eastAsia"/>
                <w:lang w:val="en-US" w:eastAsia="zh-CN"/>
              </w:rPr>
              <w:t>1.5%。</w:t>
            </w:r>
          </w:p>
          <w:p w14:paraId="1903C723">
            <w:pPr>
              <w:keepNext w:val="0"/>
              <w:keepLines w:val="0"/>
              <w:pageBreakBefore w:val="0"/>
              <w:numPr>
                <w:ilvl w:val="0"/>
                <w:numId w:val="0"/>
              </w:numPr>
              <w:kinsoku/>
              <w:wordWrap/>
              <w:overflowPunct/>
              <w:autoSpaceDN/>
              <w:bidi w:val="0"/>
              <w:spacing w:line="400" w:lineRule="exact"/>
              <w:ind w:leftChars="0"/>
              <w:textAlignment w:val="auto"/>
              <w:rPr>
                <w:rFonts w:hint="eastAsia"/>
                <w:lang w:val="en-US" w:eastAsia="zh-CN"/>
              </w:rPr>
            </w:pPr>
            <w:r>
              <w:rPr>
                <w:rFonts w:hint="eastAsia"/>
                <w:lang w:val="en-US" w:eastAsia="zh-CN"/>
              </w:rPr>
              <w:t>①基本费用中的500万元仅为计算商务报价得分时审计费用的取费基数，最终结算基数以最终审定工程结算价为准。</w:t>
            </w:r>
          </w:p>
          <w:p w14:paraId="4767ABD3">
            <w:pPr>
              <w:keepNext w:val="0"/>
              <w:keepLines w:val="0"/>
              <w:pageBreakBefore w:val="0"/>
              <w:numPr>
                <w:ilvl w:val="0"/>
                <w:numId w:val="0"/>
              </w:numPr>
              <w:kinsoku/>
              <w:wordWrap/>
              <w:overflowPunct/>
              <w:autoSpaceDN/>
              <w:bidi w:val="0"/>
              <w:spacing w:line="400" w:lineRule="exact"/>
              <w:ind w:leftChars="0"/>
              <w:textAlignment w:val="auto"/>
              <w:rPr>
                <w:rFonts w:hint="eastAsia"/>
                <w:lang w:val="en-US" w:eastAsia="zh-CN"/>
              </w:rPr>
            </w:pPr>
            <w:r>
              <w:rPr>
                <w:rFonts w:hint="eastAsia"/>
                <w:lang w:val="en-US" w:eastAsia="zh-CN"/>
              </w:rPr>
              <w:t>②审核成果费中的（500万元</w:t>
            </w:r>
            <w:r>
              <w:rPr>
                <w:rFonts w:hint="default"/>
                <w:lang w:val="en-US" w:eastAsia="zh-CN"/>
              </w:rPr>
              <w:t>×</w:t>
            </w:r>
            <w:r>
              <w:rPr>
                <w:rFonts w:hint="eastAsia"/>
                <w:lang w:val="en-US" w:eastAsia="zh-CN"/>
              </w:rPr>
              <w:t>5%）仅为计算商务报价得分时审计费用的取费基数，最终结算基数以实际审减额为准。</w:t>
            </w:r>
          </w:p>
          <w:p w14:paraId="7EB60A92">
            <w:pPr>
              <w:keepNext w:val="0"/>
              <w:keepLines w:val="0"/>
              <w:pageBreakBefore w:val="0"/>
              <w:numPr>
                <w:ilvl w:val="0"/>
                <w:numId w:val="0"/>
              </w:numPr>
              <w:kinsoku/>
              <w:wordWrap/>
              <w:overflowPunct/>
              <w:autoSpaceDN/>
              <w:bidi w:val="0"/>
              <w:spacing w:line="400" w:lineRule="exact"/>
              <w:ind w:leftChars="0"/>
              <w:textAlignment w:val="auto"/>
              <w:rPr>
                <w:rFonts w:hint="eastAsia"/>
                <w:lang w:val="en-US" w:eastAsia="zh-CN"/>
              </w:rPr>
            </w:pPr>
            <w:r>
              <w:rPr>
                <w:rFonts w:hint="eastAsia"/>
                <w:lang w:val="en-US" w:eastAsia="zh-CN"/>
              </w:rPr>
              <w:t>（2）开评审过程中计算出的审计费用仅用作于商务报价计算得分，不作为合同价的依据。后期结算时以中标基本费率、最终审定工程结算价及实际审减额为基数计算。</w:t>
            </w:r>
          </w:p>
          <w:p w14:paraId="02F716A1">
            <w:pPr>
              <w:keepNext w:val="0"/>
              <w:keepLines w:val="0"/>
              <w:pageBreakBefore w:val="0"/>
              <w:numPr>
                <w:ilvl w:val="0"/>
                <w:numId w:val="0"/>
              </w:numPr>
              <w:kinsoku/>
              <w:wordWrap/>
              <w:overflowPunct/>
              <w:autoSpaceDN/>
              <w:bidi w:val="0"/>
              <w:spacing w:line="400" w:lineRule="exact"/>
              <w:ind w:leftChars="0"/>
              <w:textAlignment w:val="auto"/>
              <w:rPr>
                <w:color w:val="auto"/>
                <w:highlight w:val="none"/>
              </w:rPr>
            </w:pPr>
            <w:r>
              <w:rPr>
                <w:rFonts w:hint="eastAsia"/>
                <w:lang w:val="en-US" w:eastAsia="zh-CN"/>
              </w:rPr>
              <w:t>本项分值由评标委员会负责组织计算。</w:t>
            </w:r>
          </w:p>
        </w:tc>
      </w:tr>
    </w:tbl>
    <w:p w14:paraId="59E5148A">
      <w:pPr>
        <w:pStyle w:val="7"/>
        <w:spacing w:beforeLines="50" w:afterLines="50"/>
        <w:ind w:firstLine="422" w:firstLineChars="200"/>
        <w:rPr>
          <w:rFonts w:ascii="宋体" w:hAnsi="宋体" w:eastAsia="宋体" w:cs="宋体"/>
          <w:highlight w:val="none"/>
        </w:rPr>
      </w:pPr>
      <w:bookmarkStart w:id="749" w:name="_Toc78803381"/>
      <w:bookmarkStart w:id="750" w:name="_Toc246996975"/>
      <w:bookmarkStart w:id="751" w:name="_Toc35424947"/>
      <w:bookmarkStart w:id="752" w:name="_Toc506107324"/>
      <w:bookmarkStart w:id="753" w:name="_Toc247085747"/>
      <w:bookmarkStart w:id="754" w:name="_Toc144974556"/>
      <w:bookmarkStart w:id="755" w:name="_Toc6491"/>
      <w:bookmarkStart w:id="756" w:name="_Toc324404872"/>
      <w:bookmarkStart w:id="757" w:name="_Toc15058913"/>
      <w:bookmarkStart w:id="758" w:name="_Toc35425113"/>
      <w:bookmarkStart w:id="759" w:name="_Toc246996232"/>
      <w:bookmarkStart w:id="760" w:name="_Toc179632607"/>
      <w:bookmarkStart w:id="761" w:name="_Toc152045589"/>
      <w:bookmarkStart w:id="762" w:name="_Toc152042366"/>
      <w:r>
        <w:rPr>
          <w:rFonts w:hint="eastAsia" w:ascii="宋体" w:hAnsi="宋体" w:eastAsia="宋体" w:cs="宋体"/>
          <w:highlight w:val="none"/>
        </w:rPr>
        <w:t>1.评标方法</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72AB4E8">
      <w:pPr>
        <w:snapToGrid w:val="0"/>
        <w:spacing w:line="440" w:lineRule="exact"/>
        <w:ind w:right="252" w:rightChars="120" w:firstLine="420" w:firstLineChars="200"/>
        <w:jc w:val="left"/>
        <w:rPr>
          <w:rFonts w:ascii="宋体" w:hAnsi="宋体" w:cs="宋体"/>
          <w:szCs w:val="21"/>
          <w:highlight w:val="none"/>
        </w:rPr>
      </w:pPr>
      <w:bookmarkStart w:id="763" w:name="_Toc324404873"/>
      <w:bookmarkStart w:id="764" w:name="_Toc144974557"/>
      <w:bookmarkStart w:id="765" w:name="_Toc296602478"/>
      <w:bookmarkStart w:id="766" w:name="_Toc246996233"/>
      <w:bookmarkStart w:id="767" w:name="_Toc247085748"/>
      <w:bookmarkStart w:id="768" w:name="_Toc152045590"/>
      <w:bookmarkStart w:id="769" w:name="_Toc152042367"/>
      <w:bookmarkStart w:id="770" w:name="_Toc179632608"/>
      <w:bookmarkStart w:id="771" w:name="_Toc246996976"/>
      <w:r>
        <w:rPr>
          <w:rFonts w:hint="eastAsia" w:ascii="宋体" w:hAnsi="宋体" w:cs="宋体"/>
          <w:szCs w:val="21"/>
          <w:highlight w:val="none"/>
        </w:rPr>
        <w:t>本次评标采用综合评估法。评标委员会对满足招标文件实质性要求的投标文件，按照本章规定的评分标准进行打分，并按总得分（资信分+技术分+商务分）由高到低顺序推荐中标候选人</w:t>
      </w:r>
      <w:r>
        <w:rPr>
          <w:rFonts w:hint="eastAsia" w:ascii="宋体" w:hAnsi="宋体" w:cs="宋体"/>
          <w:szCs w:val="21"/>
          <w:highlight w:val="none"/>
          <w:lang w:val="en-US" w:eastAsia="zh-CN"/>
        </w:rPr>
        <w:t>3</w:t>
      </w:r>
      <w:r>
        <w:rPr>
          <w:rFonts w:hint="eastAsia" w:ascii="宋体" w:hAnsi="宋体" w:cs="宋体"/>
          <w:szCs w:val="21"/>
          <w:highlight w:val="none"/>
        </w:rPr>
        <w:t>名，并标明</w:t>
      </w:r>
      <w:r>
        <w:rPr>
          <w:rFonts w:hint="eastAsia" w:ascii="宋体" w:hAnsi="宋体" w:cs="宋体"/>
          <w:color w:val="auto"/>
          <w:szCs w:val="21"/>
          <w:highlight w:val="none"/>
        </w:rPr>
        <w:t>排序，但投标报价低于其成本的除外。总评分相等时，以投标报价低的优先；若投标报价也相等，由</w:t>
      </w:r>
      <w:r>
        <w:rPr>
          <w:rFonts w:hint="eastAsia" w:ascii="宋体" w:hAnsi="宋体" w:cs="宋体"/>
          <w:szCs w:val="21"/>
          <w:highlight w:val="none"/>
        </w:rPr>
        <w:t>招标人抽签确定。</w:t>
      </w:r>
    </w:p>
    <w:p w14:paraId="3F12DD3B">
      <w:pPr>
        <w:pStyle w:val="7"/>
        <w:spacing w:beforeLines="50" w:afterLines="50"/>
        <w:ind w:firstLine="422" w:firstLineChars="200"/>
        <w:rPr>
          <w:rFonts w:ascii="宋体" w:hAnsi="宋体" w:eastAsia="宋体" w:cs="宋体"/>
          <w:highlight w:val="none"/>
        </w:rPr>
      </w:pPr>
      <w:bookmarkStart w:id="772" w:name="_Toc35424948"/>
      <w:bookmarkStart w:id="773" w:name="_Toc506107325"/>
      <w:bookmarkStart w:id="774" w:name="_Toc78803382"/>
      <w:bookmarkStart w:id="775" w:name="_Toc15058914"/>
      <w:bookmarkStart w:id="776" w:name="_Toc11945"/>
      <w:bookmarkStart w:id="777" w:name="_Toc35425114"/>
      <w:r>
        <w:rPr>
          <w:rFonts w:hint="eastAsia" w:ascii="宋体" w:hAnsi="宋体" w:eastAsia="宋体" w:cs="宋体"/>
          <w:highlight w:val="none"/>
        </w:rPr>
        <w:t>2.评标委员会的职责</w:t>
      </w:r>
      <w:bookmarkEnd w:id="763"/>
      <w:bookmarkEnd w:id="772"/>
      <w:bookmarkEnd w:id="773"/>
      <w:bookmarkEnd w:id="774"/>
      <w:bookmarkEnd w:id="775"/>
      <w:bookmarkEnd w:id="776"/>
      <w:bookmarkEnd w:id="777"/>
    </w:p>
    <w:p w14:paraId="009BCF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9C91FEC">
      <w:pPr>
        <w:spacing w:line="440" w:lineRule="exact"/>
        <w:ind w:firstLine="420" w:firstLineChars="200"/>
        <w:jc w:val="left"/>
        <w:rPr>
          <w:rFonts w:ascii="宋体" w:hAnsi="宋体" w:cs="宋体"/>
          <w:szCs w:val="21"/>
          <w:highlight w:val="none"/>
        </w:rPr>
      </w:pPr>
      <w:bookmarkStart w:id="778" w:name="_Toc78803383"/>
      <w:r>
        <w:rPr>
          <w:rFonts w:hint="eastAsia" w:ascii="宋体" w:hAnsi="宋体" w:cs="宋体"/>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bookmarkEnd w:id="778"/>
    </w:p>
    <w:p w14:paraId="2EE942C7">
      <w:pPr>
        <w:pStyle w:val="7"/>
        <w:spacing w:beforeLines="50" w:afterLines="50"/>
        <w:ind w:firstLine="422" w:firstLineChars="200"/>
        <w:rPr>
          <w:rFonts w:ascii="宋体" w:hAnsi="宋体" w:eastAsia="宋体" w:cs="宋体"/>
          <w:highlight w:val="none"/>
        </w:rPr>
      </w:pPr>
      <w:bookmarkStart w:id="779" w:name="_Toc35424949"/>
      <w:bookmarkStart w:id="780" w:name="_Toc78803384"/>
      <w:bookmarkStart w:id="781" w:name="_Toc506107326"/>
      <w:bookmarkStart w:id="782" w:name="_Toc324404874"/>
      <w:bookmarkStart w:id="783" w:name="_Toc35425115"/>
      <w:bookmarkStart w:id="784" w:name="_Toc17377"/>
      <w:bookmarkStart w:id="785" w:name="_Toc15058915"/>
      <w:r>
        <w:rPr>
          <w:rFonts w:hint="eastAsia" w:ascii="宋体" w:hAnsi="宋体" w:eastAsia="宋体" w:cs="宋体"/>
          <w:highlight w:val="none"/>
        </w:rPr>
        <w:t>3.评标程序</w:t>
      </w:r>
      <w:bookmarkEnd w:id="779"/>
      <w:bookmarkEnd w:id="780"/>
      <w:bookmarkEnd w:id="781"/>
      <w:bookmarkEnd w:id="782"/>
      <w:bookmarkEnd w:id="783"/>
      <w:bookmarkEnd w:id="784"/>
      <w:bookmarkEnd w:id="785"/>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评标先做准备工作，先进行资信评审，然后进行技术标评审，最后进行商务标评审。</w:t>
      </w:r>
    </w:p>
    <w:p w14:paraId="6E980930">
      <w:pPr>
        <w:pStyle w:val="7"/>
        <w:ind w:firstLine="422" w:firstLineChars="200"/>
        <w:rPr>
          <w:rFonts w:ascii="宋体" w:hAnsi="宋体" w:eastAsia="宋体" w:cs="宋体"/>
          <w:highlight w:val="none"/>
        </w:rPr>
      </w:pPr>
      <w:bookmarkStart w:id="786" w:name="_Toc35425116"/>
      <w:bookmarkStart w:id="787" w:name="_Toc27389"/>
      <w:bookmarkStart w:id="788" w:name="_Toc15058916"/>
      <w:bookmarkStart w:id="789" w:name="_Toc35424950"/>
      <w:bookmarkStart w:id="790" w:name="_Toc78803385"/>
      <w:r>
        <w:rPr>
          <w:rFonts w:hint="eastAsia" w:ascii="宋体" w:hAnsi="宋体" w:eastAsia="宋体" w:cs="宋体"/>
          <w:highlight w:val="none"/>
        </w:rPr>
        <w:t>3.1评标准备工作</w:t>
      </w:r>
      <w:bookmarkEnd w:id="786"/>
      <w:bookmarkEnd w:id="787"/>
      <w:bookmarkEnd w:id="788"/>
      <w:bookmarkEnd w:id="789"/>
      <w:bookmarkEnd w:id="790"/>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13E391E0">
      <w:pPr>
        <w:pStyle w:val="7"/>
        <w:ind w:firstLine="422" w:firstLineChars="200"/>
        <w:rPr>
          <w:rFonts w:ascii="宋体" w:hAnsi="宋体" w:eastAsia="宋体" w:cs="宋体"/>
          <w:highlight w:val="none"/>
        </w:rPr>
      </w:pPr>
      <w:bookmarkStart w:id="791" w:name="_Toc1299"/>
      <w:bookmarkStart w:id="792" w:name="_Toc35425117"/>
      <w:bookmarkStart w:id="793" w:name="_Toc35424951"/>
      <w:bookmarkStart w:id="794" w:name="_Toc15058917"/>
      <w:bookmarkStart w:id="795" w:name="_Toc24650"/>
      <w:bookmarkStart w:id="796" w:name="_Toc78803386"/>
      <w:bookmarkStart w:id="797" w:name="_Toc15058919"/>
      <w:bookmarkStart w:id="798" w:name="_Toc35424954"/>
      <w:bookmarkStart w:id="799" w:name="_Toc506107327"/>
      <w:bookmarkStart w:id="800" w:name="_Toc35425120"/>
      <w:bookmarkStart w:id="801" w:name="_Toc12200"/>
      <w:bookmarkStart w:id="802" w:name="_Toc324404875"/>
      <w:r>
        <w:rPr>
          <w:rFonts w:hint="eastAsia" w:ascii="宋体" w:hAnsi="宋体" w:eastAsia="宋体" w:cs="宋体"/>
          <w:highlight w:val="none"/>
        </w:rPr>
        <w:t>3.2技术标评审</w:t>
      </w:r>
      <w:bookmarkEnd w:id="791"/>
      <w:bookmarkEnd w:id="792"/>
      <w:bookmarkEnd w:id="793"/>
      <w:bookmarkEnd w:id="794"/>
      <w:bookmarkEnd w:id="795"/>
      <w:bookmarkEnd w:id="796"/>
    </w:p>
    <w:p w14:paraId="755D589C">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详见技术标评审表。</w:t>
      </w:r>
    </w:p>
    <w:p w14:paraId="6912EA5D">
      <w:pPr>
        <w:pStyle w:val="7"/>
        <w:ind w:firstLine="422" w:firstLineChars="200"/>
        <w:rPr>
          <w:rFonts w:ascii="宋体" w:hAnsi="宋体" w:eastAsia="宋体" w:cs="宋体"/>
          <w:highlight w:val="none"/>
        </w:rPr>
      </w:pPr>
      <w:bookmarkStart w:id="803" w:name="_Toc35424952"/>
      <w:bookmarkStart w:id="804" w:name="_Toc11990"/>
      <w:bookmarkStart w:id="805" w:name="_Toc15058918"/>
      <w:bookmarkStart w:id="806" w:name="_Toc35425118"/>
      <w:bookmarkStart w:id="807" w:name="_Toc78803387"/>
      <w:bookmarkStart w:id="808" w:name="_Toc17468"/>
      <w:r>
        <w:rPr>
          <w:rFonts w:hint="eastAsia" w:ascii="宋体" w:hAnsi="宋体" w:eastAsia="宋体" w:cs="宋体"/>
          <w:highlight w:val="none"/>
        </w:rPr>
        <w:t>3.3商务标评审</w:t>
      </w:r>
      <w:bookmarkEnd w:id="803"/>
      <w:bookmarkEnd w:id="804"/>
      <w:bookmarkEnd w:id="805"/>
      <w:bookmarkEnd w:id="806"/>
      <w:bookmarkEnd w:id="807"/>
      <w:bookmarkEnd w:id="808"/>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09" w:name="_Toc35425119"/>
      <w:bookmarkStart w:id="810" w:name="_Toc18087"/>
      <w:bookmarkStart w:id="811" w:name="_Toc78803388"/>
      <w:bookmarkStart w:id="812" w:name="_Toc35424953"/>
      <w:bookmarkStart w:id="813" w:name="_Toc26895"/>
      <w:r>
        <w:rPr>
          <w:rStyle w:val="197"/>
          <w:rFonts w:hint="eastAsia" w:ascii="宋体" w:hAnsi="宋体" w:eastAsia="宋体" w:cs="宋体"/>
          <w:highlight w:val="none"/>
        </w:rPr>
        <w:t>3.4推荐中标候选人</w:t>
      </w:r>
      <w:bookmarkEnd w:id="809"/>
      <w:bookmarkEnd w:id="810"/>
      <w:bookmarkEnd w:id="811"/>
      <w:bookmarkEnd w:id="812"/>
      <w:bookmarkEnd w:id="813"/>
      <w:r>
        <w:rPr>
          <w:rFonts w:hint="eastAsia" w:ascii="宋体" w:hAnsi="宋体" w:cs="宋体"/>
          <w:b/>
          <w:bCs/>
          <w:highlight w:val="none"/>
        </w:rPr>
        <w:t>：</w:t>
      </w:r>
      <w:r>
        <w:rPr>
          <w:rFonts w:hint="eastAsia" w:ascii="宋体" w:hAnsi="宋体" w:cs="宋体"/>
          <w:highlight w:val="none"/>
        </w:rPr>
        <w:t>资信评审、技术标评审、商务标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7"/>
        <w:spacing w:beforeLines="50" w:afterLines="50"/>
        <w:ind w:firstLine="422" w:firstLineChars="200"/>
        <w:rPr>
          <w:rFonts w:ascii="宋体" w:hAnsi="宋体" w:eastAsia="宋体" w:cs="宋体"/>
          <w:highlight w:val="none"/>
        </w:rPr>
      </w:pPr>
      <w:bookmarkStart w:id="814" w:name="_Toc78803389"/>
      <w:r>
        <w:rPr>
          <w:rFonts w:hint="eastAsia" w:ascii="宋体" w:hAnsi="宋体" w:eastAsia="宋体" w:cs="宋体"/>
          <w:highlight w:val="none"/>
        </w:rPr>
        <w:t>4.评审内容</w:t>
      </w:r>
      <w:bookmarkEnd w:id="797"/>
      <w:bookmarkEnd w:id="798"/>
      <w:bookmarkEnd w:id="799"/>
      <w:bookmarkEnd w:id="800"/>
      <w:bookmarkEnd w:id="801"/>
      <w:bookmarkEnd w:id="802"/>
      <w:bookmarkEnd w:id="814"/>
    </w:p>
    <w:p w14:paraId="0F1392E9">
      <w:pPr>
        <w:pStyle w:val="7"/>
        <w:ind w:firstLine="422" w:firstLineChars="200"/>
        <w:rPr>
          <w:rFonts w:ascii="宋体" w:hAnsi="宋体" w:eastAsia="宋体" w:cs="宋体"/>
          <w:highlight w:val="none"/>
        </w:rPr>
      </w:pPr>
      <w:bookmarkStart w:id="815" w:name="_Toc9630"/>
      <w:bookmarkStart w:id="816" w:name="_Toc78803390"/>
      <w:r>
        <w:rPr>
          <w:rFonts w:hint="eastAsia" w:ascii="宋体" w:hAnsi="宋体" w:eastAsia="宋体" w:cs="宋体"/>
          <w:highlight w:val="none"/>
        </w:rPr>
        <w:t>4.1</w:t>
      </w:r>
      <w:bookmarkEnd w:id="815"/>
      <w:bookmarkEnd w:id="816"/>
      <w:bookmarkStart w:id="817" w:name="_Toc35425122"/>
      <w:bookmarkStart w:id="818" w:name="_Toc78803391"/>
      <w:bookmarkStart w:id="819" w:name="_Toc35424956"/>
      <w:bookmarkStart w:id="820" w:name="_Toc15058921"/>
      <w:bookmarkStart w:id="821" w:name="_Toc3531"/>
      <w:bookmarkStart w:id="822" w:name="_Toc324404876"/>
      <w:r>
        <w:rPr>
          <w:rFonts w:hint="eastAsia" w:ascii="宋体" w:hAnsi="宋体" w:eastAsia="宋体" w:cs="宋体"/>
          <w:highlight w:val="none"/>
        </w:rPr>
        <w:t>商务标评审</w:t>
      </w:r>
      <w:bookmarkEnd w:id="817"/>
      <w:bookmarkEnd w:id="818"/>
      <w:bookmarkEnd w:id="819"/>
      <w:bookmarkEnd w:id="820"/>
      <w:bookmarkEnd w:id="821"/>
    </w:p>
    <w:p w14:paraId="79EFB735">
      <w:pPr>
        <w:spacing w:line="440" w:lineRule="exact"/>
        <w:ind w:firstLine="420" w:firstLineChars="200"/>
        <w:jc w:val="left"/>
        <w:rPr>
          <w:rFonts w:ascii="宋体" w:hAnsi="宋体" w:cs="宋体"/>
          <w:highlight w:val="none"/>
        </w:rPr>
      </w:pPr>
      <w:r>
        <w:rPr>
          <w:rFonts w:hint="eastAsia" w:ascii="宋体" w:hAnsi="宋体" w:cs="宋体"/>
          <w:highlight w:val="none"/>
        </w:rPr>
        <w:t>只有通过技术标评审的投标才能够进入本阶段评审。</w:t>
      </w:r>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5FFAD8BA">
      <w:pPr>
        <w:spacing w:line="440" w:lineRule="exact"/>
        <w:ind w:firstLine="420" w:firstLineChars="200"/>
        <w:jc w:val="left"/>
        <w:rPr>
          <w:rFonts w:ascii="宋体" w:hAnsi="宋体" w:cs="宋体"/>
          <w:highlight w:val="none"/>
        </w:rPr>
      </w:pPr>
      <w:r>
        <w:rPr>
          <w:rFonts w:hint="eastAsia" w:ascii="宋体" w:hAnsi="宋体" w:cs="宋体"/>
          <w:highlight w:val="none"/>
        </w:rPr>
        <w:t>4.1.3投标报价评审</w:t>
      </w:r>
    </w:p>
    <w:p w14:paraId="43D228EB">
      <w:pPr>
        <w:spacing w:line="440" w:lineRule="exact"/>
        <w:ind w:firstLine="420" w:firstLineChars="200"/>
        <w:jc w:val="left"/>
        <w:rPr>
          <w:rFonts w:ascii="宋体" w:hAnsi="宋体" w:cs="宋体"/>
          <w:highlight w:val="none"/>
        </w:rPr>
      </w:pPr>
      <w:r>
        <w:rPr>
          <w:rFonts w:hint="eastAsia" w:ascii="宋体" w:hAnsi="宋体" w:cs="宋体"/>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914B093">
      <w:pPr>
        <w:spacing w:line="440" w:lineRule="exact"/>
        <w:ind w:firstLine="420" w:firstLineChars="200"/>
        <w:jc w:val="left"/>
        <w:rPr>
          <w:rFonts w:ascii="宋体" w:hAnsi="宋体" w:cs="宋体"/>
          <w:highlight w:val="none"/>
        </w:rPr>
      </w:pPr>
      <w:r>
        <w:rPr>
          <w:rFonts w:hint="eastAsia" w:ascii="宋体" w:hAnsi="宋体" w:cs="宋体"/>
          <w:highlight w:val="none"/>
        </w:rPr>
        <w:t>4.1.4评标委员会审查投标文件，投标报价有错误的，评标委员会按以下原则对投标报价进行修正。</w:t>
      </w:r>
    </w:p>
    <w:p w14:paraId="263D918E">
      <w:pPr>
        <w:spacing w:line="440" w:lineRule="exact"/>
        <w:ind w:firstLine="420" w:firstLineChars="200"/>
        <w:jc w:val="left"/>
        <w:rPr>
          <w:rFonts w:ascii="宋体" w:hAnsi="宋体" w:cs="宋体"/>
          <w:highlight w:val="none"/>
        </w:rPr>
      </w:pPr>
      <w:r>
        <w:rPr>
          <w:rFonts w:hint="eastAsia" w:ascii="宋体" w:hAnsi="宋体" w:cs="宋体"/>
          <w:highlight w:val="none"/>
        </w:rPr>
        <w:t>（1）投标文件中的大写金额与小写金额不一致的，以大写金额为准。</w:t>
      </w:r>
    </w:p>
    <w:p w14:paraId="62D11E9B">
      <w:pPr>
        <w:spacing w:line="440" w:lineRule="exact"/>
        <w:ind w:firstLine="420" w:firstLineChars="200"/>
        <w:jc w:val="left"/>
        <w:rPr>
          <w:rFonts w:ascii="宋体" w:hAnsi="宋体" w:cs="宋体"/>
          <w:szCs w:val="21"/>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583982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7"/>
        <w:spacing w:beforeLines="50" w:afterLines="50"/>
        <w:ind w:firstLine="422" w:firstLineChars="200"/>
        <w:rPr>
          <w:rFonts w:ascii="宋体" w:hAnsi="宋体" w:eastAsia="宋体" w:cs="宋体"/>
          <w:highlight w:val="none"/>
        </w:rPr>
      </w:pPr>
      <w:bookmarkStart w:id="823" w:name="_Toc506107328"/>
      <w:bookmarkStart w:id="824" w:name="_Toc13125"/>
      <w:bookmarkStart w:id="825" w:name="_Toc35424957"/>
      <w:bookmarkStart w:id="826" w:name="_Toc78803392"/>
      <w:bookmarkStart w:id="827" w:name="_Toc15058922"/>
      <w:bookmarkStart w:id="828" w:name="_Toc35425123"/>
      <w:r>
        <w:rPr>
          <w:rFonts w:hint="eastAsia" w:ascii="宋体" w:hAnsi="宋体" w:eastAsia="宋体" w:cs="宋体"/>
          <w:highlight w:val="none"/>
        </w:rPr>
        <w:t>5.无效投标条款</w:t>
      </w:r>
      <w:bookmarkEnd w:id="822"/>
      <w:bookmarkEnd w:id="823"/>
      <w:bookmarkEnd w:id="824"/>
      <w:bookmarkEnd w:id="825"/>
      <w:bookmarkEnd w:id="826"/>
      <w:bookmarkEnd w:id="827"/>
      <w:bookmarkEnd w:id="828"/>
    </w:p>
    <w:p w14:paraId="0DF5C34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1</w:t>
      </w:r>
      <w:r>
        <w:rPr>
          <w:rFonts w:hint="eastAsia" w:ascii="宋体" w:hAnsi="宋体" w:cs="宋体"/>
          <w:szCs w:val="21"/>
          <w:highlight w:val="none"/>
        </w:rPr>
        <w:t>由资格审查委员会（评标委员会）按资格审查办法前附表要求对投标人审查资料的第二章《资格审查办法》进行核验。投标申请人有下列情形之一的，其资格审查为不合格：</w:t>
      </w:r>
    </w:p>
    <w:p w14:paraId="528FDC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（1）未上传电子标书或电子标书经审查不合格；</w:t>
      </w:r>
    </w:p>
    <w:p w14:paraId="18F3565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）法律、法规规定的其他情形。</w:t>
      </w:r>
    </w:p>
    <w:p w14:paraId="0343AB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投标人有下列情形的，经评审后其投标作无效投标处理无效投标：</w:t>
      </w:r>
    </w:p>
    <w:p w14:paraId="2F946A1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.1商标评审</w:t>
      </w:r>
    </w:p>
    <w:p w14:paraId="5AF5194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(1)评标委员会依据《商务标评审表》进行形式性评审和响应性评审。有一项不符合评审标准的，做无效投标处理；</w:t>
      </w:r>
    </w:p>
    <w:p w14:paraId="5172AA9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（2）商务标详细评审标准中有任何一项不能通过评审的，作无效投标处理。</w:t>
      </w:r>
    </w:p>
    <w:p w14:paraId="57BB8B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hint="eastAsia" w:ascii="宋体" w:hAnsi="宋体" w:cs="宋体"/>
          <w:szCs w:val="21"/>
          <w:highlight w:val="none"/>
        </w:rPr>
        <w:t>其他无效投标情况：</w:t>
      </w:r>
    </w:p>
    <w:p w14:paraId="78EF0F0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ED44C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6F0CAC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）投标人有串通投标、弄虚作假、行贿等违法行为。</w:t>
      </w:r>
    </w:p>
    <w:p w14:paraId="125E94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）投标文件没有对招标文件的实质性要求和条件作出响应。</w:t>
      </w:r>
    </w:p>
    <w:p w14:paraId="0FC202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）未按规定的格式填写导致实质性内容不全以及实质上不响应，或者关键字迹模糊、无法辨认。</w:t>
      </w:r>
    </w:p>
    <w:p w14:paraId="1099022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）同一投标人提交两个以上不同的投标文件或者投标报价，但招标文件规定提交备选投标的除外。</w:t>
      </w:r>
    </w:p>
    <w:p w14:paraId="0C71CF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）投标文件中存在招标人不能接受的其他实质性条件。</w:t>
      </w:r>
    </w:p>
    <w:p w14:paraId="641BCD2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）投标文件中填报的拟任项目负责人与资格审查通过的项目负责人前后不一致的。</w:t>
      </w:r>
    </w:p>
    <w:p w14:paraId="6FD5979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62290F1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）投标人单方面出现其他投标人材料。</w:t>
      </w:r>
    </w:p>
    <w:p w14:paraId="7E65ED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）法律、法规规定的其他情形。</w:t>
      </w:r>
    </w:p>
    <w:p w14:paraId="6C2FB7F4">
      <w:pPr>
        <w:pStyle w:val="7"/>
        <w:spacing w:beforeLines="50" w:afterLines="50"/>
        <w:ind w:firstLine="422" w:firstLineChars="200"/>
        <w:rPr>
          <w:rFonts w:ascii="宋体" w:hAnsi="宋体" w:eastAsia="宋体" w:cs="宋体"/>
          <w:highlight w:val="none"/>
        </w:rPr>
      </w:pPr>
      <w:bookmarkStart w:id="829" w:name="_Toc324404877"/>
      <w:bookmarkStart w:id="830" w:name="_Toc27846"/>
      <w:bookmarkStart w:id="831" w:name="_Toc35424958"/>
      <w:bookmarkStart w:id="832" w:name="_Toc506107329"/>
      <w:bookmarkStart w:id="833" w:name="_Toc35425124"/>
      <w:bookmarkStart w:id="834" w:name="_Toc78803393"/>
      <w:bookmarkStart w:id="835" w:name="_Toc15058923"/>
      <w:r>
        <w:rPr>
          <w:rFonts w:hint="eastAsia" w:ascii="宋体" w:hAnsi="宋体" w:eastAsia="宋体" w:cs="宋体"/>
          <w:highlight w:val="none"/>
        </w:rPr>
        <w:t>6.投标文件的澄清和补正</w:t>
      </w:r>
      <w:bookmarkEnd w:id="829"/>
      <w:bookmarkEnd w:id="830"/>
      <w:bookmarkEnd w:id="831"/>
      <w:bookmarkEnd w:id="832"/>
      <w:bookmarkEnd w:id="833"/>
      <w:bookmarkEnd w:id="834"/>
      <w:bookmarkEnd w:id="835"/>
    </w:p>
    <w:p w14:paraId="2F477AC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681AC39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6.2澄清、说明和补正不得改变投标文件的实质性内容（算术性错误修正的除外）。投标人的书面澄清、说明和补正属于投标文件的组成部分。</w:t>
      </w:r>
    </w:p>
    <w:p w14:paraId="2FE1D5D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6.3评标委员会对投标人提交的澄清、说明和补正有疑问的，可以要求投标人进一步澄清、说明或补正、直至满足评标委员会的要求。</w:t>
      </w:r>
    </w:p>
    <w:p w14:paraId="149643F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按照投标文件规定进行澄清、补正后的投标报价经投标人的法定代表人或其委托代理人确认后即为该投标人的最终投标报价。投标人一旦中标，此报价即为中标价。</w:t>
      </w:r>
    </w:p>
    <w:p w14:paraId="4D82B21A">
      <w:pPr>
        <w:pStyle w:val="7"/>
        <w:spacing w:beforeLines="50" w:afterLines="50"/>
        <w:ind w:firstLine="422" w:firstLineChars="200"/>
        <w:rPr>
          <w:rFonts w:ascii="宋体" w:hAnsi="宋体" w:eastAsia="宋体" w:cs="宋体"/>
          <w:highlight w:val="none"/>
        </w:rPr>
      </w:pPr>
      <w:bookmarkStart w:id="836" w:name="_Toc15058924"/>
      <w:bookmarkStart w:id="837" w:name="_Toc35424959"/>
      <w:bookmarkStart w:id="838" w:name="_Toc324404878"/>
      <w:bookmarkStart w:id="839" w:name="_Toc35425125"/>
      <w:bookmarkStart w:id="840" w:name="_Toc13990"/>
      <w:bookmarkStart w:id="841" w:name="_Toc78803394"/>
      <w:bookmarkStart w:id="842" w:name="_Toc506107330"/>
      <w:r>
        <w:rPr>
          <w:rFonts w:hint="eastAsia" w:ascii="宋体" w:hAnsi="宋体" w:eastAsia="宋体" w:cs="宋体"/>
          <w:highlight w:val="none"/>
        </w:rPr>
        <w:t>7.评分标准</w:t>
      </w:r>
      <w:bookmarkEnd w:id="836"/>
      <w:bookmarkEnd w:id="837"/>
      <w:bookmarkEnd w:id="838"/>
      <w:bookmarkEnd w:id="839"/>
      <w:bookmarkEnd w:id="840"/>
      <w:bookmarkEnd w:id="841"/>
      <w:bookmarkEnd w:id="842"/>
    </w:p>
    <w:p w14:paraId="30E8B7B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商务标评分标准：见商务标评审表。</w:t>
      </w:r>
    </w:p>
    <w:p w14:paraId="24D3B8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技术标评分标准：见技术标评审表。</w:t>
      </w:r>
    </w:p>
    <w:p w14:paraId="481120C8">
      <w:pPr>
        <w:spacing w:line="440" w:lineRule="exact"/>
        <w:ind w:firstLine="420" w:firstLineChars="200"/>
        <w:jc w:val="left"/>
        <w:rPr>
          <w:rFonts w:hAnsi="宋体" w:cs="宋体"/>
          <w:highlight w:val="none"/>
        </w:rPr>
      </w:pPr>
      <w:r>
        <w:rPr>
          <w:rFonts w:hint="eastAsia" w:ascii="宋体" w:hAnsi="宋体" w:cs="宋体"/>
          <w:szCs w:val="21"/>
          <w:highlight w:val="none"/>
        </w:rPr>
        <w:t>资信</w:t>
      </w:r>
      <w:r>
        <w:rPr>
          <w:rFonts w:hint="eastAsia" w:ascii="宋体" w:hAnsi="宋体" w:cs="宋体"/>
          <w:szCs w:val="21"/>
          <w:highlight w:val="none"/>
          <w:lang w:val="en-US" w:eastAsia="zh-CN"/>
        </w:rPr>
        <w:t>标</w:t>
      </w:r>
      <w:r>
        <w:rPr>
          <w:rFonts w:hint="eastAsia" w:ascii="宋体" w:hAnsi="宋体" w:cs="宋体"/>
          <w:szCs w:val="21"/>
          <w:highlight w:val="none"/>
        </w:rPr>
        <w:t>评分标准：见资信评分细则</w:t>
      </w:r>
      <w:r>
        <w:rPr>
          <w:rFonts w:hint="eastAsia" w:hAnsi="宋体" w:cs="宋体"/>
          <w:szCs w:val="21"/>
          <w:highlight w:val="none"/>
        </w:rPr>
        <w:t>。</w:t>
      </w:r>
    </w:p>
    <w:p w14:paraId="26B2972C">
      <w:pPr>
        <w:pStyle w:val="7"/>
        <w:spacing w:beforeLines="50" w:afterLines="50"/>
        <w:ind w:firstLine="422" w:firstLineChars="200"/>
        <w:rPr>
          <w:rFonts w:ascii="宋体" w:hAnsi="宋体" w:eastAsia="宋体" w:cs="宋体"/>
          <w:highlight w:val="none"/>
        </w:rPr>
      </w:pPr>
      <w:bookmarkStart w:id="843" w:name="_Toc15058925"/>
      <w:bookmarkStart w:id="844" w:name="_Toc506107331"/>
      <w:bookmarkStart w:id="845" w:name="_Toc35425126"/>
      <w:bookmarkStart w:id="846" w:name="_Toc78803395"/>
      <w:bookmarkStart w:id="847" w:name="_Toc22863"/>
      <w:bookmarkStart w:id="848" w:name="_Toc324404879"/>
      <w:bookmarkStart w:id="849" w:name="_Toc35424960"/>
      <w:r>
        <w:rPr>
          <w:rFonts w:hint="eastAsia" w:ascii="宋体" w:hAnsi="宋体" w:eastAsia="宋体" w:cs="宋体"/>
          <w:highlight w:val="none"/>
        </w:rPr>
        <w:t>8.评审结果</w:t>
      </w:r>
      <w:bookmarkEnd w:id="843"/>
      <w:bookmarkEnd w:id="844"/>
      <w:bookmarkEnd w:id="845"/>
      <w:bookmarkEnd w:id="846"/>
      <w:bookmarkEnd w:id="847"/>
      <w:bookmarkEnd w:id="848"/>
      <w:bookmarkEnd w:id="849"/>
    </w:p>
    <w:p w14:paraId="6C92BA2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8.1除投标人须知前附表授权直接确定中标人外，评标委员会按照总得分由高到低顺序推荐中标候选人。</w:t>
      </w:r>
    </w:p>
    <w:p w14:paraId="538B5B0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8.2评标委员会完成评标后，应当向招标人提交书面评标报告。评标报告应当如实记载以下内容：</w:t>
      </w:r>
    </w:p>
    <w:p w14:paraId="32C6C45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（1）基本情况和数据表。</w:t>
      </w:r>
    </w:p>
    <w:p w14:paraId="420D2A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（2）评标委员会成员名单。</w:t>
      </w:r>
    </w:p>
    <w:p w14:paraId="02179E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（3）开标记录。</w:t>
      </w:r>
    </w:p>
    <w:p w14:paraId="11B25BD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（4）符合要求的投标人一览表。</w:t>
      </w:r>
    </w:p>
    <w:p w14:paraId="43A3025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（5）废标情况说明。</w:t>
      </w:r>
    </w:p>
    <w:p w14:paraId="424F00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（6）评标标准、评标方法或者评标因素。</w:t>
      </w:r>
    </w:p>
    <w:p w14:paraId="2FCC2BB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（7）经评审的价格一览表。</w:t>
      </w:r>
    </w:p>
    <w:p w14:paraId="2E69437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（8）经评审的投标人排序。</w:t>
      </w:r>
    </w:p>
    <w:p w14:paraId="3FF8F21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（9）推荐的中标候选人名单与签订合同前要处理的事宜。</w:t>
      </w:r>
    </w:p>
    <w:p w14:paraId="1CB6501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4179719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8.3评标委员会推荐的中标候选人应当限定在</w:t>
      </w:r>
      <w:r>
        <w:rPr>
          <w:rFonts w:hint="eastAsia" w:ascii="宋体" w:hAnsi="宋体" w:cs="宋体"/>
          <w:color w:val="auto"/>
          <w:szCs w:val="21"/>
          <w:highlight w:val="none"/>
          <w:u w:val="single"/>
          <w:lang w:val="en-US" w:eastAsia="zh-CN"/>
        </w:rPr>
        <w:t xml:space="preserve">3 </w:t>
      </w:r>
      <w:r>
        <w:rPr>
          <w:rFonts w:hint="eastAsia" w:ascii="宋体" w:hAnsi="宋体" w:cs="宋体"/>
          <w:color w:val="auto"/>
          <w:szCs w:val="21"/>
          <w:highlight w:val="none"/>
        </w:rPr>
        <w:t>名。</w:t>
      </w:r>
    </w:p>
    <w:p w14:paraId="6FC489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8.4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1EF70C6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E1A994F">
      <w:pPr>
        <w:pStyle w:val="7"/>
        <w:spacing w:beforeLines="50" w:afterLines="50"/>
        <w:ind w:firstLine="422" w:firstLineChars="200"/>
        <w:rPr>
          <w:rFonts w:ascii="宋体" w:hAnsi="宋体" w:eastAsia="宋体" w:cs="宋体"/>
          <w:highlight w:val="none"/>
        </w:rPr>
      </w:pPr>
      <w:bookmarkStart w:id="850" w:name="_Toc35425127"/>
      <w:bookmarkStart w:id="851" w:name="_Toc324404880"/>
      <w:bookmarkStart w:id="852" w:name="_Toc506107332"/>
      <w:bookmarkStart w:id="853" w:name="_Toc15058926"/>
      <w:bookmarkStart w:id="854" w:name="_Toc1576"/>
      <w:bookmarkStart w:id="855" w:name="_Toc35424961"/>
      <w:bookmarkStart w:id="856" w:name="_Toc78803396"/>
      <w:r>
        <w:rPr>
          <w:rFonts w:hint="eastAsia" w:ascii="宋体" w:hAnsi="宋体" w:eastAsia="宋体" w:cs="宋体"/>
          <w:highlight w:val="none"/>
        </w:rPr>
        <w:t>9.其他</w:t>
      </w:r>
      <w:bookmarkEnd w:id="850"/>
      <w:bookmarkEnd w:id="851"/>
      <w:bookmarkEnd w:id="852"/>
      <w:bookmarkEnd w:id="853"/>
      <w:bookmarkEnd w:id="854"/>
      <w:bookmarkEnd w:id="855"/>
      <w:bookmarkEnd w:id="856"/>
    </w:p>
    <w:p w14:paraId="51C03621">
      <w:pPr>
        <w:spacing w:line="440" w:lineRule="exact"/>
        <w:ind w:firstLine="420" w:firstLineChars="200"/>
        <w:jc w:val="left"/>
        <w:rPr>
          <w:highlight w:val="none"/>
        </w:rPr>
      </w:pPr>
      <w:r>
        <w:rPr>
          <w:rFonts w:hint="eastAsia" w:ascii="宋体" w:hAnsi="宋体" w:cs="宋体"/>
          <w:szCs w:val="21"/>
          <w:highlight w:val="none"/>
        </w:rPr>
        <w:t>投标人提供的与投标文件有关的各类证书、证明、文件、资料等的真实性、合法性由投标人负全责。</w:t>
      </w:r>
      <w:bookmarkEnd w:id="764"/>
      <w:bookmarkEnd w:id="765"/>
      <w:bookmarkEnd w:id="766"/>
      <w:bookmarkEnd w:id="767"/>
      <w:bookmarkEnd w:id="768"/>
      <w:bookmarkEnd w:id="769"/>
      <w:bookmarkEnd w:id="770"/>
      <w:bookmarkEnd w:id="771"/>
      <w:bookmarkStart w:id="857" w:name="_Toc246996252"/>
      <w:bookmarkStart w:id="858" w:name="_Toc179632627"/>
      <w:bookmarkStart w:id="859" w:name="_Toc152045609"/>
      <w:bookmarkStart w:id="860" w:name="_Toc324404881"/>
      <w:bookmarkStart w:id="861" w:name="_Toc246996995"/>
      <w:bookmarkStart w:id="862" w:name="_Toc247085767"/>
      <w:bookmarkStart w:id="863" w:name="_Toc417623601"/>
      <w:bookmarkStart w:id="864" w:name="_Toc144974577"/>
      <w:bookmarkStart w:id="865" w:name="_Toc152042387"/>
    </w:p>
    <w:bookmarkEnd w:id="857"/>
    <w:bookmarkEnd w:id="858"/>
    <w:bookmarkEnd w:id="859"/>
    <w:bookmarkEnd w:id="860"/>
    <w:bookmarkEnd w:id="861"/>
    <w:bookmarkEnd w:id="862"/>
    <w:bookmarkEnd w:id="863"/>
    <w:bookmarkEnd w:id="864"/>
    <w:bookmarkEnd w:id="865"/>
    <w:p w14:paraId="01EE8AAD">
      <w:pPr>
        <w:rPr>
          <w:highlight w:val="none"/>
        </w:rPr>
      </w:pPr>
      <w:bookmarkStart w:id="866" w:name="_Toc506107333"/>
      <w:bookmarkStart w:id="867" w:name="_Toc35425128"/>
      <w:bookmarkStart w:id="868" w:name="_Toc35424962"/>
      <w:bookmarkStart w:id="869" w:name="_Toc15058927"/>
      <w:bookmarkStart w:id="870" w:name="_Toc152045767"/>
      <w:bookmarkStart w:id="871" w:name="_Toc152042546"/>
      <w:bookmarkStart w:id="872" w:name="_Toc179632785"/>
      <w:bookmarkStart w:id="873" w:name="_Toc144974826"/>
    </w:p>
    <w:p w14:paraId="65923B12">
      <w:pPr>
        <w:rPr>
          <w:rFonts w:hint="eastAsia"/>
        </w:rPr>
      </w:pPr>
      <w:r>
        <w:rPr>
          <w:rFonts w:hint="eastAsia"/>
          <w:highlight w:val="none"/>
        </w:rPr>
        <w:br w:type="page"/>
      </w:r>
      <w:bookmarkStart w:id="874" w:name="_Toc78803397"/>
    </w:p>
    <w:bookmarkEnd w:id="866"/>
    <w:bookmarkEnd w:id="867"/>
    <w:bookmarkEnd w:id="868"/>
    <w:bookmarkEnd w:id="869"/>
    <w:bookmarkEnd w:id="874"/>
    <w:p w14:paraId="226BC7FC">
      <w:pPr>
        <w:pStyle w:val="6"/>
        <w:numPr>
          <w:ilvl w:val="0"/>
          <w:numId w:val="1"/>
        </w:numPr>
        <w:rPr>
          <w:rFonts w:hint="eastAsia" w:ascii="Arial" w:hAnsi="Arial"/>
          <w:kern w:val="0"/>
          <w:sz w:val="32"/>
          <w:szCs w:val="32"/>
        </w:rPr>
      </w:pPr>
      <w:bookmarkStart w:id="875" w:name="_Toc16721"/>
      <w:r>
        <w:rPr>
          <w:rFonts w:hint="eastAsia" w:ascii="Arial" w:hAnsi="Arial"/>
          <w:kern w:val="0"/>
          <w:sz w:val="32"/>
          <w:szCs w:val="32"/>
        </w:rPr>
        <w:t xml:space="preserve"> 合同条款及格式</w:t>
      </w:r>
      <w:bookmarkEnd w:id="875"/>
    </w:p>
    <w:p w14:paraId="24D23B78">
      <w:pPr>
        <w:numPr>
          <w:ilvl w:val="0"/>
          <w:numId w:val="0"/>
        </w:numPr>
      </w:pPr>
    </w:p>
    <w:bookmarkEnd w:id="870"/>
    <w:bookmarkEnd w:id="871"/>
    <w:bookmarkEnd w:id="872"/>
    <w:bookmarkEnd w:id="873"/>
    <w:p w14:paraId="75AEB28F">
      <w:pPr>
        <w:keepNext w:val="0"/>
        <w:keepLines w:val="0"/>
        <w:pageBreakBefore w:val="0"/>
        <w:kinsoku/>
        <w:wordWrap/>
        <w:overflowPunct/>
        <w:topLinePunct w:val="0"/>
        <w:autoSpaceDE/>
        <w:autoSpaceDN/>
        <w:bidi w:val="0"/>
        <w:adjustRightInd w:val="0"/>
        <w:snapToGrid w:val="0"/>
        <w:spacing w:line="410" w:lineRule="exact"/>
        <w:jc w:val="left"/>
        <w:textAlignment w:val="auto"/>
        <w:rPr>
          <w:rFonts w:hint="eastAsia" w:ascii="宋体" w:hAnsi="宋体" w:eastAsia="宋体" w:cs="宋体"/>
          <w:color w:val="auto"/>
          <w:kern w:val="0"/>
          <w:sz w:val="21"/>
          <w:szCs w:val="21"/>
          <w:u w:val="single"/>
          <w:lang w:val="en-US" w:eastAsia="zh-CN"/>
        </w:rPr>
      </w:pPr>
      <w:bookmarkStart w:id="876" w:name="_Toc23466"/>
      <w:bookmarkStart w:id="877" w:name="_Toc21849"/>
      <w:bookmarkStart w:id="878" w:name="_Toc506107339"/>
      <w:bookmarkStart w:id="879" w:name="_Toc484173788"/>
      <w:bookmarkStart w:id="880" w:name="_Toc35424970"/>
      <w:bookmarkStart w:id="881" w:name="_Toc78803398"/>
      <w:bookmarkStart w:id="882" w:name="_Toc324404888"/>
      <w:bookmarkStart w:id="883" w:name="_Toc144974855"/>
      <w:bookmarkStart w:id="884" w:name="_Toc15058934"/>
      <w:bookmarkStart w:id="885" w:name="_Toc246997097"/>
      <w:bookmarkStart w:id="886" w:name="_Toc506107340"/>
      <w:bookmarkStart w:id="887" w:name="_Toc152042575"/>
      <w:bookmarkStart w:id="888" w:name="_Toc152045786"/>
      <w:bookmarkStart w:id="889" w:name="_Toc179632806"/>
      <w:bookmarkStart w:id="890" w:name="_Toc35425136"/>
      <w:bookmarkStart w:id="891" w:name="_Toc247085872"/>
      <w:bookmarkStart w:id="892" w:name="_Toc246996354"/>
      <w:r>
        <w:rPr>
          <w:rFonts w:hint="eastAsia" w:ascii="宋体" w:hAnsi="宋体" w:eastAsia="宋体" w:cs="宋体"/>
          <w:color w:val="auto"/>
          <w:kern w:val="0"/>
          <w:sz w:val="21"/>
          <w:szCs w:val="21"/>
        </w:rPr>
        <w:t>委托方（甲方）：</w:t>
      </w:r>
      <w:r>
        <w:rPr>
          <w:rFonts w:hint="eastAsia" w:ascii="宋体" w:hAnsi="宋体" w:eastAsia="宋体" w:cs="宋体"/>
          <w:color w:val="auto"/>
          <w:kern w:val="0"/>
          <w:sz w:val="21"/>
          <w:szCs w:val="21"/>
          <w:u w:val="single"/>
          <w:lang w:val="en-US" w:eastAsia="zh-CN"/>
        </w:rPr>
        <w:t xml:space="preserve">                         </w:t>
      </w:r>
    </w:p>
    <w:p w14:paraId="0BB07543">
      <w:pPr>
        <w:keepNext w:val="0"/>
        <w:keepLines w:val="0"/>
        <w:pageBreakBefore w:val="0"/>
        <w:kinsoku/>
        <w:wordWrap/>
        <w:overflowPunct/>
        <w:topLinePunct w:val="0"/>
        <w:autoSpaceDE/>
        <w:autoSpaceDN/>
        <w:bidi w:val="0"/>
        <w:adjustRightInd w:val="0"/>
        <w:snapToGrid w:val="0"/>
        <w:spacing w:line="41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受托方（乙方）：</w:t>
      </w:r>
      <w:r>
        <w:rPr>
          <w:rFonts w:hint="eastAsia" w:ascii="宋体" w:hAnsi="宋体" w:eastAsia="宋体" w:cs="宋体"/>
          <w:color w:val="auto"/>
          <w:kern w:val="0"/>
          <w:sz w:val="21"/>
          <w:szCs w:val="21"/>
          <w:u w:val="single"/>
          <w:lang w:val="en-US" w:eastAsia="zh-CN"/>
        </w:rPr>
        <w:t xml:space="preserve">                         </w:t>
      </w:r>
    </w:p>
    <w:p w14:paraId="1810E43E">
      <w:pPr>
        <w:keepNext w:val="0"/>
        <w:keepLines w:val="0"/>
        <w:pageBreakBefore w:val="0"/>
        <w:widowControl/>
        <w:kinsoku/>
        <w:wordWrap/>
        <w:overflowPunct/>
        <w:topLinePunct w:val="0"/>
        <w:autoSpaceDE/>
        <w:autoSpaceDN/>
        <w:bidi w:val="0"/>
        <w:spacing w:line="41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为保证</w:t>
      </w:r>
      <w:r>
        <w:rPr>
          <w:rFonts w:hint="eastAsia" w:ascii="宋体" w:hAnsi="宋体" w:eastAsia="宋体" w:cs="宋体"/>
          <w:color w:val="auto"/>
          <w:kern w:val="0"/>
          <w:sz w:val="21"/>
          <w:szCs w:val="21"/>
          <w:u w:val="single"/>
          <w:lang w:val="en-US" w:eastAsia="zh-CN"/>
        </w:rPr>
        <w:t xml:space="preserve">                      （项目名称）   </w:t>
      </w:r>
      <w:r>
        <w:rPr>
          <w:rFonts w:hint="eastAsia" w:ascii="宋体" w:hAnsi="宋体" w:eastAsia="宋体" w:cs="宋体"/>
          <w:color w:val="auto"/>
          <w:kern w:val="0"/>
          <w:sz w:val="21"/>
          <w:szCs w:val="21"/>
        </w:rPr>
        <w:t>跟踪审计工作质量和效率，依据《中华人民共和国审计法》、《中华人民共和国</w:t>
      </w:r>
      <w:r>
        <w:rPr>
          <w:rFonts w:hint="eastAsia" w:ascii="宋体" w:hAnsi="宋体" w:eastAsia="宋体" w:cs="宋体"/>
          <w:color w:val="auto"/>
          <w:kern w:val="0"/>
          <w:sz w:val="21"/>
          <w:szCs w:val="21"/>
          <w:lang w:val="en-US" w:eastAsia="zh-CN"/>
        </w:rPr>
        <w:t>民法典</w:t>
      </w:r>
      <w:r>
        <w:rPr>
          <w:rFonts w:hint="eastAsia" w:ascii="宋体" w:hAnsi="宋体" w:eastAsia="宋体" w:cs="宋体"/>
          <w:color w:val="auto"/>
          <w:kern w:val="0"/>
          <w:sz w:val="21"/>
          <w:szCs w:val="21"/>
        </w:rPr>
        <w:t>》等有关法律法规，甲、乙双方经协商一致，自愿签订本协议。</w:t>
      </w:r>
    </w:p>
    <w:p w14:paraId="04D99F5B">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一、跟踪审计项目</w:t>
      </w:r>
    </w:p>
    <w:p w14:paraId="6D580292">
      <w:pPr>
        <w:keepNext w:val="0"/>
        <w:keepLines w:val="0"/>
        <w:pageBreakBefore w:val="0"/>
        <w:kinsoku/>
        <w:wordWrap/>
        <w:overflowPunct/>
        <w:topLinePunct w:val="0"/>
        <w:autoSpaceDE/>
        <w:autoSpaceDN/>
        <w:bidi w:val="0"/>
        <w:snapToGrid w:val="0"/>
        <w:spacing w:line="410" w:lineRule="exact"/>
        <w:ind w:firstLine="57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1.项目名称：</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u w:val="single"/>
          <w:lang w:val="en-US" w:eastAsia="zh-CN"/>
        </w:rPr>
        <w:t xml:space="preserve">                                </w:t>
      </w:r>
    </w:p>
    <w:p w14:paraId="2529BCA4">
      <w:pPr>
        <w:keepNext w:val="0"/>
        <w:keepLines w:val="0"/>
        <w:pageBreakBefore w:val="0"/>
        <w:kinsoku/>
        <w:wordWrap/>
        <w:overflowPunct/>
        <w:topLinePunct w:val="0"/>
        <w:autoSpaceDE/>
        <w:autoSpaceDN/>
        <w:bidi w:val="0"/>
        <w:snapToGrid w:val="0"/>
        <w:spacing w:line="410" w:lineRule="exact"/>
        <w:ind w:firstLine="57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2.项目投资额：</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p>
    <w:p w14:paraId="798AE112">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二、项目跟踪审计内容</w:t>
      </w:r>
    </w:p>
    <w:p w14:paraId="61AC005F">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1.</w:t>
      </w:r>
      <w:r>
        <w:rPr>
          <w:rFonts w:hint="eastAsia" w:ascii="宋体" w:hAnsi="宋体" w:eastAsia="宋体" w:cs="宋体"/>
          <w:kern w:val="0"/>
          <w:szCs w:val="21"/>
          <w:u w:val="none" w:color="000000"/>
        </w:rPr>
        <w:t xml:space="preserve">成立项目跟踪（结算）审计组，编制跟踪（结算）审计实施方案，确定投资控制目标、重点环节及应对措施； </w:t>
      </w:r>
    </w:p>
    <w:p w14:paraId="26DE3BB3">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2.</w:t>
      </w:r>
      <w:r>
        <w:rPr>
          <w:rFonts w:hint="eastAsia" w:ascii="宋体" w:hAnsi="宋体" w:eastAsia="宋体" w:cs="宋体"/>
          <w:kern w:val="0"/>
          <w:szCs w:val="21"/>
          <w:u w:val="none" w:color="000000"/>
        </w:rPr>
        <w:t>审核项目前期资料（图纸、工程量清单及控制价、招标投标文件、施工合同等），向甲方提交审核结果；</w:t>
      </w:r>
    </w:p>
    <w:p w14:paraId="1435D7F5">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3.</w:t>
      </w:r>
      <w:r>
        <w:rPr>
          <w:rFonts w:hint="eastAsia" w:ascii="宋体" w:hAnsi="宋体" w:eastAsia="宋体" w:cs="宋体"/>
          <w:kern w:val="0"/>
          <w:szCs w:val="21"/>
          <w:u w:val="none" w:color="000000"/>
        </w:rPr>
        <w:t>对承包方上报的请款期已完成合格工程量的计量、计价进行审核，并提供按工程形象进度付款的意见、建议；</w:t>
      </w:r>
    </w:p>
    <w:p w14:paraId="294BBE09">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4.</w:t>
      </w:r>
      <w:r>
        <w:rPr>
          <w:rFonts w:hint="eastAsia" w:ascii="宋体" w:hAnsi="宋体" w:eastAsia="宋体" w:cs="宋体"/>
          <w:kern w:val="0"/>
          <w:szCs w:val="21"/>
          <w:u w:val="none" w:color="000000"/>
        </w:rPr>
        <w:t>及时核定分阶段完工的项目分部、分项工程价款结算，项目竣工后，及时提交完整的竣工结算审核报告；</w:t>
      </w:r>
    </w:p>
    <w:p w14:paraId="396C98E9">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5.</w:t>
      </w:r>
      <w:r>
        <w:rPr>
          <w:rFonts w:hint="eastAsia" w:ascii="宋体" w:hAnsi="宋体" w:eastAsia="宋体" w:cs="宋体"/>
          <w:kern w:val="0"/>
          <w:szCs w:val="21"/>
          <w:u w:val="none" w:color="000000"/>
        </w:rPr>
        <w:t>协助甲方及时审核设计变更、经济签证等发生的费用，超过一定限额的，提请甲方履行报批程序；</w:t>
      </w:r>
    </w:p>
    <w:p w14:paraId="7A7A3950">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6.</w:t>
      </w:r>
      <w:r>
        <w:rPr>
          <w:rFonts w:hint="eastAsia" w:ascii="宋体" w:hAnsi="宋体" w:eastAsia="宋体" w:cs="宋体"/>
          <w:kern w:val="0"/>
          <w:szCs w:val="21"/>
          <w:u w:val="none" w:color="000000"/>
        </w:rPr>
        <w:t>项目承、发包方发生工程价款结算争议时，为甲方提供咨询意见；</w:t>
      </w:r>
    </w:p>
    <w:p w14:paraId="569925A5">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7.</w:t>
      </w:r>
      <w:r>
        <w:rPr>
          <w:rFonts w:hint="eastAsia" w:ascii="宋体" w:hAnsi="宋体" w:eastAsia="宋体" w:cs="宋体"/>
          <w:kern w:val="0"/>
          <w:szCs w:val="21"/>
          <w:u w:val="none" w:color="000000"/>
        </w:rPr>
        <w:t xml:space="preserve">参与项目建设管理的有关会议，对项目投资控制的有关事项发表独立审计意见； </w:t>
      </w:r>
    </w:p>
    <w:p w14:paraId="70371380">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val="en-US" w:eastAsia="zh-CN"/>
        </w:rPr>
        <w:t>8.</w:t>
      </w:r>
      <w:r>
        <w:rPr>
          <w:rFonts w:hint="eastAsia" w:ascii="宋体" w:hAnsi="宋体" w:eastAsia="宋体" w:cs="宋体"/>
          <w:kern w:val="0"/>
          <w:szCs w:val="21"/>
          <w:u w:val="none" w:color="000000"/>
        </w:rPr>
        <w:t>其他与项目投资控制相关的工作。</w:t>
      </w:r>
    </w:p>
    <w:p w14:paraId="316C8E45">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、项目跟踪审计组及人员配备要求</w:t>
      </w:r>
    </w:p>
    <w:p w14:paraId="6C3CE879">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1.乙方须成立项目跟踪（结算）审计组，配备相应数量具有相关专业执业资质的审计人员（须为备选库入库人员）。本项目审计组负责人为姓名、注册造价师证书号、联系电话，成员为姓名、</w:t>
      </w:r>
      <w:r>
        <w:rPr>
          <w:rFonts w:hint="eastAsia" w:ascii="宋体" w:hAnsi="宋体" w:eastAsia="宋体" w:cs="宋体"/>
          <w:kern w:val="0"/>
          <w:szCs w:val="21"/>
          <w:u w:val="none" w:color="000000"/>
          <w:lang w:val="en-US" w:eastAsia="zh-CN"/>
        </w:rPr>
        <w:t>造价师</w:t>
      </w:r>
      <w:r>
        <w:rPr>
          <w:rFonts w:hint="eastAsia" w:ascii="宋体" w:hAnsi="宋体" w:eastAsia="宋体" w:cs="宋体"/>
          <w:kern w:val="0"/>
          <w:szCs w:val="21"/>
          <w:u w:val="none" w:color="000000"/>
        </w:rPr>
        <w:t>证书号、联系电话（现场负责人）；</w:t>
      </w:r>
    </w:p>
    <w:p w14:paraId="48A2AAA0">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2.项目审计人员须服从甲方的工作安排，未经甲方许可，乙方不得随意更换、调整审计组人员。</w:t>
      </w:r>
    </w:p>
    <w:p w14:paraId="31A13E69">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五、项目跟踪审计质量要求</w:t>
      </w:r>
    </w:p>
    <w:p w14:paraId="69E5EDEE">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项目跟踪审计、结算审核服务费的误差违约金处罚根据第三方复审、综合计划科复核或市财政工程造价审核中心的审核结果确定：</w:t>
      </w:r>
    </w:p>
    <w:p w14:paraId="2F161DBC">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（一）审核结果误差在1%-2%（含）之间，以服务费的25%作为违约金；</w:t>
      </w:r>
    </w:p>
    <w:p w14:paraId="04835798">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（二）审核结果误差在2%-3%（含）之间，以服务费的50%作为违约金；</w:t>
      </w:r>
    </w:p>
    <w:p w14:paraId="5FD97417">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（三）审核结果误差在3%-4%（含）之间，以服务费的75%作为违约金；</w:t>
      </w:r>
    </w:p>
    <w:p w14:paraId="10D1203A">
      <w:pPr>
        <w:keepNext w:val="0"/>
        <w:keepLines w:val="0"/>
        <w:pageBreakBefore w:val="0"/>
        <w:widowControl/>
        <w:kinsoku/>
        <w:wordWrap/>
        <w:overflowPunct/>
        <w:topLinePunct w:val="0"/>
        <w:autoSpaceDE/>
        <w:autoSpaceDN/>
        <w:bidi w:val="0"/>
        <w:adjustRightInd/>
        <w:snapToGrid w:val="0"/>
        <w:spacing w:line="41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rPr>
        <w:t>（四）审核结果误差超过4%的, 以全额服务费作为违约金。</w:t>
      </w:r>
    </w:p>
    <w:p w14:paraId="7957A530">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六、项目跟踪审计服务费用标准及结算方式</w:t>
      </w:r>
    </w:p>
    <w:p w14:paraId="6D6D988A">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1.项目跟踪审计服务费用标准</w:t>
      </w:r>
    </w:p>
    <w:p w14:paraId="425125CB">
      <w:pPr>
        <w:keepNext w:val="0"/>
        <w:keepLines w:val="0"/>
        <w:pageBreakBefore w:val="0"/>
        <w:kinsoku/>
        <w:wordWrap/>
        <w:overflowPunct/>
        <w:topLinePunct w:val="0"/>
        <w:autoSpaceDE/>
        <w:autoSpaceDN/>
        <w:bidi w:val="0"/>
        <w:snapToGrid w:val="0"/>
        <w:spacing w:line="410" w:lineRule="exact"/>
        <w:ind w:firstLine="555"/>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本项目基本费率为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‰，审核成果费率为：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w:t>
      </w:r>
    </w:p>
    <w:p w14:paraId="6DE7AD24">
      <w:pPr>
        <w:keepNext w:val="0"/>
        <w:keepLines w:val="0"/>
        <w:pageBreakBefore w:val="0"/>
        <w:kinsoku/>
        <w:wordWrap/>
        <w:overflowPunct/>
        <w:topLinePunct w:val="0"/>
        <w:autoSpaceDE/>
        <w:autoSpaceDN/>
        <w:bidi w:val="0"/>
        <w:snapToGrid w:val="0"/>
        <w:spacing w:line="410" w:lineRule="exact"/>
        <w:ind w:firstLine="555"/>
        <w:jc w:val="left"/>
        <w:textAlignment w:val="auto"/>
        <w:rPr>
          <w:rFonts w:hint="eastAsia"/>
          <w:highlight w:val="none"/>
          <w:lang w:eastAsia="zh-CN"/>
        </w:rPr>
      </w:pPr>
      <w:r>
        <w:rPr>
          <w:rFonts w:hint="eastAsia" w:ascii="宋体" w:hAnsi="宋体" w:eastAsia="宋体" w:cs="宋体"/>
          <w:color w:val="auto"/>
          <w:sz w:val="21"/>
          <w:szCs w:val="21"/>
        </w:rPr>
        <w:t>说明：（1）跟踪审计</w:t>
      </w:r>
      <w:r>
        <w:rPr>
          <w:rFonts w:hint="eastAsia" w:ascii="宋体" w:hAnsi="宋体" w:eastAsia="宋体" w:cs="宋体"/>
          <w:color w:val="auto"/>
          <w:sz w:val="21"/>
          <w:szCs w:val="21"/>
          <w:highlight w:val="none"/>
        </w:rPr>
        <w:t>费用计算方式为：基本费用+审核成果费用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lang w:val="en-US" w:eastAsia="zh-CN"/>
        </w:rPr>
        <w:t>即最终</w:t>
      </w:r>
      <w:r>
        <w:rPr>
          <w:rFonts w:hint="eastAsia" w:ascii="宋体" w:hAnsi="宋体" w:cs="宋体"/>
          <w:color w:val="auto"/>
          <w:highlight w:val="none"/>
          <w:lang w:val="en-US" w:eastAsia="zh-CN"/>
        </w:rPr>
        <w:t>审计费用计算公式=所报基本费率×500万元+（500万元×5%）×1.5%。</w:t>
      </w:r>
      <w:r>
        <w:rPr>
          <w:rFonts w:hint="eastAsia" w:ascii="宋体" w:hAnsi="宋体" w:cs="宋体"/>
          <w:b/>
          <w:bCs/>
          <w:highlight w:val="none"/>
          <w:lang w:val="en-US" w:eastAsia="zh-CN"/>
        </w:rPr>
        <w:t>合同履行期内各项目审计费用累计至29万元时，完成履约项目后合同终止，正在履约的项目不做费用增加</w:t>
      </w:r>
      <w:r>
        <w:rPr>
          <w:rFonts w:hint="eastAsia" w:ascii="宋体" w:hAnsi="宋体" w:eastAsia="宋体" w:cs="宋体"/>
          <w:b/>
          <w:bCs/>
          <w:highlight w:val="none"/>
          <w:lang w:val="en-US" w:eastAsia="zh-CN"/>
        </w:rPr>
        <w:t>。</w:t>
      </w:r>
    </w:p>
    <w:p w14:paraId="384FD5A5">
      <w:pPr>
        <w:keepNext w:val="0"/>
        <w:keepLines w:val="0"/>
        <w:pageBreakBefore w:val="0"/>
        <w:kinsoku/>
        <w:wordWrap/>
        <w:overflowPunct/>
        <w:topLinePunct w:val="0"/>
        <w:autoSpaceDE/>
        <w:autoSpaceDN/>
        <w:bidi w:val="0"/>
        <w:snapToGrid w:val="0"/>
        <w:spacing w:line="410" w:lineRule="exact"/>
        <w:ind w:firstLine="55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2.项目跟踪审计费用结算方式</w:t>
      </w:r>
    </w:p>
    <w:p w14:paraId="0E2562BB">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按甲方要求及时完成各工程审计工作并出具审核报告，交付甲方审查确认后，按照审计委托协议约定一次性无息支付结算后审计服务费用。</w:t>
      </w:r>
    </w:p>
    <w:p w14:paraId="7A45080B">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（2）乙方未按要求完成跟踪审计工作并移交相关资料，甲方有权拒付审计服务费用，并按照《政府投资项目跟踪审计协审机构跟踪审计工作考核办法》的有关规定追究项目协审机构相关责任。</w:t>
      </w:r>
    </w:p>
    <w:p w14:paraId="58D4B843">
      <w:pPr>
        <w:pStyle w:val="42"/>
        <w:keepNext w:val="0"/>
        <w:keepLines w:val="0"/>
        <w:pageBreakBefore w:val="0"/>
        <w:kinsoku/>
        <w:wordWrap/>
        <w:overflowPunct/>
        <w:topLinePunct w:val="0"/>
        <w:autoSpaceDE/>
        <w:autoSpaceDN/>
        <w:bidi w:val="0"/>
        <w:snapToGrid w:val="0"/>
        <w:spacing w:before="0" w:beforeAutospacing="0" w:after="0" w:afterAutospacing="0" w:line="410" w:lineRule="exact"/>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七、审计质量、时限及过程管理要求</w:t>
      </w:r>
    </w:p>
    <w:p w14:paraId="0FBA6500">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跟踪审计</w:t>
      </w:r>
      <w:r>
        <w:rPr>
          <w:rFonts w:hint="eastAsia" w:ascii="宋体" w:hAnsi="宋体" w:eastAsia="宋体" w:cs="宋体"/>
          <w:color w:val="auto"/>
          <w:sz w:val="21"/>
          <w:szCs w:val="21"/>
        </w:rPr>
        <w:t>机构应及时认真地分析阅读工程量清单及控制价、招投标文件、合同（协议）、施工图纸、设计变更、技术签证等相关文件资料，在施工现场勘察测量和了解实际情况并做好记录。</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应根据建设单位、监理单位、施工单位提供的有关资料在《工程造价咨询服务管理办法》文件规定的工作日内完成审核工作，不得无故拖延时间。</w:t>
      </w:r>
    </w:p>
    <w:p w14:paraId="310924D8">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rPr>
      </w:pPr>
      <w:r>
        <w:rPr>
          <w:rFonts w:hint="eastAsia" w:ascii="宋体" w:hAnsi="宋体" w:eastAsia="宋体" w:cs="宋体"/>
          <w:color w:val="auto"/>
          <w:sz w:val="21"/>
          <w:szCs w:val="21"/>
          <w:lang w:val="en-US" w:eastAsia="zh-CN"/>
        </w:rPr>
        <w:t>跟踪审计</w:t>
      </w:r>
      <w:r>
        <w:rPr>
          <w:rFonts w:hint="eastAsia" w:ascii="宋体" w:hAnsi="宋体" w:eastAsia="宋体" w:cs="宋体"/>
          <w:color w:val="auto"/>
          <w:sz w:val="21"/>
          <w:szCs w:val="21"/>
        </w:rPr>
        <w:t>机构在</w:t>
      </w:r>
      <w:r>
        <w:rPr>
          <w:rFonts w:hint="eastAsia" w:ascii="宋体" w:hAnsi="宋体" w:eastAsia="宋体" w:cs="宋体"/>
          <w:color w:val="auto"/>
          <w:sz w:val="21"/>
          <w:szCs w:val="21"/>
          <w:lang w:val="en-US" w:eastAsia="zh-CN"/>
        </w:rPr>
        <w:t>跟踪审计</w:t>
      </w:r>
      <w:r>
        <w:rPr>
          <w:rFonts w:hint="eastAsia" w:ascii="宋体" w:hAnsi="宋体" w:eastAsia="宋体" w:cs="宋体"/>
          <w:color w:val="auto"/>
          <w:sz w:val="21"/>
          <w:szCs w:val="21"/>
        </w:rPr>
        <w:t>过程须遵守招标人制定的《工程造价咨询服务管理办法》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以及为提升审计质量和效率、控制廉政风险等方面制定的各项规定。</w:t>
      </w:r>
    </w:p>
    <w:p w14:paraId="7A5CB7E0">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、项目跟踪审计工作考核奖惩</w:t>
      </w:r>
    </w:p>
    <w:p w14:paraId="63D24F62">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造价企业有下列情形之一的，可扣减审计服务费用，终止审计委托协议，提请行政主管部门给予警告、通报，清除出库，有限期或无限期禁止从事我处项目等处罚，构成犯罪的，依法追究刑事责任：</w:t>
      </w:r>
    </w:p>
    <w:p w14:paraId="313A1F78">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）工程结算审核报告存在重大失误或质量低劣；</w:t>
      </w:r>
    </w:p>
    <w:p w14:paraId="061A3600">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）因自身工作错误或过失造成重大损失；</w:t>
      </w:r>
    </w:p>
    <w:p w14:paraId="0A2A8BE8">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）未经允许私自向施工单位透露审核情况或信息；</w:t>
      </w:r>
    </w:p>
    <w:p w14:paraId="4AA9B705">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）向相关单位或个人索要财物等谋取不正当利益；</w:t>
      </w:r>
    </w:p>
    <w:p w14:paraId="1FF76901">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）单独或与其他各方串通舞弊、弄虚作假；</w:t>
      </w:r>
    </w:p>
    <w:p w14:paraId="4A0CAA29">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）其他违反法律法规和规定的行为。</w:t>
      </w:r>
    </w:p>
    <w:p w14:paraId="575FC2D8">
      <w:pPr>
        <w:keepNext w:val="0"/>
        <w:keepLines w:val="0"/>
        <w:pageBreakBefore w:val="0"/>
        <w:kinsoku/>
        <w:wordWrap/>
        <w:overflowPunct/>
        <w:topLinePunct w:val="0"/>
        <w:autoSpaceDE/>
        <w:autoSpaceDN/>
        <w:bidi w:val="0"/>
        <w:snapToGrid w:val="0"/>
        <w:spacing w:line="410" w:lineRule="exact"/>
        <w:ind w:firstLine="48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、甲乙双方的权利和义务</w:t>
      </w:r>
      <w:r>
        <w:rPr>
          <w:rFonts w:hint="eastAsia" w:ascii="宋体" w:hAnsi="宋体" w:eastAsia="宋体" w:cs="宋体"/>
          <w:color w:val="auto"/>
          <w:sz w:val="21"/>
          <w:szCs w:val="21"/>
        </w:rPr>
        <w:t xml:space="preserve"> </w:t>
      </w:r>
    </w:p>
    <w:p w14:paraId="0D9AD366">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1.甲方权利和义务 </w:t>
      </w:r>
    </w:p>
    <w:p w14:paraId="3121B3DA">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（1）甲方有权对乙方的跟踪审计项目实施监督，对乙方审计工作程序、质量和效率等进行检查考核；</w:t>
      </w:r>
    </w:p>
    <w:p w14:paraId="251BEEC2">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（2）项目跟踪审计过程中，甲方如发现乙方所派审计人员不符合要求或不能胜任岗位工作职责的，甲方有权要求乙方及时调换，或视情况给予相应的处理、处罚；</w:t>
      </w:r>
    </w:p>
    <w:p w14:paraId="5B00FEA3">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（3）甲方保证乙方审计服务费用的按时到位。</w:t>
      </w:r>
    </w:p>
    <w:p w14:paraId="7751D45E">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2.乙方权利和义务</w:t>
      </w:r>
    </w:p>
    <w:p w14:paraId="0BA24650">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（1）乙方在完成审计任务后，有权及时取得审计服务费用；</w:t>
      </w:r>
    </w:p>
    <w:p w14:paraId="08BACA2B">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（2）乙方须依照甲方工作要求及行业准则、规范，按时、保质、保量完成所承担的审计任务；</w:t>
      </w:r>
    </w:p>
    <w:p w14:paraId="34CA1273">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（3）乙方必须对审计人员进行廉政教育，如发现有违反廉洁自律规定的行为，应立即更换人员，并对其严肃处理。同时，甲方可根据性质及情节，扣减相应审计服务费用。</w:t>
      </w:r>
    </w:p>
    <w:p w14:paraId="74D1F0C6">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3、双方权力和责任</w:t>
      </w:r>
    </w:p>
    <w:p w14:paraId="1A222D59">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有权进行现场调查和监督，随时调阅有关资料，参与审计的查证、对账和答疑等有关活动。若</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未按委托协议完成业务或审计工作中出现严重差错，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有权追究</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法律和经济责任，并视情节扣减部分或全部审计服务费用，直至终止委托关系。</w:t>
      </w:r>
    </w:p>
    <w:p w14:paraId="33924AB5">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监督协议的执行，协调和处理履约过程中的问题，对</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审计工作开展情况进行考核，主要内容包括审计程序、现场履职、审计质量和效率、廉政纪律等方面，考核结果作为经济奖惩和以后参与政府投资项目审计服务的重要依据。</w:t>
      </w:r>
    </w:p>
    <w:p w14:paraId="300FE6A3">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应本着客观、公正、公平的原则，正确履行审计职责，同时承担相应的法律责任。对</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滥用职权、与施工单位串通、徇私舞弊、玩忽职守的，视情节，按有关规定对</w:t>
      </w:r>
      <w:r>
        <w:rPr>
          <w:rFonts w:hint="eastAsia" w:ascii="宋体" w:hAnsi="宋体" w:eastAsia="宋体" w:cs="宋体"/>
          <w:color w:val="auto"/>
          <w:sz w:val="21"/>
          <w:szCs w:val="21"/>
          <w:lang w:eastAsia="zh-CN"/>
        </w:rPr>
        <w:t>跟踪审计机构</w:t>
      </w:r>
      <w:r>
        <w:rPr>
          <w:rFonts w:hint="eastAsia" w:ascii="宋体" w:hAnsi="宋体" w:eastAsia="宋体" w:cs="宋体"/>
          <w:color w:val="auto"/>
          <w:sz w:val="21"/>
          <w:szCs w:val="21"/>
        </w:rPr>
        <w:t>及其当事人进行处理处罚；情节严重，涉嫌违法违纪的，依法移送纪检、司法机关查处。</w:t>
      </w:r>
    </w:p>
    <w:p w14:paraId="3F1896BB">
      <w:pPr>
        <w:keepNext w:val="0"/>
        <w:keepLines w:val="0"/>
        <w:pageBreakBefore w:val="0"/>
        <w:widowControl w:val="0"/>
        <w:kinsoku/>
        <w:wordWrap/>
        <w:overflowPunct/>
        <w:topLinePunct w:val="0"/>
        <w:autoSpaceDE/>
        <w:autoSpaceDN/>
        <w:bidi w:val="0"/>
        <w:adjustRightInd/>
        <w:snapToGrid w:val="0"/>
        <w:spacing w:before="93" w:beforeLines="30" w:after="93" w:afterLines="30" w:line="41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、附则</w:t>
      </w:r>
    </w:p>
    <w:p w14:paraId="76B7C082">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1.本协议一式</w:t>
      </w:r>
      <w:r>
        <w:rPr>
          <w:rFonts w:hint="eastAsia" w:ascii="宋体" w:hAnsi="宋体" w:eastAsia="宋体" w:cs="宋体"/>
          <w:color w:val="auto"/>
          <w:sz w:val="21"/>
          <w:szCs w:val="21"/>
          <w:lang w:val="en-US" w:eastAsia="zh-CN"/>
        </w:rPr>
        <w:t>肆</w:t>
      </w:r>
      <w:r>
        <w:rPr>
          <w:rFonts w:hint="eastAsia" w:ascii="宋体" w:hAnsi="宋体" w:eastAsia="宋体" w:cs="宋体"/>
          <w:color w:val="auto"/>
          <w:sz w:val="21"/>
          <w:szCs w:val="21"/>
        </w:rPr>
        <w:t>份，具有同等法律效力，甲方、乙方各执</w:t>
      </w:r>
      <w:r>
        <w:rPr>
          <w:rFonts w:hint="eastAsia" w:ascii="宋体" w:hAnsi="宋体" w:eastAsia="宋体" w:cs="宋体"/>
          <w:color w:val="auto"/>
          <w:sz w:val="21"/>
          <w:szCs w:val="21"/>
          <w:lang w:eastAsia="zh-CN"/>
        </w:rPr>
        <w:t>贰</w:t>
      </w:r>
      <w:r>
        <w:rPr>
          <w:rFonts w:hint="eastAsia" w:ascii="宋体" w:hAnsi="宋体" w:eastAsia="宋体" w:cs="宋体"/>
          <w:color w:val="auto"/>
          <w:sz w:val="21"/>
          <w:szCs w:val="21"/>
        </w:rPr>
        <w:t>份。</w:t>
      </w:r>
    </w:p>
    <w:p w14:paraId="65194A25">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2.本协议未尽事宜，由甲乙双方协商解决。协商不成，可向滁州市南谯区人民法院提起诉讼。</w:t>
      </w:r>
    </w:p>
    <w:p w14:paraId="2EBEA088">
      <w:pPr>
        <w:keepNext w:val="0"/>
        <w:keepLines w:val="0"/>
        <w:pageBreakBefore w:val="0"/>
        <w:kinsoku/>
        <w:wordWrap/>
        <w:overflowPunct/>
        <w:topLinePunct w:val="0"/>
        <w:autoSpaceDE/>
        <w:autoSpaceDN/>
        <w:bidi w:val="0"/>
        <w:snapToGrid w:val="0"/>
        <w:spacing w:line="41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3.本合同自双方签章后生效。</w:t>
      </w:r>
    </w:p>
    <w:p w14:paraId="63E4D3D4">
      <w:pPr>
        <w:pStyle w:val="42"/>
        <w:keepNext w:val="0"/>
        <w:keepLines w:val="0"/>
        <w:pageBreakBefore w:val="0"/>
        <w:kinsoku/>
        <w:wordWrap/>
        <w:overflowPunct/>
        <w:topLinePunct w:val="0"/>
        <w:autoSpaceDE/>
        <w:autoSpaceDN/>
        <w:bidi w:val="0"/>
        <w:snapToGrid w:val="0"/>
        <w:spacing w:before="0" w:beforeAutospacing="0" w:after="0" w:afterAutospacing="0" w:line="410" w:lineRule="exact"/>
        <w:ind w:firstLine="480" w:firstLineChars="200"/>
        <w:textAlignment w:val="auto"/>
        <w:rPr>
          <w:rFonts w:hint="eastAsia" w:eastAsia="宋体" w:cs="Times New Roman"/>
          <w:color w:val="auto"/>
          <w:kern w:val="2"/>
          <w:sz w:val="24"/>
          <w:szCs w:val="24"/>
          <w:highlight w:val="none"/>
        </w:rPr>
      </w:pPr>
    </w:p>
    <w:p w14:paraId="396820AD">
      <w:pPr>
        <w:pStyle w:val="42"/>
        <w:keepNext w:val="0"/>
        <w:keepLines w:val="0"/>
        <w:pageBreakBefore w:val="0"/>
        <w:kinsoku/>
        <w:wordWrap/>
        <w:overflowPunct/>
        <w:topLinePunct w:val="0"/>
        <w:autoSpaceDE/>
        <w:autoSpaceDN/>
        <w:bidi w:val="0"/>
        <w:snapToGrid w:val="0"/>
        <w:spacing w:before="0" w:beforeAutospacing="0" w:after="0" w:afterAutospacing="0" w:line="410" w:lineRule="exact"/>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 xml:space="preserve">甲方（签章）                              乙方（签章）           </w:t>
      </w:r>
    </w:p>
    <w:p w14:paraId="36514232">
      <w:pPr>
        <w:ind w:firstLine="480" w:firstLineChars="200"/>
        <w:rPr>
          <w:rFonts w:hint="eastAsia"/>
          <w:sz w:val="32"/>
          <w:szCs w:val="32"/>
        </w:rPr>
      </w:pPr>
      <w:r>
        <w:rPr>
          <w:rFonts w:hint="eastAsia" w:eastAsia="宋体" w:cs="Times New Roman"/>
          <w:color w:val="auto"/>
          <w:kern w:val="2"/>
          <w:sz w:val="24"/>
          <w:szCs w:val="24"/>
          <w:highlight w:val="none"/>
        </w:rPr>
        <w:t xml:space="preserve">年   月   日                             </w:t>
      </w:r>
      <w:r>
        <w:rPr>
          <w:rFonts w:hint="eastAsia" w:eastAsia="宋体" w:cs="Times New Roman"/>
          <w:color w:val="auto"/>
          <w:kern w:val="2"/>
          <w:sz w:val="24"/>
          <w:szCs w:val="24"/>
          <w:highlight w:val="none"/>
          <w:lang w:val="en-US" w:eastAsia="zh-CN"/>
        </w:rPr>
        <w:t xml:space="preserve"> </w:t>
      </w:r>
      <w:r>
        <w:rPr>
          <w:rFonts w:hint="eastAsia" w:eastAsia="宋体" w:cs="Times New Roman"/>
          <w:color w:val="auto"/>
          <w:kern w:val="2"/>
          <w:sz w:val="24"/>
          <w:szCs w:val="24"/>
          <w:highlight w:val="none"/>
        </w:rPr>
        <w:t>年  月  日  </w:t>
      </w:r>
      <w:r>
        <w:rPr>
          <w:rFonts w:hint="eastAsia"/>
          <w:sz w:val="32"/>
          <w:szCs w:val="32"/>
        </w:rPr>
        <w:br w:type="page"/>
      </w:r>
    </w:p>
    <w:p w14:paraId="25F33252">
      <w:pPr>
        <w:pStyle w:val="6"/>
        <w:pageBreakBefore w:val="0"/>
        <w:kinsoku/>
        <w:wordWrap/>
        <w:overflowPunct/>
        <w:topLinePunct w:val="0"/>
        <w:autoSpaceDE/>
        <w:autoSpaceDN/>
        <w:bidi w:val="0"/>
        <w:adjustRightInd/>
        <w:spacing w:before="156" w:beforeLines="50" w:after="156" w:afterLines="50" w:line="460" w:lineRule="exact"/>
        <w:jc w:val="center"/>
        <w:rPr>
          <w:rFonts w:hint="eastAsia"/>
          <w:sz w:val="32"/>
          <w:szCs w:val="32"/>
        </w:rPr>
      </w:pPr>
      <w:r>
        <w:rPr>
          <w:rFonts w:hint="eastAsia"/>
          <w:sz w:val="32"/>
          <w:szCs w:val="32"/>
        </w:rPr>
        <w:t>第五章  技术标准和要求</w:t>
      </w:r>
      <w:bookmarkEnd w:id="876"/>
      <w:bookmarkEnd w:id="877"/>
      <w:bookmarkEnd w:id="878"/>
      <w:bookmarkEnd w:id="879"/>
    </w:p>
    <w:p w14:paraId="23061951">
      <w:pPr>
        <w:pageBreakBefore w:val="0"/>
        <w:kinsoku/>
        <w:wordWrap/>
        <w:overflowPunct/>
        <w:topLinePunct w:val="0"/>
        <w:autoSpaceDE/>
        <w:autoSpaceDN/>
        <w:bidi w:val="0"/>
        <w:adjustRightInd/>
        <w:spacing w:line="460" w:lineRule="exact"/>
        <w:ind w:firstLine="482" w:firstLineChars="200"/>
        <w:jc w:val="left"/>
        <w:rPr>
          <w:rFonts w:ascii="宋体" w:hAnsi="宋体"/>
          <w:b/>
          <w:bCs w:val="0"/>
          <w:kern w:val="0"/>
          <w:sz w:val="24"/>
          <w:lang w:val="zh-CN"/>
        </w:rPr>
      </w:pPr>
      <w:bookmarkStart w:id="893" w:name="_Toc15912049"/>
      <w:bookmarkStart w:id="894" w:name="_Toc15568852"/>
      <w:r>
        <w:rPr>
          <w:rFonts w:hint="eastAsia" w:ascii="宋体" w:hAnsi="宋体"/>
          <w:b/>
          <w:bCs w:val="0"/>
          <w:kern w:val="0"/>
          <w:sz w:val="24"/>
          <w:lang w:val="en-US" w:eastAsia="zh-CN"/>
        </w:rPr>
        <w:t>一、技术标准</w:t>
      </w:r>
      <w:r>
        <w:rPr>
          <w:rFonts w:ascii="宋体" w:hAnsi="宋体"/>
          <w:b/>
          <w:bCs w:val="0"/>
          <w:kern w:val="0"/>
          <w:sz w:val="24"/>
          <w:lang w:val="zh-CN"/>
        </w:rPr>
        <w:t>按国家</w:t>
      </w:r>
      <w:r>
        <w:rPr>
          <w:rFonts w:hint="eastAsia" w:ascii="宋体" w:hAnsi="宋体"/>
          <w:b/>
          <w:bCs w:val="0"/>
          <w:kern w:val="0"/>
          <w:sz w:val="24"/>
          <w:lang w:val="zh-CN"/>
        </w:rPr>
        <w:t>、</w:t>
      </w:r>
      <w:r>
        <w:rPr>
          <w:rFonts w:hint="eastAsia" w:ascii="宋体" w:hAnsi="宋体"/>
          <w:b/>
          <w:bCs w:val="0"/>
          <w:kern w:val="0"/>
          <w:sz w:val="24"/>
        </w:rPr>
        <w:t>地方、行业</w:t>
      </w:r>
      <w:r>
        <w:rPr>
          <w:rFonts w:ascii="宋体" w:hAnsi="宋体"/>
          <w:b/>
          <w:bCs w:val="0"/>
          <w:kern w:val="0"/>
          <w:sz w:val="24"/>
          <w:lang w:val="zh-CN"/>
        </w:rPr>
        <w:t>相关标准执行</w:t>
      </w:r>
      <w:bookmarkEnd w:id="893"/>
      <w:bookmarkEnd w:id="894"/>
    </w:p>
    <w:p w14:paraId="7D1385A7">
      <w:pPr>
        <w:pageBreakBefore w:val="0"/>
        <w:kinsoku/>
        <w:wordWrap/>
        <w:overflowPunct/>
        <w:topLinePunct w:val="0"/>
        <w:autoSpaceDE/>
        <w:autoSpaceDN/>
        <w:bidi w:val="0"/>
        <w:adjustRightInd/>
        <w:spacing w:line="460" w:lineRule="exact"/>
        <w:ind w:firstLine="482" w:firstLineChars="200"/>
        <w:jc w:val="left"/>
        <w:rPr>
          <w:rFonts w:hint="eastAsia" w:ascii="宋体" w:hAnsi="宋体" w:eastAsia="宋体"/>
          <w:b/>
          <w:bCs w:val="0"/>
          <w:kern w:val="0"/>
          <w:sz w:val="24"/>
          <w:lang w:val="en-US" w:eastAsia="zh-CN"/>
        </w:rPr>
      </w:pPr>
      <w:r>
        <w:rPr>
          <w:rFonts w:hint="eastAsia" w:ascii="宋体" w:hAnsi="宋体" w:eastAsia="宋体"/>
          <w:b/>
          <w:bCs w:val="0"/>
          <w:kern w:val="0"/>
          <w:sz w:val="24"/>
          <w:lang w:val="en-US" w:eastAsia="zh-CN"/>
        </w:rPr>
        <w:t>二、项目审计内容</w:t>
      </w:r>
    </w:p>
    <w:p w14:paraId="2350BCFC">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1</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 xml:space="preserve">成立项目跟踪（结算）审计组，编制跟踪（结算）审计实施方案，确定投资控制目标、重点环节及应对措施； </w:t>
      </w:r>
    </w:p>
    <w:p w14:paraId="40CE48D7">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2</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审核项目前期资料（图纸、工程量清单及控制价、招标投标文件、施工合同等），向甲方提交审核结果；</w:t>
      </w:r>
    </w:p>
    <w:p w14:paraId="3CB9FD1B">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3</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对承包方上报的请款期已完成合格工程量的计量、计价进行审核，并提供按工程形象进度付款的意见、建议；</w:t>
      </w:r>
    </w:p>
    <w:p w14:paraId="1770D580">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4</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及时核定分阶段完工的项目分部、分项工程价款结算，项目竣工后，及时提交完整的竣工结算审核报告；</w:t>
      </w:r>
    </w:p>
    <w:p w14:paraId="65AE2135">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5</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协助甲方及时审核设计变更、经济签证等发生的费用，超过一定限额的，提请甲方履行报批程序；</w:t>
      </w:r>
    </w:p>
    <w:p w14:paraId="260D6FC9">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6</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项目承、发包方发生工程价款结算争议时，为甲方提供咨询意见；</w:t>
      </w:r>
    </w:p>
    <w:p w14:paraId="0D933BB0">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7</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 xml:space="preserve">参与项目建设管理的有关会议，对项目投资控制的有关事项发表独立审计意见； </w:t>
      </w:r>
    </w:p>
    <w:p w14:paraId="4AD16BEC">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rPr>
      </w:pP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lang w:val="en-US" w:eastAsia="zh-CN"/>
        </w:rPr>
        <w:t>8</w:t>
      </w:r>
      <w:r>
        <w:rPr>
          <w:rFonts w:hint="eastAsia" w:ascii="宋体" w:hAnsi="宋体" w:eastAsia="宋体" w:cs="宋体"/>
          <w:kern w:val="0"/>
          <w:szCs w:val="21"/>
          <w:u w:val="none" w:color="000000"/>
          <w:lang w:eastAsia="zh-CN"/>
        </w:rPr>
        <w:t>）</w:t>
      </w:r>
      <w:r>
        <w:rPr>
          <w:rFonts w:hint="eastAsia" w:ascii="宋体" w:hAnsi="宋体" w:eastAsia="宋体" w:cs="宋体"/>
          <w:kern w:val="0"/>
          <w:szCs w:val="21"/>
          <w:u w:val="none" w:color="000000"/>
        </w:rPr>
        <w:t>其他与项目投资控制相关的工作。</w:t>
      </w:r>
    </w:p>
    <w:p w14:paraId="4C61EDA4">
      <w:pPr>
        <w:pageBreakBefore w:val="0"/>
        <w:kinsoku/>
        <w:wordWrap/>
        <w:overflowPunct/>
        <w:topLinePunct w:val="0"/>
        <w:autoSpaceDE/>
        <w:autoSpaceDN/>
        <w:bidi w:val="0"/>
        <w:adjustRightInd/>
        <w:spacing w:line="460" w:lineRule="exact"/>
        <w:ind w:firstLine="482" w:firstLineChars="200"/>
        <w:jc w:val="left"/>
        <w:rPr>
          <w:rFonts w:hint="eastAsia" w:ascii="宋体" w:hAnsi="宋体" w:eastAsia="宋体"/>
          <w:b/>
          <w:bCs w:val="0"/>
          <w:kern w:val="0"/>
          <w:sz w:val="24"/>
          <w:lang w:val="en-US" w:eastAsia="zh-CN"/>
        </w:rPr>
      </w:pPr>
      <w:r>
        <w:rPr>
          <w:rFonts w:hint="eastAsia" w:ascii="宋体" w:hAnsi="宋体" w:eastAsia="宋体"/>
          <w:b/>
          <w:bCs w:val="0"/>
          <w:kern w:val="0"/>
          <w:sz w:val="24"/>
          <w:lang w:val="en-US" w:eastAsia="zh-CN"/>
        </w:rPr>
        <w:t>三、项目跟踪（结算）审计质量要求</w:t>
      </w:r>
    </w:p>
    <w:p w14:paraId="0F495CE6">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lang w:val="en-US" w:eastAsia="zh-CN"/>
        </w:rPr>
      </w:pPr>
      <w:r>
        <w:rPr>
          <w:rFonts w:hint="eastAsia" w:ascii="宋体" w:hAnsi="宋体" w:eastAsia="宋体" w:cs="宋体"/>
          <w:kern w:val="0"/>
          <w:szCs w:val="21"/>
          <w:u w:val="none" w:color="000000"/>
          <w:lang w:val="en-US" w:eastAsia="zh-CN"/>
        </w:rPr>
        <w:t>1.招标人对中标人出具的项目跟踪审计、结算审核服务费根据市财政工程造价审核中心审核或第三方复审或综合计划科复核结果进行浮动：</w:t>
      </w:r>
    </w:p>
    <w:p w14:paraId="083B0C17">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lang w:val="en-US" w:eastAsia="zh-CN"/>
        </w:rPr>
      </w:pPr>
      <w:r>
        <w:rPr>
          <w:rFonts w:hint="eastAsia" w:ascii="宋体" w:hAnsi="宋体" w:eastAsia="宋体" w:cs="宋体"/>
          <w:kern w:val="0"/>
          <w:szCs w:val="21"/>
          <w:u w:val="none" w:color="000000"/>
          <w:lang w:val="en-US" w:eastAsia="zh-CN"/>
        </w:rPr>
        <w:t>（1）审核结果误差率在2%以内（含），可按照委托协议约定收取相关费用；</w:t>
      </w:r>
    </w:p>
    <w:p w14:paraId="67CFE306">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lang w:val="en-US" w:eastAsia="zh-CN"/>
        </w:rPr>
      </w:pPr>
      <w:r>
        <w:rPr>
          <w:rFonts w:hint="eastAsia" w:ascii="宋体" w:hAnsi="宋体" w:eastAsia="宋体" w:cs="宋体"/>
          <w:kern w:val="0"/>
          <w:szCs w:val="21"/>
          <w:u w:val="none" w:color="000000"/>
          <w:lang w:val="en-US" w:eastAsia="zh-CN"/>
        </w:rPr>
        <w:t>（2）审核结果误差在2%-3%（含）之间，费用</w:t>
      </w:r>
      <w:bookmarkStart w:id="917" w:name="_GoBack"/>
      <w:bookmarkEnd w:id="917"/>
      <w:r>
        <w:rPr>
          <w:rFonts w:hint="eastAsia" w:ascii="宋体" w:hAnsi="宋体" w:eastAsia="宋体" w:cs="宋体"/>
          <w:kern w:val="0"/>
          <w:szCs w:val="21"/>
          <w:u w:val="none" w:color="000000"/>
          <w:lang w:val="en-US" w:eastAsia="zh-CN"/>
        </w:rPr>
        <w:t>扣除10%；</w:t>
      </w:r>
    </w:p>
    <w:p w14:paraId="31B1A9E8">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lang w:val="en-US" w:eastAsia="zh-CN"/>
        </w:rPr>
      </w:pPr>
      <w:r>
        <w:rPr>
          <w:rFonts w:hint="eastAsia" w:ascii="宋体" w:hAnsi="宋体" w:eastAsia="宋体" w:cs="宋体"/>
          <w:kern w:val="0"/>
          <w:szCs w:val="21"/>
          <w:u w:val="none" w:color="000000"/>
          <w:lang w:val="en-US" w:eastAsia="zh-CN"/>
        </w:rPr>
        <w:t>（3）审核结果误差在3%-4%（含）之间，费用扣除20%；</w:t>
      </w:r>
    </w:p>
    <w:p w14:paraId="25274E1B">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lang w:val="en-US" w:eastAsia="zh-CN"/>
        </w:rPr>
      </w:pPr>
      <w:r>
        <w:rPr>
          <w:rFonts w:hint="eastAsia" w:ascii="宋体" w:hAnsi="宋体" w:eastAsia="宋体" w:cs="宋体"/>
          <w:kern w:val="0"/>
          <w:szCs w:val="21"/>
          <w:u w:val="none" w:color="000000"/>
          <w:lang w:val="en-US" w:eastAsia="zh-CN"/>
        </w:rPr>
        <w:t>（4）审核结果误差超过4%, 全额扣除该项目服务费。</w:t>
      </w:r>
    </w:p>
    <w:p w14:paraId="22FF6C24">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baseline"/>
        <w:rPr>
          <w:rFonts w:hint="eastAsia" w:ascii="宋体" w:hAnsi="宋体" w:eastAsia="宋体" w:cs="宋体"/>
          <w:kern w:val="0"/>
          <w:szCs w:val="21"/>
          <w:u w:val="none" w:color="000000"/>
          <w:lang w:val="en-US" w:eastAsia="zh-CN"/>
        </w:rPr>
      </w:pPr>
      <w:r>
        <w:rPr>
          <w:rFonts w:hint="eastAsia" w:ascii="宋体" w:hAnsi="宋体" w:eastAsia="宋体" w:cs="宋体"/>
          <w:kern w:val="0"/>
          <w:szCs w:val="21"/>
          <w:u w:val="none" w:color="000000"/>
          <w:lang w:val="en-US" w:eastAsia="zh-CN"/>
        </w:rPr>
        <w:t>2.若中标人出现无证人员执业、挂靠执业、执业人员不到岗等违反国家、省、市相关工程造价管理文件规定，被建设行政主管部门或工程造价管理机构记不良行为记录的或列入黑名单的等其他情况的，招标人将终止委托审计业务。</w:t>
      </w:r>
    </w:p>
    <w:p w14:paraId="55FF8B3D">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baseline"/>
        <w:rPr>
          <w:rFonts w:hint="eastAsia" w:eastAsia="宋体"/>
          <w:lang w:val="en-US" w:eastAsia="zh-CN"/>
        </w:rPr>
      </w:pPr>
      <w:r>
        <w:rPr>
          <w:rFonts w:hint="eastAsia" w:ascii="宋体" w:hAnsi="宋体" w:eastAsia="宋体" w:cs="宋体"/>
          <w:kern w:val="0"/>
          <w:szCs w:val="21"/>
          <w:u w:val="none" w:color="000000"/>
          <w:lang w:val="en-US" w:eastAsia="zh-CN"/>
        </w:rPr>
        <w:t>3.跟踪审计服务</w:t>
      </w:r>
      <w:r>
        <w:rPr>
          <w:rFonts w:hint="eastAsia" w:ascii="宋体" w:hAnsi="宋体" w:eastAsia="宋体" w:cs="宋体"/>
          <w:kern w:val="0"/>
          <w:szCs w:val="21"/>
          <w:u w:val="none" w:color="000000"/>
        </w:rPr>
        <w:t>机构应本着客观、公正、公平的原则，正确履行审计职责，同时承担相应的法律责任。对</w:t>
      </w:r>
      <w:r>
        <w:rPr>
          <w:rFonts w:hint="eastAsia" w:ascii="宋体" w:hAnsi="宋体" w:eastAsia="宋体" w:cs="宋体"/>
          <w:kern w:val="0"/>
          <w:szCs w:val="21"/>
          <w:u w:val="none" w:color="000000"/>
          <w:lang w:val="en-US" w:eastAsia="zh-CN"/>
        </w:rPr>
        <w:t>跟踪审计服务</w:t>
      </w:r>
      <w:r>
        <w:rPr>
          <w:rFonts w:hint="eastAsia" w:ascii="宋体" w:hAnsi="宋体" w:eastAsia="宋体" w:cs="宋体"/>
          <w:kern w:val="0"/>
          <w:szCs w:val="21"/>
          <w:u w:val="none" w:color="000000"/>
        </w:rPr>
        <w:t>机构滥用职权、与施工单位串通、徇私舞弊、玩忽职守的，视情节，按有关规定对</w:t>
      </w:r>
      <w:r>
        <w:rPr>
          <w:rFonts w:hint="eastAsia" w:ascii="宋体" w:hAnsi="宋体" w:eastAsia="宋体" w:cs="宋体"/>
          <w:kern w:val="0"/>
          <w:szCs w:val="21"/>
          <w:u w:val="none" w:color="000000"/>
          <w:lang w:val="en-US" w:eastAsia="zh-CN"/>
        </w:rPr>
        <w:t>其</w:t>
      </w:r>
      <w:r>
        <w:rPr>
          <w:rFonts w:hint="eastAsia" w:ascii="宋体" w:hAnsi="宋体" w:eastAsia="宋体" w:cs="宋体"/>
          <w:kern w:val="0"/>
          <w:szCs w:val="21"/>
          <w:u w:val="none" w:color="000000"/>
        </w:rPr>
        <w:t>机构及其当事人进行处理处罚；情节严重，涉嫌违法违纪的，依法移送</w:t>
      </w:r>
      <w:r>
        <w:rPr>
          <w:rFonts w:hint="eastAsia" w:ascii="宋体" w:hAnsi="宋体" w:eastAsia="宋体" w:cs="宋体"/>
          <w:kern w:val="0"/>
          <w:szCs w:val="21"/>
          <w:highlight w:val="none"/>
          <w:u w:val="none" w:color="000000"/>
        </w:rPr>
        <w:t>纪检、司法机关查处。</w:t>
      </w:r>
    </w:p>
    <w:p w14:paraId="527154EA">
      <w:pPr>
        <w:rPr>
          <w:rFonts w:hint="eastAsia"/>
          <w:bCs/>
          <w:szCs w:val="32"/>
          <w:highlight w:val="none"/>
        </w:rPr>
      </w:pPr>
      <w:r>
        <w:rPr>
          <w:rFonts w:hint="eastAsia"/>
          <w:bCs/>
          <w:szCs w:val="32"/>
          <w:highlight w:val="none"/>
        </w:rPr>
        <w:br w:type="page"/>
      </w:r>
    </w:p>
    <w:p w14:paraId="3A3DFD1F">
      <w:pPr>
        <w:pStyle w:val="43"/>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六</w:t>
      </w:r>
      <w:r>
        <w:rPr>
          <w:rFonts w:hint="eastAsia"/>
          <w:bCs/>
          <w:szCs w:val="32"/>
          <w:highlight w:val="none"/>
        </w:rPr>
        <w:t>章  投标文件格式</w:t>
      </w:r>
      <w:bookmarkEnd w:id="880"/>
      <w:bookmarkEnd w:id="881"/>
      <w:bookmarkEnd w:id="882"/>
      <w:bookmarkEnd w:id="883"/>
      <w:bookmarkEnd w:id="884"/>
      <w:bookmarkEnd w:id="885"/>
      <w:bookmarkEnd w:id="886"/>
      <w:bookmarkEnd w:id="887"/>
      <w:bookmarkEnd w:id="888"/>
      <w:bookmarkEnd w:id="889"/>
      <w:bookmarkEnd w:id="890"/>
      <w:bookmarkEnd w:id="891"/>
      <w:bookmarkEnd w:id="892"/>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pPr>
    </w:p>
    <w:p w14:paraId="0799C826">
      <w:pPr>
        <w:pStyle w:val="2"/>
        <w:ind w:firstLine="420"/>
        <w:rPr>
          <w:highlight w:val="none"/>
        </w:rPr>
      </w:pPr>
    </w:p>
    <w:p w14:paraId="63F5BB9B">
      <w:pPr>
        <w:rPr>
          <w:rFonts w:eastAsia="黑体"/>
          <w:sz w:val="28"/>
          <w:szCs w:val="28"/>
          <w:highlight w:val="none"/>
        </w:rPr>
      </w:pPr>
    </w:p>
    <w:p w14:paraId="6ECEBDFF">
      <w:pPr>
        <w:rPr>
          <w:rFonts w:eastAsia="黑体"/>
          <w:sz w:val="28"/>
          <w:szCs w:val="28"/>
          <w:highlight w:val="none"/>
        </w:rPr>
      </w:pPr>
    </w:p>
    <w:p w14:paraId="6252277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895" w:name="_Toc35425137"/>
      <w:bookmarkStart w:id="896" w:name="_Toc12683"/>
      <w:bookmarkStart w:id="897" w:name="_Toc35424971"/>
    </w:p>
    <w:p w14:paraId="0EBCA57C">
      <w:pPr>
        <w:spacing w:beforeLines="50" w:afterLines="50" w:line="440" w:lineRule="exact"/>
        <w:ind w:firstLine="643" w:firstLineChars="200"/>
        <w:jc w:val="left"/>
        <w:rPr>
          <w:rFonts w:ascii="宋体" w:hAnsi="宋体" w:cs="宋体"/>
          <w:b/>
          <w:sz w:val="28"/>
          <w:szCs w:val="28"/>
          <w:highlight w:val="none"/>
        </w:rPr>
      </w:pPr>
      <w:bookmarkStart w:id="898"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895"/>
      <w:bookmarkEnd w:id="896"/>
      <w:bookmarkEnd w:id="897"/>
      <w:bookmarkEnd w:id="898"/>
      <w:r>
        <w:rPr>
          <w:rFonts w:hint="eastAsia" w:ascii="宋体" w:hAnsi="宋体" w:cs="宋体"/>
          <w:b/>
          <w:sz w:val="28"/>
          <w:szCs w:val="28"/>
          <w:highlight w:val="none"/>
        </w:rPr>
        <w:t>：资信证明文件目录</w:t>
      </w:r>
    </w:p>
    <w:p w14:paraId="70F505C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（1）法定代表人身份证明文件和本人有效身份证(或法定代表人授权委托书和委托代理人有效身份证)；</w:t>
      </w:r>
    </w:p>
    <w:p w14:paraId="1296EE8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（2）诚信投标承诺书；</w:t>
      </w:r>
    </w:p>
    <w:p w14:paraId="577438A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（3）企业法人营业执照；</w:t>
      </w:r>
    </w:p>
    <w:p w14:paraId="4AC142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）项目负责人身份证</w:t>
      </w:r>
      <w:r>
        <w:rPr>
          <w:rFonts w:hint="eastAsia" w:ascii="宋体" w:hAnsi="宋体" w:eastAsia="宋体" w:cs="宋体"/>
          <w:szCs w:val="21"/>
          <w:highlight w:val="none"/>
          <w:lang w:val="en-US" w:eastAsia="zh-CN"/>
        </w:rPr>
        <w:t>和注册</w:t>
      </w:r>
      <w:r>
        <w:rPr>
          <w:rFonts w:hint="eastAsia" w:ascii="宋体" w:hAnsi="宋体" w:eastAsia="宋体" w:cs="宋体"/>
          <w:szCs w:val="21"/>
          <w:highlight w:val="none"/>
        </w:rPr>
        <w:t>证书；</w:t>
      </w:r>
    </w:p>
    <w:p w14:paraId="4D867D2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）投标人的法定代表人(或委托代理人)</w:t>
      </w:r>
      <w:r>
        <w:rPr>
          <w:rFonts w:hint="eastAsia" w:ascii="宋体" w:hAnsi="宋体" w:eastAsia="宋体" w:cs="宋体"/>
          <w:szCs w:val="21"/>
          <w:highlight w:val="none"/>
          <w:lang w:val="en-US" w:eastAsia="zh-CN"/>
        </w:rPr>
        <w:t>和</w:t>
      </w:r>
      <w:r>
        <w:rPr>
          <w:rFonts w:hint="eastAsia" w:ascii="宋体" w:hAnsi="宋体" w:eastAsia="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1B7447BA">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服务承诺书</w:t>
      </w:r>
      <w:r>
        <w:rPr>
          <w:rFonts w:hint="eastAsia" w:ascii="宋体" w:hAnsi="宋体" w:eastAsia="宋体" w:cs="宋体"/>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资信</w:t>
      </w:r>
      <w:r>
        <w:rPr>
          <w:rFonts w:hint="eastAsia" w:ascii="宋体" w:hAnsi="宋体" w:eastAsia="宋体" w:cs="宋体"/>
          <w:szCs w:val="21"/>
          <w:highlight w:val="none"/>
        </w:rPr>
        <w:t>评分细则中需要提供的所有证明材料</w:t>
      </w:r>
      <w:r>
        <w:rPr>
          <w:rFonts w:hint="eastAsia" w:ascii="宋体" w:hAnsi="宋体" w:eastAsia="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899" w:name="_Toc26598"/>
      <w:bookmarkStart w:id="900" w:name="_Toc506107356"/>
      <w:bookmarkStart w:id="901" w:name="_Toc503196197"/>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8"/>
          <w:szCs w:val="28"/>
          <w:highlight w:val="none"/>
        </w:rPr>
      </w:pPr>
      <w:r>
        <w:rPr>
          <w:rFonts w:hint="eastAsia"/>
          <w:b/>
          <w:sz w:val="28"/>
          <w:szCs w:val="28"/>
          <w:highlight w:val="none"/>
        </w:rPr>
        <w:t>（2）诚信投标承诺书</w:t>
      </w:r>
      <w:bookmarkEnd w:id="899"/>
      <w:bookmarkEnd w:id="900"/>
      <w:bookmarkEnd w:id="901"/>
    </w:p>
    <w:p w14:paraId="4F449F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6095EE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lang w:val="en-US" w:eastAsia="zh-CN"/>
        </w:rPr>
        <w:t>我公司</w:t>
      </w:r>
      <w:r>
        <w:rPr>
          <w:rFonts w:hint="eastAsia" w:ascii="宋体" w:hAnsi="宋体" w:eastAsia="宋体" w:cs="Times New Roman"/>
          <w:szCs w:val="21"/>
          <w:highlight w:val="none"/>
        </w:rPr>
        <w:t>没有下列情形：</w:t>
      </w:r>
      <w:bookmarkStart w:id="902" w:name="OLE_LINK133"/>
      <w:bookmarkStart w:id="903" w:name="OLE_LINK134"/>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2"/>
      <w:bookmarkEnd w:id="903"/>
    </w:p>
    <w:p w14:paraId="007134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7AE1BB72">
      <w:pPr>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b/>
          <w:bCs w:val="0"/>
          <w:color w:val="000000"/>
          <w:kern w:val="0"/>
          <w:sz w:val="28"/>
          <w:szCs w:val="28"/>
          <w:highlight w:val="none"/>
          <w:u w:color="000000"/>
          <w:lang w:val="en-US" w:eastAsia="zh-CN" w:bidi="ar"/>
        </w:rPr>
      </w:pPr>
    </w:p>
    <w:p w14:paraId="4A5B75A0">
      <w:pPr>
        <w:pStyle w:val="2"/>
        <w:rPr>
          <w:rFonts w:hint="eastAsia"/>
          <w:lang w:val="en-US" w:eastAsia="zh-CN"/>
        </w:rPr>
      </w:pPr>
    </w:p>
    <w:p w14:paraId="13478187">
      <w:pPr>
        <w:keepNext/>
        <w:keepLines/>
        <w:pageBreakBefore w:val="0"/>
        <w:widowControl w:val="0"/>
        <w:kinsoku/>
        <w:wordWrap/>
        <w:overflowPunct/>
        <w:topLinePunct w:val="0"/>
        <w:autoSpaceDE/>
        <w:autoSpaceDN/>
        <w:bidi w:val="0"/>
        <w:adjustRightInd/>
        <w:snapToGrid/>
        <w:spacing w:line="300" w:lineRule="exact"/>
        <w:jc w:val="center"/>
        <w:textAlignment w:val="auto"/>
        <w:outlineLvl w:val="2"/>
        <w:rPr>
          <w:rFonts w:hint="eastAsia"/>
          <w:b/>
          <w:bCs/>
          <w:sz w:val="28"/>
          <w:szCs w:val="28"/>
          <w:highlight w:val="none"/>
          <w:lang w:eastAsia="zh-CN"/>
        </w:rPr>
      </w:pPr>
    </w:p>
    <w:p w14:paraId="130DF7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sz w:val="28"/>
          <w:szCs w:val="28"/>
          <w:highlight w:val="none"/>
        </w:rPr>
      </w:pPr>
      <w:r>
        <w:rPr>
          <w:rFonts w:hint="eastAsia" w:eastAsia="宋体"/>
          <w:b/>
          <w:sz w:val="28"/>
          <w:szCs w:val="28"/>
          <w:highlight w:val="none"/>
          <w:lang w:eastAsia="zh-CN"/>
        </w:rPr>
        <w:t>（</w:t>
      </w:r>
      <w:r>
        <w:rPr>
          <w:rFonts w:hint="eastAsia" w:eastAsia="宋体"/>
          <w:b/>
          <w:sz w:val="28"/>
          <w:szCs w:val="28"/>
          <w:highlight w:val="none"/>
          <w:lang w:val="en-US" w:eastAsia="zh-CN"/>
        </w:rPr>
        <w:t>3）</w:t>
      </w:r>
      <w:r>
        <w:rPr>
          <w:rFonts w:hint="eastAsia" w:eastAsia="宋体"/>
          <w:b/>
          <w:sz w:val="28"/>
          <w:szCs w:val="28"/>
          <w:highlight w:val="none"/>
        </w:rPr>
        <w:t>服务承诺书</w:t>
      </w:r>
    </w:p>
    <w:p w14:paraId="14202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（招标人）     ：</w:t>
      </w:r>
    </w:p>
    <w:p w14:paraId="382B1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本承诺声明：（投标人名称</w:t>
      </w:r>
      <w:r>
        <w:rPr>
          <w:rFonts w:hint="eastAsia" w:ascii="宋体" w:hAnsi="宋体"/>
          <w:color w:val="000000"/>
          <w:sz w:val="24"/>
          <w:highlight w:val="none"/>
          <w:lang w:eastAsia="zh-CN"/>
        </w:rPr>
        <w:t>）</w:t>
      </w:r>
      <w:r>
        <w:rPr>
          <w:rFonts w:hint="eastAsia" w:ascii="宋体" w:hAnsi="宋体"/>
          <w:color w:val="000000"/>
          <w:sz w:val="24"/>
          <w:highlight w:val="none"/>
        </w:rPr>
        <w:t>对本招标文件所有要求完全响应</w:t>
      </w:r>
      <w:r>
        <w:rPr>
          <w:rFonts w:hint="eastAsia" w:ascii="宋体" w:hAnsi="宋体"/>
          <w:color w:val="000000"/>
          <w:sz w:val="24"/>
          <w:highlight w:val="none"/>
          <w:lang w:eastAsia="zh-CN"/>
        </w:rPr>
        <w:t>，</w:t>
      </w:r>
      <w:r>
        <w:rPr>
          <w:rFonts w:hint="eastAsia" w:ascii="宋体" w:hAnsi="宋体"/>
          <w:color w:val="000000"/>
          <w:sz w:val="24"/>
          <w:highlight w:val="none"/>
        </w:rPr>
        <w:t>若有幸中标将严格按照以上承诺进行服务。</w:t>
      </w:r>
      <w:r>
        <w:rPr>
          <w:rFonts w:hint="eastAsia" w:ascii="宋体" w:hAnsi="宋体"/>
          <w:color w:val="000000"/>
          <w:sz w:val="24"/>
          <w:highlight w:val="none"/>
          <w:lang w:val="en-US" w:eastAsia="zh-CN"/>
        </w:rPr>
        <w:t>若发现有偏离且不能按招标人要求调整的，招标人有权终止合同重新招标，我方承担因此产生的所有经济及工期责任。</w:t>
      </w:r>
    </w:p>
    <w:p w14:paraId="56563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特此声明</w:t>
      </w:r>
      <w:r>
        <w:rPr>
          <w:rFonts w:hint="eastAsia" w:ascii="宋体" w:hAnsi="宋体"/>
          <w:color w:val="000000"/>
          <w:sz w:val="24"/>
          <w:highlight w:val="none"/>
          <w:lang w:eastAsia="zh-CN"/>
        </w:rPr>
        <w:t>。</w:t>
      </w:r>
    </w:p>
    <w:p w14:paraId="380D480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highlight w:val="none"/>
        </w:rPr>
      </w:pPr>
      <w:r>
        <w:rPr>
          <w:rFonts w:hint="eastAsia" w:ascii="宋体" w:hAnsi="宋体"/>
          <w:color w:val="000000"/>
          <w:sz w:val="24"/>
          <w:highlight w:val="none"/>
        </w:rPr>
        <w:t> </w:t>
      </w:r>
    </w:p>
    <w:p w14:paraId="5363F25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highlight w:val="none"/>
        </w:rPr>
      </w:pPr>
      <w:r>
        <w:rPr>
          <w:rFonts w:hint="eastAsia" w:ascii="宋体" w:hAnsi="宋体"/>
          <w:color w:val="000000"/>
          <w:sz w:val="24"/>
          <w:highlight w:val="none"/>
        </w:rPr>
        <w:t xml:space="preserve">                                    法定代表人：</w:t>
      </w:r>
      <w:r>
        <w:rPr>
          <w:rFonts w:hint="eastAsia" w:ascii="宋体" w:hAnsi="宋体"/>
          <w:color w:val="000000"/>
          <w:sz w:val="24"/>
          <w:highlight w:val="none"/>
          <w:u w:val="single"/>
        </w:rPr>
        <w:t xml:space="preserve">          （签字或签章）       </w:t>
      </w:r>
    </w:p>
    <w:p w14:paraId="6ECAD71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highlight w:val="none"/>
          <w:u w:val="single"/>
        </w:rPr>
      </w:pPr>
      <w:r>
        <w:rPr>
          <w:rFonts w:hint="eastAsia" w:ascii="宋体" w:hAnsi="宋体"/>
          <w:color w:val="000000"/>
          <w:sz w:val="24"/>
          <w:highlight w:val="none"/>
        </w:rPr>
        <w:t xml:space="preserve">                                     </w:t>
      </w:r>
    </w:p>
    <w:p w14:paraId="00DD4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highlight w:val="none"/>
          <w:u w:val="single"/>
        </w:rPr>
      </w:pPr>
      <w:r>
        <w:rPr>
          <w:rFonts w:hint="eastAsia" w:ascii="宋体" w:hAnsi="宋体"/>
          <w:color w:val="000000"/>
          <w:sz w:val="24"/>
          <w:highlight w:val="none"/>
        </w:rPr>
        <w:t xml:space="preserve">                                    投标单位名称：</w:t>
      </w:r>
      <w:r>
        <w:rPr>
          <w:rFonts w:hint="eastAsia" w:ascii="宋体" w:hAnsi="宋体"/>
          <w:color w:val="000000"/>
          <w:sz w:val="24"/>
          <w:highlight w:val="none"/>
          <w:u w:val="single"/>
        </w:rPr>
        <w:t xml:space="preserve">        （盖章）    </w:t>
      </w:r>
    </w:p>
    <w:p w14:paraId="293BF5F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000000"/>
          <w:sz w:val="24"/>
          <w:highlight w:val="none"/>
        </w:rPr>
      </w:pPr>
    </w:p>
    <w:p w14:paraId="26AD723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14:paraId="32408BEA">
      <w:pPr>
        <w:spacing w:line="400" w:lineRule="exact"/>
        <w:ind w:firstLine="482" w:firstLineChars="200"/>
        <w:rPr>
          <w:rFonts w:ascii="宋体" w:hAnsi="宋体"/>
          <w:b/>
          <w:color w:val="000000"/>
          <w:sz w:val="24"/>
          <w:highlight w:val="none"/>
        </w:rPr>
      </w:pPr>
    </w:p>
    <w:p w14:paraId="35530E7D">
      <w:pPr>
        <w:rPr>
          <w:rFonts w:eastAsia="黑体"/>
          <w:sz w:val="28"/>
          <w:szCs w:val="28"/>
          <w:highlight w:val="none"/>
        </w:rPr>
      </w:pPr>
      <w:r>
        <w:rPr>
          <w:rFonts w:eastAsia="黑体"/>
          <w:sz w:val="28"/>
          <w:szCs w:val="28"/>
          <w:highlight w:val="none"/>
        </w:rPr>
        <w:br w:type="page"/>
      </w:r>
    </w:p>
    <w:p w14:paraId="20447F5C">
      <w:pPr>
        <w:jc w:val="center"/>
        <w:rPr>
          <w:rFonts w:eastAsia="黑体"/>
          <w:sz w:val="20"/>
          <w:szCs w:val="20"/>
          <w:highlight w:val="none"/>
        </w:rPr>
      </w:pPr>
      <w:r>
        <w:rPr>
          <w:rFonts w:eastAsia="黑体"/>
          <w:sz w:val="28"/>
          <w:szCs w:val="28"/>
          <w:highlight w:val="none"/>
        </w:rPr>
        <w:t>（项目名称）</w:t>
      </w:r>
    </w:p>
    <w:p w14:paraId="66B855F2">
      <w:pPr>
        <w:jc w:val="center"/>
        <w:rPr>
          <w:rFonts w:eastAsia="黑体"/>
          <w:sz w:val="20"/>
          <w:szCs w:val="20"/>
          <w:highlight w:val="none"/>
        </w:rPr>
      </w:pPr>
    </w:p>
    <w:p w14:paraId="792DB5BC">
      <w:pPr>
        <w:rPr>
          <w:rFonts w:eastAsia="黑体"/>
          <w:sz w:val="20"/>
          <w:szCs w:val="20"/>
          <w:highlight w:val="none"/>
        </w:rPr>
      </w:pPr>
    </w:p>
    <w:p w14:paraId="60025CC7">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二</w:t>
      </w:r>
    </w:p>
    <w:p w14:paraId="11881936">
      <w:pPr>
        <w:jc w:val="center"/>
        <w:rPr>
          <w:rFonts w:eastAsia="黑体"/>
          <w:sz w:val="44"/>
          <w:szCs w:val="44"/>
          <w:highlight w:val="none"/>
        </w:rPr>
      </w:pPr>
      <w:r>
        <w:rPr>
          <w:rFonts w:hint="eastAsia" w:eastAsia="黑体"/>
          <w:sz w:val="44"/>
          <w:szCs w:val="44"/>
          <w:highlight w:val="none"/>
        </w:rPr>
        <w:t>（技术标文件）</w:t>
      </w:r>
    </w:p>
    <w:p w14:paraId="78C47936">
      <w:pPr>
        <w:rPr>
          <w:rFonts w:eastAsia="黑体"/>
          <w:sz w:val="28"/>
          <w:szCs w:val="28"/>
          <w:highlight w:val="none"/>
        </w:rPr>
      </w:pPr>
    </w:p>
    <w:p w14:paraId="13EF90FD">
      <w:pPr>
        <w:rPr>
          <w:rFonts w:eastAsia="黑体"/>
          <w:sz w:val="28"/>
          <w:szCs w:val="28"/>
          <w:highlight w:val="none"/>
        </w:rPr>
      </w:pPr>
    </w:p>
    <w:p w14:paraId="4307D5B0">
      <w:pPr>
        <w:rPr>
          <w:rFonts w:eastAsia="黑体"/>
          <w:sz w:val="28"/>
          <w:szCs w:val="28"/>
          <w:highlight w:val="none"/>
        </w:rPr>
      </w:pPr>
    </w:p>
    <w:p w14:paraId="6B2C05F0">
      <w:pPr>
        <w:pStyle w:val="2"/>
        <w:ind w:firstLine="560"/>
        <w:rPr>
          <w:rFonts w:eastAsia="黑体"/>
          <w:sz w:val="28"/>
          <w:szCs w:val="28"/>
          <w:highlight w:val="none"/>
        </w:rPr>
      </w:pPr>
    </w:p>
    <w:p w14:paraId="1D0BEC5C">
      <w:pPr>
        <w:rPr>
          <w:rFonts w:eastAsia="黑体"/>
          <w:sz w:val="28"/>
          <w:szCs w:val="28"/>
          <w:highlight w:val="none"/>
        </w:rPr>
      </w:pPr>
    </w:p>
    <w:p w14:paraId="28D93157">
      <w:pPr>
        <w:pStyle w:val="2"/>
        <w:ind w:firstLine="560"/>
        <w:rPr>
          <w:rFonts w:eastAsia="黑体"/>
          <w:sz w:val="28"/>
          <w:szCs w:val="28"/>
          <w:highlight w:val="none"/>
        </w:rPr>
      </w:pPr>
    </w:p>
    <w:p w14:paraId="1FFAD3CF">
      <w:pPr>
        <w:rPr>
          <w:highlight w:val="none"/>
        </w:rPr>
      </w:pPr>
    </w:p>
    <w:p w14:paraId="0D2C3844">
      <w:pPr>
        <w:rPr>
          <w:rFonts w:eastAsia="黑体"/>
          <w:sz w:val="28"/>
          <w:szCs w:val="28"/>
          <w:highlight w:val="none"/>
        </w:rPr>
      </w:pPr>
    </w:p>
    <w:p w14:paraId="3D9426D8">
      <w:pPr>
        <w:rPr>
          <w:rFonts w:eastAsia="黑体"/>
          <w:sz w:val="28"/>
          <w:szCs w:val="28"/>
          <w:highlight w:val="none"/>
        </w:rPr>
      </w:pPr>
    </w:p>
    <w:p w14:paraId="21A6EBE5">
      <w:pPr>
        <w:rPr>
          <w:rFonts w:eastAsia="黑体"/>
          <w:sz w:val="28"/>
          <w:szCs w:val="28"/>
          <w:highlight w:val="none"/>
        </w:rPr>
      </w:pPr>
    </w:p>
    <w:p w14:paraId="02F825C3">
      <w:pPr>
        <w:rPr>
          <w:rFonts w:eastAsia="黑体"/>
          <w:sz w:val="28"/>
          <w:szCs w:val="28"/>
          <w:highlight w:val="none"/>
        </w:rPr>
      </w:pPr>
    </w:p>
    <w:p w14:paraId="65C29CBB">
      <w:pPr>
        <w:rPr>
          <w:rFonts w:eastAsia="黑体"/>
          <w:sz w:val="28"/>
          <w:szCs w:val="28"/>
          <w:highlight w:val="none"/>
        </w:rPr>
      </w:pPr>
    </w:p>
    <w:p w14:paraId="10883D19">
      <w:pPr>
        <w:jc w:val="center"/>
        <w:rPr>
          <w:rFonts w:eastAsia="黑体"/>
          <w:sz w:val="28"/>
          <w:szCs w:val="28"/>
          <w:u w:val="single"/>
        </w:rPr>
      </w:pPr>
      <w:bookmarkStart w:id="904" w:name="_Toc35424972"/>
      <w:bookmarkStart w:id="905" w:name="_Toc3395"/>
      <w:bookmarkStart w:id="906" w:name="_Toc35425138"/>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3B6C62B9">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1FCEEEFE">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1D43AA9">
      <w:pPr>
        <w:spacing w:line="540" w:lineRule="exact"/>
        <w:rPr>
          <w:rStyle w:val="120"/>
          <w:rFonts w:ascii="宋体" w:hAnsi="宋体" w:cs="宋体"/>
          <w:sz w:val="32"/>
          <w:highlight w:val="none"/>
        </w:rPr>
      </w:pPr>
    </w:p>
    <w:p w14:paraId="43AB31C5">
      <w:pPr>
        <w:spacing w:beforeLines="50" w:afterLines="50" w:line="440" w:lineRule="exact"/>
        <w:ind w:firstLine="643" w:firstLineChars="200"/>
        <w:jc w:val="left"/>
        <w:rPr>
          <w:rStyle w:val="120"/>
          <w:rFonts w:ascii="宋体" w:hAnsi="宋体" w:cs="宋体"/>
          <w:sz w:val="32"/>
          <w:highlight w:val="none"/>
        </w:rPr>
      </w:pPr>
      <w:bookmarkStart w:id="907" w:name="_Toc78803400"/>
      <w:r>
        <w:rPr>
          <w:rStyle w:val="120"/>
          <w:rFonts w:hint="eastAsia" w:ascii="宋体" w:hAnsi="宋体" w:cs="宋体"/>
          <w:sz w:val="32"/>
          <w:highlight w:val="none"/>
        </w:rPr>
        <w:br w:type="page"/>
      </w:r>
      <w:r>
        <w:rPr>
          <w:rStyle w:val="120"/>
          <w:rFonts w:hint="eastAsia" w:ascii="宋体" w:hAnsi="宋体" w:cs="宋体"/>
          <w:sz w:val="32"/>
          <w:highlight w:val="none"/>
        </w:rPr>
        <w:t>投标文件二</w:t>
      </w:r>
      <w:bookmarkEnd w:id="904"/>
      <w:bookmarkEnd w:id="905"/>
      <w:bookmarkEnd w:id="906"/>
      <w:r>
        <w:rPr>
          <w:rStyle w:val="120"/>
          <w:rFonts w:hint="eastAsia" w:ascii="宋体" w:hAnsi="宋体" w:cs="宋体"/>
          <w:sz w:val="32"/>
          <w:highlight w:val="none"/>
        </w:rPr>
        <w:t>：技术标目录</w:t>
      </w:r>
      <w:bookmarkEnd w:id="907"/>
    </w:p>
    <w:p w14:paraId="1F879446">
      <w:pPr>
        <w:spacing w:line="300" w:lineRule="exact"/>
        <w:ind w:firstLine="420" w:firstLineChars="200"/>
        <w:jc w:val="left"/>
        <w:rPr>
          <w:rFonts w:hint="eastAsia" w:eastAsiaTheme="minorEastAsia"/>
          <w:b/>
          <w:color w:val="auto"/>
          <w:sz w:val="24"/>
          <w:highlight w:val="none"/>
          <w:lang w:eastAsia="zh-CN"/>
        </w:rPr>
      </w:pPr>
      <w:r>
        <w:rPr>
          <w:rFonts w:hint="eastAsia" w:ascii="宋体" w:hAnsi="宋体" w:cs="宋体"/>
          <w:bCs/>
          <w:color w:val="auto"/>
          <w:szCs w:val="21"/>
          <w:highlight w:val="none"/>
        </w:rPr>
        <w:t>（1）服务方案</w:t>
      </w:r>
      <w:r>
        <w:rPr>
          <w:rFonts w:hint="eastAsia" w:ascii="宋体" w:hAnsi="宋体" w:cs="宋体"/>
          <w:bCs/>
          <w:color w:val="auto"/>
          <w:szCs w:val="21"/>
          <w:highlight w:val="none"/>
          <w:lang w:eastAsia="zh-CN"/>
        </w:rPr>
        <w:t>。</w:t>
      </w:r>
    </w:p>
    <w:p w14:paraId="2BA6FF04">
      <w:pPr>
        <w:spacing w:line="360" w:lineRule="auto"/>
        <w:ind w:firstLine="420" w:firstLineChars="200"/>
        <w:rPr>
          <w:rFonts w:ascii="宋体" w:hAnsi="宋体"/>
          <w:szCs w:val="21"/>
          <w:highlight w:val="none"/>
        </w:rPr>
      </w:pPr>
    </w:p>
    <w:p w14:paraId="69D4CBBC">
      <w:pPr>
        <w:rPr>
          <w:highlight w:val="none"/>
        </w:rPr>
      </w:pPr>
    </w:p>
    <w:p w14:paraId="21D31989">
      <w:pPr>
        <w:rPr>
          <w:highlight w:val="none"/>
        </w:rPr>
      </w:pPr>
    </w:p>
    <w:p w14:paraId="213E9083">
      <w:pPr>
        <w:pStyle w:val="4"/>
        <w:rPr>
          <w:highlight w:val="none"/>
        </w:rPr>
      </w:pPr>
      <w:r>
        <w:rPr>
          <w:highlight w:val="none"/>
        </w:rPr>
        <w:br w:type="page"/>
      </w:r>
    </w:p>
    <w:p w14:paraId="7E41CCC7">
      <w:pPr>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08" w:name="_Toc19174"/>
      <w:bookmarkStart w:id="909" w:name="_Toc35425139"/>
      <w:bookmarkStart w:id="910" w:name="_Toc35424973"/>
      <w:bookmarkStart w:id="911" w:name="_Toc78803401"/>
      <w:r>
        <w:rPr>
          <w:rStyle w:val="120"/>
          <w:rFonts w:hint="eastAsia" w:ascii="宋体" w:hAnsi="宋体" w:cs="宋体"/>
          <w:sz w:val="32"/>
          <w:highlight w:val="none"/>
        </w:rPr>
        <w:br w:type="page"/>
      </w:r>
      <w:r>
        <w:rPr>
          <w:rStyle w:val="120"/>
          <w:rFonts w:hint="eastAsia" w:ascii="宋体" w:hAnsi="宋体" w:cs="宋体"/>
          <w:sz w:val="32"/>
          <w:highlight w:val="none"/>
        </w:rPr>
        <w:t>投标文件三</w:t>
      </w:r>
      <w:bookmarkEnd w:id="908"/>
      <w:bookmarkEnd w:id="909"/>
      <w:bookmarkEnd w:id="910"/>
      <w:r>
        <w:rPr>
          <w:rStyle w:val="120"/>
          <w:rFonts w:hint="eastAsia" w:ascii="宋体" w:hAnsi="宋体" w:cs="宋体"/>
          <w:sz w:val="32"/>
          <w:highlight w:val="none"/>
        </w:rPr>
        <w:t>：商务标目录</w:t>
      </w:r>
      <w:bookmarkEnd w:id="911"/>
    </w:p>
    <w:p w14:paraId="74D94105">
      <w:pPr>
        <w:spacing w:line="440" w:lineRule="exact"/>
        <w:ind w:firstLine="420" w:firstLineChars="200"/>
        <w:jc w:val="left"/>
        <w:rPr>
          <w:rFonts w:ascii="宋体" w:hAnsi="宋体" w:cs="宋体"/>
          <w:highlight w:val="none"/>
        </w:rPr>
      </w:pPr>
      <w:r>
        <w:rPr>
          <w:rFonts w:hint="eastAsia" w:ascii="宋体" w:hAnsi="宋体" w:cs="宋体"/>
          <w:highlight w:val="none"/>
        </w:rPr>
        <w:t>（1）投标函（格式见附件）</w:t>
      </w:r>
      <w:r>
        <w:rPr>
          <w:rFonts w:hint="eastAsia" w:ascii="宋体" w:hAnsi="宋体" w:cs="宋体"/>
          <w:highlight w:val="none"/>
          <w:lang w:eastAsia="zh-CN"/>
        </w:rPr>
        <w:t>。</w:t>
      </w:r>
      <w:r>
        <w:rPr>
          <w:rFonts w:hint="eastAsia" w:ascii="宋体" w:hAnsi="宋体" w:cs="宋体"/>
          <w:highlight w:val="none"/>
        </w:rPr>
        <w:t xml:space="preserve">  </w:t>
      </w:r>
    </w:p>
    <w:p w14:paraId="15662A50">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12" w:name="_Toc35425140"/>
      <w:bookmarkStart w:id="913" w:name="_Toc506107366"/>
      <w:bookmarkStart w:id="914" w:name="_Toc15058950"/>
      <w:bookmarkStart w:id="915" w:name="_Toc35424974"/>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lang w:eastAsia="zh-CN"/>
        </w:rPr>
      </w:pPr>
      <w:r>
        <w:rPr>
          <w:rFonts w:hint="eastAsia" w:ascii="宋体" w:hAnsi="宋体" w:eastAsia="宋体" w:cs="宋体"/>
          <w:color w:val="auto"/>
        </w:rPr>
        <w:t>我们决定参加贵单位组织的“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 xml:space="preserve">”的项目。我方授权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none"/>
        </w:rPr>
        <w:t>姓名和职务</w:t>
      </w:r>
      <w:r>
        <w:rPr>
          <w:rFonts w:hint="eastAsia" w:ascii="宋体" w:hAnsi="宋体" w:eastAsia="宋体" w:cs="宋体"/>
          <w:color w:val="auto"/>
        </w:rPr>
        <w:t xml:space="preserve">)代表我方 </w:t>
      </w:r>
      <w:r>
        <w:rPr>
          <w:rFonts w:hint="eastAsia" w:ascii="宋体" w:hAnsi="宋体" w:eastAsia="宋体" w:cs="宋体"/>
          <w:color w:val="auto"/>
          <w:u w:val="single"/>
        </w:rPr>
        <w:t xml:space="preserve">             </w:t>
      </w:r>
      <w:r>
        <w:rPr>
          <w:rFonts w:hint="eastAsia" w:ascii="宋体" w:hAnsi="宋体" w:eastAsia="宋体" w:cs="宋体"/>
          <w:color w:val="auto"/>
        </w:rPr>
        <w:t xml:space="preserve">（投标单位的名称）全权处理本项目投标的有关事宜 </w:t>
      </w:r>
      <w:r>
        <w:rPr>
          <w:rFonts w:hint="eastAsia" w:ascii="宋体" w:hAnsi="宋体" w:eastAsia="宋体" w:cs="宋体"/>
          <w:color w:val="auto"/>
          <w:lang w:eastAsia="zh-CN"/>
        </w:rPr>
        <w:t>。</w:t>
      </w:r>
    </w:p>
    <w:p w14:paraId="5755B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我们已仔细地研究了</w:t>
      </w:r>
      <w:r>
        <w:rPr>
          <w:rFonts w:hint="eastAsia" w:ascii="宋体" w:hAnsi="宋体" w:eastAsia="宋体" w:cs="宋体"/>
          <w:color w:val="auto"/>
          <w:sz w:val="21"/>
          <w:szCs w:val="21"/>
          <w:u w:val="single"/>
          <w:lang w:val="en-US" w:eastAsia="zh-CN"/>
        </w:rPr>
        <w:t xml:space="preserve">                （项目名称）</w:t>
      </w:r>
      <w:r>
        <w:rPr>
          <w:rFonts w:hint="eastAsia" w:ascii="宋体" w:hAnsi="宋体" w:eastAsia="宋体" w:cs="宋体"/>
          <w:color w:val="auto"/>
          <w:sz w:val="21"/>
          <w:szCs w:val="21"/>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sz w:val="21"/>
          <w:szCs w:val="21"/>
        </w:rPr>
        <w:t>规定的合同范围，工作要求，并考虑到了潜在所有风险。据此我方</w:t>
      </w:r>
      <w:r>
        <w:rPr>
          <w:rFonts w:hint="eastAsia" w:ascii="宋体" w:hAnsi="宋体" w:eastAsia="宋体" w:cs="宋体"/>
          <w:sz w:val="21"/>
          <w:szCs w:val="21"/>
          <w:highlight w:val="none"/>
        </w:rPr>
        <w:t>我方报价为</w:t>
      </w:r>
      <w:r>
        <w:rPr>
          <w:rFonts w:hint="eastAsia" w:ascii="宋体" w:hAnsi="宋体" w:eastAsia="宋体" w:cs="宋体"/>
          <w:b/>
          <w:bCs/>
          <w:sz w:val="21"/>
          <w:szCs w:val="21"/>
          <w:highlight w:val="none"/>
        </w:rPr>
        <w:t>基本费率</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rPr>
        <w:t>‰，审核成果费率1.50%。</w:t>
      </w:r>
      <w:r>
        <w:rPr>
          <w:rFonts w:hint="eastAsia" w:ascii="宋体" w:hAnsi="宋体" w:eastAsia="宋体" w:cs="宋体"/>
          <w:color w:val="auto"/>
          <w:sz w:val="21"/>
          <w:szCs w:val="21"/>
          <w:highlight w:val="none"/>
        </w:rPr>
        <w:t>服务期：</w:t>
      </w:r>
      <w:r>
        <w:rPr>
          <w:rFonts w:hint="eastAsia" w:ascii="宋体" w:hAnsi="宋体" w:eastAsia="宋体" w:cs="宋体"/>
          <w:color w:val="auto"/>
          <w:sz w:val="21"/>
          <w:szCs w:val="21"/>
          <w:highlight w:val="none"/>
          <w:lang w:val="en-US" w:eastAsia="zh-CN"/>
        </w:rPr>
        <w:t>自签订合同之日起至项目整体交付使用并出具经审核的审核成果文件止，总体服务期一年。</w:t>
      </w:r>
    </w:p>
    <w:p w14:paraId="7E6356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2、一旦我方中标，我方将派出</w:t>
      </w:r>
      <w:r>
        <w:rPr>
          <w:rFonts w:hint="eastAsia" w:ascii="宋体" w:hAnsi="宋体" w:eastAsia="宋体" w:cs="宋体"/>
          <w:color w:val="auto"/>
          <w:u w:val="single"/>
        </w:rPr>
        <w:t xml:space="preserve">      </w:t>
      </w:r>
      <w:r>
        <w:rPr>
          <w:rFonts w:hint="eastAsia" w:ascii="宋体" w:hAnsi="宋体" w:eastAsia="宋体" w:cs="宋体"/>
          <w:color w:val="auto"/>
        </w:rPr>
        <w:t>为本</w:t>
      </w:r>
      <w:r>
        <w:rPr>
          <w:rFonts w:hint="eastAsia" w:ascii="宋体" w:hAnsi="宋体" w:cs="宋体"/>
          <w:color w:val="auto"/>
          <w:lang w:val="en-US" w:eastAsia="zh-CN"/>
        </w:rPr>
        <w:t>项目项目负责人</w:t>
      </w:r>
      <w:r>
        <w:rPr>
          <w:rFonts w:hint="eastAsia" w:ascii="宋体" w:hAnsi="宋体" w:eastAsia="宋体" w:cs="宋体"/>
          <w:color w:val="auto"/>
        </w:rPr>
        <w:t>，按招标文件的要求承担本工程的施工</w:t>
      </w:r>
      <w:r>
        <w:rPr>
          <w:rFonts w:hint="eastAsia" w:ascii="宋体" w:hAnsi="宋体" w:cs="宋体"/>
          <w:color w:val="auto"/>
          <w:lang w:val="en-US" w:eastAsia="zh-CN"/>
        </w:rPr>
        <w:t>审计</w:t>
      </w:r>
      <w:r>
        <w:rPr>
          <w:rFonts w:hint="eastAsia" w:ascii="宋体" w:hAnsi="宋体" w:eastAsia="宋体" w:cs="宋体"/>
          <w:color w:val="auto"/>
        </w:rPr>
        <w:t>工作。</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4、我们声明，本投标文件的全部内容我公司已了解和熟悉，并承诺中标后严格按此投标文件执行。</w:t>
      </w:r>
    </w:p>
    <w:p w14:paraId="65BC97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5、单位提供如下通讯地址：</w:t>
      </w:r>
      <w:r>
        <w:rPr>
          <w:rFonts w:hint="eastAsia" w:ascii="宋体" w:hAnsi="宋体" w:eastAsia="宋体" w:cs="宋体"/>
          <w:color w:val="auto"/>
          <w:u w:val="single"/>
        </w:rPr>
        <w:t xml:space="preserve">          </w:t>
      </w:r>
      <w:r>
        <w:rPr>
          <w:rFonts w:hint="eastAsia" w:ascii="宋体" w:hAnsi="宋体" w:eastAsia="宋体" w:cs="宋体"/>
          <w:color w:val="auto"/>
        </w:rPr>
        <w:t>电子邮箱（地址），确认本项目相关法律文书均通过提供的以上地址送达，相关文书只要发送至以上电子邮箱（地址）即视为送达，投标人愿意承担一切法律后果。</w:t>
      </w:r>
    </w:p>
    <w:p w14:paraId="32AA8F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、投标有效期为 90 日历天（从投标截止之日算起）。</w:t>
      </w:r>
    </w:p>
    <w:p w14:paraId="016CE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对本招标文件的所有条款进行承诺。</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6586A80F">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（签</w:t>
      </w:r>
      <w:r>
        <w:rPr>
          <w:rFonts w:hint="eastAsia" w:ascii="宋体" w:hAnsi="宋体" w:cs="宋体"/>
          <w:color w:val="auto"/>
          <w:szCs w:val="21"/>
          <w:u w:val="single"/>
          <w:lang w:val="en-US" w:eastAsia="zh-CN"/>
        </w:rPr>
        <w:t>字或盖</w:t>
      </w:r>
      <w:r>
        <w:rPr>
          <w:rFonts w:hint="eastAsia" w:ascii="宋体" w:hAnsi="宋体" w:eastAsia="宋体" w:cs="宋体"/>
          <w:color w:val="auto"/>
          <w:szCs w:val="21"/>
          <w:u w:val="single"/>
        </w:rPr>
        <w:t>章）</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72B3F58">
      <w:pPr>
        <w:pStyle w:val="43"/>
        <w:spacing w:beforeLines="50" w:afterLines="50" w:line="440" w:lineRule="exact"/>
        <w:rPr>
          <w:bCs/>
          <w:szCs w:val="32"/>
          <w:highlight w:val="none"/>
        </w:rPr>
      </w:pPr>
      <w:r>
        <w:rPr>
          <w:rFonts w:hint="eastAsia"/>
          <w:sz w:val="32"/>
          <w:szCs w:val="32"/>
          <w:highlight w:val="none"/>
        </w:rPr>
        <w:br w:type="page"/>
      </w:r>
      <w:bookmarkEnd w:id="7"/>
      <w:bookmarkEnd w:id="8"/>
      <w:bookmarkEnd w:id="9"/>
      <w:bookmarkEnd w:id="10"/>
      <w:bookmarkEnd w:id="11"/>
      <w:bookmarkEnd w:id="912"/>
      <w:bookmarkEnd w:id="913"/>
      <w:bookmarkEnd w:id="914"/>
      <w:bookmarkEnd w:id="915"/>
      <w:bookmarkStart w:id="916" w:name="_Toc78803402"/>
      <w:r>
        <w:rPr>
          <w:rFonts w:hint="eastAsia"/>
          <w:bCs/>
          <w:szCs w:val="32"/>
          <w:highlight w:val="none"/>
        </w:rPr>
        <w:t>第</w:t>
      </w:r>
      <w:r>
        <w:rPr>
          <w:rFonts w:hint="eastAsia"/>
          <w:bCs/>
          <w:szCs w:val="32"/>
          <w:highlight w:val="none"/>
          <w:lang w:val="en-US" w:eastAsia="zh-CN"/>
        </w:rPr>
        <w:t>七</w:t>
      </w:r>
      <w:r>
        <w:rPr>
          <w:rFonts w:hint="eastAsia"/>
          <w:bCs/>
          <w:szCs w:val="32"/>
          <w:highlight w:val="none"/>
        </w:rPr>
        <w:t>章  招标单位、招标代理机构对本招标文件的确认</w:t>
      </w:r>
      <w:bookmarkEnd w:id="916"/>
    </w:p>
    <w:p w14:paraId="7D391125">
      <w:pPr>
        <w:pStyle w:val="20"/>
        <w:rPr>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2025年度分布式光伏工程审计项目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eastAsia="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674C5CF9">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eastAsia="宋体" w:cs="Times New Roman"/>
                <w:color w:val="auto"/>
                <w:sz w:val="28"/>
                <w:szCs w:val="28"/>
                <w:highlight w:val="none"/>
                <w:lang w:val="en-US" w:eastAsia="zh-CN"/>
              </w:rPr>
              <w:t>18900509886</w:t>
            </w: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4EDF8AEB">
            <w:pPr>
              <w:pStyle w:val="2"/>
              <w:ind w:firstLine="420"/>
              <w:rPr>
                <w:highlight w:val="none"/>
              </w:rPr>
            </w:pPr>
          </w:p>
        </w:tc>
      </w:tr>
    </w:tbl>
    <w:p w14:paraId="2D7DD9E9"/>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framePr w:wrap="around" w:vAnchor="text" w:hAnchor="margin" w:xAlign="center" w:y="1"/>
      <w:rPr>
        <w:rStyle w:val="50"/>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framePr w:wrap="around" w:vAnchor="text" w:hAnchor="margin" w:xAlign="center" w:y="1"/>
      <w:rPr>
        <w:rStyle w:val="50"/>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20616"/>
    <w:multiLevelType w:val="singleLevel"/>
    <w:tmpl w:val="B9320616"/>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5F3E37"/>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6C24BB"/>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3D7985"/>
    <w:rsid w:val="0C631998"/>
    <w:rsid w:val="0C6821F6"/>
    <w:rsid w:val="0C990787"/>
    <w:rsid w:val="0C992D4F"/>
    <w:rsid w:val="0CAE3A50"/>
    <w:rsid w:val="0CBF15FF"/>
    <w:rsid w:val="0CC20F4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793CCE"/>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7F6E3A"/>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696202"/>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75AFE"/>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023B71"/>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44278"/>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123D9"/>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AC688A"/>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C34E2"/>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76DF6"/>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024872"/>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F6C"/>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7762F5"/>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54AB2"/>
    <w:rsid w:val="78A468D5"/>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0"/>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29"/>
    <w:qFormat/>
    <w:uiPriority w:val="0"/>
    <w:pPr>
      <w:keepNext/>
      <w:keepLines/>
      <w:spacing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3"/>
    <w:qFormat/>
    <w:uiPriority w:val="99"/>
    <w:pPr>
      <w:widowControl/>
      <w:spacing w:beforeAutospacing="1" w:afterAutospacing="1"/>
      <w:jc w:val="left"/>
    </w:pPr>
    <w:rPr>
      <w:rFonts w:ascii="宋体" w:hAnsi="宋体" w:cs="宋体"/>
      <w:kern w:val="0"/>
      <w:sz w:val="24"/>
    </w:rPr>
  </w:style>
  <w:style w:type="paragraph" w:styleId="43">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8"/>
    <w:next w:val="18"/>
    <w:qFormat/>
    <w:uiPriority w:val="0"/>
    <w:rPr>
      <w:b/>
      <w:bCs/>
    </w:rPr>
  </w:style>
  <w:style w:type="paragraph" w:styleId="45">
    <w:name w:val="Body Text First Indent"/>
    <w:basedOn w:val="20"/>
    <w:qFormat/>
    <w:uiPriority w:val="0"/>
    <w:pPr>
      <w:ind w:firstLine="420" w:firstLineChars="1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qFormat/>
    <w:uiPriority w:val="0"/>
    <w:rPr>
      <w:color w:val="333333"/>
      <w:u w:val="none"/>
    </w:rPr>
  </w:style>
  <w:style w:type="character" w:styleId="52">
    <w:name w:val="Emphasis"/>
    <w:qFormat/>
    <w:uiPriority w:val="0"/>
    <w:rPr>
      <w:color w:val="CC0033"/>
    </w:rPr>
  </w:style>
  <w:style w:type="character" w:styleId="53">
    <w:name w:val="HTML Definition"/>
    <w:qFormat/>
    <w:uiPriority w:val="0"/>
  </w:style>
  <w:style w:type="character" w:styleId="54">
    <w:name w:val="HTML Typewriter"/>
    <w:qFormat/>
    <w:uiPriority w:val="0"/>
    <w:rPr>
      <w:rFonts w:hint="default" w:ascii="monospace" w:hAnsi="monospace" w:eastAsia="monospace" w:cs="monospace"/>
      <w:sz w:val="20"/>
    </w:rPr>
  </w:style>
  <w:style w:type="character" w:styleId="55">
    <w:name w:val="HTML Acronym"/>
    <w:basedOn w:val="48"/>
    <w:qFormat/>
    <w:uiPriority w:val="0"/>
  </w:style>
  <w:style w:type="character" w:styleId="56">
    <w:name w:val="HTML Variable"/>
    <w:qFormat/>
    <w:uiPriority w:val="0"/>
  </w:style>
  <w:style w:type="character" w:styleId="57">
    <w:name w:val="Hyperlink"/>
    <w:basedOn w:val="48"/>
    <w:qFormat/>
    <w:uiPriority w:val="99"/>
    <w:rPr>
      <w:color w:val="333333"/>
      <w:u w:val="none"/>
    </w:rPr>
  </w:style>
  <w:style w:type="character" w:styleId="58">
    <w:name w:val="HTML Code"/>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qFormat/>
    <w:uiPriority w:val="0"/>
  </w:style>
  <w:style w:type="character" w:styleId="61">
    <w:name w:val="footnote reference"/>
    <w:qFormat/>
    <w:uiPriority w:val="0"/>
    <w:rPr>
      <w:vertAlign w:val="superscript"/>
    </w:rPr>
  </w:style>
  <w:style w:type="character" w:styleId="62">
    <w:name w:val="HTML Keyboard"/>
    <w:qFormat/>
    <w:uiPriority w:val="0"/>
    <w:rPr>
      <w:rFonts w:ascii="monospace" w:hAnsi="monospace" w:eastAsia="monospace" w:cs="monospace"/>
      <w:sz w:val="20"/>
    </w:rPr>
  </w:style>
  <w:style w:type="character" w:styleId="63">
    <w:name w:val="HTML Sample"/>
    <w:qFormat/>
    <w:uiPriority w:val="0"/>
    <w:rPr>
      <w:rFonts w:hint="default" w:ascii="monospace" w:hAnsi="monospace" w:eastAsia="monospace" w:cs="monospace"/>
    </w:rPr>
  </w:style>
  <w:style w:type="paragraph" w:customStyle="1" w:styleId="64">
    <w:name w:val="正文文字 8"/>
    <w:basedOn w:val="1"/>
    <w:next w:val="1"/>
    <w:qFormat/>
    <w:uiPriority w:val="0"/>
    <w:pPr>
      <w:ind w:left="240"/>
    </w:pPr>
    <w:rPr>
      <w:sz w:val="16"/>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8"/>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6"/>
    <w:qFormat/>
    <w:uiPriority w:val="0"/>
    <w:pPr>
      <w:jc w:val="left"/>
    </w:pPr>
    <w:rPr>
      <w:rFonts w:ascii="黑体" w:hAnsi="黑体" w:eastAsia="黑体"/>
      <w:sz w:val="21"/>
    </w:rPr>
  </w:style>
  <w:style w:type="paragraph" w:customStyle="1" w:styleId="77">
    <w:name w:val="样式4"/>
    <w:basedOn w:val="8"/>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6"/>
    <w:qFormat/>
    <w:uiPriority w:val="0"/>
    <w:pPr>
      <w:spacing w:line="400" w:lineRule="exact"/>
    </w:pPr>
    <w:rPr>
      <w:rFonts w:ascii="黑体" w:hAnsi="黑体" w:eastAsia="黑体" w:cs="宋体"/>
      <w:b w:val="0"/>
      <w:bCs w:val="0"/>
      <w:sz w:val="32"/>
      <w:szCs w:val="20"/>
    </w:rPr>
  </w:style>
  <w:style w:type="paragraph" w:customStyle="1" w:styleId="82">
    <w:name w:val="_Style 78"/>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8"/>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7"/>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8"/>
    <w:qFormat/>
    <w:uiPriority w:val="0"/>
    <w:rPr>
      <w:rFonts w:eastAsia="Arial"/>
    </w:rPr>
  </w:style>
  <w:style w:type="paragraph" w:customStyle="1" w:styleId="95">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8"/>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8"/>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8"/>
    <w:qFormat/>
    <w:uiPriority w:val="0"/>
  </w:style>
  <w:style w:type="character" w:customStyle="1" w:styleId="110">
    <w:name w:val="img4"/>
    <w:basedOn w:val="48"/>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8"/>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6"/>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8"/>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10"/>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8"/>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8"/>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8"/>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8"/>
    <w:qFormat/>
    <w:uiPriority w:val="0"/>
  </w:style>
  <w:style w:type="character" w:customStyle="1" w:styleId="140">
    <w:name w:val="job1"/>
    <w:basedOn w:val="48"/>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8"/>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8"/>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8"/>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8"/>
    <w:qFormat/>
    <w:uiPriority w:val="0"/>
  </w:style>
  <w:style w:type="character" w:customStyle="1" w:styleId="151">
    <w:name w:val="msg-box30"/>
    <w:basedOn w:val="48"/>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8"/>
    <w:qFormat/>
    <w:uiPriority w:val="0"/>
    <w:rPr>
      <w:b/>
      <w:bCs/>
      <w:sz w:val="32"/>
      <w:szCs w:val="32"/>
    </w:rPr>
  </w:style>
  <w:style w:type="character" w:customStyle="1" w:styleId="154">
    <w:name w:val="c1"/>
    <w:basedOn w:val="48"/>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8"/>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8"/>
    <w:qFormat/>
    <w:uiPriority w:val="0"/>
  </w:style>
  <w:style w:type="character" w:customStyle="1" w:styleId="170">
    <w:name w:val="mesg-myd"/>
    <w:qFormat/>
    <w:uiPriority w:val="0"/>
    <w:rPr>
      <w:color w:val="EE0000"/>
    </w:rPr>
  </w:style>
  <w:style w:type="character" w:customStyle="1" w:styleId="171">
    <w:name w:val="c2"/>
    <w:basedOn w:val="48"/>
    <w:qFormat/>
    <w:uiPriority w:val="0"/>
  </w:style>
  <w:style w:type="character" w:customStyle="1" w:styleId="172">
    <w:name w:val="c3"/>
    <w:basedOn w:val="48"/>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8"/>
    <w:qFormat/>
    <w:uiPriority w:val="0"/>
  </w:style>
  <w:style w:type="character" w:customStyle="1" w:styleId="179">
    <w:name w:val="starting4"/>
    <w:basedOn w:val="48"/>
    <w:qFormat/>
    <w:uiPriority w:val="0"/>
  </w:style>
  <w:style w:type="character" w:customStyle="1" w:styleId="180">
    <w:name w:val="bsharetext"/>
    <w:basedOn w:val="48"/>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8"/>
    <w:qFormat/>
    <w:uiPriority w:val="0"/>
  </w:style>
  <w:style w:type="character" w:customStyle="1" w:styleId="188">
    <w:name w:val="buvis1"/>
    <w:qFormat/>
    <w:uiPriority w:val="0"/>
    <w:rPr>
      <w:color w:val="CC0000"/>
    </w:rPr>
  </w:style>
  <w:style w:type="character" w:customStyle="1" w:styleId="189">
    <w:name w:val="starting3"/>
    <w:basedOn w:val="48"/>
    <w:qFormat/>
    <w:uiPriority w:val="0"/>
  </w:style>
  <w:style w:type="character" w:customStyle="1" w:styleId="190">
    <w:name w:val="textcontents"/>
    <w:basedOn w:val="48"/>
    <w:qFormat/>
    <w:uiPriority w:val="0"/>
  </w:style>
  <w:style w:type="character" w:customStyle="1" w:styleId="191">
    <w:name w:val="num41"/>
    <w:basedOn w:val="48"/>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7"/>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8"/>
    <w:qFormat/>
    <w:uiPriority w:val="0"/>
    <w:rPr>
      <w:rFonts w:hint="eastAsia" w:ascii="仿宋" w:hAnsi="仿宋" w:eastAsia="仿宋" w:cs="仿宋"/>
      <w:b/>
      <w:color w:val="000000"/>
      <w:sz w:val="32"/>
      <w:szCs w:val="32"/>
      <w:u w:val="none"/>
    </w:rPr>
  </w:style>
  <w:style w:type="character" w:customStyle="1" w:styleId="200">
    <w:name w:val="font101"/>
    <w:basedOn w:val="48"/>
    <w:qFormat/>
    <w:uiPriority w:val="0"/>
    <w:rPr>
      <w:rFonts w:hint="default" w:ascii="Times New Roman" w:hAnsi="Times New Roman" w:cs="Times New Roman"/>
      <w:color w:val="000000"/>
      <w:sz w:val="24"/>
      <w:szCs w:val="24"/>
      <w:u w:val="none"/>
    </w:rPr>
  </w:style>
  <w:style w:type="character" w:customStyle="1" w:styleId="201">
    <w:name w:val="font111"/>
    <w:basedOn w:val="48"/>
    <w:qFormat/>
    <w:uiPriority w:val="0"/>
    <w:rPr>
      <w:rFonts w:ascii="仿宋_GB2312" w:eastAsia="仿宋_GB2312" w:cs="仿宋_GB2312"/>
      <w:color w:val="000000"/>
      <w:sz w:val="24"/>
      <w:szCs w:val="24"/>
      <w:u w:val="none"/>
    </w:rPr>
  </w:style>
  <w:style w:type="character" w:customStyle="1" w:styleId="202">
    <w:name w:val="font91"/>
    <w:basedOn w:val="48"/>
    <w:qFormat/>
    <w:uiPriority w:val="0"/>
    <w:rPr>
      <w:rFonts w:hint="eastAsia" w:ascii="仿宋" w:hAnsi="仿宋" w:eastAsia="仿宋" w:cs="仿宋"/>
      <w:color w:val="000000"/>
      <w:sz w:val="24"/>
      <w:szCs w:val="24"/>
      <w:u w:val="single"/>
    </w:rPr>
  </w:style>
  <w:style w:type="character" w:customStyle="1" w:styleId="203">
    <w:name w:val="font81"/>
    <w:basedOn w:val="48"/>
    <w:qFormat/>
    <w:uiPriority w:val="0"/>
    <w:rPr>
      <w:rFonts w:hint="default" w:ascii="Times New Roman" w:hAnsi="Times New Roman" w:cs="Times New Roman"/>
      <w:color w:val="000000"/>
      <w:sz w:val="24"/>
      <w:szCs w:val="24"/>
      <w:u w:val="none"/>
    </w:rPr>
  </w:style>
  <w:style w:type="character" w:customStyle="1" w:styleId="204">
    <w:name w:val="font61"/>
    <w:basedOn w:val="48"/>
    <w:qFormat/>
    <w:uiPriority w:val="0"/>
    <w:rPr>
      <w:rFonts w:hint="eastAsia" w:ascii="仿宋_GB2312" w:eastAsia="仿宋_GB2312" w:cs="仿宋_GB2312"/>
      <w:color w:val="000000"/>
      <w:sz w:val="24"/>
      <w:szCs w:val="24"/>
      <w:u w:val="none"/>
    </w:rPr>
  </w:style>
  <w:style w:type="character" w:customStyle="1" w:styleId="205">
    <w:name w:val="font21"/>
    <w:basedOn w:val="48"/>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8"/>
    <w:qFormat/>
    <w:uiPriority w:val="0"/>
  </w:style>
  <w:style w:type="character" w:customStyle="1" w:styleId="208">
    <w:name w:val="hover1"/>
    <w:basedOn w:val="48"/>
    <w:qFormat/>
    <w:uiPriority w:val="0"/>
    <w:rPr>
      <w:color w:val="2590EB"/>
    </w:rPr>
  </w:style>
  <w:style w:type="character" w:customStyle="1" w:styleId="209">
    <w:name w:val="hover2"/>
    <w:basedOn w:val="48"/>
    <w:qFormat/>
    <w:uiPriority w:val="0"/>
  </w:style>
  <w:style w:type="character" w:customStyle="1" w:styleId="210">
    <w:name w:val="hover3"/>
    <w:basedOn w:val="48"/>
    <w:qFormat/>
    <w:uiPriority w:val="0"/>
    <w:rPr>
      <w:color w:val="2590EB"/>
    </w:rPr>
  </w:style>
  <w:style w:type="character" w:customStyle="1" w:styleId="211">
    <w:name w:val="hover4"/>
    <w:basedOn w:val="48"/>
    <w:qFormat/>
    <w:uiPriority w:val="0"/>
    <w:rPr>
      <w:color w:val="2590EB"/>
      <w:shd w:val="clear" w:fill="E9F4FD"/>
    </w:rPr>
  </w:style>
  <w:style w:type="character" w:customStyle="1" w:styleId="212">
    <w:name w:val="mini-outputtext1"/>
    <w:basedOn w:val="48"/>
    <w:qFormat/>
    <w:uiPriority w:val="0"/>
  </w:style>
  <w:style w:type="character" w:customStyle="1" w:styleId="213">
    <w:name w:val="hover"/>
    <w:basedOn w:val="48"/>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15395</Words>
  <Characters>17269</Characters>
  <Lines>411</Lines>
  <Paragraphs>115</Paragraphs>
  <TotalTime>12</TotalTime>
  <ScaleCrop>false</ScaleCrop>
  <LinksUpToDate>false</LinksUpToDate>
  <CharactersWithSpaces>17500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2025-09-05T08:50:07Z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