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BEA7F1">
      <w:pPr>
        <w:pStyle w:val="14"/>
        <w:ind w:firstLine="420"/>
        <w:rPr>
          <w:color w:val="auto"/>
          <w:highlight w:val="none"/>
        </w:rPr>
      </w:pPr>
      <w:bookmarkStart w:id="0" w:name="_Toc324404811"/>
      <w:bookmarkStart w:id="1" w:name="_Toc15058843"/>
      <w:bookmarkStart w:id="2" w:name="_Toc247085669"/>
      <w:bookmarkStart w:id="3" w:name="_Toc506107265"/>
      <w:bookmarkStart w:id="4" w:name="_Toc461631222"/>
      <w:bookmarkStart w:id="5" w:name="_Toc296602400"/>
      <w:bookmarkStart w:id="6" w:name="_Toc246996898"/>
      <w:bookmarkStart w:id="7" w:name="OLE_LINK3"/>
      <w:bookmarkStart w:id="8" w:name="OLE_LINK2"/>
      <w:bookmarkStart w:id="9" w:name="OLE_LINK4"/>
      <w:bookmarkStart w:id="10" w:name="OLE_LINK5"/>
      <w:bookmarkStart w:id="11" w:name="OLE_LINK1"/>
    </w:p>
    <w:p w14:paraId="1C9996FB">
      <w:pPr>
        <w:keepNext w:val="0"/>
        <w:keepLines w:val="0"/>
        <w:pageBreakBefore w:val="0"/>
        <w:widowControl w:val="0"/>
        <w:kinsoku/>
        <w:wordWrap w:val="0"/>
        <w:overflowPunct/>
        <w:topLinePunct w:val="0"/>
        <w:autoSpaceDE/>
        <w:autoSpaceDN/>
        <w:bidi w:val="0"/>
        <w:adjustRightInd/>
        <w:snapToGrid/>
        <w:jc w:val="center"/>
        <w:textAlignment w:val="auto"/>
        <w:rPr>
          <w:rFonts w:ascii="宋体" w:hAnsi="宋体"/>
          <w:color w:val="auto"/>
          <w:sz w:val="60"/>
          <w:szCs w:val="60"/>
          <w:highlight w:val="none"/>
        </w:rPr>
      </w:pPr>
      <w:r>
        <w:rPr>
          <w:rFonts w:hint="eastAsia" w:hAnsi="宋体" w:cs="宋体"/>
          <w:b/>
          <w:color w:val="auto"/>
          <w:kern w:val="0"/>
          <w:sz w:val="52"/>
          <w:szCs w:val="52"/>
          <w:highlight w:val="none"/>
          <w:lang w:eastAsia="zh-CN"/>
        </w:rPr>
        <w:t>2025年滁州市公路工程有限责任公司年度沥青混合料采购项目</w:t>
      </w:r>
    </w:p>
    <w:p w14:paraId="2A2621CC">
      <w:pPr>
        <w:pStyle w:val="14"/>
        <w:rPr>
          <w:color w:val="auto"/>
          <w:highlight w:val="none"/>
        </w:rPr>
      </w:pPr>
    </w:p>
    <w:p w14:paraId="6FE8F166">
      <w:pPr>
        <w:jc w:val="center"/>
        <w:rPr>
          <w:rFonts w:hint="eastAsia" w:ascii="宋体" w:hAnsi="宋体"/>
          <w:b/>
          <w:bCs/>
          <w:color w:val="auto"/>
          <w:sz w:val="96"/>
          <w:szCs w:val="96"/>
          <w:highlight w:val="none"/>
        </w:rPr>
      </w:pPr>
    </w:p>
    <w:p w14:paraId="42C3DC89">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07F53F6">
      <w:pPr>
        <w:pStyle w:val="14"/>
        <w:rPr>
          <w:color w:val="auto"/>
          <w:highlight w:val="none"/>
        </w:rPr>
      </w:pPr>
    </w:p>
    <w:p w14:paraId="0D91707F">
      <w:pPr>
        <w:rPr>
          <w:color w:val="auto"/>
          <w:highlight w:val="none"/>
        </w:rPr>
      </w:pPr>
    </w:p>
    <w:p w14:paraId="691FE4D6">
      <w:pPr>
        <w:rPr>
          <w:color w:val="auto"/>
          <w:highlight w:val="none"/>
        </w:rPr>
      </w:pPr>
    </w:p>
    <w:p w14:paraId="7E411827">
      <w:pPr>
        <w:pStyle w:val="14"/>
        <w:rPr>
          <w:color w:val="auto"/>
          <w:highlight w:val="none"/>
        </w:rPr>
      </w:pPr>
    </w:p>
    <w:p w14:paraId="6CF62471">
      <w:pPr>
        <w:rPr>
          <w:color w:val="auto"/>
          <w:highlight w:val="none"/>
        </w:rPr>
      </w:pPr>
    </w:p>
    <w:p w14:paraId="31EEA548">
      <w:pPr>
        <w:pStyle w:val="14"/>
        <w:ind w:left="0" w:leftChars="0" w:firstLine="0" w:firstLineChars="0"/>
        <w:rPr>
          <w:color w:val="auto"/>
          <w:highlight w:val="none"/>
        </w:rPr>
      </w:pPr>
    </w:p>
    <w:p w14:paraId="6EBADFFD">
      <w:pPr>
        <w:rPr>
          <w:color w:val="auto"/>
          <w:highlight w:val="none"/>
        </w:rPr>
      </w:pPr>
    </w:p>
    <w:p w14:paraId="57C971B3">
      <w:pPr>
        <w:pStyle w:val="14"/>
        <w:rPr>
          <w:color w:val="auto"/>
          <w:highlight w:val="none"/>
        </w:rPr>
      </w:pPr>
    </w:p>
    <w:p w14:paraId="00CEC72B">
      <w:pPr>
        <w:rPr>
          <w:color w:val="auto"/>
          <w:highlight w:val="none"/>
        </w:rPr>
      </w:pPr>
    </w:p>
    <w:p w14:paraId="0FB3EFCA">
      <w:pPr>
        <w:pStyle w:val="14"/>
        <w:rPr>
          <w:color w:val="auto"/>
          <w:highlight w:val="none"/>
        </w:rPr>
      </w:pPr>
    </w:p>
    <w:p w14:paraId="488DB9CD">
      <w:pPr>
        <w:spacing w:before="312" w:beforeLines="100" w:after="312" w:afterLines="100" w:line="360" w:lineRule="auto"/>
        <w:jc w:val="left"/>
        <w:outlineLvl w:val="0"/>
        <w:rPr>
          <w:rFonts w:hint="eastAsia" w:ascii="宋体"/>
          <w:b/>
          <w:color w:val="auto"/>
          <w:sz w:val="32"/>
          <w:szCs w:val="32"/>
          <w:highlight w:val="none"/>
        </w:rPr>
      </w:pPr>
      <w:bookmarkStart w:id="12" w:name="_Toc31447"/>
      <w:r>
        <w:rPr>
          <w:rFonts w:hint="eastAsia" w:ascii="宋体"/>
          <w:b/>
          <w:color w:val="auto"/>
          <w:sz w:val="32"/>
          <w:szCs w:val="32"/>
          <w:highlight w:val="none"/>
        </w:rPr>
        <w:t>招 标 人：</w:t>
      </w:r>
      <w:r>
        <w:rPr>
          <w:rFonts w:hint="eastAsia" w:ascii="宋体"/>
          <w:b/>
          <w:color w:val="auto"/>
          <w:sz w:val="32"/>
          <w:szCs w:val="32"/>
          <w:highlight w:val="none"/>
          <w:u w:val="single"/>
        </w:rPr>
        <w:t xml:space="preserve">   </w:t>
      </w:r>
      <w:r>
        <w:rPr>
          <w:rFonts w:hint="eastAsia" w:ascii="宋体" w:hAnsi="Times New Roman" w:eastAsia="宋体" w:cs="Times New Roman"/>
          <w:b/>
          <w:color w:val="auto"/>
          <w:sz w:val="32"/>
          <w:szCs w:val="32"/>
          <w:highlight w:val="none"/>
          <w:u w:val="single"/>
        </w:rPr>
        <w:t xml:space="preserve"> </w:t>
      </w:r>
      <w:r>
        <w:rPr>
          <w:rFonts w:hint="eastAsia" w:ascii="宋体" w:hAnsi="Times New Roman" w:eastAsia="宋体" w:cs="Times New Roman"/>
          <w:b/>
          <w:color w:val="auto"/>
          <w:sz w:val="32"/>
          <w:szCs w:val="32"/>
          <w:highlight w:val="none"/>
          <w:u w:val="single"/>
          <w:lang w:eastAsia="zh-CN"/>
        </w:rPr>
        <w:t>滁州市公路工程有限责任公司</w:t>
      </w:r>
      <w:r>
        <w:rPr>
          <w:rFonts w:hint="eastAsia" w:ascii="宋体"/>
          <w:b/>
          <w:color w:val="auto"/>
          <w:sz w:val="32"/>
          <w:szCs w:val="32"/>
          <w:highlight w:val="none"/>
          <w:u w:val="single"/>
        </w:rPr>
        <w:t xml:space="preserve">   </w:t>
      </w:r>
      <w:r>
        <w:rPr>
          <w:rFonts w:hint="eastAsia" w:ascii="宋体"/>
          <w:b/>
          <w:color w:val="auto"/>
          <w:sz w:val="32"/>
          <w:szCs w:val="32"/>
          <w:highlight w:val="none"/>
        </w:rPr>
        <w:t>（盖单位章）</w:t>
      </w:r>
      <w:bookmarkEnd w:id="12"/>
    </w:p>
    <w:p w14:paraId="2DA69140">
      <w:pPr>
        <w:tabs>
          <w:tab w:val="left" w:pos="1680"/>
        </w:tabs>
        <w:spacing w:before="312" w:beforeLines="100" w:after="312" w:afterLines="100" w:line="360" w:lineRule="auto"/>
        <w:jc w:val="left"/>
        <w:outlineLvl w:val="0"/>
        <w:rPr>
          <w:rFonts w:hint="eastAsia" w:ascii="宋体"/>
          <w:b/>
          <w:color w:val="auto"/>
          <w:sz w:val="32"/>
          <w:szCs w:val="32"/>
          <w:highlight w:val="none"/>
          <w:u w:val="single"/>
        </w:rPr>
      </w:pPr>
      <w:r>
        <w:rPr>
          <w:rFonts w:hint="eastAsia" w:ascii="宋体"/>
          <w:b/>
          <w:color w:val="auto"/>
          <w:sz w:val="32"/>
          <w:szCs w:val="32"/>
          <w:highlight w:val="none"/>
        </w:rPr>
        <w:t>代理机构：</w:t>
      </w:r>
      <w:r>
        <w:rPr>
          <w:rFonts w:hint="eastAsia" w:ascii="宋体"/>
          <w:b/>
          <w:color w:val="auto"/>
          <w:sz w:val="32"/>
          <w:szCs w:val="32"/>
          <w:highlight w:val="none"/>
          <w:u w:val="single"/>
        </w:rPr>
        <w:t xml:space="preserve">   滁州市城投工程咨询管理有限公司   </w:t>
      </w:r>
      <w:r>
        <w:rPr>
          <w:rFonts w:hint="eastAsia" w:ascii="宋体"/>
          <w:b/>
          <w:color w:val="auto"/>
          <w:sz w:val="32"/>
          <w:szCs w:val="32"/>
          <w:highlight w:val="none"/>
        </w:rPr>
        <w:t>（盖单位章）</w:t>
      </w:r>
    </w:p>
    <w:p w14:paraId="4A682D1F">
      <w:pPr>
        <w:spacing w:line="360" w:lineRule="auto"/>
        <w:jc w:val="center"/>
        <w:rPr>
          <w:rFonts w:hint="eastAsia"/>
          <w:b/>
          <w:color w:val="auto"/>
          <w:sz w:val="36"/>
          <w:highlight w:val="none"/>
        </w:rPr>
      </w:pPr>
      <w:r>
        <w:rPr>
          <w:rFonts w:hint="eastAsia" w:ascii="宋体"/>
          <w:b/>
          <w:color w:val="auto"/>
          <w:sz w:val="32"/>
          <w:szCs w:val="32"/>
          <w:highlight w:val="none"/>
          <w:u w:val="single"/>
        </w:rPr>
        <w:t xml:space="preserve"> 202</w:t>
      </w:r>
      <w:r>
        <w:rPr>
          <w:rFonts w:hint="eastAsia" w:ascii="宋体"/>
          <w:b/>
          <w:color w:val="auto"/>
          <w:sz w:val="32"/>
          <w:szCs w:val="32"/>
          <w:highlight w:val="none"/>
          <w:u w:val="single"/>
          <w:lang w:val="en-US" w:eastAsia="zh-CN"/>
        </w:rPr>
        <w:t>5</w:t>
      </w:r>
      <w:r>
        <w:rPr>
          <w:rFonts w:hint="eastAsia" w:ascii="宋体"/>
          <w:b/>
          <w:color w:val="auto"/>
          <w:sz w:val="32"/>
          <w:szCs w:val="32"/>
          <w:highlight w:val="none"/>
          <w:u w:val="single"/>
        </w:rPr>
        <w:t xml:space="preserve"> </w:t>
      </w:r>
      <w:r>
        <w:rPr>
          <w:rFonts w:hint="eastAsia" w:ascii="宋体"/>
          <w:b/>
          <w:color w:val="auto"/>
          <w:sz w:val="32"/>
          <w:szCs w:val="32"/>
          <w:highlight w:val="none"/>
        </w:rPr>
        <w:t>年</w:t>
      </w:r>
      <w:r>
        <w:rPr>
          <w:rFonts w:hint="eastAsia" w:ascii="宋体"/>
          <w:b/>
          <w:color w:val="auto"/>
          <w:sz w:val="32"/>
          <w:szCs w:val="32"/>
          <w:highlight w:val="none"/>
          <w:u w:val="single"/>
        </w:rPr>
        <w:t xml:space="preserve"> </w:t>
      </w:r>
      <w:r>
        <w:rPr>
          <w:rFonts w:hint="eastAsia" w:ascii="宋体"/>
          <w:b/>
          <w:color w:val="auto"/>
          <w:sz w:val="32"/>
          <w:szCs w:val="32"/>
          <w:highlight w:val="none"/>
          <w:u w:val="single"/>
          <w:lang w:val="en-US" w:eastAsia="zh-CN"/>
        </w:rPr>
        <w:t>7</w:t>
      </w:r>
      <w:r>
        <w:rPr>
          <w:rFonts w:hint="eastAsia" w:ascii="宋体"/>
          <w:b/>
          <w:color w:val="auto"/>
          <w:sz w:val="32"/>
          <w:szCs w:val="32"/>
          <w:highlight w:val="none"/>
          <w:u w:val="single"/>
        </w:rPr>
        <w:t xml:space="preserve"> </w:t>
      </w:r>
      <w:r>
        <w:rPr>
          <w:rFonts w:hint="eastAsia" w:ascii="宋体"/>
          <w:b/>
          <w:color w:val="auto"/>
          <w:sz w:val="32"/>
          <w:szCs w:val="32"/>
          <w:highlight w:val="none"/>
        </w:rPr>
        <w:t>月</w:t>
      </w:r>
    </w:p>
    <w:p w14:paraId="43DB8EF8">
      <w:pPr>
        <w:rPr>
          <w:rFonts w:hint="eastAsia"/>
          <w:color w:val="auto"/>
          <w:sz w:val="44"/>
          <w:szCs w:val="44"/>
          <w:highlight w:val="none"/>
        </w:rPr>
      </w:pPr>
      <w:r>
        <w:rPr>
          <w:rFonts w:hint="eastAsia"/>
          <w:color w:val="auto"/>
          <w:sz w:val="44"/>
          <w:szCs w:val="44"/>
          <w:highlight w:val="none"/>
        </w:rPr>
        <w:br w:type="page"/>
      </w:r>
    </w:p>
    <w:p w14:paraId="19A043FB">
      <w:pPr>
        <w:spacing w:line="700" w:lineRule="exact"/>
        <w:ind w:firstLine="440" w:firstLineChars="100"/>
        <w:jc w:val="center"/>
        <w:rPr>
          <w:rFonts w:hint="eastAsia"/>
          <w:color w:val="auto"/>
          <w:sz w:val="44"/>
          <w:szCs w:val="44"/>
          <w:highlight w:val="none"/>
        </w:rPr>
      </w:pPr>
    </w:p>
    <w:p w14:paraId="09796EC2">
      <w:pPr>
        <w:spacing w:line="700" w:lineRule="exact"/>
        <w:ind w:firstLine="440" w:firstLineChars="100"/>
        <w:jc w:val="center"/>
        <w:rPr>
          <w:rFonts w:hint="eastAsia"/>
          <w:color w:val="auto"/>
          <w:sz w:val="44"/>
          <w:szCs w:val="44"/>
          <w:highlight w:val="none"/>
        </w:rPr>
      </w:pPr>
      <w:r>
        <w:rPr>
          <w:rFonts w:hint="eastAsia"/>
          <w:color w:val="auto"/>
          <w:sz w:val="44"/>
          <w:szCs w:val="44"/>
          <w:highlight w:val="none"/>
        </w:rPr>
        <w:t>目   录</w:t>
      </w:r>
      <w:bookmarkEnd w:id="0"/>
      <w:bookmarkEnd w:id="1"/>
      <w:bookmarkEnd w:id="2"/>
      <w:bookmarkEnd w:id="3"/>
      <w:bookmarkEnd w:id="4"/>
      <w:bookmarkEnd w:id="5"/>
      <w:bookmarkEnd w:id="6"/>
      <w:bookmarkStart w:id="13" w:name="_Toc144974479"/>
      <w:bookmarkStart w:id="14" w:name="_Toc152042287"/>
      <w:bookmarkStart w:id="15" w:name="_Toc152045511"/>
      <w:bookmarkStart w:id="16" w:name="_Toc179632527"/>
    </w:p>
    <w:p w14:paraId="2B89C05C">
      <w:pPr>
        <w:pStyle w:val="14"/>
        <w:rPr>
          <w:color w:val="auto"/>
          <w:highlight w:val="none"/>
        </w:rPr>
      </w:pPr>
    </w:p>
    <w:bookmarkEnd w:id="13"/>
    <w:bookmarkEnd w:id="14"/>
    <w:bookmarkEnd w:id="15"/>
    <w:bookmarkEnd w:id="16"/>
    <w:p w14:paraId="268F5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auto"/>
        <w:rPr>
          <w:rFonts w:hint="eastAsia" w:ascii="宋体" w:hAnsi="宋体" w:eastAsia="宋体" w:cs="宋体"/>
          <w:color w:val="auto"/>
          <w:sz w:val="24"/>
          <w:szCs w:val="24"/>
          <w:highlight w:val="none"/>
          <w:lang w:val="en-US"/>
        </w:rPr>
      </w:pPr>
      <w:bookmarkStart w:id="17" w:name="_Toc78803320"/>
      <w:bookmarkStart w:id="18" w:name="_Toc246996916"/>
      <w:bookmarkStart w:id="19" w:name="_Toc35424883"/>
      <w:bookmarkStart w:id="20" w:name="_Toc324404813"/>
      <w:bookmarkStart w:id="21" w:name="_Toc246996173"/>
      <w:bookmarkStart w:id="22" w:name="_Toc506107267"/>
      <w:bookmarkStart w:id="23" w:name="_Toc247085687"/>
      <w:bookmarkStart w:id="24" w:name="_Toc15058844"/>
      <w:bookmarkStart w:id="25" w:name="_Toc179632544"/>
      <w:bookmarkStart w:id="26" w:name="_Toc144974495"/>
      <w:bookmarkStart w:id="27" w:name="_Toc35425050"/>
      <w:bookmarkStart w:id="28" w:name="_Toc152042303"/>
      <w:bookmarkStart w:id="29" w:name="_Toc152045527"/>
      <w:r>
        <w:rPr>
          <w:rFonts w:hint="eastAsia" w:ascii="宋体" w:hAnsi="宋体" w:eastAsia="宋体" w:cs="宋体"/>
          <w:color w:val="auto"/>
          <w:kern w:val="0"/>
          <w:sz w:val="24"/>
          <w:szCs w:val="24"/>
          <w:highlight w:val="none"/>
          <w:lang w:val="en-US" w:eastAsia="zh-CN" w:bidi="ar"/>
        </w:rPr>
        <w:t>第一章  招标公告 …………………………………………………………………1</w:t>
      </w:r>
    </w:p>
    <w:p w14:paraId="4931C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第二章  投标人须知 ………………………………………………………………3</w:t>
      </w:r>
    </w:p>
    <w:p w14:paraId="28A92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第三章  资格审查办法……………………………………………………………1</w:t>
      </w:r>
      <w:r>
        <w:rPr>
          <w:rFonts w:hint="eastAsia" w:ascii="宋体" w:hAnsi="宋体" w:cs="宋体"/>
          <w:color w:val="auto"/>
          <w:kern w:val="0"/>
          <w:sz w:val="24"/>
          <w:szCs w:val="24"/>
          <w:highlight w:val="none"/>
          <w:lang w:val="en-US" w:eastAsia="zh-CN" w:bidi="ar"/>
        </w:rPr>
        <w:t>5</w:t>
      </w:r>
    </w:p>
    <w:p w14:paraId="5765D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第四章  评标办法…………………………………………………………………1</w:t>
      </w:r>
      <w:r>
        <w:rPr>
          <w:rFonts w:hint="eastAsia" w:ascii="宋体" w:hAnsi="宋体" w:cs="宋体"/>
          <w:color w:val="auto"/>
          <w:kern w:val="0"/>
          <w:sz w:val="24"/>
          <w:szCs w:val="24"/>
          <w:highlight w:val="none"/>
          <w:lang w:val="en-US" w:eastAsia="zh-CN" w:bidi="ar"/>
        </w:rPr>
        <w:t>7</w:t>
      </w:r>
    </w:p>
    <w:p w14:paraId="2979E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第五章  采购需求…………………………………………………………………</w:t>
      </w:r>
      <w:r>
        <w:rPr>
          <w:rFonts w:hint="eastAsia" w:ascii="宋体" w:hAnsi="宋体" w:cs="宋体"/>
          <w:color w:val="auto"/>
          <w:kern w:val="0"/>
          <w:sz w:val="24"/>
          <w:szCs w:val="24"/>
          <w:highlight w:val="none"/>
          <w:lang w:val="en-US" w:eastAsia="zh-CN" w:bidi="ar"/>
        </w:rPr>
        <w:t>22</w:t>
      </w:r>
    </w:p>
    <w:p w14:paraId="3E03E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第六章  合同条款…………………………………………………………………2</w:t>
      </w:r>
      <w:r>
        <w:rPr>
          <w:rFonts w:hint="eastAsia" w:ascii="宋体" w:hAnsi="宋体" w:cs="宋体"/>
          <w:color w:val="auto"/>
          <w:kern w:val="0"/>
          <w:sz w:val="24"/>
          <w:szCs w:val="24"/>
          <w:highlight w:val="none"/>
          <w:lang w:val="en-US" w:eastAsia="zh-CN" w:bidi="ar"/>
        </w:rPr>
        <w:t>7</w:t>
      </w:r>
    </w:p>
    <w:p w14:paraId="37BD3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第七章  投标文件格式……………………………………………………………</w:t>
      </w:r>
      <w:r>
        <w:rPr>
          <w:rFonts w:hint="eastAsia" w:ascii="宋体" w:hAnsi="宋体" w:cs="宋体"/>
          <w:color w:val="auto"/>
          <w:kern w:val="0"/>
          <w:sz w:val="24"/>
          <w:szCs w:val="24"/>
          <w:highlight w:val="none"/>
          <w:lang w:val="en-US" w:eastAsia="zh-CN" w:bidi="ar"/>
        </w:rPr>
        <w:t>28</w:t>
      </w:r>
    </w:p>
    <w:p w14:paraId="3F61C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第八章  招标人、招标代理机构对本招标文件的确认…………………………</w:t>
      </w:r>
      <w:r>
        <w:rPr>
          <w:rFonts w:hint="eastAsia" w:ascii="宋体" w:hAnsi="宋体" w:cs="宋体"/>
          <w:color w:val="auto"/>
          <w:kern w:val="0"/>
          <w:sz w:val="24"/>
          <w:szCs w:val="24"/>
          <w:highlight w:val="none"/>
          <w:lang w:val="en-US" w:eastAsia="zh-CN" w:bidi="ar"/>
        </w:rPr>
        <w:t>46</w:t>
      </w:r>
    </w:p>
    <w:p w14:paraId="250AEC5B">
      <w:pPr>
        <w:pStyle w:val="44"/>
        <w:spacing w:beforeLines="50" w:afterLines="50" w:line="440" w:lineRule="exact"/>
        <w:rPr>
          <w:rFonts w:hint="eastAsia" w:eastAsia="宋体" w:cs="Times New Roman"/>
          <w:bCs/>
          <w:color w:val="auto"/>
          <w:szCs w:val="32"/>
          <w:highlight w:val="none"/>
          <w:lang w:val="en-US" w:eastAsia="zh-CN"/>
        </w:rPr>
        <w:sectPr>
          <w:headerReference r:id="rId3" w:type="default"/>
          <w:footerReference r:id="rId4" w:type="default"/>
          <w:pgSz w:w="11906" w:h="16838"/>
          <w:pgMar w:top="1134" w:right="1417" w:bottom="1134" w:left="1417" w:header="851" w:footer="992" w:gutter="0"/>
          <w:pgNumType w:fmt="decimal"/>
          <w:cols w:space="720" w:num="1"/>
          <w:docGrid w:type="lines" w:linePitch="312" w:charSpace="0"/>
        </w:sectPr>
      </w:pPr>
    </w:p>
    <w:p w14:paraId="2EC261B3">
      <w:pPr>
        <w:pStyle w:val="44"/>
        <w:spacing w:beforeLines="50" w:afterLines="50" w:line="440" w:lineRule="exact"/>
        <w:rPr>
          <w:rFonts w:hint="eastAsia" w:eastAsia="宋体" w:cs="Times New Roman"/>
          <w:bCs/>
          <w:color w:val="auto"/>
          <w:szCs w:val="32"/>
          <w:highlight w:val="none"/>
        </w:rPr>
      </w:pPr>
      <w:r>
        <w:rPr>
          <w:rFonts w:hint="eastAsia" w:eastAsia="宋体" w:cs="Times New Roman"/>
          <w:bCs/>
          <w:color w:val="auto"/>
          <w:szCs w:val="32"/>
          <w:highlight w:val="none"/>
          <w:lang w:val="en-US" w:eastAsia="zh-CN"/>
        </w:rPr>
        <w:t xml:space="preserve">第一章 </w:t>
      </w:r>
      <w:r>
        <w:rPr>
          <w:rFonts w:hint="eastAsia" w:eastAsia="宋体" w:cs="Times New Roman"/>
          <w:bCs/>
          <w:color w:val="auto"/>
          <w:szCs w:val="32"/>
          <w:highlight w:val="none"/>
        </w:rPr>
        <w:t>招标公告</w:t>
      </w:r>
      <w:bookmarkEnd w:id="17"/>
    </w:p>
    <w:tbl>
      <w:tblPr>
        <w:tblStyle w:val="47"/>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675"/>
        <w:gridCol w:w="2451"/>
        <w:gridCol w:w="308"/>
        <w:gridCol w:w="2340"/>
        <w:gridCol w:w="3000"/>
      </w:tblGrid>
      <w:tr w14:paraId="5A0E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7" w:type="dxa"/>
            <w:gridSpan w:val="2"/>
            <w:noWrap w:val="0"/>
            <w:vAlign w:val="center"/>
          </w:tcPr>
          <w:p w14:paraId="4896BCAD">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bCs/>
                <w:color w:val="auto"/>
                <w:kern w:val="1"/>
                <w:sz w:val="21"/>
                <w:szCs w:val="21"/>
                <w:highlight w:val="none"/>
              </w:rPr>
            </w:pPr>
            <w:r>
              <w:rPr>
                <w:rFonts w:hint="eastAsia"/>
                <w:color w:val="auto"/>
                <w:sz w:val="21"/>
                <w:szCs w:val="21"/>
                <w:highlight w:val="none"/>
              </w:rPr>
              <w:t>招标</w:t>
            </w:r>
            <w:r>
              <w:rPr>
                <w:rFonts w:hint="eastAsia"/>
                <w:bCs/>
                <w:color w:val="auto"/>
                <w:kern w:val="1"/>
                <w:sz w:val="21"/>
                <w:szCs w:val="21"/>
                <w:highlight w:val="none"/>
              </w:rPr>
              <w:t>项目</w:t>
            </w:r>
            <w:r>
              <w:rPr>
                <w:rFonts w:hint="eastAsia"/>
                <w:color w:val="auto"/>
                <w:sz w:val="21"/>
                <w:szCs w:val="21"/>
                <w:highlight w:val="none"/>
              </w:rPr>
              <w:t>名称</w:t>
            </w:r>
          </w:p>
        </w:tc>
        <w:tc>
          <w:tcPr>
            <w:tcW w:w="8099" w:type="dxa"/>
            <w:gridSpan w:val="4"/>
            <w:noWrap w:val="0"/>
            <w:vAlign w:val="top"/>
          </w:tcPr>
          <w:p w14:paraId="4EDA859C">
            <w:pPr>
              <w:keepNext w:val="0"/>
              <w:keepLines w:val="0"/>
              <w:pageBreakBefore w:val="0"/>
              <w:kinsoku/>
              <w:overflowPunct/>
              <w:topLinePunct w:val="0"/>
              <w:autoSpaceDE/>
              <w:autoSpaceDN/>
              <w:bidi w:val="0"/>
              <w:adjustRightInd w:val="0"/>
              <w:snapToGrid w:val="0"/>
              <w:spacing w:line="400" w:lineRule="exact"/>
              <w:textAlignment w:val="auto"/>
              <w:rPr>
                <w:rFonts w:hint="default" w:eastAsia="宋体"/>
                <w:bCs/>
                <w:color w:val="auto"/>
                <w:kern w:val="1"/>
                <w:sz w:val="21"/>
                <w:szCs w:val="21"/>
                <w:highlight w:val="none"/>
                <w:lang w:val="en-US" w:eastAsia="zh-CN"/>
              </w:rPr>
            </w:pPr>
            <w:r>
              <w:rPr>
                <w:rFonts w:hint="eastAsia" w:ascii="宋体" w:hAnsi="宋体" w:cs="宋体"/>
                <w:color w:val="auto"/>
                <w:sz w:val="21"/>
                <w:szCs w:val="21"/>
                <w:highlight w:val="none"/>
                <w:lang w:eastAsia="zh-CN"/>
              </w:rPr>
              <w:t>2025年滁州市公路工程有限责任公司年度沥青混合料采购项目</w:t>
            </w:r>
          </w:p>
        </w:tc>
      </w:tr>
      <w:tr w14:paraId="54DC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dxa"/>
            <w:gridSpan w:val="2"/>
            <w:noWrap w:val="0"/>
            <w:vAlign w:val="center"/>
          </w:tcPr>
          <w:p w14:paraId="6FB5E0EB">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color w:val="auto"/>
                <w:sz w:val="21"/>
                <w:szCs w:val="21"/>
                <w:highlight w:val="none"/>
              </w:rPr>
              <w:t>招标方式</w:t>
            </w:r>
          </w:p>
        </w:tc>
        <w:tc>
          <w:tcPr>
            <w:tcW w:w="8099" w:type="dxa"/>
            <w:gridSpan w:val="4"/>
            <w:noWrap w:val="0"/>
            <w:vAlign w:val="center"/>
          </w:tcPr>
          <w:p w14:paraId="39A57CDC">
            <w:pPr>
              <w:keepNext w:val="0"/>
              <w:keepLines w:val="0"/>
              <w:pageBreakBefore w:val="0"/>
              <w:kinsoku/>
              <w:overflowPunct/>
              <w:topLinePunct w:val="0"/>
              <w:autoSpaceDE/>
              <w:autoSpaceDN/>
              <w:bidi w:val="0"/>
              <w:adjustRightInd w:val="0"/>
              <w:snapToGrid w:val="0"/>
              <w:spacing w:line="400" w:lineRule="exact"/>
              <w:textAlignment w:val="auto"/>
              <w:rPr>
                <w:rFonts w:hint="eastAsia"/>
                <w:color w:val="auto"/>
                <w:sz w:val="21"/>
                <w:szCs w:val="21"/>
                <w:highlight w:val="none"/>
              </w:rPr>
            </w:pPr>
            <w:r>
              <w:rPr>
                <w:rFonts w:hint="eastAsia"/>
                <w:color w:val="auto"/>
                <w:sz w:val="21"/>
                <w:szCs w:val="21"/>
                <w:highlight w:val="none"/>
              </w:rPr>
              <w:t>公开招标</w:t>
            </w:r>
          </w:p>
        </w:tc>
      </w:tr>
      <w:tr w14:paraId="2D89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147" w:type="dxa"/>
            <w:gridSpan w:val="2"/>
            <w:noWrap w:val="0"/>
            <w:vAlign w:val="center"/>
          </w:tcPr>
          <w:p w14:paraId="2D22AB42">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color w:val="auto"/>
                <w:sz w:val="21"/>
                <w:szCs w:val="21"/>
                <w:highlight w:val="none"/>
              </w:rPr>
              <w:t>投标人资格要求</w:t>
            </w:r>
          </w:p>
        </w:tc>
        <w:tc>
          <w:tcPr>
            <w:tcW w:w="8099" w:type="dxa"/>
            <w:gridSpan w:val="4"/>
            <w:noWrap w:val="0"/>
            <w:vAlign w:val="center"/>
          </w:tcPr>
          <w:p w14:paraId="6B5F9890">
            <w:pPr>
              <w:pStyle w:val="24"/>
              <w:keepNext w:val="0"/>
              <w:keepLines w:val="0"/>
              <w:pageBreakBefore w:val="0"/>
              <w:widowControl w:val="0"/>
              <w:kinsoku/>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1.投标人资格要求：具有有效的营业执照且具有相应的服务能力。</w:t>
            </w:r>
          </w:p>
          <w:p w14:paraId="6F06583A">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.信誉要求：投标人存在以下情形之一的，不得被确定为中标人：</w:t>
            </w:r>
          </w:p>
          <w:p w14:paraId="4E4A7886">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p>
          <w:p w14:paraId="6B7A63F1">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0F2AAD2F">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1A07DC51">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5B522E60">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4B9CB71B">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475DB39B">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23F00972">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39E28EBC">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40A7D806">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A98E56B">
            <w:pPr>
              <w:pStyle w:val="2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.投标人所属分公司、办事处等分支机构存在第</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条信誉要求①-⑩项情形之一的，接受其被确定为中标人。</w:t>
            </w:r>
          </w:p>
          <w:p w14:paraId="59FD6C3C">
            <w:pPr>
              <w:keepNext w:val="0"/>
              <w:keepLines w:val="0"/>
              <w:pageBreakBefore w:val="0"/>
              <w:kinsoku/>
              <w:overflowPunct/>
              <w:topLinePunct w:val="0"/>
              <w:autoSpaceDE/>
              <w:autoSpaceDN/>
              <w:bidi w:val="0"/>
              <w:adjustRightInd w:val="0"/>
              <w:snapToGrid w:val="0"/>
              <w:spacing w:line="400" w:lineRule="exact"/>
              <w:textAlignment w:val="auto"/>
              <w:rPr>
                <w:rFonts w:hint="eastAsia"/>
                <w:bCs/>
                <w:color w:val="auto"/>
                <w:kern w:val="1"/>
                <w:sz w:val="21"/>
                <w:szCs w:val="21"/>
                <w:highlight w:val="none"/>
              </w:rPr>
            </w:pPr>
            <w:r>
              <w:rPr>
                <w:rFonts w:hint="eastAsia" w:ascii="宋体" w:hAnsi="宋体" w:eastAsia="宋体" w:cs="宋体"/>
                <w:b/>
                <w:bCs/>
                <w:color w:val="auto"/>
                <w:sz w:val="21"/>
                <w:szCs w:val="21"/>
                <w:highlight w:val="none"/>
                <w:lang w:val="en-US" w:eastAsia="zh-CN"/>
              </w:rPr>
              <w:t>备注：第</w:t>
            </w:r>
            <w:r>
              <w:rPr>
                <w:rFonts w:hint="eastAsia" w:hAnsi="宋体" w:cs="宋体"/>
                <w:b/>
                <w:bCs/>
                <w:color w:val="auto"/>
                <w:sz w:val="21"/>
                <w:szCs w:val="21"/>
                <w:highlight w:val="none"/>
                <w:lang w:val="en-US" w:eastAsia="zh-CN"/>
              </w:rPr>
              <w:t>2</w:t>
            </w:r>
            <w:r>
              <w:rPr>
                <w:rFonts w:hint="eastAsia" w:hAnsi="宋体" w:eastAsia="宋体" w:cs="宋体"/>
                <w:b/>
                <w:bCs/>
                <w:color w:val="auto"/>
                <w:sz w:val="21"/>
                <w:szCs w:val="21"/>
                <w:highlight w:val="none"/>
                <w:lang w:val="en-US" w:eastAsia="zh-CN"/>
              </w:rPr>
              <w:t>、</w:t>
            </w: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条按照附件1“关于联合惩戒失信行为加强信用查询管理的通知”查询或承诺。</w:t>
            </w:r>
            <w:r>
              <w:rPr>
                <w:rFonts w:hint="eastAsia"/>
                <w:bCs/>
                <w:color w:val="auto"/>
                <w:kern w:val="1"/>
                <w:sz w:val="21"/>
                <w:szCs w:val="21"/>
                <w:highlight w:val="none"/>
              </w:rPr>
              <w:t xml:space="preserve">         </w:t>
            </w:r>
          </w:p>
        </w:tc>
      </w:tr>
      <w:tr w14:paraId="21A1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dxa"/>
            <w:gridSpan w:val="2"/>
            <w:noWrap w:val="0"/>
            <w:vAlign w:val="center"/>
          </w:tcPr>
          <w:p w14:paraId="1808CC62">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color w:val="auto"/>
                <w:sz w:val="21"/>
                <w:szCs w:val="21"/>
                <w:highlight w:val="none"/>
              </w:rPr>
              <w:t>是否接受联合体投标</w:t>
            </w:r>
          </w:p>
        </w:tc>
        <w:tc>
          <w:tcPr>
            <w:tcW w:w="8099" w:type="dxa"/>
            <w:gridSpan w:val="4"/>
            <w:noWrap w:val="0"/>
            <w:vAlign w:val="center"/>
          </w:tcPr>
          <w:p w14:paraId="307DCB9A">
            <w:pPr>
              <w:keepNext w:val="0"/>
              <w:keepLines w:val="0"/>
              <w:pageBreakBefore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不接受</w:t>
            </w:r>
          </w:p>
        </w:tc>
      </w:tr>
      <w:tr w14:paraId="5581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47" w:type="dxa"/>
            <w:gridSpan w:val="2"/>
            <w:noWrap w:val="0"/>
            <w:vAlign w:val="center"/>
          </w:tcPr>
          <w:p w14:paraId="43DC603F">
            <w:pPr>
              <w:keepNext w:val="0"/>
              <w:keepLines w:val="0"/>
              <w:pageBreakBefore w:val="0"/>
              <w:kinsoku/>
              <w:overflowPunct/>
              <w:topLinePunct w:val="0"/>
              <w:autoSpaceDE/>
              <w:autoSpaceDN/>
              <w:bidi w:val="0"/>
              <w:adjustRightInd w:val="0"/>
              <w:snapToGrid w:val="0"/>
              <w:spacing w:line="40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项目预算</w:t>
            </w:r>
          </w:p>
        </w:tc>
        <w:tc>
          <w:tcPr>
            <w:tcW w:w="8099" w:type="dxa"/>
            <w:gridSpan w:val="4"/>
            <w:noWrap w:val="0"/>
            <w:vAlign w:val="center"/>
          </w:tcPr>
          <w:p w14:paraId="4F507CFC">
            <w:pPr>
              <w:keepNext w:val="0"/>
              <w:keepLines w:val="0"/>
              <w:pageBreakBefore w:val="0"/>
              <w:kinsoku/>
              <w:overflowPunct/>
              <w:topLinePunct w:val="0"/>
              <w:autoSpaceDE/>
              <w:autoSpaceDN/>
              <w:bidi w:val="0"/>
              <w:adjustRightInd w:val="0"/>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198万</w:t>
            </w:r>
            <w:r>
              <w:rPr>
                <w:rFonts w:hint="eastAsia" w:ascii="宋体" w:hAnsi="宋体" w:eastAsia="宋体" w:cs="宋体"/>
                <w:color w:val="auto"/>
                <w:sz w:val="21"/>
                <w:szCs w:val="21"/>
                <w:highlight w:val="none"/>
                <w:lang w:val="en-US" w:eastAsia="zh-CN"/>
              </w:rPr>
              <w:t>元。</w:t>
            </w:r>
          </w:p>
        </w:tc>
      </w:tr>
      <w:tr w14:paraId="0811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dxa"/>
            <w:gridSpan w:val="2"/>
            <w:noWrap w:val="0"/>
            <w:vAlign w:val="center"/>
          </w:tcPr>
          <w:p w14:paraId="3A7EC5CF">
            <w:pPr>
              <w:keepNext w:val="0"/>
              <w:keepLines w:val="0"/>
              <w:pageBreakBefore w:val="0"/>
              <w:kinsoku/>
              <w:overflowPunct/>
              <w:topLinePunct w:val="0"/>
              <w:autoSpaceDE/>
              <w:autoSpaceDN/>
              <w:bidi w:val="0"/>
              <w:adjustRightInd w:val="0"/>
              <w:snapToGrid w:val="0"/>
              <w:spacing w:line="400" w:lineRule="exact"/>
              <w:jc w:val="center"/>
              <w:textAlignment w:val="auto"/>
              <w:rPr>
                <w:color w:val="auto"/>
                <w:sz w:val="21"/>
                <w:szCs w:val="21"/>
                <w:highlight w:val="none"/>
              </w:rPr>
            </w:pPr>
            <w:r>
              <w:rPr>
                <w:rFonts w:hint="eastAsia"/>
                <w:color w:val="auto"/>
                <w:sz w:val="21"/>
                <w:szCs w:val="21"/>
                <w:highlight w:val="none"/>
              </w:rPr>
              <w:t>标段划分</w:t>
            </w:r>
          </w:p>
        </w:tc>
        <w:tc>
          <w:tcPr>
            <w:tcW w:w="8099" w:type="dxa"/>
            <w:gridSpan w:val="4"/>
            <w:noWrap w:val="0"/>
            <w:vAlign w:val="center"/>
          </w:tcPr>
          <w:p w14:paraId="2D04F648">
            <w:pPr>
              <w:keepNext w:val="0"/>
              <w:keepLines w:val="0"/>
              <w:pageBreakBefore w:val="0"/>
              <w:kinsoku/>
              <w:overflowPunct/>
              <w:topLinePunct w:val="0"/>
              <w:autoSpaceDE/>
              <w:autoSpaceDN/>
              <w:bidi w:val="0"/>
              <w:adjustRightInd w:val="0"/>
              <w:snapToGrid w:val="0"/>
              <w:spacing w:line="400" w:lineRule="exact"/>
              <w:textAlignment w:val="auto"/>
              <w:rPr>
                <w:rFonts w:hint="default" w:eastAsia="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个标段</w:t>
            </w:r>
          </w:p>
        </w:tc>
      </w:tr>
      <w:tr w14:paraId="2A9A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dxa"/>
            <w:gridSpan w:val="2"/>
            <w:noWrap w:val="0"/>
            <w:vAlign w:val="center"/>
          </w:tcPr>
          <w:p w14:paraId="1670D25E">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color w:val="auto"/>
                <w:sz w:val="21"/>
                <w:szCs w:val="21"/>
                <w:highlight w:val="none"/>
              </w:rPr>
              <w:t>招标范围</w:t>
            </w:r>
          </w:p>
        </w:tc>
        <w:tc>
          <w:tcPr>
            <w:tcW w:w="8099" w:type="dxa"/>
            <w:gridSpan w:val="4"/>
            <w:noWrap w:val="0"/>
            <w:vAlign w:val="center"/>
          </w:tcPr>
          <w:p w14:paraId="44097876">
            <w:pPr>
              <w:keepNext w:val="0"/>
              <w:keepLines w:val="0"/>
              <w:pageBreakBefore w:val="0"/>
              <w:kinsoku/>
              <w:overflowPunct/>
              <w:topLinePunct w:val="0"/>
              <w:autoSpaceDE/>
              <w:autoSpaceDN/>
              <w:bidi w:val="0"/>
              <w:adjustRightInd w:val="0"/>
              <w:snapToGrid w:val="0"/>
              <w:spacing w:line="400" w:lineRule="exact"/>
              <w:textAlignment w:val="auto"/>
              <w:rPr>
                <w:rFonts w:hint="eastAsia"/>
                <w:color w:val="auto"/>
                <w:sz w:val="21"/>
                <w:szCs w:val="21"/>
                <w:highlight w:val="none"/>
              </w:rPr>
            </w:pPr>
            <w:r>
              <w:rPr>
                <w:rFonts w:hint="eastAsia"/>
                <w:color w:val="auto"/>
                <w:sz w:val="21"/>
                <w:szCs w:val="21"/>
                <w:highlight w:val="none"/>
                <w:lang w:val="en-US" w:eastAsia="zh-CN"/>
              </w:rPr>
              <w:t>采购清单</w:t>
            </w:r>
            <w:r>
              <w:rPr>
                <w:rFonts w:hint="eastAsia"/>
                <w:color w:val="auto"/>
                <w:sz w:val="21"/>
                <w:szCs w:val="21"/>
                <w:highlight w:val="none"/>
              </w:rPr>
              <w:t>的全部内容。</w:t>
            </w:r>
          </w:p>
        </w:tc>
      </w:tr>
      <w:tr w14:paraId="1DD5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dxa"/>
            <w:gridSpan w:val="2"/>
            <w:noWrap w:val="0"/>
            <w:vAlign w:val="center"/>
          </w:tcPr>
          <w:p w14:paraId="5AAC2E6F">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递交投标文件的</w:t>
            </w:r>
          </w:p>
          <w:p w14:paraId="5E0F2EF9">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截止时间</w:t>
            </w:r>
          </w:p>
        </w:tc>
        <w:tc>
          <w:tcPr>
            <w:tcW w:w="8099" w:type="dxa"/>
            <w:gridSpan w:val="4"/>
            <w:noWrap w:val="0"/>
            <w:vAlign w:val="center"/>
          </w:tcPr>
          <w:p w14:paraId="42F0BCED">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2025年</w:t>
            </w:r>
            <w:r>
              <w:rPr>
                <w:rFonts w:hint="eastAsia" w:ascii="宋体" w:hAnsi="宋体" w:cs="宋体"/>
                <w:b/>
                <w:bCs/>
                <w:color w:val="auto"/>
                <w:kern w:val="0"/>
                <w:sz w:val="21"/>
                <w:szCs w:val="21"/>
                <w:highlight w:val="none"/>
                <w:lang w:val="en-US" w:eastAsia="zh-CN" w:bidi="ar-SA"/>
              </w:rPr>
              <w:t>8</w:t>
            </w:r>
            <w:r>
              <w:rPr>
                <w:rFonts w:hint="eastAsia" w:ascii="宋体" w:hAnsi="宋体" w:eastAsia="宋体" w:cs="宋体"/>
                <w:b/>
                <w:bCs/>
                <w:color w:val="auto"/>
                <w:kern w:val="0"/>
                <w:sz w:val="21"/>
                <w:szCs w:val="21"/>
                <w:highlight w:val="none"/>
                <w:lang w:val="en-US" w:eastAsia="zh-CN" w:bidi="ar-SA"/>
              </w:rPr>
              <w:t>月</w:t>
            </w:r>
            <w:r>
              <w:rPr>
                <w:rFonts w:hint="eastAsia" w:ascii="宋体" w:hAnsi="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日1</w:t>
            </w:r>
            <w:r>
              <w:rPr>
                <w:rFonts w:hint="eastAsia" w:ascii="宋体" w:hAnsi="宋体" w:cs="宋体"/>
                <w:b/>
                <w:bCs/>
                <w:color w:val="auto"/>
                <w:kern w:val="0"/>
                <w:sz w:val="21"/>
                <w:szCs w:val="21"/>
                <w:highlight w:val="none"/>
                <w:lang w:val="en-US" w:eastAsia="zh-CN" w:bidi="ar-SA"/>
              </w:rPr>
              <w:t>5</w:t>
            </w:r>
            <w:r>
              <w:rPr>
                <w:rFonts w:hint="eastAsia" w:ascii="宋体" w:hAnsi="宋体" w:eastAsia="宋体" w:cs="宋体"/>
                <w:b/>
                <w:bCs/>
                <w:color w:val="auto"/>
                <w:kern w:val="0"/>
                <w:sz w:val="21"/>
                <w:szCs w:val="21"/>
                <w:highlight w:val="none"/>
                <w:lang w:val="en-US" w:eastAsia="zh-CN" w:bidi="ar-SA"/>
              </w:rPr>
              <w:t>时00分</w:t>
            </w:r>
          </w:p>
        </w:tc>
      </w:tr>
      <w:tr w14:paraId="678F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147" w:type="dxa"/>
            <w:gridSpan w:val="2"/>
            <w:noWrap w:val="0"/>
            <w:vAlign w:val="center"/>
          </w:tcPr>
          <w:p w14:paraId="141A4800">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color w:val="auto"/>
                <w:sz w:val="21"/>
                <w:szCs w:val="21"/>
                <w:highlight w:val="none"/>
              </w:rPr>
              <w:t>开标时间</w:t>
            </w:r>
          </w:p>
        </w:tc>
        <w:tc>
          <w:tcPr>
            <w:tcW w:w="8099" w:type="dxa"/>
            <w:gridSpan w:val="4"/>
            <w:noWrap w:val="0"/>
            <w:vAlign w:val="center"/>
          </w:tcPr>
          <w:p w14:paraId="4BB00A69">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2025年</w:t>
            </w:r>
            <w:r>
              <w:rPr>
                <w:rFonts w:hint="eastAsia" w:ascii="宋体" w:hAnsi="宋体" w:cs="宋体"/>
                <w:b/>
                <w:bCs/>
                <w:color w:val="auto"/>
                <w:kern w:val="0"/>
                <w:sz w:val="21"/>
                <w:szCs w:val="21"/>
                <w:highlight w:val="none"/>
                <w:lang w:val="en-US" w:eastAsia="zh-CN" w:bidi="ar-SA"/>
              </w:rPr>
              <w:t>8</w:t>
            </w:r>
            <w:r>
              <w:rPr>
                <w:rFonts w:hint="eastAsia" w:ascii="宋体" w:hAnsi="宋体" w:eastAsia="宋体" w:cs="宋体"/>
                <w:b/>
                <w:bCs/>
                <w:color w:val="auto"/>
                <w:kern w:val="0"/>
                <w:sz w:val="21"/>
                <w:szCs w:val="21"/>
                <w:highlight w:val="none"/>
                <w:lang w:val="en-US" w:eastAsia="zh-CN" w:bidi="ar-SA"/>
              </w:rPr>
              <w:t>月</w:t>
            </w:r>
            <w:r>
              <w:rPr>
                <w:rFonts w:hint="eastAsia" w:ascii="宋体" w:hAnsi="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日</w:t>
            </w:r>
            <w:r>
              <w:rPr>
                <w:rFonts w:hint="eastAsia" w:ascii="宋体" w:hAnsi="宋体" w:cs="宋体"/>
                <w:b/>
                <w:bCs/>
                <w:color w:val="auto"/>
                <w:kern w:val="0"/>
                <w:sz w:val="21"/>
                <w:szCs w:val="21"/>
                <w:highlight w:val="none"/>
                <w:lang w:val="en-US" w:eastAsia="zh-CN" w:bidi="ar-SA"/>
              </w:rPr>
              <w:t>15</w:t>
            </w:r>
            <w:r>
              <w:rPr>
                <w:rFonts w:hint="eastAsia" w:ascii="宋体" w:hAnsi="宋体" w:eastAsia="宋体" w:cs="宋体"/>
                <w:b/>
                <w:bCs/>
                <w:color w:val="auto"/>
                <w:kern w:val="0"/>
                <w:sz w:val="21"/>
                <w:szCs w:val="21"/>
                <w:highlight w:val="none"/>
                <w:lang w:val="en-US" w:eastAsia="zh-CN" w:bidi="ar-SA"/>
              </w:rPr>
              <w:t>时00分</w:t>
            </w:r>
          </w:p>
        </w:tc>
      </w:tr>
      <w:tr w14:paraId="6C1E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147" w:type="dxa"/>
            <w:gridSpan w:val="2"/>
            <w:noWrap w:val="0"/>
            <w:vAlign w:val="center"/>
          </w:tcPr>
          <w:p w14:paraId="192011B4">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b/>
                <w:bCs/>
                <w:color w:val="auto"/>
                <w:sz w:val="21"/>
                <w:szCs w:val="21"/>
                <w:highlight w:val="none"/>
              </w:rPr>
              <w:t>招标文件获取时间</w:t>
            </w:r>
          </w:p>
        </w:tc>
        <w:tc>
          <w:tcPr>
            <w:tcW w:w="8099" w:type="dxa"/>
            <w:gridSpan w:val="4"/>
            <w:noWrap w:val="0"/>
            <w:vAlign w:val="center"/>
          </w:tcPr>
          <w:p w14:paraId="6F7ABE25">
            <w:pPr>
              <w:pStyle w:val="24"/>
              <w:keepNext w:val="0"/>
              <w:keepLines w:val="0"/>
              <w:pageBreakBefore w:val="0"/>
              <w:widowControl w:val="0"/>
              <w:kinsoku/>
              <w:overflowPunct/>
              <w:topLinePunct w:val="0"/>
              <w:autoSpaceDE/>
              <w:autoSpaceDN/>
              <w:bidi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2025年</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日-2025年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日</w:t>
            </w:r>
          </w:p>
        </w:tc>
      </w:tr>
      <w:tr w14:paraId="6AC6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147" w:type="dxa"/>
            <w:gridSpan w:val="2"/>
            <w:noWrap w:val="0"/>
            <w:vAlign w:val="center"/>
          </w:tcPr>
          <w:p w14:paraId="208BDC33">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ascii="宋体" w:hAnsi="宋体" w:eastAsia="宋体" w:cs="宋体"/>
                <w:color w:val="auto"/>
                <w:kern w:val="2"/>
                <w:sz w:val="21"/>
                <w:szCs w:val="21"/>
                <w:highlight w:val="none"/>
                <w:lang w:val="en-US" w:eastAsia="zh-CN" w:bidi="ar"/>
              </w:rPr>
              <w:t>招标文件获取方式和时间</w:t>
            </w:r>
          </w:p>
        </w:tc>
        <w:tc>
          <w:tcPr>
            <w:tcW w:w="8099" w:type="dxa"/>
            <w:gridSpan w:val="4"/>
            <w:noWrap w:val="0"/>
            <w:vAlign w:val="center"/>
          </w:tcPr>
          <w:p w14:paraId="6C2B44CF">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招标文件获取方式：网上下载；滁州市城投工程咨询管理有限公司网站（https://www.czctgczx.com/）。</w:t>
            </w:r>
          </w:p>
          <w:p w14:paraId="6E9456D9">
            <w:pPr>
              <w:keepNext w:val="0"/>
              <w:keepLines w:val="0"/>
              <w:pageBreakBefore w:val="0"/>
              <w:kinsoku/>
              <w:overflowPunct/>
              <w:topLinePunct w:val="0"/>
              <w:autoSpaceDE/>
              <w:autoSpaceDN/>
              <w:bidi w:val="0"/>
              <w:spacing w:line="400" w:lineRule="exact"/>
              <w:textAlignment w:val="auto"/>
              <w:rPr>
                <w:rFonts w:hint="eastAsia"/>
                <w:b/>
                <w:bCs/>
                <w:color w:val="auto"/>
                <w:sz w:val="21"/>
                <w:szCs w:val="21"/>
                <w:highlight w:val="none"/>
              </w:rPr>
            </w:pPr>
            <w:r>
              <w:rPr>
                <w:rFonts w:hint="eastAsia" w:ascii="宋体" w:hAnsi="宋体" w:eastAsia="宋体" w:cs="宋体"/>
                <w:color w:val="auto"/>
                <w:kern w:val="2"/>
                <w:sz w:val="21"/>
                <w:szCs w:val="21"/>
                <w:highlight w:val="none"/>
                <w:lang w:val="en-US" w:eastAsia="zh-CN" w:bidi="ar"/>
              </w:rPr>
              <w:t>获取时间：招标文件发布至投标截止时间。</w:t>
            </w:r>
          </w:p>
        </w:tc>
      </w:tr>
      <w:tr w14:paraId="3A29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dxa"/>
            <w:gridSpan w:val="2"/>
            <w:noWrap w:val="0"/>
            <w:vAlign w:val="center"/>
          </w:tcPr>
          <w:p w14:paraId="476EC611">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color w:val="auto"/>
                <w:sz w:val="21"/>
                <w:szCs w:val="21"/>
                <w:highlight w:val="none"/>
              </w:rPr>
              <w:t>开标地点</w:t>
            </w:r>
          </w:p>
        </w:tc>
        <w:tc>
          <w:tcPr>
            <w:tcW w:w="8099" w:type="dxa"/>
            <w:gridSpan w:val="4"/>
            <w:noWrap w:val="0"/>
            <w:vAlign w:val="center"/>
          </w:tcPr>
          <w:p w14:paraId="4882A021">
            <w:pPr>
              <w:keepNext w:val="0"/>
              <w:keepLines w:val="0"/>
              <w:pageBreakBefore w:val="0"/>
              <w:kinsoku/>
              <w:overflowPunct/>
              <w:topLinePunct w:val="0"/>
              <w:autoSpaceDE/>
              <w:autoSpaceDN/>
              <w:bidi w:val="0"/>
              <w:spacing w:line="400" w:lineRule="exact"/>
              <w:textAlignment w:val="auto"/>
              <w:rPr>
                <w:rFonts w:hint="eastAsia"/>
                <w:color w:val="auto"/>
                <w:sz w:val="21"/>
                <w:szCs w:val="21"/>
                <w:highlight w:val="none"/>
              </w:rPr>
            </w:pPr>
            <w:r>
              <w:rPr>
                <w:rFonts w:hint="eastAsia"/>
                <w:b/>
                <w:bCs/>
                <w:color w:val="auto"/>
                <w:sz w:val="21"/>
                <w:szCs w:val="21"/>
                <w:highlight w:val="none"/>
              </w:rPr>
              <w:t xml:space="preserve">滁州市龙蟠大道109号房产商务大厦6楼603会议室 </w:t>
            </w:r>
            <w:r>
              <w:rPr>
                <w:rFonts w:hint="eastAsia"/>
                <w:b/>
                <w:bCs/>
                <w:color w:val="auto"/>
                <w:kern w:val="1"/>
                <w:sz w:val="21"/>
                <w:szCs w:val="21"/>
                <w:highlight w:val="none"/>
              </w:rPr>
              <w:t xml:space="preserve"> </w:t>
            </w:r>
          </w:p>
        </w:tc>
      </w:tr>
      <w:tr w14:paraId="0913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6"/>
            <w:noWrap w:val="0"/>
            <w:vAlign w:val="center"/>
          </w:tcPr>
          <w:p w14:paraId="6EFEE8D2">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color w:val="auto"/>
                <w:sz w:val="21"/>
                <w:szCs w:val="21"/>
                <w:highlight w:val="none"/>
              </w:rPr>
              <w:t>信  息  内  容</w:t>
            </w:r>
          </w:p>
        </w:tc>
      </w:tr>
      <w:tr w14:paraId="7C03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14:paraId="441C7AAD">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color w:val="auto"/>
                <w:sz w:val="21"/>
                <w:szCs w:val="21"/>
                <w:highlight w:val="none"/>
              </w:rPr>
              <w:t>评标办法</w:t>
            </w:r>
          </w:p>
        </w:tc>
        <w:tc>
          <w:tcPr>
            <w:tcW w:w="3126" w:type="dxa"/>
            <w:gridSpan w:val="2"/>
            <w:noWrap w:val="0"/>
            <w:vAlign w:val="center"/>
          </w:tcPr>
          <w:p w14:paraId="697A050D">
            <w:pPr>
              <w:keepNext w:val="0"/>
              <w:keepLines w:val="0"/>
              <w:pageBreakBefore w:val="0"/>
              <w:kinsoku/>
              <w:overflowPunct/>
              <w:topLinePunct w:val="0"/>
              <w:autoSpaceDE/>
              <w:autoSpaceDN/>
              <w:bidi w:val="0"/>
              <w:adjustRightInd w:val="0"/>
              <w:snapToGrid w:val="0"/>
              <w:spacing w:line="400" w:lineRule="exact"/>
              <w:jc w:val="center"/>
              <w:textAlignment w:val="auto"/>
              <w:rPr>
                <w:rFonts w:hint="default" w:eastAsia="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合理价格竞争法</w:t>
            </w:r>
          </w:p>
        </w:tc>
        <w:tc>
          <w:tcPr>
            <w:tcW w:w="2648" w:type="dxa"/>
            <w:gridSpan w:val="2"/>
            <w:noWrap w:val="0"/>
            <w:vAlign w:val="center"/>
          </w:tcPr>
          <w:p w14:paraId="2ADB2BDF">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rPr>
              <w:t>合同履行期限</w:t>
            </w:r>
          </w:p>
        </w:tc>
        <w:tc>
          <w:tcPr>
            <w:tcW w:w="3000" w:type="dxa"/>
            <w:noWrap w:val="0"/>
            <w:vAlign w:val="center"/>
          </w:tcPr>
          <w:p w14:paraId="33043CF3">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详见招标文件</w:t>
            </w:r>
          </w:p>
        </w:tc>
      </w:tr>
      <w:tr w14:paraId="487B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6"/>
            <w:noWrap w:val="0"/>
            <w:vAlign w:val="center"/>
          </w:tcPr>
          <w:p w14:paraId="491F21CB">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color w:val="auto"/>
                <w:sz w:val="21"/>
                <w:szCs w:val="21"/>
                <w:highlight w:val="none"/>
              </w:rPr>
            </w:pPr>
            <w:r>
              <w:rPr>
                <w:rFonts w:hint="eastAsia" w:ascii="宋体" w:hAnsi="宋体" w:eastAsia="宋体" w:cs="宋体"/>
                <w:color w:val="auto"/>
                <w:sz w:val="21"/>
                <w:szCs w:val="21"/>
                <w:highlight w:val="none"/>
              </w:rPr>
              <w:t>保证金收取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不要求投标人提交投标保证金。</w:t>
            </w:r>
          </w:p>
        </w:tc>
      </w:tr>
      <w:tr w14:paraId="6063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6" w:type="dxa"/>
            <w:gridSpan w:val="4"/>
            <w:noWrap w:val="0"/>
            <w:vAlign w:val="center"/>
          </w:tcPr>
          <w:p w14:paraId="54259A56">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color w:val="auto"/>
                <w:sz w:val="21"/>
                <w:szCs w:val="21"/>
                <w:highlight w:val="none"/>
              </w:rPr>
              <w:t>招标人</w:t>
            </w:r>
            <w:r>
              <w:rPr>
                <w:rFonts w:hint="eastAsia" w:ascii="宋体" w:hAnsi="宋体" w:eastAsia="宋体" w:cs="宋体"/>
                <w:color w:val="auto"/>
                <w:sz w:val="21"/>
                <w:szCs w:val="21"/>
                <w:highlight w:val="none"/>
              </w:rPr>
              <w:t xml:space="preserve">名称：滁州市公路工程有限责任公司   </w:t>
            </w:r>
          </w:p>
          <w:p w14:paraId="21AE6E3C">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地址：滁州市公路管理局直属分局滁东道班综合楼二楼</w:t>
            </w:r>
          </w:p>
          <w:p w14:paraId="328E168E">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张尧健</w:t>
            </w:r>
          </w:p>
          <w:p w14:paraId="61661649">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eastAsia="宋体"/>
                <w:color w:val="auto"/>
                <w:sz w:val="21"/>
                <w:szCs w:val="21"/>
                <w:highlight w:val="none"/>
                <w:lang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eastAsia="zh-CN"/>
              </w:rPr>
              <w:t>18375322111</w:t>
            </w:r>
          </w:p>
        </w:tc>
        <w:tc>
          <w:tcPr>
            <w:tcW w:w="5340" w:type="dxa"/>
            <w:gridSpan w:val="2"/>
            <w:noWrap w:val="0"/>
            <w:vAlign w:val="center"/>
          </w:tcPr>
          <w:p w14:paraId="12AD03CA">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招标代理机构名称：滁州市城投工程咨询管理有限公司 </w:t>
            </w:r>
          </w:p>
          <w:p w14:paraId="6F0BD92F">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滁州市龙蟠大道109号房产大厦6楼605室　</w:t>
            </w:r>
          </w:p>
          <w:p w14:paraId="0ABC284D">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周晓培</w:t>
            </w:r>
          </w:p>
          <w:p w14:paraId="397FDBA6">
            <w:pPr>
              <w:keepNext w:val="0"/>
              <w:keepLines w:val="0"/>
              <w:pageBreakBefore w:val="0"/>
              <w:widowControl w:val="0"/>
              <w:kinsoku/>
              <w:overflowPunct/>
              <w:topLinePunct w:val="0"/>
              <w:autoSpaceDE/>
              <w:autoSpaceDN/>
              <w:bidi w:val="0"/>
              <w:adjustRightInd w:val="0"/>
              <w:snapToGrid w:val="0"/>
              <w:spacing w:line="400" w:lineRule="exact"/>
              <w:textAlignment w:val="auto"/>
              <w:rPr>
                <w:rFonts w:hint="default" w:eastAsia="宋体"/>
                <w:color w:val="auto"/>
                <w:sz w:val="21"/>
                <w:szCs w:val="21"/>
                <w:highlight w:val="none"/>
                <w:u w:val="single"/>
                <w:lang w:val="en-US"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eastAsia="zh-CN"/>
              </w:rPr>
              <w:t>0550-3519512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18255055896</w:t>
            </w:r>
          </w:p>
        </w:tc>
      </w:tr>
      <w:tr w14:paraId="118E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6"/>
            <w:noWrap w:val="0"/>
            <w:vAlign w:val="center"/>
          </w:tcPr>
          <w:p w14:paraId="77361717">
            <w:pPr>
              <w:keepNext w:val="0"/>
              <w:keepLines w:val="0"/>
              <w:pageBreakBefore w:val="0"/>
              <w:kinsoku/>
              <w:overflowPunct/>
              <w:topLinePunct w:val="0"/>
              <w:autoSpaceDE/>
              <w:autoSpaceDN/>
              <w:bidi w:val="0"/>
              <w:adjustRightInd w:val="0"/>
              <w:snapToGrid w:val="0"/>
              <w:spacing w:line="400" w:lineRule="exact"/>
              <w:textAlignment w:val="auto"/>
              <w:rPr>
                <w:rFonts w:hint="eastAsia" w:eastAsia="宋体"/>
                <w:color w:val="auto"/>
                <w:sz w:val="21"/>
                <w:szCs w:val="21"/>
                <w:highlight w:val="none"/>
                <w:lang w:eastAsia="zh-CN" w:bidi="ar"/>
              </w:rPr>
            </w:pPr>
            <w:r>
              <w:rPr>
                <w:rFonts w:hint="eastAsia"/>
                <w:b/>
                <w:bCs/>
                <w:color w:val="auto"/>
                <w:sz w:val="21"/>
                <w:szCs w:val="21"/>
                <w:highlight w:val="none"/>
              </w:rPr>
              <w:t>监督电话</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张先生18375322111</w:t>
            </w:r>
          </w:p>
        </w:tc>
      </w:tr>
      <w:tr w14:paraId="3B76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6"/>
            <w:noWrap w:val="0"/>
            <w:vAlign w:val="center"/>
          </w:tcPr>
          <w:p w14:paraId="2C6A81DE">
            <w:pPr>
              <w:keepNext w:val="0"/>
              <w:keepLines w:val="0"/>
              <w:pageBreakBefore w:val="0"/>
              <w:kinsoku/>
              <w:overflowPunct/>
              <w:topLinePunct w:val="0"/>
              <w:autoSpaceDE/>
              <w:autoSpaceDN/>
              <w:bidi w:val="0"/>
              <w:adjustRightInd w:val="0"/>
              <w:snapToGrid w:val="0"/>
              <w:spacing w:line="400" w:lineRule="exact"/>
              <w:textAlignment w:val="auto"/>
              <w:rPr>
                <w:rFonts w:hint="eastAsia"/>
                <w:color w:val="auto"/>
                <w:sz w:val="21"/>
                <w:szCs w:val="21"/>
                <w:highlight w:val="none"/>
                <w:lang w:bidi="ar"/>
              </w:rPr>
            </w:pPr>
            <w:r>
              <w:rPr>
                <w:rFonts w:hint="eastAsia" w:ascii="宋体" w:hAnsi="宋体" w:eastAsia="宋体" w:cs="宋体"/>
                <w:b/>
                <w:bCs/>
                <w:color w:val="auto"/>
                <w:sz w:val="21"/>
                <w:szCs w:val="21"/>
                <w:highlight w:val="none"/>
              </w:rPr>
              <w:t>发布媒介：</w:t>
            </w:r>
            <w:r>
              <w:rPr>
                <w:rFonts w:hint="eastAsia" w:ascii="Times New Roman" w:hAnsi="Times New Roman" w:eastAsia="宋体" w:cs="Times New Roman"/>
                <w:b/>
                <w:bCs/>
                <w:color w:val="auto"/>
                <w:highlight w:val="none"/>
                <w:lang w:val="en-US" w:eastAsia="zh-CN"/>
              </w:rPr>
              <w:t>滁州市城投工程咨询管理有限公司（https://www.czctgczx.com/）</w:t>
            </w:r>
          </w:p>
        </w:tc>
      </w:tr>
    </w:tbl>
    <w:p w14:paraId="4589EDE7">
      <w:pPr>
        <w:jc w:val="left"/>
        <w:rPr>
          <w:color w:val="auto"/>
          <w:highlight w:val="none"/>
        </w:rPr>
      </w:pPr>
    </w:p>
    <w:p w14:paraId="32A53F0D">
      <w:pPr>
        <w:pStyle w:val="44"/>
        <w:spacing w:beforeLines="50" w:afterLines="50" w:line="440" w:lineRule="exact"/>
        <w:rPr>
          <w:bCs/>
          <w:color w:val="auto"/>
          <w:szCs w:val="32"/>
          <w:highlight w:val="none"/>
        </w:rPr>
      </w:pPr>
      <w:bookmarkStart w:id="30" w:name="_Toc78803321"/>
      <w:r>
        <w:rPr>
          <w:rFonts w:hint="eastAsia"/>
          <w:bCs/>
          <w:color w:val="auto"/>
          <w:szCs w:val="32"/>
          <w:highlight w:val="none"/>
        </w:rPr>
        <w:br w:type="page"/>
      </w:r>
      <w:r>
        <w:rPr>
          <w:rFonts w:hint="eastAsia"/>
          <w:bCs/>
          <w:color w:val="auto"/>
          <w:szCs w:val="32"/>
          <w:highlight w:val="none"/>
        </w:rPr>
        <w:t>第</w:t>
      </w:r>
      <w:r>
        <w:rPr>
          <w:rFonts w:hint="eastAsia"/>
          <w:bCs/>
          <w:color w:val="auto"/>
          <w:szCs w:val="32"/>
          <w:highlight w:val="none"/>
          <w:lang w:val="en-US" w:eastAsia="zh-CN"/>
        </w:rPr>
        <w:t>二</w:t>
      </w:r>
      <w:r>
        <w:rPr>
          <w:rFonts w:hint="eastAsia"/>
          <w:bCs/>
          <w:color w:val="auto"/>
          <w:szCs w:val="32"/>
          <w:highlight w:val="none"/>
        </w:rPr>
        <w:t>章  投标人须知</w:t>
      </w:r>
      <w:bookmarkEnd w:id="18"/>
      <w:bookmarkEnd w:id="19"/>
      <w:bookmarkEnd w:id="20"/>
      <w:bookmarkEnd w:id="21"/>
      <w:bookmarkEnd w:id="22"/>
      <w:bookmarkEnd w:id="23"/>
      <w:bookmarkEnd w:id="24"/>
      <w:bookmarkEnd w:id="25"/>
      <w:bookmarkEnd w:id="26"/>
      <w:bookmarkEnd w:id="27"/>
      <w:bookmarkEnd w:id="28"/>
      <w:bookmarkEnd w:id="29"/>
      <w:bookmarkEnd w:id="30"/>
    </w:p>
    <w:p w14:paraId="594BBBF6">
      <w:pPr>
        <w:spacing w:beforeLines="50" w:afterLines="50" w:line="440" w:lineRule="exact"/>
        <w:jc w:val="center"/>
        <w:rPr>
          <w:b/>
          <w:bCs/>
          <w:color w:val="auto"/>
          <w:sz w:val="28"/>
          <w:szCs w:val="28"/>
          <w:highlight w:val="none"/>
        </w:rPr>
      </w:pPr>
      <w:bookmarkStart w:id="31" w:name="_Toc247085688"/>
      <w:bookmarkStart w:id="32" w:name="_Toc35425051"/>
      <w:bookmarkStart w:id="33" w:name="_Toc152045528"/>
      <w:bookmarkStart w:id="34" w:name="_Toc246996174"/>
      <w:bookmarkStart w:id="35" w:name="_Toc246996917"/>
      <w:bookmarkStart w:id="36" w:name="_Toc152042304"/>
      <w:bookmarkStart w:id="37" w:name="_Toc15058845"/>
      <w:bookmarkStart w:id="38" w:name="_Toc35424884"/>
      <w:bookmarkStart w:id="39" w:name="_Toc506107268"/>
      <w:bookmarkStart w:id="40" w:name="_Toc324404814"/>
      <w:bookmarkStart w:id="41" w:name="_Toc144974496"/>
      <w:bookmarkStart w:id="42" w:name="_Toc179632545"/>
      <w:r>
        <w:rPr>
          <w:rFonts w:hint="eastAsia"/>
          <w:b/>
          <w:bCs/>
          <w:color w:val="auto"/>
          <w:sz w:val="28"/>
          <w:szCs w:val="28"/>
          <w:highlight w:val="none"/>
        </w:rPr>
        <w:t>投标人须知前附表</w:t>
      </w:r>
      <w:bookmarkEnd w:id="31"/>
      <w:bookmarkEnd w:id="32"/>
      <w:bookmarkEnd w:id="33"/>
      <w:bookmarkEnd w:id="34"/>
      <w:bookmarkEnd w:id="35"/>
      <w:bookmarkEnd w:id="36"/>
      <w:bookmarkEnd w:id="37"/>
      <w:bookmarkEnd w:id="38"/>
      <w:bookmarkEnd w:id="39"/>
      <w:bookmarkEnd w:id="40"/>
      <w:bookmarkEnd w:id="41"/>
      <w:bookmarkEnd w:id="42"/>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color w:val="auto"/>
                <w:szCs w:val="21"/>
                <w:highlight w:val="none"/>
              </w:rPr>
            </w:pPr>
            <w:bookmarkStart w:id="43" w:name="_Toc247085689"/>
            <w:bookmarkStart w:id="44" w:name="_Toc506107269"/>
            <w:bookmarkStart w:id="45" w:name="_Toc144974497"/>
            <w:bookmarkStart w:id="46" w:name="_Toc246996918"/>
            <w:bookmarkStart w:id="47" w:name="_Toc152045529"/>
            <w:bookmarkStart w:id="48" w:name="_Toc324404815"/>
            <w:bookmarkStart w:id="49" w:name="_Toc179632546"/>
            <w:bookmarkStart w:id="50" w:name="_Toc246996175"/>
            <w:bookmarkStart w:id="51" w:name="_Toc152042305"/>
            <w:r>
              <w:rPr>
                <w:rFonts w:hint="eastAsia" w:ascii="宋体" w:hAnsi="宋体" w:cs="宋体"/>
                <w:b/>
                <w:color w:val="auto"/>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4"/>
              <w:keepNext w:val="0"/>
              <w:keepLines w:val="0"/>
              <w:pageBreakBefore w:val="0"/>
              <w:kinsoku/>
              <w:wordWrap/>
              <w:overflowPunct/>
              <w:autoSpaceDN/>
              <w:bidi w:val="0"/>
              <w:adjustRightInd w:val="0"/>
              <w:snapToGrid w:val="0"/>
              <w:spacing w:line="400" w:lineRule="exact"/>
              <w:jc w:val="left"/>
              <w:textAlignment w:val="auto"/>
              <w:rPr>
                <w:rFonts w:hint="eastAsia" w:eastAsia="宋体"/>
                <w:color w:val="auto"/>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color w:val="auto"/>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color w:val="auto"/>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color w:val="auto"/>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color w:val="auto"/>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4"/>
              <w:keepNext w:val="0"/>
              <w:keepLines w:val="0"/>
              <w:pageBreakBefore w:val="0"/>
              <w:kinsoku/>
              <w:wordWrap/>
              <w:overflowPunct/>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供货期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7365FC3B">
            <w:pPr>
              <w:keepNext w:val="0"/>
              <w:keepLines w:val="0"/>
              <w:pageBreakBefore w:val="0"/>
              <w:kinsoku/>
              <w:wordWrap/>
              <w:overflowPunct/>
              <w:autoSpaceDN/>
              <w:bidi w:val="0"/>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自合同签订之日起一年</w:t>
            </w:r>
            <w:r>
              <w:rPr>
                <w:rFonts w:hint="eastAsia" w:ascii="宋体" w:hAnsi="宋体" w:eastAsia="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符合相关国家标准</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keepNext w:val="0"/>
              <w:keepLines w:val="0"/>
              <w:pageBreakBefore w:val="0"/>
              <w:kinsoku/>
              <w:wordWrap/>
              <w:overflowPunct/>
              <w:autoSpaceDN/>
              <w:bidi w:val="0"/>
              <w:spacing w:line="400" w:lineRule="exact"/>
              <w:ind w:left="0" w:leftChars="0" w:firstLine="0" w:firstLineChars="0"/>
              <w:jc w:val="left"/>
              <w:textAlignment w:val="auto"/>
              <w:rPr>
                <w:rFonts w:hAnsi="宋体" w:cs="宋体"/>
                <w:color w:val="auto"/>
                <w:szCs w:val="21"/>
                <w:highlight w:val="none"/>
                <w:u w:val="single"/>
              </w:rPr>
            </w:pPr>
            <w:r>
              <w:rPr>
                <w:rFonts w:hint="eastAsia" w:ascii="宋体" w:hAnsi="宋体" w:cs="宋体"/>
                <w:color w:val="auto"/>
                <w:sz w:val="21"/>
                <w:szCs w:val="21"/>
                <w:highlight w:val="none"/>
              </w:rPr>
              <w:t>见招标公告</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ascii="宋体" w:hAnsi="宋体" w:cs="宋体"/>
                <w:color w:val="auto"/>
                <w:kern w:val="0"/>
                <w:szCs w:val="21"/>
                <w:highlight w:val="none"/>
              </w:rPr>
            </w:pPr>
            <w:r>
              <w:rPr>
                <w:rFonts w:hint="eastAsia" w:ascii="宋体" w:hAnsi="宋体" w:cs="宋体"/>
                <w:color w:val="auto"/>
                <w:sz w:val="21"/>
                <w:szCs w:val="21"/>
                <w:highlight w:val="none"/>
              </w:rPr>
              <w:t>见招标公告</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color w:val="auto"/>
                <w:spacing w:val="-4"/>
                <w:kern w:val="0"/>
                <w:szCs w:val="21"/>
                <w:highlight w:val="none"/>
              </w:rPr>
            </w:pPr>
            <w:r>
              <w:rPr>
                <w:rFonts w:hint="eastAsia" w:ascii="宋体" w:hAnsi="宋体" w:cs="宋体"/>
                <w:color w:val="auto"/>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不组织，投标人自行组织踏勘现场</w:t>
            </w:r>
            <w:r>
              <w:rPr>
                <w:rFonts w:hint="eastAsia" w:hAnsi="宋体" w:cs="宋体"/>
                <w:color w:val="auto"/>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color w:val="auto"/>
                <w:spacing w:val="-4"/>
                <w:kern w:val="0"/>
                <w:szCs w:val="21"/>
                <w:highlight w:val="none"/>
              </w:rPr>
            </w:pPr>
            <w:r>
              <w:rPr>
                <w:rFonts w:hint="eastAsia" w:ascii="宋体" w:hAnsi="宋体" w:cs="宋体"/>
                <w:color w:val="auto"/>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不召开</w:t>
            </w:r>
            <w:r>
              <w:rPr>
                <w:rFonts w:hint="eastAsia" w:hAnsi="宋体" w:cs="宋体"/>
                <w:color w:val="auto"/>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widowControl w:val="0"/>
              <w:kinsoku/>
              <w:wordWrap w:val="0"/>
              <w:overflowPunct/>
              <w:topLinePunct w:val="0"/>
              <w:autoSpaceDE/>
              <w:autoSpaceDN/>
              <w:bidi w:val="0"/>
              <w:adjustRightInd/>
              <w:snapToGrid/>
              <w:spacing w:line="400" w:lineRule="exact"/>
              <w:textAlignment w:val="auto"/>
              <w:rPr>
                <w:rFonts w:hAnsi="宋体" w:cs="宋体"/>
                <w:color w:val="auto"/>
                <w:szCs w:val="21"/>
                <w:highlight w:val="none"/>
              </w:rPr>
            </w:pPr>
            <w:r>
              <w:rPr>
                <w:rFonts w:hint="eastAsia" w:asciiTheme="majorEastAsia" w:hAnsiTheme="majorEastAsia" w:eastAsiaTheme="majorEastAsia" w:cstheme="majorEastAsia"/>
                <w:b w:val="0"/>
                <w:bCs w:val="0"/>
                <w:color w:val="auto"/>
                <w:highlight w:val="none"/>
              </w:rPr>
              <w:t>如投标人对招标文件有疑问，请于</w:t>
            </w:r>
            <w:r>
              <w:rPr>
                <w:rFonts w:hint="eastAsia" w:asciiTheme="majorEastAsia" w:hAnsiTheme="majorEastAsia" w:eastAsiaTheme="majorEastAsia" w:cstheme="majorEastAsia"/>
                <w:b w:val="0"/>
                <w:bCs w:val="0"/>
                <w:color w:val="auto"/>
                <w:highlight w:val="none"/>
                <w:lang w:val="en-US"/>
              </w:rPr>
              <w:t>202</w:t>
            </w:r>
            <w:r>
              <w:rPr>
                <w:rFonts w:hint="eastAsia" w:asciiTheme="majorEastAsia" w:hAnsiTheme="majorEastAsia" w:eastAsiaTheme="majorEastAsia" w:cstheme="majorEastAsia"/>
                <w:b w:val="0"/>
                <w:bCs w:val="0"/>
                <w:color w:val="auto"/>
                <w:highlight w:val="none"/>
                <w:lang w:val="en-US" w:eastAsia="zh-CN"/>
              </w:rPr>
              <w:t>5</w:t>
            </w:r>
            <w:r>
              <w:rPr>
                <w:rFonts w:hint="eastAsia" w:asciiTheme="majorEastAsia" w:hAnsiTheme="majorEastAsia" w:eastAsiaTheme="majorEastAsia" w:cstheme="majorEastAsia"/>
                <w:b w:val="0"/>
                <w:bCs w:val="0"/>
                <w:color w:val="auto"/>
                <w:highlight w:val="none"/>
              </w:rPr>
              <w:t>年</w:t>
            </w:r>
            <w:r>
              <w:rPr>
                <w:rFonts w:hint="eastAsia" w:asciiTheme="majorEastAsia" w:hAnsiTheme="majorEastAsia" w:eastAsiaTheme="majorEastAsia" w:cstheme="majorEastAsia"/>
                <w:b w:val="0"/>
                <w:bCs w:val="0"/>
                <w:color w:val="auto"/>
                <w:highlight w:val="none"/>
                <w:lang w:val="en-US" w:eastAsia="zh-CN"/>
              </w:rPr>
              <w:t>7</w:t>
            </w:r>
            <w:r>
              <w:rPr>
                <w:rFonts w:hint="eastAsia" w:asciiTheme="majorEastAsia" w:hAnsiTheme="majorEastAsia" w:eastAsiaTheme="majorEastAsia" w:cstheme="majorEastAsia"/>
                <w:b w:val="0"/>
                <w:bCs w:val="0"/>
                <w:color w:val="auto"/>
                <w:highlight w:val="none"/>
              </w:rPr>
              <w:t>月</w:t>
            </w:r>
            <w:r>
              <w:rPr>
                <w:rFonts w:hint="eastAsia" w:asciiTheme="majorEastAsia" w:hAnsiTheme="majorEastAsia" w:eastAsiaTheme="majorEastAsia" w:cstheme="majorEastAsia"/>
                <w:b w:val="0"/>
                <w:bCs w:val="0"/>
                <w:color w:val="auto"/>
                <w:highlight w:val="none"/>
                <w:lang w:val="en-US" w:eastAsia="zh-CN"/>
              </w:rPr>
              <w:t>31日12时前</w:t>
            </w:r>
            <w:r>
              <w:rPr>
                <w:rFonts w:hint="eastAsia" w:asciiTheme="majorEastAsia" w:hAnsiTheme="majorEastAsia" w:eastAsiaTheme="majorEastAsia" w:cstheme="majorEastAsia"/>
                <w:b w:val="0"/>
                <w:bCs w:val="0"/>
                <w:color w:val="auto"/>
                <w:highlight w:val="none"/>
              </w:rPr>
              <w:t>以书面的形式加盖投标单位公章，发送至滁州市城投工程咨询管理有限公司邮箱（</w:t>
            </w:r>
            <w:r>
              <w:rPr>
                <w:rFonts w:hint="eastAsia" w:asciiTheme="majorEastAsia" w:hAnsiTheme="majorEastAsia" w:eastAsiaTheme="majorEastAsia" w:cstheme="majorEastAsia"/>
                <w:b w:val="0"/>
                <w:bCs w:val="0"/>
                <w:color w:val="auto"/>
                <w:highlight w:val="none"/>
                <w:lang w:val="en-US"/>
              </w:rPr>
              <w:t>czsct</w:t>
            </w:r>
            <w:r>
              <w:rPr>
                <w:rFonts w:hint="eastAsia" w:asciiTheme="majorEastAsia" w:hAnsiTheme="majorEastAsia" w:eastAsiaTheme="majorEastAsia" w:cstheme="majorEastAsia"/>
                <w:b w:val="0"/>
                <w:bCs w:val="0"/>
                <w:color w:val="auto"/>
                <w:highlight w:val="none"/>
                <w:lang w:val="en-US" w:eastAsia="zh-CN"/>
              </w:rPr>
              <w:t>gc</w:t>
            </w:r>
            <w:r>
              <w:rPr>
                <w:rFonts w:hint="eastAsia" w:asciiTheme="majorEastAsia" w:hAnsiTheme="majorEastAsia" w:eastAsiaTheme="majorEastAsia" w:cstheme="majorEastAsia"/>
                <w:b w:val="0"/>
                <w:bCs w:val="0"/>
                <w:color w:val="auto"/>
                <w:highlight w:val="none"/>
                <w:lang w:val="en-US"/>
              </w:rPr>
              <w:t>zx@163.com</w:t>
            </w:r>
            <w:r>
              <w:rPr>
                <w:rFonts w:hint="eastAsia" w:asciiTheme="majorEastAsia" w:hAnsiTheme="majorEastAsia" w:eastAsiaTheme="majorEastAsia" w:cstheme="majorEastAsia"/>
                <w:b w:val="0"/>
                <w:bCs w:val="0"/>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ascii="宋体" w:hAnsi="宋体" w:eastAsia="宋体" w:cs="宋体"/>
                <w:b w:val="0"/>
                <w:bCs w:val="0"/>
                <w:color w:val="auto"/>
                <w:kern w:val="2"/>
                <w:sz w:val="21"/>
                <w:szCs w:val="21"/>
                <w:highlight w:val="none"/>
                <w:u w:color="000000"/>
                <w:lang w:val="en-US" w:eastAsia="zh-CN" w:bidi="ar"/>
              </w:rPr>
              <w:t>招标人将在202</w:t>
            </w:r>
            <w:r>
              <w:rPr>
                <w:rFonts w:hint="eastAsia" w:ascii="宋体" w:hAnsi="宋体" w:cs="宋体"/>
                <w:b w:val="0"/>
                <w:bCs w:val="0"/>
                <w:color w:val="auto"/>
                <w:kern w:val="2"/>
                <w:sz w:val="21"/>
                <w:szCs w:val="21"/>
                <w:highlight w:val="none"/>
                <w:u w:color="000000"/>
                <w:lang w:val="en-US" w:eastAsia="zh-CN" w:bidi="ar"/>
              </w:rPr>
              <w:t>5</w:t>
            </w:r>
            <w:r>
              <w:rPr>
                <w:rFonts w:hint="eastAsia" w:ascii="宋体" w:hAnsi="宋体" w:eastAsia="宋体" w:cs="宋体"/>
                <w:b w:val="0"/>
                <w:bCs w:val="0"/>
                <w:color w:val="auto"/>
                <w:kern w:val="2"/>
                <w:sz w:val="21"/>
                <w:szCs w:val="21"/>
                <w:highlight w:val="none"/>
                <w:u w:color="000000"/>
                <w:lang w:val="en-US" w:eastAsia="zh-CN" w:bidi="ar"/>
              </w:rPr>
              <w:t>年</w:t>
            </w:r>
            <w:r>
              <w:rPr>
                <w:rFonts w:hint="eastAsia" w:ascii="宋体" w:hAnsi="宋体" w:cs="宋体"/>
                <w:b w:val="0"/>
                <w:bCs w:val="0"/>
                <w:color w:val="auto"/>
                <w:kern w:val="2"/>
                <w:sz w:val="21"/>
                <w:szCs w:val="21"/>
                <w:highlight w:val="none"/>
                <w:u w:color="000000"/>
                <w:lang w:val="en-US" w:eastAsia="zh-CN" w:bidi="ar"/>
              </w:rPr>
              <w:t>7</w:t>
            </w:r>
            <w:r>
              <w:rPr>
                <w:rFonts w:hint="eastAsia" w:ascii="宋体" w:hAnsi="宋体" w:eastAsia="宋体" w:cs="宋体"/>
                <w:b w:val="0"/>
                <w:bCs w:val="0"/>
                <w:color w:val="auto"/>
                <w:kern w:val="2"/>
                <w:sz w:val="21"/>
                <w:szCs w:val="21"/>
                <w:highlight w:val="none"/>
                <w:u w:color="000000"/>
                <w:lang w:val="en-US" w:eastAsia="zh-CN" w:bidi="ar"/>
              </w:rPr>
              <w:t>月</w:t>
            </w:r>
            <w:r>
              <w:rPr>
                <w:rFonts w:hint="eastAsia" w:ascii="宋体" w:hAnsi="宋体" w:cs="宋体"/>
                <w:b w:val="0"/>
                <w:bCs w:val="0"/>
                <w:color w:val="auto"/>
                <w:kern w:val="2"/>
                <w:sz w:val="21"/>
                <w:szCs w:val="21"/>
                <w:highlight w:val="none"/>
                <w:u w:color="000000"/>
                <w:lang w:val="en-US" w:eastAsia="zh-CN" w:bidi="ar"/>
              </w:rPr>
              <w:t>31</w:t>
            </w:r>
            <w:r>
              <w:rPr>
                <w:rFonts w:hint="eastAsia" w:ascii="宋体" w:hAnsi="宋体" w:eastAsia="宋体" w:cs="宋体"/>
                <w:b w:val="0"/>
                <w:bCs w:val="0"/>
                <w:color w:val="auto"/>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auto"/>
                <w:kern w:val="2"/>
                <w:sz w:val="21"/>
                <w:szCs w:val="21"/>
                <w:highlight w:val="none"/>
                <w:u w:color="000000"/>
                <w:lang w:val="en-US" w:eastAsia="zh-CN" w:bidi="ar"/>
              </w:rPr>
              <w:t>https://www.czctgczx.com/</w:t>
            </w:r>
            <w:r>
              <w:rPr>
                <w:rFonts w:hint="eastAsia" w:ascii="宋体" w:hAnsi="宋体" w:eastAsia="宋体" w:cs="宋体"/>
                <w:b w:val="0"/>
                <w:bCs w:val="0"/>
                <w:color w:val="auto"/>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color w:val="auto"/>
                <w:sz w:val="21"/>
                <w:szCs w:val="21"/>
                <w:highlight w:val="none"/>
              </w:rPr>
            </w:pPr>
            <w:r>
              <w:rPr>
                <w:rFonts w:hint="eastAsia"/>
                <w:color w:val="auto"/>
                <w:highlight w:val="none"/>
              </w:rPr>
              <w:t>☑</w:t>
            </w:r>
            <w:r>
              <w:rPr>
                <w:rFonts w:hint="eastAsia" w:hAnsi="宋体" w:cs="宋体"/>
                <w:color w:val="auto"/>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pageBreakBefore w:val="0"/>
              <w:kinsoku/>
              <w:wordWrap/>
              <w:overflowPunct/>
              <w:autoSpaceDE/>
              <w:autoSpaceDN/>
              <w:bidi w:val="0"/>
              <w:adjustRightInd w:val="0"/>
              <w:snapToGrid w:val="0"/>
              <w:spacing w:line="44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60B49467">
            <w:pPr>
              <w:pStyle w:val="24"/>
              <w:widowControl w:val="0"/>
              <w:spacing w:line="440" w:lineRule="exact"/>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1</w:t>
            </w:r>
            <w:r>
              <w:rPr>
                <w:rFonts w:hint="eastAsia" w:ascii="宋体" w:hAnsi="宋体" w:eastAsia="宋体" w:cs="Times New Roman"/>
                <w:b/>
                <w:bCs/>
                <w:color w:val="auto"/>
                <w:sz w:val="21"/>
                <w:szCs w:val="21"/>
                <w:highlight w:val="none"/>
              </w:rPr>
              <w:t>）本项目采用综合单价报价，</w:t>
            </w:r>
            <w:r>
              <w:rPr>
                <w:rFonts w:hint="eastAsia" w:ascii="宋体" w:hAnsi="宋体" w:eastAsia="宋体" w:cs="Times New Roman"/>
                <w:b/>
                <w:bCs/>
                <w:color w:val="auto"/>
                <w:sz w:val="21"/>
                <w:szCs w:val="21"/>
                <w:highlight w:val="none"/>
                <w:lang w:val="en-US" w:eastAsia="zh-CN"/>
              </w:rPr>
              <w:t>综合单价限价详见采购清单</w:t>
            </w: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每项</w:t>
            </w:r>
            <w:r>
              <w:rPr>
                <w:rFonts w:hint="eastAsia" w:ascii="宋体" w:hAnsi="宋体" w:eastAsia="宋体" w:cs="Times New Roman"/>
                <w:b/>
                <w:bCs/>
                <w:color w:val="auto"/>
                <w:sz w:val="21"/>
                <w:szCs w:val="21"/>
                <w:highlight w:val="none"/>
              </w:rPr>
              <w:t>投标报价</w:t>
            </w:r>
            <w:r>
              <w:rPr>
                <w:rFonts w:hint="eastAsia" w:ascii="宋体" w:hAnsi="宋体" w:eastAsia="宋体" w:cs="Times New Roman"/>
                <w:b/>
                <w:bCs/>
                <w:color w:val="auto"/>
                <w:sz w:val="21"/>
                <w:szCs w:val="21"/>
                <w:highlight w:val="none"/>
                <w:lang w:val="en-US" w:eastAsia="zh-CN"/>
              </w:rPr>
              <w:t>综合单价</w:t>
            </w:r>
            <w:r>
              <w:rPr>
                <w:rFonts w:hint="eastAsia" w:ascii="宋体" w:hAnsi="宋体" w:eastAsia="宋体" w:cs="Times New Roman"/>
                <w:b/>
                <w:bCs/>
                <w:color w:val="auto"/>
                <w:sz w:val="21"/>
                <w:szCs w:val="21"/>
                <w:highlight w:val="none"/>
              </w:rPr>
              <w:t>不得高于</w:t>
            </w:r>
            <w:r>
              <w:rPr>
                <w:rFonts w:hint="eastAsia" w:ascii="宋体" w:hAnsi="宋体" w:eastAsia="宋体" w:cs="Times New Roman"/>
                <w:b/>
                <w:bCs/>
                <w:color w:val="auto"/>
                <w:sz w:val="21"/>
                <w:szCs w:val="21"/>
                <w:highlight w:val="none"/>
                <w:lang w:val="en-US" w:eastAsia="zh-CN"/>
              </w:rPr>
              <w:t>其</w:t>
            </w:r>
            <w:r>
              <w:rPr>
                <w:rFonts w:hint="eastAsia" w:ascii="宋体" w:hAnsi="宋体" w:eastAsia="宋体" w:cs="Times New Roman"/>
                <w:b/>
                <w:bCs/>
                <w:color w:val="auto"/>
                <w:sz w:val="21"/>
                <w:szCs w:val="21"/>
                <w:highlight w:val="none"/>
              </w:rPr>
              <w:t>最高限价，否则，其投标文件按无效标处理。</w:t>
            </w:r>
          </w:p>
          <w:p w14:paraId="5A6D9662">
            <w:pPr>
              <w:pStyle w:val="24"/>
              <w:widowControl w:val="0"/>
              <w:spacing w:line="440" w:lineRule="exact"/>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2</w:t>
            </w: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投标</w:t>
            </w:r>
            <w:r>
              <w:rPr>
                <w:rFonts w:hint="eastAsia" w:ascii="宋体" w:hAnsi="宋体" w:eastAsia="宋体" w:cs="Times New Roman"/>
                <w:b/>
                <w:bCs/>
                <w:color w:val="auto"/>
                <w:sz w:val="21"/>
                <w:szCs w:val="21"/>
                <w:highlight w:val="none"/>
              </w:rPr>
              <w:t>报价</w:t>
            </w:r>
            <w:r>
              <w:rPr>
                <w:rFonts w:hint="eastAsia" w:ascii="宋体" w:hAnsi="宋体" w:eastAsia="宋体" w:cs="Times New Roman"/>
                <w:b/>
                <w:bCs/>
                <w:color w:val="auto"/>
                <w:sz w:val="21"/>
                <w:szCs w:val="21"/>
                <w:highlight w:val="none"/>
                <w:lang w:val="en-US" w:eastAsia="zh-CN"/>
              </w:rPr>
              <w:t>均保留两位小数，第三位四舍五入</w:t>
            </w:r>
            <w:r>
              <w:rPr>
                <w:rFonts w:hint="eastAsia" w:ascii="宋体" w:hAnsi="宋体" w:eastAsia="宋体" w:cs="Times New Roman"/>
                <w:b/>
                <w:bCs/>
                <w:color w:val="auto"/>
                <w:sz w:val="21"/>
                <w:szCs w:val="21"/>
                <w:highlight w:val="none"/>
              </w:rPr>
              <w:t>。</w:t>
            </w:r>
          </w:p>
          <w:p w14:paraId="62B5115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3</w:t>
            </w:r>
            <w:r>
              <w:rPr>
                <w:rFonts w:hint="eastAsia" w:ascii="宋体" w:hAnsi="宋体" w:eastAsia="宋体" w:cs="Times New Roman"/>
                <w:b/>
                <w:bCs/>
                <w:color w:val="auto"/>
                <w:sz w:val="21"/>
                <w:szCs w:val="21"/>
                <w:highlight w:val="none"/>
              </w:rPr>
              <w:t>）</w:t>
            </w:r>
            <w:r>
              <w:rPr>
                <w:rFonts w:hint="eastAsia" w:hAnsi="宋体"/>
                <w:b/>
                <w:bCs/>
                <w:color w:val="auto"/>
                <w:sz w:val="21"/>
                <w:highlight w:val="none"/>
              </w:rPr>
              <w:t>工程量最终结算时根据现场实际验收合格工程量进行结算</w:t>
            </w:r>
            <w:r>
              <w:rPr>
                <w:rFonts w:hint="eastAsia" w:ascii="宋体" w:hAnsi="宋体" w:eastAsia="宋体" w:cs="Times New Roman"/>
                <w:b/>
                <w:bCs/>
                <w:color w:val="auto"/>
                <w:sz w:val="21"/>
                <w:szCs w:val="21"/>
                <w:highlight w:val="none"/>
              </w:rPr>
              <w:t>，结算总价为相应结算单价乘以相应实际已完合格工程量的累加之和。</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投标有效期为</w:t>
            </w: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详见招标公告信息</w:t>
            </w:r>
          </w:p>
        </w:tc>
      </w:tr>
      <w:tr w14:paraId="7053CF2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A96B7">
            <w:pPr>
              <w:keepNext w:val="0"/>
              <w:keepLines w:val="0"/>
              <w:pageBreakBefore w:val="0"/>
              <w:kinsoku/>
              <w:wordWrap/>
              <w:overflowPunct/>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13EA1A">
            <w:pPr>
              <w:keepNext w:val="0"/>
              <w:keepLines w:val="0"/>
              <w:pageBreakBefore w:val="0"/>
              <w:kinsoku/>
              <w:wordWrap/>
              <w:overflowPunct/>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0822D">
            <w:pPr>
              <w:pStyle w:val="14"/>
              <w:keepNext w:val="0"/>
              <w:keepLines w:val="0"/>
              <w:pageBreakBefore w:val="0"/>
              <w:kinsoku/>
              <w:wordWrap/>
              <w:overflowPunct/>
              <w:autoSpaceDN/>
              <w:bidi w:val="0"/>
              <w:spacing w:line="400" w:lineRule="exact"/>
              <w:ind w:left="0" w:leftChars="0" w:firstLine="0" w:firstLineChars="0"/>
              <w:textAlignment w:val="auto"/>
              <w:rPr>
                <w:rFonts w:hint="eastAsia" w:eastAsiaTheme="majorEastAsia"/>
                <w:color w:val="auto"/>
                <w:highlight w:val="none"/>
                <w:lang w:val="en-US" w:eastAsia="zh-CN"/>
              </w:rPr>
            </w:pPr>
            <w:r>
              <w:rPr>
                <w:rFonts w:hint="eastAsia" w:asciiTheme="majorEastAsia" w:hAnsiTheme="majorEastAsia" w:eastAsiaTheme="majorEastAsia" w:cstheme="majorEastAsia"/>
                <w:b/>
                <w:bCs/>
                <w:color w:val="auto"/>
                <w:szCs w:val="21"/>
                <w:highlight w:val="none"/>
              </w:rPr>
              <w:t>正本一份，副本二份。密封后递交。</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投标文件须按格式文件要求签字或盖章。否则经评委会一致认定后，按照无效投标处理。</w:t>
            </w:r>
          </w:p>
        </w:tc>
      </w:tr>
      <w:tr w14:paraId="26C09032">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0942A6C">
            <w:pPr>
              <w:keepNext w:val="0"/>
              <w:keepLines w:val="0"/>
              <w:pageBreakBefore w:val="0"/>
              <w:kinsoku/>
              <w:wordWrap/>
              <w:overflowPunct/>
              <w:autoSpaceDN/>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206A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密封</w:t>
            </w:r>
            <w:r>
              <w:rPr>
                <w:rFonts w:hint="eastAsia" w:asciiTheme="majorEastAsia" w:hAnsiTheme="majorEastAsia" w:eastAsiaTheme="majorEastAsia" w:cstheme="majorEastAsia"/>
                <w:color w:val="auto"/>
                <w:szCs w:val="21"/>
                <w:highlight w:val="none"/>
              </w:rPr>
              <w:t>要求</w:t>
            </w:r>
          </w:p>
        </w:tc>
        <w:tc>
          <w:tcPr>
            <w:tcW w:w="7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F96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color w:val="auto"/>
                <w:szCs w:val="21"/>
                <w:highlight w:val="none"/>
              </w:rPr>
              <w:t>投标文件的正本和副本应左侧装订，不得有零散页。投标文件应按照“投标文件格式”的目录次序装订</w:t>
            </w:r>
            <w:r>
              <w:rPr>
                <w:rFonts w:hint="eastAsia"/>
                <w:color w:val="auto"/>
                <w:szCs w:val="21"/>
                <w:highlight w:val="none"/>
                <w:lang w:eastAsia="zh-CN"/>
              </w:rPr>
              <w:t>、</w:t>
            </w:r>
            <w:r>
              <w:rPr>
                <w:rFonts w:hint="eastAsia"/>
                <w:color w:val="auto"/>
                <w:szCs w:val="21"/>
                <w:highlight w:val="none"/>
              </w:rPr>
              <w:t>密封</w:t>
            </w:r>
            <w:r>
              <w:rPr>
                <w:rFonts w:hint="eastAsia"/>
                <w:color w:val="auto"/>
                <w:szCs w:val="21"/>
                <w:highlight w:val="none"/>
                <w:lang w:eastAsia="zh-CN"/>
              </w:rPr>
              <w:t>，</w:t>
            </w:r>
            <w:r>
              <w:rPr>
                <w:rFonts w:hint="eastAsia"/>
                <w:color w:val="auto"/>
                <w:szCs w:val="21"/>
                <w:highlight w:val="none"/>
              </w:rPr>
              <w:t>否则其投标文件将被拒收。</w:t>
            </w:r>
          </w:p>
        </w:tc>
      </w:tr>
      <w:tr w14:paraId="5500CC32">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2B29E8D">
            <w:pPr>
              <w:keepNext w:val="0"/>
              <w:keepLines w:val="0"/>
              <w:pageBreakBefore w:val="0"/>
              <w:kinsoku/>
              <w:wordWrap/>
              <w:overflowPunct/>
              <w:autoSpaceDN/>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D207B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szCs w:val="21"/>
                <w:highlight w:val="none"/>
              </w:rPr>
              <w:t>投标文件封套上应载明的信息</w:t>
            </w:r>
          </w:p>
        </w:tc>
        <w:tc>
          <w:tcPr>
            <w:tcW w:w="7251" w:type="dxa"/>
            <w:tcBorders>
              <w:top w:val="single" w:color="auto" w:sz="4" w:space="0"/>
              <w:left w:val="single" w:color="auto" w:sz="4" w:space="0"/>
              <w:bottom w:val="single" w:color="auto" w:sz="4" w:space="0"/>
              <w:right w:val="single" w:color="auto" w:sz="4" w:space="0"/>
            </w:tcBorders>
            <w:noWrap/>
            <w:vAlign w:val="center"/>
          </w:tcPr>
          <w:p w14:paraId="1AF4E4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（项目名称）投标文件</w:t>
            </w:r>
          </w:p>
          <w:p w14:paraId="40D511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b/>
                <w:bCs/>
                <w:color w:val="auto"/>
                <w:szCs w:val="21"/>
                <w:highlight w:val="none"/>
                <w:u w:val="single"/>
              </w:rPr>
            </w:pPr>
            <w:r>
              <w:rPr>
                <w:rFonts w:hint="eastAsia" w:ascii="宋体" w:hAnsi="宋体"/>
                <w:b/>
                <w:bCs/>
                <w:color w:val="auto"/>
                <w:szCs w:val="21"/>
                <w:highlight w:val="none"/>
              </w:rPr>
              <w:t>投标人地址：</w:t>
            </w:r>
            <w:r>
              <w:rPr>
                <w:rFonts w:hint="eastAsia" w:ascii="宋体" w:hAnsi="宋体"/>
                <w:b/>
                <w:bCs/>
                <w:color w:val="auto"/>
                <w:szCs w:val="21"/>
                <w:highlight w:val="none"/>
                <w:u w:val="single"/>
              </w:rPr>
              <w:t xml:space="preserve">                    </w:t>
            </w:r>
          </w:p>
          <w:p w14:paraId="088E8A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b/>
                <w:bCs/>
                <w:color w:val="auto"/>
                <w:szCs w:val="21"/>
                <w:highlight w:val="none"/>
                <w:u w:val="single"/>
              </w:rPr>
            </w:pPr>
            <w:r>
              <w:rPr>
                <w:rFonts w:hint="eastAsia" w:ascii="宋体" w:hAnsi="宋体"/>
                <w:b/>
                <w:bCs/>
                <w:color w:val="auto"/>
                <w:szCs w:val="21"/>
                <w:highlight w:val="none"/>
              </w:rPr>
              <w:t>投标人名称：</w:t>
            </w:r>
            <w:r>
              <w:rPr>
                <w:rFonts w:hint="eastAsia" w:ascii="宋体" w:hAnsi="宋体"/>
                <w:b/>
                <w:bCs/>
                <w:color w:val="auto"/>
                <w:szCs w:val="21"/>
                <w:highlight w:val="none"/>
                <w:u w:val="single"/>
              </w:rPr>
              <w:t xml:space="preserve">                    </w:t>
            </w:r>
          </w:p>
          <w:p w14:paraId="06443F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heme="majorEastAsia" w:hAnsiTheme="majorEastAsia" w:eastAsiaTheme="majorEastAsia" w:cstheme="majorEastAsia"/>
                <w:color w:val="auto"/>
                <w:szCs w:val="21"/>
                <w:highlight w:val="none"/>
              </w:rPr>
            </w:pPr>
            <w:r>
              <w:rPr>
                <w:rFonts w:hint="eastAsia" w:ascii="宋体" w:hAnsi="宋体"/>
                <w:b/>
                <w:bCs/>
                <w:color w:val="auto"/>
                <w:szCs w:val="21"/>
                <w:highlight w:val="none"/>
              </w:rPr>
              <w:t>在</w:t>
            </w:r>
            <w:r>
              <w:rPr>
                <w:rFonts w:hint="eastAsia" w:ascii="宋体" w:hAnsi="宋体" w:cs="宋体-18030"/>
                <w:b/>
                <w:bCs/>
                <w:color w:val="auto"/>
                <w:szCs w:val="21"/>
                <w:highlight w:val="none"/>
              </w:rPr>
              <w:t xml:space="preserve"> </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年</w:t>
            </w:r>
            <w:r>
              <w:rPr>
                <w:rFonts w:hint="eastAsia" w:ascii="宋体" w:hAnsi="宋体"/>
                <w:b/>
                <w:bCs/>
                <w:color w:val="auto"/>
                <w:szCs w:val="21"/>
                <w:highlight w:val="none"/>
                <w:lang w:val="en-US" w:eastAsia="zh-CN"/>
              </w:rPr>
              <w:t>8</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日</w:t>
            </w:r>
            <w:r>
              <w:rPr>
                <w:rFonts w:hint="eastAsia" w:ascii="宋体" w:hAnsi="宋体"/>
                <w:b/>
                <w:bCs/>
                <w:color w:val="auto"/>
                <w:szCs w:val="21"/>
                <w:highlight w:val="none"/>
                <w:lang w:val="en-US" w:eastAsia="zh-CN"/>
              </w:rPr>
              <w:t>15</w:t>
            </w:r>
            <w:r>
              <w:rPr>
                <w:rFonts w:hint="eastAsia" w:ascii="宋体" w:hAnsi="宋体"/>
                <w:b/>
                <w:bCs/>
                <w:color w:val="auto"/>
                <w:szCs w:val="21"/>
                <w:highlight w:val="none"/>
              </w:rPr>
              <w:t>时</w:t>
            </w:r>
            <w:r>
              <w:rPr>
                <w:rFonts w:hint="eastAsia" w:ascii="宋体" w:hAnsi="宋体"/>
                <w:b/>
                <w:bCs/>
                <w:color w:val="auto"/>
                <w:szCs w:val="21"/>
                <w:highlight w:val="none"/>
                <w:lang w:val="en-US" w:eastAsia="zh-CN"/>
              </w:rPr>
              <w:t>00</w:t>
            </w:r>
            <w:r>
              <w:rPr>
                <w:rFonts w:hint="eastAsia" w:ascii="宋体" w:hAnsi="宋体"/>
                <w:b/>
                <w:bCs/>
                <w:color w:val="auto"/>
                <w:szCs w:val="21"/>
                <w:highlight w:val="none"/>
              </w:rPr>
              <w:t>分（开标时间）前不得开启</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color w:val="auto"/>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在 202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日</w:t>
            </w: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开标时间：同投标截止时间</w:t>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Cs w:val="21"/>
                <w:highlight w:val="none"/>
                <w:lang w:val="en-US" w:eastAsia="zh-CN"/>
              </w:rPr>
              <w:t>地点</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 xml:space="preserve">滁州市龙蟠大道109号房产商务大厦6楼603会议室 </w:t>
            </w:r>
            <w:r>
              <w:rPr>
                <w:rFonts w:hint="eastAsia" w:ascii="宋体" w:hAnsi="宋体" w:eastAsia="宋体" w:cs="宋体"/>
                <w:color w:val="auto"/>
                <w:szCs w:val="21"/>
                <w:highlight w:val="none"/>
              </w:rPr>
              <w:t xml:space="preserve"> </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5B4118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投标文件密封情况检查：由投标人或其推选的代表检查投标文件的密封情况。</w:t>
            </w:r>
          </w:p>
          <w:p w14:paraId="24156A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开标顺序：先验证投标人到会情况，然后开启投标文件，报评标委员会评审。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400" w:lineRule="exact"/>
              <w:textAlignment w:val="auto"/>
              <w:rPr>
                <w:rFonts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color w:val="auto"/>
                <w:szCs w:val="21"/>
                <w:highlight w:val="none"/>
              </w:rPr>
            </w:pPr>
            <w:r>
              <w:rPr>
                <w:rFonts w:hint="eastAsia" w:ascii="宋体" w:hAnsi="宋体" w:cs="宋体"/>
                <w:color w:val="auto"/>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3E915FC8">
            <w:pPr>
              <w:keepNext w:val="0"/>
              <w:keepLines w:val="0"/>
              <w:pageBreakBefore w:val="0"/>
              <w:widowControl/>
              <w:kinsoku/>
              <w:wordWrap/>
              <w:overflowPunct/>
              <w:autoSpaceDE/>
              <w:autoSpaceDN/>
              <w:bidi w:val="0"/>
              <w:adjustRightInd w:val="0"/>
              <w:snapToGrid w:val="0"/>
              <w:spacing w:line="400" w:lineRule="exact"/>
              <w:textAlignment w:val="auto"/>
              <w:rPr>
                <w:rFonts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中标人无需提交履约担保</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2E653B8">
            <w:pPr>
              <w:pStyle w:val="46"/>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highlight w:val="none"/>
                <w:lang w:val="en-US" w:eastAsia="zh-CN"/>
              </w:rPr>
            </w:pPr>
            <w:r>
              <w:rPr>
                <w:rFonts w:hint="eastAsia"/>
                <w:b/>
                <w:bCs/>
                <w:color w:val="auto"/>
                <w:highlight w:val="none"/>
                <w:lang w:val="en-US" w:eastAsia="zh-CN"/>
              </w:rPr>
              <w:t>本项目无预付款，下一季度支付上一季度供货并验收合格量价款的85%，工程竣工结算完成审计且经审核或复核后付至结算价款的95%，剩余5%作为质量保证金，质保期（自竣工验收合格之日起满2年）付清余款。质量保证金支持保函（银行保函、担保机构担保、保证保险）使用。采用保函的不再价款中扣留质量保证金，保函有效期须与质保期截止时间保持一致。</w:t>
            </w:r>
          </w:p>
          <w:p w14:paraId="7640791F">
            <w:pPr>
              <w:pStyle w:val="46"/>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color w:val="auto"/>
                <w:highlight w:val="none"/>
                <w:lang w:val="en-US" w:eastAsia="zh-CN"/>
              </w:rPr>
            </w:pPr>
            <w:r>
              <w:rPr>
                <w:rFonts w:hint="eastAsia"/>
                <w:b/>
                <w:bCs/>
                <w:color w:val="auto"/>
                <w:highlight w:val="none"/>
                <w:lang w:val="en-US" w:eastAsia="zh-CN"/>
              </w:rPr>
              <w:t>注：</w:t>
            </w:r>
            <w:r>
              <w:rPr>
                <w:rFonts w:hint="default"/>
                <w:b/>
                <w:bCs/>
                <w:color w:val="auto"/>
                <w:highlight w:val="none"/>
                <w:lang w:val="en-US" w:eastAsia="zh-CN"/>
              </w:rPr>
              <w:t>付款前中标</w:t>
            </w:r>
            <w:r>
              <w:rPr>
                <w:rFonts w:hint="eastAsia"/>
                <w:b/>
                <w:bCs/>
                <w:color w:val="auto"/>
                <w:highlight w:val="none"/>
                <w:lang w:val="en-US" w:eastAsia="zh-CN"/>
              </w:rPr>
              <w:t>人</w:t>
            </w:r>
            <w:r>
              <w:rPr>
                <w:rFonts w:hint="default"/>
                <w:b/>
                <w:bCs/>
                <w:color w:val="auto"/>
                <w:highlight w:val="none"/>
                <w:lang w:val="en-US" w:eastAsia="zh-CN"/>
              </w:rPr>
              <w:t>必须提供有效的增值税专用发票。</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color w:val="auto"/>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7734</w:t>
            </w:r>
            <w:r>
              <w:rPr>
                <w:rFonts w:hint="eastAsia" w:ascii="宋体" w:hAnsi="宋体" w:cs="宋体"/>
                <w:color w:val="auto"/>
                <w:kern w:val="0"/>
                <w:szCs w:val="21"/>
                <w:highlight w:val="none"/>
              </w:rPr>
              <w:t>元</w:t>
            </w:r>
            <w:r>
              <w:rPr>
                <w:rFonts w:hint="eastAsia" w:ascii="宋体" w:hAnsi="宋体" w:cs="宋体"/>
                <w:bCs/>
                <w:color w:val="auto"/>
                <w:kern w:val="0"/>
                <w:highlight w:val="none"/>
              </w:rPr>
              <w:t>。</w:t>
            </w:r>
          </w:p>
          <w:p w14:paraId="7550C2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w:t>
            </w:r>
            <w:r>
              <w:rPr>
                <w:rFonts w:hint="eastAsia" w:ascii="宋体" w:hAnsi="宋体" w:cs="宋体"/>
                <w:color w:val="auto"/>
                <w:kern w:val="0"/>
                <w:szCs w:val="21"/>
                <w:highlight w:val="none"/>
              </w:rPr>
              <w:t>由中标单位在领取中标通知书时，一次性支付给代理机构。</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color w:val="auto"/>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color w:val="auto"/>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、本文件的最终解释权归招标人、招标代理机构所有。</w:t>
            </w:r>
          </w:p>
        </w:tc>
      </w:tr>
    </w:tbl>
    <w:p w14:paraId="735D540F">
      <w:pPr>
        <w:rPr>
          <w:rFonts w:hint="eastAsia" w:ascii="宋体" w:hAnsi="宋体" w:eastAsia="宋体" w:cs="宋体"/>
          <w:color w:val="auto"/>
          <w:sz w:val="24"/>
          <w:szCs w:val="24"/>
          <w:highlight w:val="none"/>
        </w:rPr>
      </w:pPr>
      <w:bookmarkStart w:id="52" w:name="_Toc15058846"/>
      <w:bookmarkStart w:id="53" w:name="_Toc5813"/>
      <w:bookmarkStart w:id="54" w:name="_Toc35425053"/>
      <w:bookmarkStart w:id="55" w:name="_Toc35424887"/>
      <w:bookmarkStart w:id="56" w:name="_Toc78803322"/>
      <w:r>
        <w:rPr>
          <w:rFonts w:hint="eastAsia" w:ascii="宋体" w:hAnsi="宋体" w:eastAsia="宋体" w:cs="宋体"/>
          <w:color w:val="auto"/>
          <w:sz w:val="24"/>
          <w:szCs w:val="24"/>
          <w:highlight w:val="none"/>
        </w:rPr>
        <w:br w:type="page"/>
      </w:r>
    </w:p>
    <w:bookmarkEnd w:id="43"/>
    <w:bookmarkEnd w:id="44"/>
    <w:bookmarkEnd w:id="45"/>
    <w:bookmarkEnd w:id="46"/>
    <w:bookmarkEnd w:id="47"/>
    <w:bookmarkEnd w:id="48"/>
    <w:bookmarkEnd w:id="49"/>
    <w:bookmarkEnd w:id="50"/>
    <w:bookmarkEnd w:id="51"/>
    <w:bookmarkEnd w:id="52"/>
    <w:bookmarkEnd w:id="53"/>
    <w:bookmarkEnd w:id="54"/>
    <w:bookmarkEnd w:id="55"/>
    <w:bookmarkEnd w:id="56"/>
    <w:p w14:paraId="5A143C7F">
      <w:pPr>
        <w:keepNext w:val="0"/>
        <w:keepLines w:val="0"/>
        <w:pageBreakBefore w:val="0"/>
        <w:widowControl w:val="0"/>
        <w:suppressLineNumbers w:val="0"/>
        <w:kinsoku/>
        <w:wordWrap/>
        <w:overflowPunct/>
        <w:topLinePunct w:val="0"/>
        <w:autoSpaceDN/>
        <w:bidi w:val="0"/>
        <w:snapToGrid w:val="0"/>
        <w:spacing w:before="156" w:beforeLines="50" w:beforeAutospacing="0" w:after="156" w:afterLines="50" w:afterAutospacing="0" w:line="400" w:lineRule="exact"/>
        <w:ind w:left="0" w:right="0"/>
        <w:jc w:val="center"/>
        <w:textAlignment w:val="auto"/>
        <w:outlineLvl w:val="2"/>
        <w:rPr>
          <w:rFonts w:hint="eastAsia" w:cs="Times New Roman"/>
          <w:b/>
          <w:bCs/>
          <w:color w:val="auto"/>
          <w:szCs w:val="21"/>
          <w:highlight w:val="none"/>
        </w:rPr>
      </w:pPr>
      <w:bookmarkStart w:id="57" w:name="_Toc14421_WPSOffice_Level3"/>
      <w:bookmarkStart w:id="58" w:name="_Toc324404864"/>
      <w:bookmarkStart w:id="59" w:name="_Toc35425105"/>
      <w:bookmarkStart w:id="60" w:name="_Toc35424939"/>
      <w:bookmarkStart w:id="61" w:name="_Toc15058902"/>
      <w:bookmarkStart w:id="62" w:name="_Toc506107317"/>
      <w:bookmarkStart w:id="63" w:name="_Toc296602475"/>
      <w:r>
        <w:rPr>
          <w:rFonts w:hint="eastAsia" w:ascii="宋体" w:hAnsi="宋体" w:eastAsia="宋体" w:cs="宋体"/>
          <w:b/>
          <w:bCs w:val="0"/>
          <w:color w:val="auto"/>
          <w:kern w:val="0"/>
          <w:sz w:val="28"/>
          <w:szCs w:val="28"/>
          <w:highlight w:val="none"/>
          <w:lang w:val="en-US" w:eastAsia="zh-CN" w:bidi="ar"/>
        </w:rPr>
        <w:t>（一）总  则</w:t>
      </w:r>
      <w:bookmarkEnd w:id="57"/>
    </w:p>
    <w:p w14:paraId="12AF504D">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lang w:val="en-US" w:eastAsia="zh-CN" w:bidi="ar"/>
        </w:rPr>
        <w:t>1.项目概况</w:t>
      </w:r>
    </w:p>
    <w:p w14:paraId="602782B1">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lang w:val="en-US" w:eastAsia="zh-CN" w:bidi="ar"/>
        </w:rPr>
        <w:t>1.1本次招标项目名称：见投标人须知前附表。</w:t>
      </w:r>
    </w:p>
    <w:p w14:paraId="0A5A5AD6">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lang w:val="en-US" w:eastAsia="zh-CN" w:bidi="ar"/>
        </w:rPr>
        <w:t xml:space="preserve">             招标人：见投标人须知前附表。</w:t>
      </w:r>
    </w:p>
    <w:p w14:paraId="22FB03AB">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供货</w:t>
      </w:r>
      <w:r>
        <w:rPr>
          <w:rFonts w:hint="eastAsia" w:ascii="宋体" w:hAnsi="宋体" w:eastAsia="宋体" w:cs="宋体"/>
          <w:color w:val="auto"/>
          <w:kern w:val="0"/>
          <w:sz w:val="21"/>
          <w:szCs w:val="21"/>
          <w:highlight w:val="none"/>
          <w:lang w:val="en-US" w:eastAsia="zh-CN" w:bidi="ar"/>
        </w:rPr>
        <w:t>期：见招标公告。</w:t>
      </w:r>
    </w:p>
    <w:p w14:paraId="59251815">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lang w:val="en-US" w:eastAsia="zh-CN" w:bidi="ar"/>
        </w:rPr>
        <w:t xml:space="preserve">             建设地点：见投标人须知前附表。</w:t>
      </w:r>
    </w:p>
    <w:p w14:paraId="3E98B3AC">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lang w:val="en-US" w:eastAsia="zh-CN" w:bidi="ar"/>
        </w:rPr>
        <w:t>1.2招标人及联系人: 见投标人须知前附表。</w:t>
      </w:r>
    </w:p>
    <w:p w14:paraId="26B8F509">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525" w:firstLineChars="250"/>
        <w:jc w:val="both"/>
        <w:textAlignment w:val="auto"/>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lang w:val="en-US" w:eastAsia="zh-CN" w:bidi="ar"/>
        </w:rPr>
        <w:t xml:space="preserve">  代理机构及联系人: 见投标人须知前附表。</w:t>
      </w:r>
    </w:p>
    <w:p w14:paraId="5250128C">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1.3资金来源：见投标人须知前附表。</w:t>
      </w:r>
    </w:p>
    <w:p w14:paraId="7C4EEE7D">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1.4本项目预算：见投标人须知前附表。</w:t>
      </w:r>
    </w:p>
    <w:p w14:paraId="28B27396">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1.5本项目最高限价：见投标人须知前附表。</w:t>
      </w:r>
    </w:p>
    <w:p w14:paraId="0CA50E7E">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2.招标范围</w:t>
      </w:r>
    </w:p>
    <w:p w14:paraId="42D0640C">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lang w:val="en-US" w:eastAsia="zh-CN" w:bidi="ar"/>
        </w:rPr>
        <w:t>2.1 采购内容：详见《采购需求》。</w:t>
      </w:r>
    </w:p>
    <w:p w14:paraId="725DCC0B">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3.标包划分</w:t>
      </w:r>
    </w:p>
    <w:p w14:paraId="63C1F223">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3.1本项目划分：见投标人须知前附表。</w:t>
      </w:r>
    </w:p>
    <w:p w14:paraId="0456F8ED">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4.招标方式</w:t>
      </w:r>
    </w:p>
    <w:p w14:paraId="2D64CD97">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4.1本项目招标方式：见投标人须知前附表。</w:t>
      </w:r>
    </w:p>
    <w:p w14:paraId="082D4665">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lang w:val="en-US" w:eastAsia="zh-CN" w:bidi="ar"/>
        </w:rPr>
        <w:t>5.计价方式</w:t>
      </w:r>
    </w:p>
    <w:p w14:paraId="16144FA1">
      <w:pPr>
        <w:keepNext w:val="0"/>
        <w:keepLines w:val="0"/>
        <w:pageBreakBefore w:val="0"/>
        <w:kinsoku/>
        <w:wordWrap/>
        <w:overflowPunct/>
        <w:topLinePunct w:val="0"/>
        <w:autoSpaceDN/>
        <w:bidi w:val="0"/>
        <w:snapToGrid w:val="0"/>
        <w:spacing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固定单价 。</w:t>
      </w:r>
      <w:r>
        <w:rPr>
          <w:rFonts w:hint="eastAsia" w:ascii="宋体" w:hAnsi="宋体" w:eastAsia="宋体" w:cs="宋体"/>
          <w:color w:val="auto"/>
          <w:kern w:val="0"/>
          <w:sz w:val="21"/>
          <w:szCs w:val="21"/>
          <w:highlight w:val="none"/>
          <w:lang w:val="en-US" w:eastAsia="zh-CN" w:bidi="ar"/>
        </w:rPr>
        <w:t>招标范围内中标综合单价一次性包死，结算时不予调整。</w:t>
      </w:r>
    </w:p>
    <w:p w14:paraId="691149C7">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6.评标办法</w:t>
      </w:r>
    </w:p>
    <w:p w14:paraId="6C82A20A">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合理价格竞争法 。</w:t>
      </w:r>
      <w:r>
        <w:rPr>
          <w:rFonts w:hint="eastAsia" w:ascii="宋体" w:hAnsi="宋体" w:eastAsia="宋体" w:cs="宋体"/>
          <w:color w:val="auto"/>
          <w:kern w:val="0"/>
          <w:sz w:val="21"/>
          <w:szCs w:val="21"/>
          <w:highlight w:val="none"/>
          <w:lang w:val="en-US" w:eastAsia="zh-CN" w:bidi="ar"/>
        </w:rPr>
        <w:t>（详见第三章评标办法）</w:t>
      </w:r>
    </w:p>
    <w:p w14:paraId="5A545CB7">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7.投标人资格</w:t>
      </w:r>
    </w:p>
    <w:p w14:paraId="1C0F93C5">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7.1具体详见招标公告。</w:t>
      </w:r>
    </w:p>
    <w:p w14:paraId="15E58760">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8. 投标费用</w:t>
      </w:r>
    </w:p>
    <w:p w14:paraId="593831DE">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8.1投标人准备和参加投标活动发生的费用自理。</w:t>
      </w:r>
    </w:p>
    <w:p w14:paraId="585F2479">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default" w:ascii="宋体" w:hAnsi="宋体" w:eastAsia="宋体" w:cs="宋体"/>
          <w:b/>
          <w:bCs w:val="0"/>
          <w:color w:val="auto"/>
          <w:kern w:val="0"/>
          <w:sz w:val="21"/>
          <w:szCs w:val="21"/>
          <w:highlight w:val="none"/>
          <w:lang w:val="en-US" w:eastAsia="zh-CN" w:bidi="ar"/>
        </w:rPr>
        <w:t>9.</w:t>
      </w:r>
      <w:bookmarkStart w:id="64" w:name="_Toc152045539"/>
      <w:bookmarkEnd w:id="64"/>
      <w:bookmarkStart w:id="65" w:name="_Toc247527563"/>
      <w:bookmarkEnd w:id="65"/>
      <w:bookmarkStart w:id="66" w:name="_Toc296602429"/>
      <w:bookmarkEnd w:id="66"/>
      <w:bookmarkStart w:id="67" w:name="_Toc247513962"/>
      <w:bookmarkEnd w:id="67"/>
      <w:bookmarkStart w:id="68" w:name="_Toc144974507"/>
      <w:bookmarkEnd w:id="68"/>
      <w:bookmarkStart w:id="69" w:name="_Toc152042315"/>
      <w:bookmarkEnd w:id="69"/>
      <w:bookmarkStart w:id="70" w:name="_Toc247592876"/>
      <w:r>
        <w:rPr>
          <w:rFonts w:hint="eastAsia" w:ascii="宋体" w:hAnsi="宋体" w:eastAsia="宋体" w:cs="宋体"/>
          <w:b/>
          <w:bCs w:val="0"/>
          <w:color w:val="auto"/>
          <w:kern w:val="0"/>
          <w:sz w:val="21"/>
          <w:szCs w:val="21"/>
          <w:highlight w:val="none"/>
          <w:lang w:val="en-US" w:eastAsia="zh-CN" w:bidi="ar"/>
        </w:rPr>
        <w:t xml:space="preserve"> 踏勘现场</w:t>
      </w:r>
      <w:bookmarkEnd w:id="70"/>
    </w:p>
    <w:p w14:paraId="3693A8D6">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09" w:firstLineChars="195"/>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 xml:space="preserve">9.1 投标人须知前附表规定组织踏勘现场的，招标人按投标人须知前附表规定的时间、地点组织投标人踏勘项目现场。 </w:t>
      </w:r>
    </w:p>
    <w:p w14:paraId="4298C748">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09" w:firstLineChars="195"/>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9.2 投标人踏勘现场发生的费用自理。</w:t>
      </w:r>
    </w:p>
    <w:p w14:paraId="025CFBBE">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09" w:firstLineChars="195"/>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9.3 除招标人的原因外，投标人自行负责在踏勘现场中所发生的人员伤亡和财产损失。</w:t>
      </w:r>
    </w:p>
    <w:p w14:paraId="59DDF4CE">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09" w:firstLineChars="195"/>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9.4 招标人在踏勘现场中介绍的场地和相关的周边环境情况，供投标人在编制投标文件时参考，招标人不对投标人据此作出的判断和决策负责。</w:t>
      </w:r>
    </w:p>
    <w:p w14:paraId="0123D57A">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09" w:firstLineChars="195"/>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9.5无论投标人是否到施工现场实地踏勘，中标后签订合同时和履约过程中，投标人不得以不完全了解现场情况或现场情况与招标文件描述不一致等为由，提出任何形式的增加工程造价或索赔的要求。</w:t>
      </w:r>
    </w:p>
    <w:p w14:paraId="16F3CE11">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default" w:ascii="宋体" w:hAnsi="宋体" w:eastAsia="宋体" w:cs="宋体"/>
          <w:b/>
          <w:bCs w:val="0"/>
          <w:color w:val="auto"/>
          <w:kern w:val="0"/>
          <w:sz w:val="21"/>
          <w:szCs w:val="21"/>
          <w:highlight w:val="none"/>
          <w:lang w:val="en-US" w:eastAsia="zh-CN" w:bidi="ar"/>
        </w:rPr>
        <w:t xml:space="preserve">10. </w:t>
      </w:r>
      <w:r>
        <w:rPr>
          <w:rFonts w:hint="eastAsia" w:ascii="宋体" w:hAnsi="宋体" w:eastAsia="宋体" w:cs="宋体"/>
          <w:b/>
          <w:bCs w:val="0"/>
          <w:color w:val="auto"/>
          <w:kern w:val="0"/>
          <w:sz w:val="21"/>
          <w:szCs w:val="21"/>
          <w:highlight w:val="none"/>
          <w:lang w:val="en-US" w:eastAsia="zh-CN" w:bidi="ar"/>
        </w:rPr>
        <w:t>投标预备会（本项目不采用）</w:t>
      </w:r>
    </w:p>
    <w:p w14:paraId="32244231">
      <w:pPr>
        <w:keepNext w:val="0"/>
        <w:keepLines w:val="0"/>
        <w:pageBreakBefore w:val="0"/>
        <w:kinsoku/>
        <w:wordWrap/>
        <w:overflowPunct/>
        <w:topLinePunct w:val="0"/>
        <w:autoSpaceDN/>
        <w:bidi w:val="0"/>
        <w:spacing w:line="400" w:lineRule="exact"/>
        <w:ind w:firstLine="409" w:firstLineChars="195"/>
        <w:textAlignment w:val="auto"/>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招标人</w:t>
      </w:r>
      <w:r>
        <w:rPr>
          <w:rFonts w:hint="eastAsia" w:ascii="宋体"/>
          <w:color w:val="auto"/>
          <w:szCs w:val="21"/>
          <w:highlight w:val="none"/>
        </w:rPr>
        <w:t>按投标人须知前附表规定的时间和地点召开投标预备会，澄清投标人提出的问题。</w:t>
      </w:r>
    </w:p>
    <w:p w14:paraId="2DF5E5E1">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11.联合投标</w:t>
      </w:r>
    </w:p>
    <w:p w14:paraId="1A2C7D9B">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lang w:val="en-US" w:eastAsia="zh-CN" w:bidi="ar"/>
        </w:rPr>
        <w:t>联合体投标。</w:t>
      </w:r>
    </w:p>
    <w:p w14:paraId="41BB0AEA">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12.招标代理费及专家评审费</w:t>
      </w:r>
    </w:p>
    <w:p w14:paraId="7706F266">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12.1 本项目的招标代理费及专家评审费详见投标人须知前附表。</w:t>
      </w:r>
    </w:p>
    <w:p w14:paraId="08E33E2B">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13.投标人应注意的事项</w:t>
      </w:r>
    </w:p>
    <w:p w14:paraId="0E22E6B6">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bookmarkStart w:id="71" w:name="_Toc24655"/>
      <w:bookmarkEnd w:id="71"/>
      <w:bookmarkStart w:id="72" w:name="_Toc10668_WPSOffice_Level3"/>
      <w:bookmarkEnd w:id="72"/>
      <w:r>
        <w:rPr>
          <w:rFonts w:hint="eastAsia" w:ascii="宋体" w:hAnsi="宋体" w:eastAsia="宋体" w:cs="宋体"/>
          <w:color w:val="auto"/>
          <w:kern w:val="0"/>
          <w:sz w:val="21"/>
          <w:szCs w:val="21"/>
          <w:highlight w:val="none"/>
          <w:lang w:val="en-US" w:eastAsia="zh-CN" w:bidi="ar"/>
        </w:rPr>
        <w:t>13.1投标人一旦按规定参加投标，即被认为接受了本招标文件中的所有条件和规定。投标人必须严格按招标文件的要求编制投标文件，以便评委审核。否则，由此产生的一切后果由投标人承担。</w:t>
      </w:r>
    </w:p>
    <w:p w14:paraId="759577B1">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13.2投标人对采购内容中规定的技术参数、规格、数量和要求等必须满足招标文件的相关要求。</w:t>
      </w:r>
    </w:p>
    <w:p w14:paraId="41A3A308">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13.3 单位负责人为同一人或者存在直接控股、管理关系的不同投标人，不得参加同一合同项下的采购活动。</w:t>
      </w:r>
    </w:p>
    <w:p w14:paraId="295BD98F">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13.4投标人被视为充分熟悉本招标项目所在地的与履行合同有关的各种情况，包括但不限于：</w:t>
      </w:r>
    </w:p>
    <w:p w14:paraId="532438D7">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（1）国家对本次投标货物和服务的生产、安装调试、验收、维修等有关法律、法规及行业管理标准；</w:t>
      </w:r>
    </w:p>
    <w:p w14:paraId="6D56EF16">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（2）安徽省及滁州市等有关管理部门的相关规定；</w:t>
      </w:r>
    </w:p>
    <w:p w14:paraId="0C8E3C55">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（3）招标人的相关场地情况、基础建设、电力供应情况及相关设计标准。</w:t>
      </w:r>
    </w:p>
    <w:p w14:paraId="68E309C6">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本招标文件不再对上述情况进行描述。</w:t>
      </w:r>
    </w:p>
    <w:p w14:paraId="4F141989">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14.保密</w:t>
      </w:r>
    </w:p>
    <w:p w14:paraId="74F4BA6A">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参与招标投标活动的各方应对招标文件和投标文件中的商业和技术等秘密保密，违者应对由此造成的后果承担法律责任。</w:t>
      </w:r>
    </w:p>
    <w:p w14:paraId="791EA85D">
      <w:pPr>
        <w:keepNext w:val="0"/>
        <w:keepLines w:val="0"/>
        <w:pageBreakBefore w:val="0"/>
        <w:widowControl w:val="0"/>
        <w:numPr>
          <w:ilvl w:val="0"/>
          <w:numId w:val="1"/>
        </w:numPr>
        <w:kinsoku/>
        <w:wordWrap/>
        <w:overflowPunct/>
        <w:topLinePunct w:val="0"/>
        <w:autoSpaceDN/>
        <w:bidi w:val="0"/>
        <w:spacing w:line="400" w:lineRule="exact"/>
        <w:jc w:val="center"/>
        <w:textAlignment w:val="auto"/>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招标文件</w:t>
      </w:r>
    </w:p>
    <w:p w14:paraId="26D6B8BB">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15.招标文件的编制依据</w:t>
      </w:r>
    </w:p>
    <w:p w14:paraId="4C218CA9">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0" w:firstLineChars="200"/>
        <w:jc w:val="both"/>
        <w:textAlignment w:val="auto"/>
        <w:rPr>
          <w:rFonts w:hint="eastAsia" w:ascii="黑体" w:hAnsi="宋体" w:eastAsia="黑体" w:cs="宋体"/>
          <w:b/>
          <w:bCs w:val="0"/>
          <w:color w:val="auto"/>
          <w:highlight w:val="none"/>
          <w:lang w:val="en-US"/>
        </w:rPr>
      </w:pPr>
      <w:r>
        <w:rPr>
          <w:rFonts w:hint="eastAsia" w:ascii="宋体" w:hAnsi="宋体" w:eastAsia="宋体" w:cs="宋体"/>
          <w:color w:val="auto"/>
          <w:kern w:val="0"/>
          <w:sz w:val="21"/>
          <w:szCs w:val="21"/>
          <w:highlight w:val="none"/>
          <w:lang w:val="en-US" w:eastAsia="zh-CN" w:bidi="ar"/>
        </w:rPr>
        <w:t>参照《中华人民共和国招标投标法》、《中华人民共和国招标投标法实施条例》和《中华人民共和国民法典》</w:t>
      </w:r>
      <w:r>
        <w:rPr>
          <w:rFonts w:hint="eastAsia" w:ascii="宋体" w:hAnsi="宋体" w:eastAsia="宋体" w:cs="宋体"/>
          <w:color w:val="auto"/>
          <w:spacing w:val="-2"/>
          <w:kern w:val="0"/>
          <w:sz w:val="21"/>
          <w:szCs w:val="21"/>
          <w:highlight w:val="none"/>
          <w:lang w:val="en-US" w:eastAsia="zh-CN" w:bidi="ar"/>
        </w:rPr>
        <w:t>等相关法律法规和规章及部、省、市级规范性文件的规定，编制本招标文件。</w:t>
      </w:r>
    </w:p>
    <w:p w14:paraId="0526DBCD">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16.招标文件的组成</w:t>
      </w:r>
    </w:p>
    <w:p w14:paraId="309C84F7">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16.1 招标文件包括内容：</w:t>
      </w:r>
    </w:p>
    <w:p w14:paraId="4AB6C01C">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第一章  招标公告</w:t>
      </w:r>
    </w:p>
    <w:p w14:paraId="0F55E43F">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第二章  投标须知</w:t>
      </w:r>
    </w:p>
    <w:p w14:paraId="12336731">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第三章  资格审查办法</w:t>
      </w:r>
    </w:p>
    <w:p w14:paraId="604815ED">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第四章  </w:t>
      </w:r>
      <w:r>
        <w:rPr>
          <w:rFonts w:hint="eastAsia" w:ascii="宋体" w:eastAsia="宋体" w:cs="宋体"/>
          <w:color w:val="auto"/>
          <w:szCs w:val="21"/>
          <w:highlight w:val="none"/>
          <w:lang w:val="en-US" w:eastAsia="zh-CN"/>
        </w:rPr>
        <w:t>评</w:t>
      </w:r>
      <w:r>
        <w:rPr>
          <w:rFonts w:hint="eastAsia" w:ascii="宋体" w:hAnsi="宋体" w:eastAsia="宋体" w:cs="宋体"/>
          <w:color w:val="auto"/>
          <w:kern w:val="0"/>
          <w:sz w:val="21"/>
          <w:szCs w:val="21"/>
          <w:highlight w:val="none"/>
          <w:lang w:val="en-US" w:eastAsia="zh-CN" w:bidi="ar"/>
        </w:rPr>
        <w:t>标办法</w:t>
      </w:r>
    </w:p>
    <w:p w14:paraId="1D143593">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第五章  采购需求</w:t>
      </w:r>
    </w:p>
    <w:p w14:paraId="5D918195">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第六章  合同条款及格式</w:t>
      </w:r>
    </w:p>
    <w:p w14:paraId="133D26DC">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第七章  投标文件格式文本</w:t>
      </w:r>
    </w:p>
    <w:p w14:paraId="30AE9613">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第八章  招标人、招标代理机构对本文件的确认</w:t>
      </w:r>
    </w:p>
    <w:p w14:paraId="7783DE09">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16.2 除16.1内容外，招标答疑亦为招标文件的组成部分，对招标人和投标人起约束作用。</w:t>
      </w:r>
    </w:p>
    <w:p w14:paraId="18A0220A">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16.3投标人应仔细阅读和检查招标文件的全部内容。如发现缺页或附件不全，应及时向招标人提出，以便补齐。</w:t>
      </w:r>
    </w:p>
    <w:p w14:paraId="154DC8B9">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16.4 当招标文件、招标文件的澄清或修改等在同一内容的表述上不一致时，以最后发出的文件为准。</w:t>
      </w:r>
    </w:p>
    <w:p w14:paraId="5D7BE19E">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17.招标文件的异议</w:t>
      </w:r>
    </w:p>
    <w:p w14:paraId="45E72CC7">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17.1 投标人应仔细阅读和检查招标文件的全部内容。如有疑问，应在投标人须知前附表规定的时间</w:t>
      </w:r>
      <w:r>
        <w:rPr>
          <w:rFonts w:hint="eastAsia" w:ascii="宋体" w:hAnsi="宋体" w:cs="宋体"/>
          <w:color w:val="auto"/>
          <w:kern w:val="0"/>
          <w:sz w:val="21"/>
          <w:szCs w:val="21"/>
          <w:highlight w:val="none"/>
          <w:lang w:val="en-US" w:eastAsia="zh-CN" w:bidi="ar"/>
        </w:rPr>
        <w:t>和方式</w:t>
      </w:r>
      <w:r>
        <w:rPr>
          <w:rFonts w:hint="eastAsia" w:ascii="宋体" w:hAnsi="宋体" w:eastAsia="宋体" w:cs="宋体"/>
          <w:color w:val="auto"/>
          <w:kern w:val="0"/>
          <w:sz w:val="21"/>
          <w:szCs w:val="21"/>
          <w:highlight w:val="none"/>
          <w:lang w:val="en-US" w:eastAsia="zh-CN" w:bidi="ar"/>
        </w:rPr>
        <w:t>提出。</w:t>
      </w:r>
    </w:p>
    <w:p w14:paraId="16BBEA97">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bookmarkStart w:id="73" w:name="_Toc15058862"/>
      <w:bookmarkStart w:id="74" w:name="_Toc2696"/>
      <w:bookmarkStart w:id="75" w:name="_Toc324404831"/>
      <w:bookmarkStart w:id="76" w:name="_Toc78803338"/>
      <w:bookmarkStart w:id="77" w:name="_Toc35424903"/>
      <w:bookmarkStart w:id="78" w:name="_Toc35425069"/>
      <w:r>
        <w:rPr>
          <w:rFonts w:hint="eastAsia" w:ascii="宋体" w:hAnsi="宋体" w:eastAsia="宋体" w:cs="宋体"/>
          <w:b/>
          <w:bCs w:val="0"/>
          <w:color w:val="auto"/>
          <w:kern w:val="0"/>
          <w:sz w:val="21"/>
          <w:szCs w:val="21"/>
          <w:highlight w:val="none"/>
          <w:lang w:val="en-US" w:eastAsia="zh-CN" w:bidi="ar"/>
        </w:rPr>
        <w:t>18.招标文件的澄清</w:t>
      </w:r>
    </w:p>
    <w:p w14:paraId="5C17A6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18.1招标文件的澄清将在滁州市城投工程咨询管理有限公司网站（https://www.czctgczx.com/）发布，但不指明澄清问题的来源。如果澄清发出的时间距投标人须知前附表规定的投标截止时间不足15天，并且澄清内容影响投标文件编制的，将相应延长投标截止时间。</w:t>
      </w:r>
    </w:p>
    <w:bookmarkEnd w:id="73"/>
    <w:bookmarkEnd w:id="74"/>
    <w:bookmarkEnd w:id="75"/>
    <w:bookmarkEnd w:id="76"/>
    <w:bookmarkEnd w:id="77"/>
    <w:bookmarkEnd w:id="78"/>
    <w:p w14:paraId="2D4D797B">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bookmarkStart w:id="79" w:name="_Toc1549_WPSOffice_Level3"/>
      <w:bookmarkEnd w:id="79"/>
      <w:bookmarkStart w:id="80" w:name="_Toc9710"/>
      <w:r>
        <w:rPr>
          <w:rFonts w:hint="eastAsia" w:ascii="宋体" w:hAnsi="宋体" w:eastAsia="宋体" w:cs="宋体"/>
          <w:b/>
          <w:bCs w:val="0"/>
          <w:color w:val="auto"/>
          <w:kern w:val="0"/>
          <w:sz w:val="21"/>
          <w:szCs w:val="21"/>
          <w:highlight w:val="none"/>
          <w:lang w:val="en-US" w:eastAsia="zh-CN" w:bidi="ar"/>
        </w:rPr>
        <w:t>19.样品</w:t>
      </w:r>
      <w:bookmarkEnd w:id="80"/>
    </w:p>
    <w:p w14:paraId="7A9E7EDE">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19.1本项目无需提供样品。</w:t>
      </w:r>
    </w:p>
    <w:p w14:paraId="676B00E0">
      <w:pPr>
        <w:keepNext w:val="0"/>
        <w:keepLines w:val="0"/>
        <w:pageBreakBefore w:val="0"/>
        <w:widowControl w:val="0"/>
        <w:kinsoku/>
        <w:wordWrap/>
        <w:overflowPunct/>
        <w:topLinePunct w:val="0"/>
        <w:autoSpaceDN/>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val="0"/>
          <w:color w:val="auto"/>
          <w:kern w:val="0"/>
          <w:sz w:val="24"/>
          <w:szCs w:val="24"/>
          <w:highlight w:val="none"/>
          <w:lang w:val="en-US" w:eastAsia="zh-CN" w:bidi="ar"/>
        </w:rPr>
        <w:t>（三）投标文件的编制</w:t>
      </w:r>
      <w:r>
        <w:rPr>
          <w:rFonts w:hint="eastAsia" w:ascii="宋体" w:hAnsi="宋体" w:eastAsia="宋体" w:cs="宋体"/>
          <w:b/>
          <w:bCs/>
          <w:color w:val="auto"/>
          <w:sz w:val="21"/>
          <w:szCs w:val="21"/>
          <w:highlight w:val="none"/>
        </w:rPr>
        <w:t xml:space="preserve"> </w:t>
      </w:r>
    </w:p>
    <w:p w14:paraId="59AB8E00">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20.投标的语言及度量衡单位</w:t>
      </w:r>
    </w:p>
    <w:p w14:paraId="211CDDC6">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20.1投标人的投标文件、以及投标人与招标人就投标的所有往来函电，均须使用简体中文。</w:t>
      </w:r>
    </w:p>
    <w:p w14:paraId="414D693E">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20.2除招标文件中另有规定外，投标文件所使用的度量衡均须采用法定计量单位。</w:t>
      </w:r>
    </w:p>
    <w:p w14:paraId="6BA6E494">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21.投标文件的组成</w:t>
      </w:r>
    </w:p>
    <w:p w14:paraId="6BA4A78C">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21.1具体内容详见第六章投标文件格式内容。</w:t>
      </w:r>
    </w:p>
    <w:p w14:paraId="2DDAADEE">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21.2投标文件的编制</w:t>
      </w:r>
    </w:p>
    <w:p w14:paraId="20143B99">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（1）投标文件应按第七章“投标文件格式”进行编写，如有必要，可以增加附页，作为投标文件的组成部分。</w:t>
      </w:r>
    </w:p>
    <w:p w14:paraId="7E2AEC5C">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（2）投标文件的正本和副本应采用左侧装订，不得有零散页。</w:t>
      </w:r>
    </w:p>
    <w:p w14:paraId="33D6DE45">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（3）投标文件应按照“投标文件格式”的目录次序装订</w:t>
      </w:r>
      <w:r>
        <w:rPr>
          <w:rFonts w:hint="eastAsia" w:ascii="宋体" w:hAnsi="宋体" w:cs="宋体"/>
          <w:bCs/>
          <w:color w:val="auto"/>
          <w:kern w:val="0"/>
          <w:sz w:val="21"/>
          <w:szCs w:val="21"/>
          <w:highlight w:val="none"/>
          <w:lang w:val="en-US" w:eastAsia="zh-CN" w:bidi="ar"/>
        </w:rPr>
        <w:t>、</w:t>
      </w:r>
      <w:r>
        <w:rPr>
          <w:rFonts w:hint="eastAsia" w:ascii="宋体" w:hAnsi="宋体" w:eastAsia="宋体" w:cs="宋体"/>
          <w:bCs/>
          <w:color w:val="auto"/>
          <w:kern w:val="0"/>
          <w:sz w:val="21"/>
          <w:szCs w:val="21"/>
          <w:highlight w:val="none"/>
          <w:lang w:val="en-US" w:eastAsia="zh-CN" w:bidi="ar"/>
        </w:rPr>
        <w:t>密封，否则其投标文件将被拒收。</w:t>
      </w:r>
    </w:p>
    <w:p w14:paraId="5828231E">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21.3 投标文件应当对招标文件有关工期、投标有效期、质量要求、技术标准和要求、招标范围等实质性内容作出响应。</w:t>
      </w:r>
    </w:p>
    <w:p w14:paraId="059C8AFA">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21.4招标人有权核查投标人在投标文件中提供的资料，若发现投标人以他人名义投标或者以其他方式弄虚作假骗取中标的，中标无效；如果签订合同后发现中标人提供了虚假材料，招标人有权解除合同。</w:t>
      </w:r>
    </w:p>
    <w:p w14:paraId="1AB2862C">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22.投标报价</w:t>
      </w:r>
    </w:p>
    <w:p w14:paraId="438B0681">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22.1投标报价文件中的单价和总价全部采用人民币表示。</w:t>
      </w:r>
    </w:p>
    <w:p w14:paraId="4B19634E">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22.2投标人只允许有一个方案、一个报价。</w:t>
      </w:r>
    </w:p>
    <w:p w14:paraId="32D39B34">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22.3投标报价的综合单价包括完成本项目全部供货及服务的一切费用：包括但不限于材料费、生产加工费、装卸费、运输费、管理费、其他费用（如包装费、仓储费、保管费、场地清理搬移相关费用）、安装调试费、利润、售后服务费、税金、政策性文件规定及合同包含的所有风险和责任等、货物送至招标人指定地点前的各项应有费用。投标时投标人必须保证报价的完整性，如有漏报，则视为优惠，中标后不允许追加费用。投标人应当保持单项价格的合理性，严禁出现不平衡报价的情况，项目采购结束后，招标人有权对各单项价格进行核查，对于严重超过市场价格的单价，将在正式合同中明确：对于认定为不平衡报价的单项，如果发生数量变动，将按照有利于招标人的单价进行认价。</w:t>
      </w:r>
    </w:p>
    <w:p w14:paraId="25FA7944">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22.4投标报价的价格是完成项目全部内容（包括后期的相关服务）的价格，其单价即为履行合同的固定单价。</w:t>
      </w:r>
    </w:p>
    <w:p w14:paraId="728E79D9">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22.5投标报价应由法定代表人或被授权人签署。</w:t>
      </w:r>
    </w:p>
    <w:p w14:paraId="001D4FD4">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22.6投标人的投标报价不得超过各最高限价，否则将作为无效投标处理。</w:t>
      </w:r>
    </w:p>
    <w:p w14:paraId="21024D63">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22.7总投标价中不得包含招标文件要求以外的内容，否则，在评标时不予核减，但在授予合同时，招标人有权将这部分价格从其中标价格中扣除。</w:t>
      </w:r>
    </w:p>
    <w:p w14:paraId="3CBF4DEF">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22.8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2581E751">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23.投标有效期</w:t>
      </w:r>
    </w:p>
    <w:p w14:paraId="622472E4">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23.1 除投标人须知前附表另有规定外，投标有效期为60天。</w:t>
      </w:r>
    </w:p>
    <w:p w14:paraId="59910B1A">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23.2在投标有效期内，投标人撤销或修改其投标文件的，应承担招标文件和法律规定的责任。</w:t>
      </w:r>
    </w:p>
    <w:p w14:paraId="3C8A4720">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23.3出现特殊情况需要延长投标有效期的，招标人以书面形式通知所有投标人延长投标有效期。投标人同意延长的，不得要求或被允许修改或撤销其投标文件；投标人拒绝延长的，其投标失效。</w:t>
      </w:r>
    </w:p>
    <w:p w14:paraId="1FF043D7">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24.投标保证金</w:t>
      </w:r>
    </w:p>
    <w:p w14:paraId="4F4C6E3E">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24.1本项目不收取投标保证金。</w:t>
      </w:r>
    </w:p>
    <w:p w14:paraId="525E81A5">
      <w:pPr>
        <w:keepNext w:val="0"/>
        <w:keepLines w:val="0"/>
        <w:pageBreakBefore w:val="0"/>
        <w:widowControl w:val="0"/>
        <w:kinsoku/>
        <w:wordWrap/>
        <w:overflowPunct/>
        <w:topLinePunct w:val="0"/>
        <w:autoSpaceDN/>
        <w:bidi w:val="0"/>
        <w:spacing w:line="400" w:lineRule="exact"/>
        <w:jc w:val="center"/>
        <w:textAlignment w:val="auto"/>
        <w:rPr>
          <w:rFonts w:hint="eastAsia" w:ascii="宋体" w:hAnsi="宋体" w:eastAsia="宋体" w:cs="宋体"/>
          <w:b/>
          <w:bCs w:val="0"/>
          <w:color w:val="auto"/>
          <w:kern w:val="0"/>
          <w:sz w:val="24"/>
          <w:szCs w:val="24"/>
          <w:highlight w:val="none"/>
          <w:lang w:val="en-US" w:eastAsia="zh-CN" w:bidi="ar"/>
        </w:rPr>
      </w:pPr>
      <w:bookmarkStart w:id="81" w:name="_Toc26398"/>
      <w:r>
        <w:rPr>
          <w:rFonts w:hint="eastAsia" w:ascii="宋体" w:hAnsi="宋体" w:eastAsia="宋体" w:cs="宋体"/>
          <w:b/>
          <w:bCs w:val="0"/>
          <w:color w:val="auto"/>
          <w:kern w:val="0"/>
          <w:sz w:val="24"/>
          <w:szCs w:val="24"/>
          <w:highlight w:val="none"/>
          <w:lang w:val="en-US" w:eastAsia="zh-CN" w:bidi="ar"/>
        </w:rPr>
        <w:t>（四）投标文件的</w:t>
      </w:r>
      <w:bookmarkEnd w:id="81"/>
      <w:r>
        <w:rPr>
          <w:rFonts w:hint="eastAsia" w:ascii="宋体"/>
          <w:b/>
          <w:color w:val="auto"/>
          <w:sz w:val="24"/>
          <w:szCs w:val="24"/>
          <w:highlight w:val="none"/>
        </w:rPr>
        <w:t>密封和递交</w:t>
      </w:r>
    </w:p>
    <w:p w14:paraId="6E0ABCC6">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25.投标文件</w:t>
      </w:r>
      <w:r>
        <w:rPr>
          <w:rFonts w:hint="eastAsia" w:ascii="宋体" w:hAnsi="宋体" w:eastAsia="宋体" w:cs="宋体"/>
          <w:b/>
          <w:bCs w:val="0"/>
          <w:color w:val="auto"/>
          <w:kern w:val="0"/>
          <w:sz w:val="21"/>
          <w:szCs w:val="21"/>
          <w:highlight w:val="none"/>
          <w:u w:color="000000"/>
          <w:lang w:val="en-US" w:eastAsia="zh-CN" w:bidi="ar"/>
        </w:rPr>
        <w:t>份数和签署</w:t>
      </w:r>
    </w:p>
    <w:p w14:paraId="2C663335">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25.1投标文件份数：正本1份，副本2份。</w:t>
      </w:r>
    </w:p>
    <w:p w14:paraId="3E34874B">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25.2</w:t>
      </w:r>
      <w:r>
        <w:rPr>
          <w:rFonts w:hint="eastAsia" w:ascii="宋体" w:hAnsi="宋体" w:eastAsia="宋体" w:cs="宋体"/>
          <w:color w:val="auto"/>
          <w:kern w:val="0"/>
          <w:sz w:val="21"/>
          <w:szCs w:val="21"/>
          <w:highlight w:val="none"/>
          <w:u w:color="000000"/>
          <w:lang w:val="en-US" w:eastAsia="zh-CN" w:bidi="ar"/>
        </w:rPr>
        <w:t>按格式文件要求签字或盖章，否则经评委会一致认定且经过</w:t>
      </w:r>
      <w:r>
        <w:rPr>
          <w:rFonts w:hint="eastAsia" w:ascii="宋体" w:hAnsi="宋体" w:cs="宋体"/>
          <w:color w:val="auto"/>
          <w:kern w:val="0"/>
          <w:sz w:val="21"/>
          <w:szCs w:val="21"/>
          <w:highlight w:val="none"/>
          <w:u w:color="000000"/>
          <w:lang w:val="en-US" w:eastAsia="zh-CN" w:bidi="ar"/>
        </w:rPr>
        <w:t>招标人</w:t>
      </w:r>
      <w:r>
        <w:rPr>
          <w:rFonts w:hint="eastAsia" w:ascii="宋体" w:hAnsi="宋体" w:eastAsia="宋体" w:cs="宋体"/>
          <w:color w:val="auto"/>
          <w:kern w:val="0"/>
          <w:sz w:val="21"/>
          <w:szCs w:val="21"/>
          <w:highlight w:val="none"/>
          <w:u w:color="000000"/>
          <w:lang w:val="en-US" w:eastAsia="zh-CN" w:bidi="ar"/>
        </w:rPr>
        <w:t>同意后, 按照无效投标处理</w:t>
      </w:r>
      <w:r>
        <w:rPr>
          <w:rFonts w:hint="eastAsia" w:ascii="宋体" w:hAnsi="宋体" w:eastAsia="宋体" w:cs="宋体"/>
          <w:color w:val="auto"/>
          <w:kern w:val="0"/>
          <w:sz w:val="21"/>
          <w:szCs w:val="21"/>
          <w:highlight w:val="none"/>
          <w:lang w:val="en-US" w:eastAsia="zh-CN" w:bidi="ar"/>
        </w:rPr>
        <w:t>。</w:t>
      </w:r>
    </w:p>
    <w:p w14:paraId="20B213BB">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26.投标文件的密封和标记</w:t>
      </w:r>
    </w:p>
    <w:p w14:paraId="604EFBB0">
      <w:pPr>
        <w:spacing w:line="440" w:lineRule="exact"/>
        <w:ind w:firstLine="420" w:firstLineChars="200"/>
        <w:jc w:val="left"/>
        <w:rPr>
          <w:rFonts w:hint="eastAsia"/>
          <w:color w:val="auto"/>
          <w:szCs w:val="21"/>
          <w:highlight w:val="none"/>
        </w:rPr>
      </w:pPr>
      <w:r>
        <w:rPr>
          <w:rFonts w:hint="eastAsia" w:ascii="宋体" w:hAnsi="宋体" w:eastAsia="宋体" w:cs="宋体"/>
          <w:color w:val="auto"/>
          <w:kern w:val="0"/>
          <w:sz w:val="21"/>
          <w:szCs w:val="21"/>
          <w:highlight w:val="none"/>
          <w:lang w:val="en-US" w:eastAsia="zh-CN" w:bidi="ar"/>
        </w:rPr>
        <w:t>26.1</w:t>
      </w:r>
      <w:r>
        <w:rPr>
          <w:rFonts w:hint="eastAsia"/>
          <w:color w:val="auto"/>
          <w:szCs w:val="21"/>
          <w:highlight w:val="none"/>
        </w:rPr>
        <w:t>投标文件的正本和副本应采用左侧装订，不得有零散页。投标文件应按照“投标文件格式”的目录次序装订</w:t>
      </w:r>
      <w:r>
        <w:rPr>
          <w:rFonts w:hint="eastAsia"/>
          <w:color w:val="auto"/>
          <w:szCs w:val="21"/>
          <w:highlight w:val="none"/>
          <w:lang w:eastAsia="zh-CN"/>
        </w:rPr>
        <w:t>、</w:t>
      </w:r>
      <w:r>
        <w:rPr>
          <w:rFonts w:hint="eastAsia"/>
          <w:color w:val="auto"/>
          <w:szCs w:val="21"/>
          <w:highlight w:val="none"/>
        </w:rPr>
        <w:t>密封</w:t>
      </w:r>
      <w:r>
        <w:rPr>
          <w:rFonts w:hint="eastAsia"/>
          <w:color w:val="auto"/>
          <w:szCs w:val="21"/>
          <w:highlight w:val="none"/>
          <w:lang w:eastAsia="zh-CN"/>
        </w:rPr>
        <w:t>，</w:t>
      </w:r>
      <w:r>
        <w:rPr>
          <w:rFonts w:hint="eastAsia"/>
          <w:color w:val="auto"/>
          <w:szCs w:val="21"/>
          <w:highlight w:val="none"/>
        </w:rPr>
        <w:t>否则其投标文件将被拒收。</w:t>
      </w:r>
    </w:p>
    <w:p w14:paraId="24F66BE1">
      <w:pPr>
        <w:spacing w:line="440" w:lineRule="exact"/>
        <w:ind w:firstLine="420" w:firstLineChars="200"/>
        <w:rPr>
          <w:rFonts w:ascii="宋体"/>
          <w:color w:val="auto"/>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.1.1</w:t>
      </w:r>
      <w:r>
        <w:rPr>
          <w:rFonts w:hint="eastAsia" w:ascii="宋体"/>
          <w:color w:val="auto"/>
          <w:szCs w:val="21"/>
          <w:highlight w:val="none"/>
        </w:rPr>
        <w:t>投标文件应进行包装、加贴封条，并在封套的封口处加盖投标人单位公章。</w:t>
      </w:r>
    </w:p>
    <w:p w14:paraId="1428C37A">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6</w:t>
      </w:r>
      <w:r>
        <w:rPr>
          <w:rFonts w:hint="eastAsia" w:ascii="宋体"/>
          <w:color w:val="auto"/>
          <w:szCs w:val="21"/>
          <w:highlight w:val="none"/>
        </w:rPr>
        <w:t>.1.2投标文件封套上应写明的内容及具体密封要求见投标人须知前附表。</w:t>
      </w:r>
    </w:p>
    <w:p w14:paraId="679AA55D">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6</w:t>
      </w:r>
      <w:r>
        <w:rPr>
          <w:rFonts w:hint="eastAsia" w:ascii="宋体"/>
          <w:color w:val="auto"/>
          <w:szCs w:val="21"/>
          <w:highlight w:val="none"/>
        </w:rPr>
        <w:t>.1.3 未按本章第2</w:t>
      </w:r>
      <w:r>
        <w:rPr>
          <w:rFonts w:hint="eastAsia" w:ascii="宋体"/>
          <w:color w:val="auto"/>
          <w:szCs w:val="21"/>
          <w:highlight w:val="none"/>
          <w:lang w:val="en-US" w:eastAsia="zh-CN"/>
        </w:rPr>
        <w:t>6</w:t>
      </w:r>
      <w:r>
        <w:rPr>
          <w:rFonts w:hint="eastAsia" w:ascii="宋体"/>
          <w:color w:val="auto"/>
          <w:szCs w:val="21"/>
          <w:highlight w:val="none"/>
        </w:rPr>
        <w:t>.1.1项或第2</w:t>
      </w:r>
      <w:r>
        <w:rPr>
          <w:rFonts w:hint="eastAsia" w:ascii="宋体"/>
          <w:color w:val="auto"/>
          <w:szCs w:val="21"/>
          <w:highlight w:val="none"/>
          <w:lang w:val="en-US" w:eastAsia="zh-CN"/>
        </w:rPr>
        <w:t>6</w:t>
      </w:r>
      <w:r>
        <w:rPr>
          <w:rFonts w:hint="eastAsia" w:ascii="宋体"/>
          <w:color w:val="auto"/>
          <w:szCs w:val="21"/>
          <w:highlight w:val="none"/>
        </w:rPr>
        <w:t>.1.2项中要求密封和加写标记的投标文件，其投标文件将被拒收。</w:t>
      </w:r>
    </w:p>
    <w:p w14:paraId="6417B1A2">
      <w:pPr>
        <w:spacing w:line="440" w:lineRule="exact"/>
        <w:ind w:firstLine="420" w:firstLineChars="200"/>
        <w:rPr>
          <w:rFonts w:hint="eastAsia"/>
          <w:color w:val="auto"/>
          <w:highlight w:val="none"/>
        </w:rPr>
      </w:pPr>
      <w:r>
        <w:rPr>
          <w:rFonts w:hint="eastAsia" w:ascii="宋体"/>
          <w:color w:val="auto"/>
          <w:szCs w:val="21"/>
          <w:highlight w:val="none"/>
        </w:rPr>
        <w:t>2</w:t>
      </w:r>
      <w:r>
        <w:rPr>
          <w:rFonts w:hint="eastAsia" w:ascii="宋体"/>
          <w:color w:val="auto"/>
          <w:szCs w:val="21"/>
          <w:highlight w:val="none"/>
          <w:lang w:val="en-US" w:eastAsia="zh-CN"/>
        </w:rPr>
        <w:t>6</w:t>
      </w:r>
      <w:r>
        <w:rPr>
          <w:rFonts w:hint="eastAsia" w:ascii="宋体"/>
          <w:color w:val="auto"/>
          <w:szCs w:val="21"/>
          <w:highlight w:val="none"/>
        </w:rPr>
        <w:t>.1.4如果所投项目分有多个包（标段），则投标书必须以包（标段）为单位进行封装，并在密封袋上标识标段号。</w:t>
      </w:r>
    </w:p>
    <w:p w14:paraId="443179C2">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27.投标文件的提交、</w:t>
      </w:r>
      <w:r>
        <w:rPr>
          <w:rFonts w:hint="eastAsia" w:ascii="宋体" w:hAnsi="宋体" w:eastAsia="宋体" w:cs="宋体"/>
          <w:b/>
          <w:bCs w:val="0"/>
          <w:color w:val="auto"/>
          <w:kern w:val="0"/>
          <w:sz w:val="21"/>
          <w:szCs w:val="21"/>
          <w:highlight w:val="none"/>
          <w:u w:color="000000"/>
          <w:lang w:val="en-US" w:eastAsia="zh-CN" w:bidi="ar"/>
        </w:rPr>
        <w:t>补充、修改与撤回</w:t>
      </w:r>
    </w:p>
    <w:p w14:paraId="4520A34F">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27.1</w:t>
      </w:r>
      <w:r>
        <w:rPr>
          <w:rFonts w:hint="eastAsia" w:ascii="宋体" w:hAnsi="宋体" w:cs="宋体"/>
          <w:color w:val="auto"/>
          <w:szCs w:val="21"/>
          <w:highlight w:val="none"/>
        </w:rPr>
        <w:t>投标人应在投标人须知前附表规定的投标截止时间前递交投标文件。投标人未按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要求递交投标文件的，</w:t>
      </w:r>
      <w:r>
        <w:rPr>
          <w:rFonts w:hint="eastAsia"/>
          <w:color w:val="auto"/>
          <w:szCs w:val="21"/>
          <w:highlight w:val="none"/>
        </w:rPr>
        <w:t>其投标文件将被拒收</w:t>
      </w:r>
      <w:r>
        <w:rPr>
          <w:rFonts w:hint="eastAsia" w:ascii="宋体" w:hAnsi="宋体" w:cs="宋体"/>
          <w:color w:val="auto"/>
          <w:szCs w:val="21"/>
          <w:highlight w:val="none"/>
        </w:rPr>
        <w:t>。</w:t>
      </w:r>
    </w:p>
    <w:p w14:paraId="46062C1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 投标人递交投标文件的地点：见投标人须知前附表。</w:t>
      </w:r>
    </w:p>
    <w:p w14:paraId="68AB950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投标人在本章2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.1项规定的投标截止时间前，投标人可以修改或撤回已递交的投标文件，但应以书面形式通知</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w:t>
      </w:r>
    </w:p>
    <w:p w14:paraId="6FA309F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投标人修改或撤回已递交投标文件的书面通知应按照本章第2</w:t>
      </w:r>
      <w:r>
        <w:rPr>
          <w:rFonts w:hint="eastAsia" w:ascii="宋体" w:hAnsi="宋体" w:cs="宋体"/>
          <w:color w:val="auto"/>
          <w:szCs w:val="21"/>
          <w:highlight w:val="none"/>
          <w:lang w:val="en-US" w:eastAsia="zh-CN"/>
        </w:rPr>
        <w:t>5.2</w:t>
      </w:r>
      <w:r>
        <w:rPr>
          <w:rFonts w:hint="eastAsia" w:ascii="宋体" w:hAnsi="宋体" w:cs="宋体"/>
          <w:color w:val="auto"/>
          <w:szCs w:val="21"/>
          <w:highlight w:val="none"/>
        </w:rPr>
        <w:t>项的要求签字或盖章。</w:t>
      </w:r>
    </w:p>
    <w:p w14:paraId="402053A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修改的内容为投标文件的组成部分。修改的投标文件应按照本章第（三）投标文件的编制、第（四）投标文件的密封和递交的规定进行编制、密封、标记和递交，并标明“修改”字样。</w:t>
      </w:r>
    </w:p>
    <w:p w14:paraId="0BDA56DB">
      <w:pPr>
        <w:keepNext w:val="0"/>
        <w:keepLines w:val="0"/>
        <w:pageBreakBefore w:val="0"/>
        <w:widowControl w:val="0"/>
        <w:kinsoku/>
        <w:wordWrap/>
        <w:overflowPunct/>
        <w:topLinePunct w:val="0"/>
        <w:autoSpaceDN/>
        <w:bidi w:val="0"/>
        <w:spacing w:line="400" w:lineRule="exact"/>
        <w:jc w:val="center"/>
        <w:textAlignment w:val="auto"/>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（五）开标、评标和定标</w:t>
      </w:r>
    </w:p>
    <w:p w14:paraId="728529B2">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28.开标</w:t>
      </w:r>
    </w:p>
    <w:p w14:paraId="4261B703">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28.1 开标的时间和地点</w:t>
      </w:r>
    </w:p>
    <w:p w14:paraId="5D9A04B2">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28.1.1</w:t>
      </w:r>
      <w:r>
        <w:rPr>
          <w:rFonts w:hint="eastAsia" w:ascii="宋体" w:hAnsi="宋体" w:cs="宋体"/>
          <w:color w:val="auto"/>
          <w:kern w:val="0"/>
          <w:sz w:val="21"/>
          <w:szCs w:val="21"/>
          <w:highlight w:val="none"/>
          <w:u w:color="000000"/>
          <w:lang w:val="en-US" w:eastAsia="zh-CN" w:bidi="ar"/>
        </w:rPr>
        <w:t>招标人</w:t>
      </w:r>
      <w:r>
        <w:rPr>
          <w:rFonts w:hint="eastAsia" w:ascii="宋体" w:hAnsi="宋体" w:eastAsia="宋体" w:cs="宋体"/>
          <w:color w:val="auto"/>
          <w:kern w:val="0"/>
          <w:sz w:val="21"/>
          <w:szCs w:val="21"/>
          <w:highlight w:val="none"/>
          <w:u w:color="000000"/>
          <w:lang w:val="en-US" w:eastAsia="zh-CN" w:bidi="ar"/>
        </w:rPr>
        <w:t>投标须知前附表规定的提交投标文件的截止时间和地点公开开标，</w:t>
      </w:r>
      <w:r>
        <w:rPr>
          <w:rFonts w:hint="eastAsia" w:ascii="宋体" w:cs="宋体"/>
          <w:color w:val="auto"/>
          <w:szCs w:val="21"/>
          <w:highlight w:val="none"/>
        </w:rPr>
        <w:t>并邀请所有投标人参加。</w:t>
      </w:r>
    </w:p>
    <w:p w14:paraId="15C10AA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4A95FE98">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bookmarkStart w:id="82" w:name="_Toc15542_WPSOffice_Level3"/>
      <w:bookmarkEnd w:id="82"/>
      <w:r>
        <w:rPr>
          <w:rFonts w:hint="eastAsia" w:ascii="宋体" w:hAnsi="宋体" w:eastAsia="宋体" w:cs="宋体"/>
          <w:color w:val="auto"/>
          <w:kern w:val="0"/>
          <w:sz w:val="21"/>
          <w:szCs w:val="21"/>
          <w:highlight w:val="none"/>
          <w:u w:color="000000"/>
          <w:lang w:val="en-US" w:eastAsia="zh-CN" w:bidi="ar"/>
        </w:rPr>
        <w:t>28.2.1</w:t>
      </w:r>
      <w:r>
        <w:rPr>
          <w:rFonts w:hint="eastAsia" w:ascii="宋体" w:hAnsi="宋体" w:cs="宋体"/>
          <w:color w:val="auto"/>
          <w:kern w:val="0"/>
          <w:sz w:val="21"/>
          <w:szCs w:val="21"/>
          <w:highlight w:val="none"/>
          <w:u w:color="000000"/>
          <w:lang w:val="en-US" w:eastAsia="zh-CN" w:bidi="ar"/>
        </w:rPr>
        <w:t>招标人</w:t>
      </w:r>
      <w:r>
        <w:rPr>
          <w:rFonts w:hint="eastAsia" w:ascii="宋体" w:hAnsi="宋体" w:eastAsia="宋体" w:cs="宋体"/>
          <w:color w:val="auto"/>
          <w:kern w:val="0"/>
          <w:sz w:val="21"/>
          <w:szCs w:val="21"/>
          <w:highlight w:val="none"/>
          <w:u w:color="000000"/>
          <w:lang w:val="en-US" w:eastAsia="zh-CN" w:bidi="ar"/>
        </w:rPr>
        <w:t>可以邀请相关监督部门参加。</w:t>
      </w:r>
    </w:p>
    <w:p w14:paraId="560F14AF">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default"/>
          <w:b/>
          <w:bCs/>
          <w:color w:val="auto"/>
          <w:highlight w:val="none"/>
          <w:lang w:val="en-US"/>
        </w:rPr>
      </w:pPr>
      <w:r>
        <w:rPr>
          <w:rFonts w:hint="eastAsia" w:ascii="宋体" w:hAnsi="宋体" w:cs="宋体"/>
          <w:b/>
          <w:bCs/>
          <w:color w:val="auto"/>
          <w:kern w:val="0"/>
          <w:sz w:val="21"/>
          <w:szCs w:val="21"/>
          <w:highlight w:val="none"/>
          <w:u w:color="000000"/>
          <w:lang w:val="en-US" w:eastAsia="zh-CN" w:bidi="ar"/>
        </w:rPr>
        <w:t>28.2.2</w:t>
      </w:r>
      <w:r>
        <w:rPr>
          <w:rFonts w:hint="eastAsia" w:ascii="宋体" w:cs="宋体"/>
          <w:b/>
          <w:bCs/>
          <w:color w:val="auto"/>
          <w:szCs w:val="21"/>
          <w:highlight w:val="none"/>
        </w:rPr>
        <w:t>投标人法定代表人或被授权代理人必须到场参加开标会议，并出示法定代表人身份证原件或被授权代理人身份证原件，以便开标会议上证明其身份及投标资格。</w:t>
      </w:r>
    </w:p>
    <w:p w14:paraId="66E5CA52">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lang w:val="en-US" w:eastAsia="zh-CN" w:bidi="ar"/>
        </w:rPr>
        <w:t>28.</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开标程序</w:t>
      </w:r>
    </w:p>
    <w:p w14:paraId="79B53523">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1266408A">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（1）公布在投标截止时间前递交投标文件的投标人名称，并确认投标单位相关人员是否到场；</w:t>
      </w:r>
    </w:p>
    <w:p w14:paraId="281F9DC3">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（2）宣布</w:t>
      </w:r>
      <w:r>
        <w:rPr>
          <w:rFonts w:hint="eastAsia" w:ascii="宋体"/>
          <w:color w:val="auto"/>
          <w:szCs w:val="21"/>
          <w:highlight w:val="none"/>
          <w:lang w:val="en-US" w:eastAsia="zh-CN"/>
        </w:rPr>
        <w:t>招标人</w:t>
      </w:r>
      <w:r>
        <w:rPr>
          <w:rFonts w:hint="eastAsia" w:ascii="宋体"/>
          <w:color w:val="auto"/>
          <w:szCs w:val="21"/>
          <w:highlight w:val="none"/>
        </w:rPr>
        <w:t>、唱标人、记录人、</w:t>
      </w:r>
      <w:r>
        <w:rPr>
          <w:rFonts w:hint="eastAsia" w:ascii="宋体" w:hAnsi="宋体" w:eastAsia="宋体" w:cs="宋体"/>
          <w:color w:val="auto"/>
          <w:kern w:val="0"/>
          <w:sz w:val="21"/>
          <w:szCs w:val="21"/>
          <w:highlight w:val="none"/>
          <w:u w:color="000000"/>
          <w:lang w:val="en-US" w:eastAsia="zh-CN" w:bidi="ar"/>
        </w:rPr>
        <w:t>监督人</w:t>
      </w:r>
      <w:r>
        <w:rPr>
          <w:rFonts w:hint="eastAsia" w:ascii="宋体"/>
          <w:color w:val="auto"/>
          <w:szCs w:val="21"/>
          <w:highlight w:val="none"/>
        </w:rPr>
        <w:t>等有关人员姓名；</w:t>
      </w:r>
    </w:p>
    <w:p w14:paraId="710C5C2D">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（3）由投标人或其推选的代表检查投标文件的密封情况；</w:t>
      </w:r>
    </w:p>
    <w:p w14:paraId="7FAF962A">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（4）宣布开标顺序（按资格证明文件、商务标顺序拆标书并唱标）；</w:t>
      </w:r>
    </w:p>
    <w:p w14:paraId="5EAA1041">
      <w:pPr>
        <w:spacing w:line="440" w:lineRule="exact"/>
        <w:ind w:right="-155" w:rightChars="-74" w:firstLine="210" w:firstLineChars="100"/>
        <w:jc w:val="left"/>
        <w:rPr>
          <w:rFonts w:hint="default" w:ascii="宋体" w:eastAsiaTheme="minorEastAsia"/>
          <w:color w:val="auto"/>
          <w:szCs w:val="21"/>
          <w:highlight w:val="none"/>
          <w:lang w:val="en-US" w:eastAsia="zh-CN"/>
        </w:rPr>
      </w:pPr>
      <w:r>
        <w:rPr>
          <w:rFonts w:hint="eastAsia" w:ascii="宋体"/>
          <w:color w:val="auto"/>
          <w:szCs w:val="21"/>
          <w:highlight w:val="none"/>
        </w:rPr>
        <w:t>（5）评标委员会对</w:t>
      </w:r>
      <w:r>
        <w:rPr>
          <w:rFonts w:hint="eastAsia" w:ascii="宋体"/>
          <w:color w:val="auto"/>
          <w:szCs w:val="21"/>
          <w:highlight w:val="none"/>
          <w:lang w:val="en-US" w:eastAsia="zh-CN"/>
        </w:rPr>
        <w:t>各投标文件进行评审；</w:t>
      </w:r>
    </w:p>
    <w:p w14:paraId="72A52E74">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（6）评标委员会根据评审结果推荐中标候选人,主持人宣布评审结果</w:t>
      </w:r>
      <w:r>
        <w:rPr>
          <w:rFonts w:hint="eastAsia" w:ascii="宋体"/>
          <w:color w:val="auto"/>
          <w:szCs w:val="21"/>
          <w:highlight w:val="none"/>
          <w:lang w:eastAsia="zh-CN"/>
        </w:rPr>
        <w:t>；</w:t>
      </w:r>
    </w:p>
    <w:p w14:paraId="2D4AD3DC">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（7）有关人员在开标记录上签字确认；</w:t>
      </w:r>
    </w:p>
    <w:p w14:paraId="588F1A9A">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（8）开标结束。</w:t>
      </w:r>
    </w:p>
    <w:p w14:paraId="0A13705C">
      <w:pPr>
        <w:keepNext w:val="0"/>
        <w:keepLines w:val="0"/>
        <w:pageBreakBefore w:val="0"/>
        <w:widowControl/>
        <w:suppressLineNumbers w:val="0"/>
        <w:kinsoku/>
        <w:wordWrap/>
        <w:overflowPunct/>
        <w:topLinePunct w:val="0"/>
        <w:autoSpaceDN/>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29.评标委员会</w:t>
      </w:r>
    </w:p>
    <w:p w14:paraId="7B83427E">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29.1评标委员会的组成</w:t>
      </w:r>
    </w:p>
    <w:p w14:paraId="4B4600AB">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29.1.1评标由招标人依法组建的评标委员会负责。评标委员会由招标人或其委托的招标代理机构熟悉相关业务的代表，以及有关技术、经济等方面的专家组成。</w:t>
      </w:r>
    </w:p>
    <w:p w14:paraId="38D3F283">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29.2 评标委员会成员有下列情形之一的，应当回避：</w:t>
      </w:r>
    </w:p>
    <w:p w14:paraId="3D57F58B">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（1）项目主管部门或行政监督管理部门的工作人员； </w:t>
      </w:r>
    </w:p>
    <w:p w14:paraId="6CE0D7C3">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（2）与竞争主体主要负责人或者授权参与交易的代理人有近亲属关系的人员； </w:t>
      </w:r>
    </w:p>
    <w:p w14:paraId="2AE17AAE">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（3）竞争主体的工作人员或者退休人员； </w:t>
      </w:r>
    </w:p>
    <w:p w14:paraId="7FE599E4">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（4）竞争主体的上级主管、控股或者被控股单位等相关利害关系的人员，或任职单位与竞争主体单位为同一法定代表人的。 </w:t>
      </w:r>
    </w:p>
    <w:p w14:paraId="0C7E6791">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（5）存在其他法定回避情形的</w:t>
      </w:r>
    </w:p>
    <w:p w14:paraId="5320E179">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项目实施主体及其子公司、下属单位、上级主管部门或者控股公司的工作人员或者退休人员不得以专家身份参与本单位或者代理项目的评标评审。 </w:t>
      </w:r>
    </w:p>
    <w:p w14:paraId="3363E29F">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评标委员会或评审机构成员有前两款规定情形的，应当主动提出回避；已经进入的应当更换，被更换的成员评标评审意见无效。</w:t>
      </w:r>
    </w:p>
    <w:p w14:paraId="66F4A131">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29.3评标过程中，评标委员会成员有回避事由、擅离职守或因健康等原因不能继续评标的，招标人有权更换。被更换的评标委员会成员作出的评审结论无效，由更换后的评标委员会成员重新进行评审。</w:t>
      </w:r>
    </w:p>
    <w:p w14:paraId="7224767A">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30.评标原则</w:t>
      </w:r>
    </w:p>
    <w:p w14:paraId="26FEBCD6">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评标活动遵循公平、公正、科学和择优的原则。</w:t>
      </w:r>
    </w:p>
    <w:p w14:paraId="4D5D933B">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lang w:val="en-US" w:eastAsia="zh-CN" w:bidi="ar"/>
        </w:rPr>
        <w:t>31.评标</w:t>
      </w:r>
    </w:p>
    <w:p w14:paraId="456C504E">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31.1评标委员会按照第四章“评标办法”规定的方法、评审因素、标准和程序对投标文件进行评审。第四章“评标办法”没有规定的方法、评审因素和标准，不作为评标依据。</w:t>
      </w:r>
    </w:p>
    <w:p w14:paraId="21B5075E">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31.2评标完成后，评标委员会应向招标人提交书面评标报告和中标候选人名单。评标委员会推荐中标候选人的人数见投标人须知前附表。</w:t>
      </w:r>
    </w:p>
    <w:p w14:paraId="080C6E25">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31.3评审意见分歧的处理办法</w:t>
      </w:r>
    </w:p>
    <w:p w14:paraId="2EAC1C0F">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（1）评标委员会应当对投标人提供的报告、证明材料及详细说明认真研究。对存在意见分歧的，可采用投票方式表决决定（按多数评委意见为准）；</w:t>
      </w:r>
    </w:p>
    <w:p w14:paraId="6AE736D4">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（2）招标投标当事人对评标结果提出异议或者投诉，招标人认为需要重新进行评标的，评标委员会成员应当按照招标人要求重新评标。</w:t>
      </w:r>
    </w:p>
    <w:p w14:paraId="117E48AA">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31.4评标报告的签署</w:t>
      </w:r>
    </w:p>
    <w:p w14:paraId="3383954F">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31.4.1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0ADAED5B">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31.5评标过程的保密</w:t>
      </w:r>
    </w:p>
    <w:p w14:paraId="7112F468">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31.5.1评标委员会成员和与评标活动有关的工作人员不得透露对投标文件的评审和比较、中标人的推荐情况以及与评标有关的其他情况。</w:t>
      </w:r>
    </w:p>
    <w:p w14:paraId="4D6FAE45">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32.开评审异常情况处理</w:t>
      </w:r>
    </w:p>
    <w:p w14:paraId="19B5F7B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32.1投标截止时间结束后提交投标文件的投标人少于3家或者对招标文件作出实质性响应的投标人不足3家的，招标人可采取竞争性谈判方式进行项目发包；当投标人只有一家时，可采用单一来源采购方式。</w:t>
      </w:r>
    </w:p>
    <w:p w14:paraId="2B258488">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 xml:space="preserve">33.重新招标 </w:t>
      </w:r>
    </w:p>
    <w:p w14:paraId="37B90D4B">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33.1有下列情形之一的，招标人将重新招标：</w:t>
      </w:r>
    </w:p>
    <w:p w14:paraId="117EC8B5">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(1)经评标委员会评审后否决所有投标的；</w:t>
      </w:r>
    </w:p>
    <w:p w14:paraId="386E69DB">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(2)</w:t>
      </w:r>
      <w:r>
        <w:rPr>
          <w:rFonts w:hint="eastAsia" w:ascii="宋体" w:hAnsi="Times New Roman" w:eastAsia="宋体" w:cs="Times New Roman"/>
          <w:color w:val="auto"/>
          <w:spacing w:val="0"/>
          <w:sz w:val="21"/>
          <w:szCs w:val="21"/>
          <w:highlight w:val="none"/>
          <w:lang w:val="en-US" w:eastAsia="zh-CN"/>
        </w:rPr>
        <w:t>中标候选人均未与招标人签订合同的</w:t>
      </w:r>
      <w:r>
        <w:rPr>
          <w:rFonts w:hint="eastAsia" w:ascii="宋体" w:hAnsi="宋体" w:eastAsia="宋体" w:cs="宋体"/>
          <w:color w:val="auto"/>
          <w:kern w:val="0"/>
          <w:sz w:val="21"/>
          <w:szCs w:val="21"/>
          <w:highlight w:val="none"/>
          <w:lang w:val="en-US" w:eastAsia="zh-CN" w:bidi="ar"/>
        </w:rPr>
        <w:t>；</w:t>
      </w:r>
    </w:p>
    <w:p w14:paraId="0E2DDDC2">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(3)</w:t>
      </w:r>
      <w:r>
        <w:rPr>
          <w:rFonts w:hint="eastAsia" w:ascii="宋体" w:hAnsi="Times New Roman" w:eastAsia="宋体" w:cs="Times New Roman"/>
          <w:color w:val="auto"/>
          <w:spacing w:val="0"/>
          <w:sz w:val="21"/>
          <w:szCs w:val="21"/>
          <w:highlight w:val="none"/>
          <w:lang w:val="en-US" w:eastAsia="zh-CN"/>
        </w:rPr>
        <w:t>法律、法规规定的其他情形</w:t>
      </w:r>
      <w:r>
        <w:rPr>
          <w:rFonts w:hint="eastAsia" w:ascii="宋体" w:hAnsi="宋体" w:eastAsia="宋体" w:cs="宋体"/>
          <w:color w:val="auto"/>
          <w:kern w:val="0"/>
          <w:sz w:val="21"/>
          <w:szCs w:val="21"/>
          <w:highlight w:val="none"/>
          <w:lang w:val="en-US" w:eastAsia="zh-CN" w:bidi="ar"/>
        </w:rPr>
        <w:t>。</w:t>
      </w:r>
    </w:p>
    <w:p w14:paraId="0A58AF2A">
      <w:pPr>
        <w:keepNext w:val="0"/>
        <w:keepLines w:val="0"/>
        <w:pageBreakBefore w:val="0"/>
        <w:widowControl w:val="0"/>
        <w:suppressLineNumbers w:val="0"/>
        <w:kinsoku/>
        <w:wordWrap/>
        <w:overflowPunct/>
        <w:topLinePunct w:val="0"/>
        <w:autoSpaceDE w:val="0"/>
        <w:autoSpaceDN/>
        <w:bidi w:val="0"/>
        <w:snapToGrid w:val="0"/>
        <w:spacing w:before="156" w:beforeLines="50" w:beforeAutospacing="0" w:after="156" w:afterLines="50" w:afterAutospacing="0" w:line="400" w:lineRule="exact"/>
        <w:ind w:left="0" w:right="0"/>
        <w:jc w:val="center"/>
        <w:textAlignment w:val="auto"/>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（六）合同授予</w:t>
      </w:r>
    </w:p>
    <w:p w14:paraId="010BF26D">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34.中标候选人公示</w:t>
      </w:r>
    </w:p>
    <w:p w14:paraId="1BD26CE7">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34.1招标人在收到评标报告之日起3日内，按照投标人须知前附表规定的公示媒介和期限依法公示。中标候选人公示期不得少于3日。</w:t>
      </w:r>
    </w:p>
    <w:p w14:paraId="3E35A38B">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35.评标结果异议</w:t>
      </w:r>
    </w:p>
    <w:p w14:paraId="068E7DB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35.1</w:t>
      </w:r>
      <w:r>
        <w:rPr>
          <w:rFonts w:hint="eastAsia" w:ascii="宋体" w:hAnsi="Times New Roman" w:eastAsia="宋体" w:cs="Times New Roman"/>
          <w:color w:val="auto"/>
          <w:spacing w:val="0"/>
          <w:sz w:val="21"/>
          <w:szCs w:val="21"/>
          <w:highlight w:val="none"/>
        </w:rPr>
        <w:t>投标人或其他利害关系人对评标结果有异议的，应在中标候选人公示期内提出。招标人将在收到异议之日起3日内作出答复；作出答复前，将暂停招标投标活动。</w:t>
      </w:r>
    </w:p>
    <w:p w14:paraId="45BE080D">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default"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36.定标</w:t>
      </w:r>
    </w:p>
    <w:p w14:paraId="7E14FD2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36.1</w:t>
      </w:r>
      <w:r>
        <w:rPr>
          <w:rFonts w:hint="eastAsia" w:ascii="宋体" w:hAnsi="Times New Roman" w:eastAsia="宋体" w:cs="Times New Roman"/>
          <w:color w:val="auto"/>
          <w:spacing w:val="0"/>
          <w:sz w:val="21"/>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81676C4">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37.中标通知</w:t>
      </w:r>
    </w:p>
    <w:p w14:paraId="3BFDD42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Times New Roman" w:eastAsia="宋体" w:cs="Times New Roman"/>
          <w:color w:val="auto"/>
          <w:spacing w:val="0"/>
          <w:sz w:val="21"/>
          <w:szCs w:val="21"/>
          <w:highlight w:val="none"/>
          <w:lang w:val="en-US" w:eastAsia="zh-CN"/>
        </w:rPr>
        <w:t>37.1在本招标文件规定的投标有效期内，招标人向中标人发出中标通知书，同时将中标结果通知未中标的投标人。</w:t>
      </w:r>
    </w:p>
    <w:p w14:paraId="3D146C77">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bookmarkStart w:id="83" w:name="_Toc7247"/>
      <w:bookmarkEnd w:id="83"/>
      <w:bookmarkStart w:id="84" w:name="_Toc95223377"/>
      <w:r>
        <w:rPr>
          <w:rFonts w:hint="eastAsia" w:ascii="宋体" w:hAnsi="宋体" w:eastAsia="宋体" w:cs="宋体"/>
          <w:b/>
          <w:bCs w:val="0"/>
          <w:color w:val="auto"/>
          <w:kern w:val="0"/>
          <w:sz w:val="21"/>
          <w:szCs w:val="21"/>
          <w:highlight w:val="none"/>
          <w:lang w:val="en-US" w:eastAsia="zh-CN" w:bidi="ar"/>
        </w:rPr>
        <w:t>38.中标结果公示</w:t>
      </w:r>
      <w:bookmarkEnd w:id="84"/>
    </w:p>
    <w:p w14:paraId="37DFC19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38.1招标人在确定中标人之日起3日内，按照投标人须知前附表规定的公示媒介和期限公示中标结果。</w:t>
      </w:r>
    </w:p>
    <w:p w14:paraId="2F0B0269">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39.</w:t>
      </w:r>
      <w:bookmarkStart w:id="85" w:name="_Toc217446068"/>
      <w:r>
        <w:rPr>
          <w:rFonts w:hint="eastAsia" w:ascii="宋体" w:hAnsi="宋体" w:eastAsia="宋体" w:cs="宋体"/>
          <w:b/>
          <w:bCs w:val="0"/>
          <w:color w:val="auto"/>
          <w:kern w:val="0"/>
          <w:sz w:val="21"/>
          <w:szCs w:val="21"/>
          <w:highlight w:val="none"/>
          <w:lang w:val="en-US" w:eastAsia="zh-CN" w:bidi="ar"/>
        </w:rPr>
        <w:t>履约保证金</w:t>
      </w:r>
      <w:bookmarkEnd w:id="85"/>
    </w:p>
    <w:p w14:paraId="60D4C21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Times New Roman" w:eastAsia="宋体" w:cs="Times New Roman"/>
          <w:color w:val="auto"/>
          <w:spacing w:val="0"/>
          <w:sz w:val="21"/>
          <w:szCs w:val="21"/>
          <w:highlight w:val="none"/>
          <w:lang w:val="en-US" w:eastAsia="zh-CN"/>
        </w:rPr>
      </w:pPr>
      <w:bookmarkStart w:id="86" w:name="_Toc316_WPSOffice_Level3"/>
      <w:bookmarkEnd w:id="86"/>
      <w:bookmarkStart w:id="87" w:name="_Toc23484"/>
      <w:r>
        <w:rPr>
          <w:rFonts w:hint="eastAsia" w:ascii="宋体" w:hAnsi="Times New Roman" w:eastAsia="宋体" w:cs="Times New Roman"/>
          <w:color w:val="auto"/>
          <w:spacing w:val="0"/>
          <w:sz w:val="21"/>
          <w:szCs w:val="21"/>
          <w:highlight w:val="none"/>
          <w:lang w:val="en-US" w:eastAsia="zh-CN"/>
        </w:rPr>
        <w:t>39.1</w:t>
      </w:r>
      <w:bookmarkEnd w:id="87"/>
      <w:r>
        <w:rPr>
          <w:rFonts w:hint="eastAsia" w:ascii="宋体" w:cs="Times New Roman"/>
          <w:color w:val="auto"/>
          <w:spacing w:val="0"/>
          <w:sz w:val="21"/>
          <w:szCs w:val="21"/>
          <w:highlight w:val="none"/>
          <w:lang w:val="en-US" w:eastAsia="zh-CN"/>
        </w:rPr>
        <w:t>中标人无需提交履约保证金。</w:t>
      </w:r>
    </w:p>
    <w:p w14:paraId="5694AE5E">
      <w:pPr>
        <w:keepNext w:val="0"/>
        <w:keepLines w:val="0"/>
        <w:pageBreakBefore w:val="0"/>
        <w:widowControl w:val="0"/>
        <w:suppressLineNumbers w:val="0"/>
        <w:kinsoku/>
        <w:wordWrap/>
        <w:overflowPunct/>
        <w:topLinePunct w:val="0"/>
        <w:autoSpaceDE w:val="0"/>
        <w:autoSpaceDN/>
        <w:bidi w:val="0"/>
        <w:spacing w:before="0" w:beforeAutospacing="0" w:after="0" w:afterAutospacing="0" w:line="400" w:lineRule="exact"/>
        <w:ind w:left="0" w:right="0" w:firstLine="482" w:firstLineChars="20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（七）纪律和监督</w:t>
      </w:r>
    </w:p>
    <w:p w14:paraId="15B190C8">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 xml:space="preserve">40.对招标人的纪律要求 </w:t>
      </w:r>
    </w:p>
    <w:p w14:paraId="02DA98C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 xml:space="preserve">40.1招标人不得泄漏招标投标活动中应当保密的情况和资料，不得与投标人串通损害国家利益，社会公共利益或者他人合法权益。 </w:t>
      </w:r>
    </w:p>
    <w:p w14:paraId="75F4428D">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 xml:space="preserve">41.对投标人的纪律要求 </w:t>
      </w:r>
    </w:p>
    <w:p w14:paraId="0685B83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41.1投标人不得相互串通投标或者与招标人串通投标，不得向招标人或者评标委员会成员行贿谋取中标，不得以他人名义投标或者以其他方式弄虚作假骗取中标；投标人不得以任何方式干扰、影响评标工作。</w:t>
      </w:r>
    </w:p>
    <w:p w14:paraId="189E9189">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 xml:space="preserve">42.对评标委员会成员的纪律要求 </w:t>
      </w:r>
    </w:p>
    <w:p w14:paraId="0556824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42.1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D9732C1">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 xml:space="preserve">43.对与评标活动有关的工作人员的纪律要求 </w:t>
      </w:r>
    </w:p>
    <w:p w14:paraId="52CB348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47158D4">
      <w:pPr>
        <w:keepNext w:val="0"/>
        <w:keepLines w:val="0"/>
        <w:pageBreakBefore w:val="0"/>
        <w:widowControl w:val="0"/>
        <w:suppressLineNumbers w:val="0"/>
        <w:kinsoku/>
        <w:wordWrap/>
        <w:overflowPunct/>
        <w:topLinePunct w:val="0"/>
        <w:autoSpaceDN/>
        <w:bidi w:val="0"/>
        <w:snapToGrid w:val="0"/>
        <w:spacing w:before="156" w:beforeLines="50" w:beforeAutospacing="0" w:after="156" w:afterLines="50" w:afterAutospacing="0" w:line="400" w:lineRule="exact"/>
        <w:ind w:left="0" w:right="0"/>
        <w:jc w:val="center"/>
        <w:textAlignment w:val="auto"/>
        <w:outlineLvl w:val="2"/>
        <w:rPr>
          <w:rFonts w:hint="eastAsia" w:ascii="黑体" w:hAnsi="宋体" w:eastAsia="黑体" w:cs="黑体"/>
          <w:color w:val="auto"/>
          <w:sz w:val="28"/>
          <w:szCs w:val="28"/>
          <w:highlight w:val="none"/>
          <w:lang w:val="en-US"/>
        </w:rPr>
      </w:pPr>
      <w:r>
        <w:rPr>
          <w:rFonts w:hint="eastAsia" w:ascii="宋体" w:hAnsi="宋体" w:eastAsia="宋体" w:cs="宋体"/>
          <w:b/>
          <w:bCs w:val="0"/>
          <w:color w:val="auto"/>
          <w:kern w:val="0"/>
          <w:sz w:val="24"/>
          <w:szCs w:val="24"/>
          <w:highlight w:val="none"/>
          <w:lang w:val="en-US" w:eastAsia="zh-CN" w:bidi="ar"/>
        </w:rPr>
        <w:t>（八）投诉</w:t>
      </w:r>
    </w:p>
    <w:p w14:paraId="131AB738">
      <w:pPr>
        <w:keepNext w:val="0"/>
        <w:keepLines w:val="0"/>
        <w:pageBreakBefore w:val="0"/>
        <w:widowControl/>
        <w:suppressLineNumbers w:val="0"/>
        <w:kinsoku/>
        <w:wordWrap/>
        <w:overflowPunct/>
        <w:topLinePunct w:val="0"/>
        <w:autoSpaceDN/>
        <w:bidi w:val="0"/>
        <w:spacing w:before="0" w:beforeAutospacing="0" w:after="0" w:afterAutospacing="0" w:line="400" w:lineRule="exact"/>
        <w:ind w:left="0" w:right="0" w:firstLine="417" w:firstLineChars="198"/>
        <w:jc w:val="left"/>
        <w:textAlignment w:val="auto"/>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44.投诉</w:t>
      </w:r>
    </w:p>
    <w:p w14:paraId="6D13338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44.1投标人或者其他利害关系人认为招标投标活动违反法律、法规和规章规定的，有权向相关行政监督部门投诉。投诉应当有明确的请求和必要的证明材料。</w:t>
      </w:r>
    </w:p>
    <w:p w14:paraId="146D6C50">
      <w:pPr>
        <w:pageBreakBefore/>
        <w:kinsoku/>
        <w:wordWrap/>
        <w:overflowPunct/>
        <w:topLinePunct w:val="0"/>
        <w:autoSpaceDN/>
        <w:bidi w:val="0"/>
        <w:spacing w:beforeLines="80" w:afterLines="80" w:line="360" w:lineRule="auto"/>
        <w:jc w:val="center"/>
        <w:textAlignment w:val="auto"/>
        <w:outlineLvl w:val="1"/>
        <w:rPr>
          <w:rFonts w:ascii="宋体"/>
          <w:b/>
          <w:color w:val="auto"/>
          <w:sz w:val="32"/>
          <w:szCs w:val="32"/>
          <w:highlight w:val="none"/>
        </w:rPr>
      </w:pPr>
      <w:bookmarkStart w:id="88" w:name="_Toc78803375"/>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章  资格审查</w:t>
      </w:r>
      <w:bookmarkEnd w:id="58"/>
      <w:r>
        <w:rPr>
          <w:rFonts w:hint="eastAsia" w:ascii="宋体"/>
          <w:b/>
          <w:color w:val="auto"/>
          <w:sz w:val="32"/>
          <w:szCs w:val="32"/>
          <w:highlight w:val="none"/>
        </w:rPr>
        <w:t>办法</w:t>
      </w:r>
      <w:bookmarkEnd w:id="59"/>
      <w:bookmarkEnd w:id="60"/>
      <w:bookmarkEnd w:id="61"/>
      <w:bookmarkEnd w:id="62"/>
      <w:bookmarkEnd w:id="88"/>
    </w:p>
    <w:p w14:paraId="510BB1C6">
      <w:pPr>
        <w:kinsoku/>
        <w:wordWrap/>
        <w:overflowPunct/>
        <w:topLinePunct w:val="0"/>
        <w:autoSpaceDN/>
        <w:bidi w:val="0"/>
        <w:spacing w:beforeLines="50" w:afterLines="50" w:line="360" w:lineRule="auto"/>
        <w:jc w:val="center"/>
        <w:textAlignment w:val="auto"/>
        <w:rPr>
          <w:rFonts w:ascii="宋体" w:hAnsi="宋体" w:cs="宋体"/>
          <w:b/>
          <w:bCs/>
          <w:color w:val="auto"/>
          <w:sz w:val="28"/>
          <w:szCs w:val="22"/>
          <w:highlight w:val="none"/>
        </w:rPr>
      </w:pPr>
      <w:bookmarkStart w:id="89" w:name="_Toc506107318"/>
      <w:bookmarkStart w:id="90" w:name="_Toc15058903"/>
      <w:bookmarkStart w:id="91" w:name="_Toc35424940"/>
      <w:bookmarkStart w:id="92" w:name="_Toc35425106"/>
      <w:bookmarkStart w:id="93" w:name="_Toc324404865"/>
      <w:r>
        <w:rPr>
          <w:rFonts w:hint="eastAsia" w:ascii="宋体" w:hAnsi="宋体" w:cs="宋体"/>
          <w:b/>
          <w:bCs/>
          <w:color w:val="auto"/>
          <w:sz w:val="28"/>
          <w:szCs w:val="22"/>
          <w:highlight w:val="none"/>
        </w:rPr>
        <w:t>资格审查办法前附表</w:t>
      </w:r>
      <w:bookmarkEnd w:id="89"/>
      <w:bookmarkEnd w:id="90"/>
      <w:bookmarkEnd w:id="91"/>
      <w:bookmarkEnd w:id="92"/>
      <w:bookmarkEnd w:id="93"/>
    </w:p>
    <w:tbl>
      <w:tblPr>
        <w:tblStyle w:val="4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741"/>
        <w:gridCol w:w="3556"/>
      </w:tblGrid>
      <w:tr w14:paraId="6680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1061B076">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color w:val="auto"/>
                <w:sz w:val="21"/>
                <w:szCs w:val="21"/>
                <w:highlight w:val="none"/>
              </w:rPr>
            </w:pPr>
            <w:r>
              <w:rPr>
                <w:rFonts w:hint="eastAsia" w:ascii="黑体" w:eastAsia="黑体" w:cs="黑体"/>
                <w:b/>
                <w:bCs/>
                <w:color w:val="auto"/>
                <w:sz w:val="21"/>
                <w:szCs w:val="21"/>
                <w:highlight w:val="none"/>
              </w:rPr>
              <w:t>序号</w:t>
            </w:r>
          </w:p>
        </w:tc>
        <w:tc>
          <w:tcPr>
            <w:tcW w:w="4976" w:type="dxa"/>
            <w:gridSpan w:val="2"/>
            <w:noWrap w:val="0"/>
            <w:vAlign w:val="center"/>
          </w:tcPr>
          <w:p w14:paraId="2A52BD49">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color w:val="auto"/>
                <w:sz w:val="21"/>
                <w:szCs w:val="21"/>
                <w:highlight w:val="none"/>
              </w:rPr>
            </w:pPr>
            <w:r>
              <w:rPr>
                <w:rFonts w:hint="eastAsia" w:ascii="宋体" w:hAnsi="宋体"/>
                <w:color w:val="auto"/>
                <w:sz w:val="21"/>
                <w:szCs w:val="21"/>
                <w:highlight w:val="none"/>
              </w:rPr>
              <w:t>评审因素</w:t>
            </w:r>
          </w:p>
        </w:tc>
        <w:tc>
          <w:tcPr>
            <w:tcW w:w="3556" w:type="dxa"/>
            <w:noWrap w:val="0"/>
            <w:vAlign w:val="center"/>
          </w:tcPr>
          <w:p w14:paraId="653A8F15">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color w:val="auto"/>
                <w:sz w:val="21"/>
                <w:szCs w:val="21"/>
                <w:highlight w:val="none"/>
              </w:rPr>
            </w:pPr>
            <w:r>
              <w:rPr>
                <w:rFonts w:hint="eastAsia" w:ascii="宋体" w:hAnsi="宋体"/>
                <w:color w:val="auto"/>
                <w:sz w:val="21"/>
                <w:szCs w:val="21"/>
                <w:highlight w:val="none"/>
              </w:rPr>
              <w:t>评审标准</w:t>
            </w:r>
          </w:p>
        </w:tc>
      </w:tr>
      <w:tr w14:paraId="437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198D1DB9">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1</w:t>
            </w:r>
          </w:p>
        </w:tc>
        <w:tc>
          <w:tcPr>
            <w:tcW w:w="1235" w:type="dxa"/>
            <w:noWrap w:val="0"/>
            <w:vAlign w:val="center"/>
          </w:tcPr>
          <w:p w14:paraId="4530F101">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重要要求</w:t>
            </w:r>
          </w:p>
        </w:tc>
        <w:tc>
          <w:tcPr>
            <w:tcW w:w="3741" w:type="dxa"/>
            <w:noWrap w:val="0"/>
            <w:vAlign w:val="center"/>
          </w:tcPr>
          <w:p w14:paraId="160CF60B">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color w:val="auto"/>
                <w:sz w:val="21"/>
                <w:szCs w:val="21"/>
                <w:highlight w:val="none"/>
              </w:rPr>
            </w:pPr>
            <w:r>
              <w:rPr>
                <w:rFonts w:hint="eastAsia"/>
                <w:color w:val="auto"/>
                <w:sz w:val="21"/>
                <w:szCs w:val="21"/>
                <w:highlight w:val="none"/>
              </w:rPr>
              <w:t>（1）法定代表人身份证明和本人有效身份证(或法定代表人授权委托书和委托代理人有效身份证)</w:t>
            </w:r>
          </w:p>
        </w:tc>
        <w:tc>
          <w:tcPr>
            <w:tcW w:w="3556" w:type="dxa"/>
            <w:noWrap w:val="0"/>
            <w:vAlign w:val="center"/>
          </w:tcPr>
          <w:p w14:paraId="527FB91A">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eastAsia" w:ascii="宋体" w:hAnsi="宋体"/>
                <w:color w:val="auto"/>
                <w:sz w:val="21"/>
                <w:szCs w:val="21"/>
                <w:highlight w:val="none"/>
              </w:rPr>
            </w:pPr>
            <w:r>
              <w:rPr>
                <w:rFonts w:hint="eastAsia"/>
                <w:color w:val="auto"/>
                <w:sz w:val="21"/>
                <w:szCs w:val="21"/>
                <w:highlight w:val="none"/>
              </w:rPr>
              <w:t>检验</w:t>
            </w:r>
            <w:r>
              <w:rPr>
                <w:rFonts w:hint="eastAsia"/>
                <w:color w:val="auto"/>
                <w:sz w:val="21"/>
                <w:szCs w:val="21"/>
                <w:highlight w:val="none"/>
                <w:lang w:val="en-US" w:eastAsia="zh-CN"/>
              </w:rPr>
              <w:t>投标文件</w:t>
            </w:r>
          </w:p>
        </w:tc>
      </w:tr>
      <w:tr w14:paraId="01FA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725" w:type="dxa"/>
            <w:vMerge w:val="restart"/>
            <w:noWrap w:val="0"/>
            <w:vAlign w:val="center"/>
          </w:tcPr>
          <w:p w14:paraId="74DD6B7F">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1235" w:type="dxa"/>
            <w:vMerge w:val="restart"/>
            <w:noWrap w:val="0"/>
            <w:vAlign w:val="center"/>
          </w:tcPr>
          <w:p w14:paraId="255BFACF">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审查资料</w:t>
            </w:r>
          </w:p>
        </w:tc>
        <w:tc>
          <w:tcPr>
            <w:tcW w:w="3741" w:type="dxa"/>
            <w:noWrap w:val="0"/>
            <w:vAlign w:val="center"/>
          </w:tcPr>
          <w:p w14:paraId="3EFE2E27">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leftChars="0" w:right="0" w:rightChars="0"/>
              <w:textAlignment w:val="auto"/>
              <w:rPr>
                <w:rFonts w:hint="default"/>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（2）具有独立承担民事责任的能力</w:t>
            </w:r>
          </w:p>
        </w:tc>
        <w:tc>
          <w:tcPr>
            <w:tcW w:w="3556" w:type="dxa"/>
            <w:noWrap w:val="0"/>
            <w:vAlign w:val="center"/>
          </w:tcPr>
          <w:p w14:paraId="49401A95">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color w:val="auto"/>
                <w:sz w:val="21"/>
                <w:szCs w:val="21"/>
                <w:highlight w:val="none"/>
              </w:rPr>
            </w:pPr>
            <w:r>
              <w:rPr>
                <w:rFonts w:hint="eastAsia" w:ascii="宋体"/>
                <w:b/>
                <w:color w:val="auto"/>
                <w:sz w:val="21"/>
                <w:szCs w:val="21"/>
                <w:highlight w:val="none"/>
              </w:rPr>
              <w:t>评审核验</w:t>
            </w:r>
            <w:r>
              <w:rPr>
                <w:rFonts w:hint="eastAsia" w:ascii="宋体"/>
                <w:b/>
                <w:color w:val="auto"/>
                <w:sz w:val="21"/>
                <w:szCs w:val="21"/>
                <w:highlight w:val="none"/>
                <w:lang w:val="en-US" w:eastAsia="zh-CN"/>
              </w:rPr>
              <w:t>投标文件</w:t>
            </w:r>
            <w:r>
              <w:rPr>
                <w:rFonts w:hint="eastAsia" w:ascii="宋体"/>
                <w:b/>
                <w:color w:val="auto"/>
                <w:sz w:val="21"/>
                <w:szCs w:val="21"/>
                <w:highlight w:val="none"/>
              </w:rPr>
              <w:t>中的下列证书、证明材料：</w:t>
            </w:r>
          </w:p>
          <w:p w14:paraId="7656967E">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leftChars="0" w:right="0" w:rightChars="0"/>
              <w:textAlignment w:val="auto"/>
              <w:rPr>
                <w:rFonts w:hint="eastAsia" w:ascii="宋体"/>
                <w:color w:val="auto"/>
                <w:sz w:val="21"/>
                <w:szCs w:val="21"/>
                <w:highlight w:val="none"/>
              </w:rPr>
            </w:pPr>
            <w:r>
              <w:rPr>
                <w:rFonts w:hint="eastAsia" w:ascii="宋体"/>
                <w:color w:val="auto"/>
                <w:sz w:val="21"/>
                <w:szCs w:val="21"/>
                <w:highlight w:val="none"/>
              </w:rPr>
              <w:t>投标人有效的营业执照、税务登记证、组织机构码证（或“三证合一证书”）</w:t>
            </w:r>
            <w:r>
              <w:rPr>
                <w:rFonts w:hint="eastAsia"/>
                <w:color w:val="auto"/>
                <w:sz w:val="21"/>
                <w:szCs w:val="21"/>
                <w:highlight w:val="none"/>
                <w:lang w:val="en-US" w:eastAsia="zh-CN"/>
              </w:rPr>
              <w:t>原件或加盖公章的复印件</w:t>
            </w:r>
          </w:p>
        </w:tc>
      </w:tr>
      <w:tr w14:paraId="5CFE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continue"/>
            <w:noWrap w:val="0"/>
            <w:vAlign w:val="center"/>
          </w:tcPr>
          <w:p w14:paraId="68F4456E">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color w:val="auto"/>
                <w:sz w:val="21"/>
                <w:szCs w:val="21"/>
                <w:highlight w:val="none"/>
              </w:rPr>
            </w:pPr>
          </w:p>
        </w:tc>
        <w:tc>
          <w:tcPr>
            <w:tcW w:w="1235" w:type="dxa"/>
            <w:vMerge w:val="continue"/>
            <w:noWrap w:val="0"/>
            <w:vAlign w:val="center"/>
          </w:tcPr>
          <w:p w14:paraId="17C9D070">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color w:val="auto"/>
                <w:sz w:val="21"/>
                <w:szCs w:val="21"/>
                <w:highlight w:val="none"/>
              </w:rPr>
            </w:pPr>
          </w:p>
        </w:tc>
        <w:tc>
          <w:tcPr>
            <w:tcW w:w="3741" w:type="dxa"/>
            <w:noWrap w:val="0"/>
            <w:vAlign w:val="center"/>
          </w:tcPr>
          <w:p w14:paraId="40D969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rightChars="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）诚信投标承诺书</w:t>
            </w:r>
          </w:p>
        </w:tc>
        <w:tc>
          <w:tcPr>
            <w:tcW w:w="3556" w:type="dxa"/>
            <w:noWrap w:val="0"/>
            <w:vAlign w:val="center"/>
          </w:tcPr>
          <w:p w14:paraId="39185CAC">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eastAsia" w:ascii="宋体" w:hAnsi="Calibri" w:eastAsia="宋体" w:cs="Times New Roman"/>
                <w:b/>
                <w:color w:val="auto"/>
                <w:kern w:val="2"/>
                <w:sz w:val="21"/>
                <w:szCs w:val="21"/>
                <w:highlight w:val="none"/>
                <w:lang w:val="en-US" w:eastAsia="zh-CN" w:bidi="ar-SA"/>
              </w:rPr>
            </w:pPr>
            <w:r>
              <w:rPr>
                <w:rFonts w:hint="eastAsia"/>
                <w:color w:val="auto"/>
                <w:sz w:val="21"/>
                <w:szCs w:val="21"/>
                <w:highlight w:val="none"/>
              </w:rPr>
              <w:t>格式见附件，检验</w:t>
            </w:r>
            <w:r>
              <w:rPr>
                <w:rFonts w:hint="eastAsia"/>
                <w:color w:val="auto"/>
                <w:sz w:val="21"/>
                <w:szCs w:val="21"/>
                <w:highlight w:val="none"/>
                <w:lang w:val="en-US" w:eastAsia="zh-CN"/>
              </w:rPr>
              <w:t>投标文件</w:t>
            </w:r>
          </w:p>
        </w:tc>
      </w:tr>
      <w:tr w14:paraId="6212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332E26F4">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color w:val="auto"/>
                <w:sz w:val="21"/>
                <w:szCs w:val="21"/>
                <w:highlight w:val="none"/>
              </w:rPr>
            </w:pPr>
          </w:p>
        </w:tc>
        <w:tc>
          <w:tcPr>
            <w:tcW w:w="1235" w:type="dxa"/>
            <w:vMerge w:val="continue"/>
            <w:noWrap w:val="0"/>
            <w:vAlign w:val="center"/>
          </w:tcPr>
          <w:p w14:paraId="13216ED3">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color w:val="auto"/>
                <w:sz w:val="21"/>
                <w:szCs w:val="21"/>
                <w:highlight w:val="none"/>
              </w:rPr>
            </w:pPr>
          </w:p>
        </w:tc>
        <w:tc>
          <w:tcPr>
            <w:tcW w:w="3741" w:type="dxa"/>
            <w:noWrap w:val="0"/>
            <w:vAlign w:val="center"/>
          </w:tcPr>
          <w:p w14:paraId="5413653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left"/>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）服务承诺书</w:t>
            </w:r>
          </w:p>
        </w:tc>
        <w:tc>
          <w:tcPr>
            <w:tcW w:w="3556" w:type="dxa"/>
            <w:noWrap w:val="0"/>
            <w:vAlign w:val="center"/>
          </w:tcPr>
          <w:p w14:paraId="7409059F">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eastAsia" w:ascii="宋体"/>
                <w:color w:val="auto"/>
                <w:sz w:val="21"/>
                <w:szCs w:val="21"/>
                <w:highlight w:val="none"/>
              </w:rPr>
            </w:pPr>
            <w:r>
              <w:rPr>
                <w:rFonts w:hint="eastAsia"/>
                <w:color w:val="auto"/>
                <w:sz w:val="21"/>
                <w:szCs w:val="21"/>
                <w:highlight w:val="none"/>
              </w:rPr>
              <w:t>格式见附件，检验</w:t>
            </w:r>
            <w:r>
              <w:rPr>
                <w:rFonts w:hint="eastAsia"/>
                <w:color w:val="auto"/>
                <w:sz w:val="21"/>
                <w:szCs w:val="21"/>
                <w:highlight w:val="none"/>
                <w:lang w:val="en-US" w:eastAsia="zh-CN"/>
              </w:rPr>
              <w:t>投标文件</w:t>
            </w:r>
          </w:p>
        </w:tc>
      </w:tr>
    </w:tbl>
    <w:p w14:paraId="44418C94">
      <w:pPr>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重要提示：</w:t>
      </w:r>
    </w:p>
    <w:p w14:paraId="3BA6D7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评标专家在检验投标文件过程中，如果由于投标人自身原因导致评标专家无法查看并检验投标文件中相关资料的，视为无效标处理。即使投标人将原件携带至现场的，同样按无效标处理。</w:t>
      </w:r>
    </w:p>
    <w:p w14:paraId="5990719C">
      <w:pPr>
        <w:pStyle w:val="3"/>
        <w:pageBreakBefore w:val="0"/>
        <w:widowControl w:val="0"/>
        <w:kinsoku/>
        <w:wordWrap/>
        <w:overflowPunct/>
        <w:topLinePunct w:val="0"/>
        <w:autoSpaceDE/>
        <w:autoSpaceDN/>
        <w:bidi w:val="0"/>
        <w:adjustRightInd/>
        <w:snapToGrid/>
        <w:spacing w:beforeLines="50" w:afterLines="50" w:line="360" w:lineRule="auto"/>
        <w:ind w:firstLine="422" w:firstLineChars="200"/>
        <w:textAlignment w:val="auto"/>
        <w:rPr>
          <w:rFonts w:ascii="宋体" w:hAnsi="宋体" w:eastAsia="宋体" w:cs="宋体"/>
          <w:color w:val="auto"/>
          <w:highlight w:val="none"/>
        </w:rPr>
      </w:pPr>
      <w:bookmarkStart w:id="94" w:name="_Toc35424942"/>
      <w:bookmarkStart w:id="95" w:name="_Toc35425108"/>
      <w:bookmarkStart w:id="96" w:name="_Toc324404867"/>
      <w:bookmarkStart w:id="97" w:name="_Toc78803377"/>
      <w:bookmarkStart w:id="98" w:name="_Toc506107320"/>
      <w:bookmarkStart w:id="99" w:name="_Toc12549"/>
      <w:bookmarkStart w:id="100" w:name="_Toc15058909"/>
      <w:r>
        <w:rPr>
          <w:rFonts w:hint="eastAsia" w:ascii="宋体" w:hAnsi="宋体" w:eastAsia="宋体" w:cs="宋体"/>
          <w:color w:val="auto"/>
          <w:highlight w:val="none"/>
        </w:rPr>
        <w:t>2.审查办法</w:t>
      </w:r>
      <w:bookmarkEnd w:id="94"/>
      <w:bookmarkEnd w:id="95"/>
      <w:bookmarkEnd w:id="96"/>
      <w:bookmarkEnd w:id="97"/>
      <w:bookmarkEnd w:id="98"/>
      <w:bookmarkEnd w:id="99"/>
      <w:bookmarkEnd w:id="100"/>
    </w:p>
    <w:p w14:paraId="0B018554">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447D2762">
      <w:pPr>
        <w:pStyle w:val="3"/>
        <w:pageBreakBefore w:val="0"/>
        <w:widowControl w:val="0"/>
        <w:kinsoku/>
        <w:wordWrap/>
        <w:overflowPunct/>
        <w:topLinePunct w:val="0"/>
        <w:autoSpaceDE/>
        <w:autoSpaceDN/>
        <w:bidi w:val="0"/>
        <w:adjustRightInd/>
        <w:snapToGrid/>
        <w:spacing w:beforeLines="50" w:afterLines="50" w:line="360" w:lineRule="auto"/>
        <w:ind w:firstLine="422" w:firstLineChars="200"/>
        <w:textAlignment w:val="auto"/>
        <w:rPr>
          <w:rFonts w:ascii="宋体" w:hAnsi="宋体" w:eastAsia="宋体" w:cs="宋体"/>
          <w:color w:val="auto"/>
          <w:highlight w:val="none"/>
        </w:rPr>
      </w:pPr>
      <w:bookmarkStart w:id="101" w:name="_Toc78803378"/>
      <w:bookmarkStart w:id="102" w:name="_Toc15626"/>
      <w:bookmarkStart w:id="103" w:name="_Toc35425109"/>
      <w:bookmarkStart w:id="104" w:name="_Toc506107321"/>
      <w:bookmarkStart w:id="105" w:name="_Toc15058910"/>
      <w:bookmarkStart w:id="106" w:name="_Toc35424943"/>
      <w:bookmarkStart w:id="107" w:name="_Toc324404868"/>
      <w:r>
        <w:rPr>
          <w:rFonts w:hint="eastAsia" w:ascii="宋体" w:hAnsi="宋体" w:eastAsia="宋体" w:cs="宋体"/>
          <w:color w:val="auto"/>
          <w:highlight w:val="none"/>
        </w:rPr>
        <w:t>3.资格审查委员会和审查标准</w:t>
      </w:r>
      <w:bookmarkEnd w:id="101"/>
      <w:bookmarkEnd w:id="102"/>
      <w:bookmarkEnd w:id="103"/>
      <w:bookmarkEnd w:id="104"/>
      <w:bookmarkEnd w:id="105"/>
      <w:bookmarkEnd w:id="106"/>
      <w:bookmarkEnd w:id="107"/>
    </w:p>
    <w:p w14:paraId="48F20776">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bookmarkStart w:id="108" w:name="_Toc15058911"/>
      <w:bookmarkStart w:id="109" w:name="_Toc10330"/>
      <w:bookmarkStart w:id="110" w:name="_Toc78803379"/>
      <w:bookmarkStart w:id="111" w:name="_Toc35424944"/>
      <w:bookmarkStart w:id="112" w:name="_Toc506107322"/>
      <w:bookmarkStart w:id="113" w:name="_Toc324404869"/>
      <w:bookmarkStart w:id="114" w:name="_Toc35425110"/>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14:paraId="75FCAEF4">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3CFB31B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）逾期送达的或者未送达指定地点的投标文件的，投标将被拒绝。</w:t>
      </w:r>
    </w:p>
    <w:p w14:paraId="72AFA2C0">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（2）未按第二章第26项</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要求密封和加写标记的投标文件，其投标文件将被拒收。</w:t>
      </w:r>
    </w:p>
    <w:p w14:paraId="3C5EF40C">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）法定代表人（或授权委托人）未准时参加会议；</w:t>
      </w:r>
    </w:p>
    <w:p w14:paraId="526FEED7">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）法律、法规规定的其他情形。</w:t>
      </w:r>
    </w:p>
    <w:p w14:paraId="439F3B10">
      <w:pPr>
        <w:pStyle w:val="3"/>
        <w:pageBreakBefore w:val="0"/>
        <w:widowControl w:val="0"/>
        <w:kinsoku/>
        <w:wordWrap/>
        <w:overflowPunct/>
        <w:topLinePunct w:val="0"/>
        <w:autoSpaceDE/>
        <w:autoSpaceDN/>
        <w:bidi w:val="0"/>
        <w:adjustRightInd/>
        <w:snapToGrid/>
        <w:spacing w:beforeLines="50" w:afterLines="50" w:line="360" w:lineRule="auto"/>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4.审查结果</w:t>
      </w:r>
      <w:bookmarkEnd w:id="108"/>
      <w:bookmarkEnd w:id="109"/>
      <w:bookmarkEnd w:id="110"/>
      <w:bookmarkEnd w:id="111"/>
      <w:bookmarkEnd w:id="112"/>
      <w:bookmarkEnd w:id="113"/>
      <w:bookmarkEnd w:id="114"/>
    </w:p>
    <w:p w14:paraId="58D45548">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115" w:name="_Toc506107323"/>
    </w:p>
    <w:p w14:paraId="500CB5F4">
      <w:pPr>
        <w:pStyle w:val="2"/>
        <w:spacing w:beforeLines="50" w:afterLines="50"/>
        <w:rPr>
          <w:color w:val="auto"/>
          <w:highlight w:val="none"/>
        </w:rPr>
      </w:pPr>
      <w:bookmarkStart w:id="116" w:name="_Toc15058912"/>
      <w:bookmarkStart w:id="117" w:name="_Toc35424945"/>
      <w:bookmarkStart w:id="118" w:name="_Toc35425111"/>
      <w:r>
        <w:rPr>
          <w:rFonts w:hint="eastAsia"/>
          <w:color w:val="auto"/>
          <w:highlight w:val="none"/>
        </w:rPr>
        <w:br w:type="page"/>
      </w:r>
      <w:bookmarkStart w:id="119" w:name="_Toc78803380"/>
      <w:r>
        <w:rPr>
          <w:rFonts w:hint="eastAsia" w:ascii="Arial" w:hAnsi="Arial"/>
          <w:color w:val="auto"/>
          <w:kern w:val="0"/>
          <w:sz w:val="32"/>
          <w:szCs w:val="32"/>
          <w:highlight w:val="none"/>
        </w:rPr>
        <w:t>第</w:t>
      </w:r>
      <w:r>
        <w:rPr>
          <w:rFonts w:hint="eastAsia" w:ascii="Arial" w:hAnsi="Arial"/>
          <w:color w:val="auto"/>
          <w:kern w:val="0"/>
          <w:sz w:val="32"/>
          <w:szCs w:val="32"/>
          <w:highlight w:val="none"/>
          <w:lang w:val="en-US" w:eastAsia="zh-CN"/>
        </w:rPr>
        <w:t>四</w:t>
      </w:r>
      <w:r>
        <w:rPr>
          <w:rFonts w:hint="eastAsia" w:ascii="Arial" w:hAnsi="Arial"/>
          <w:color w:val="auto"/>
          <w:kern w:val="0"/>
          <w:sz w:val="32"/>
          <w:szCs w:val="32"/>
          <w:highlight w:val="none"/>
        </w:rPr>
        <w:t>章 评标办法</w:t>
      </w:r>
      <w:bookmarkEnd w:id="63"/>
      <w:bookmarkEnd w:id="115"/>
      <w:bookmarkEnd w:id="116"/>
      <w:bookmarkEnd w:id="117"/>
      <w:bookmarkEnd w:id="118"/>
      <w:bookmarkEnd w:id="119"/>
    </w:p>
    <w:p w14:paraId="0B4C7729">
      <w:pPr>
        <w:pStyle w:val="14"/>
        <w:adjustRightInd w:val="0"/>
        <w:snapToGrid w:val="0"/>
        <w:spacing w:after="0" w:afterLines="0" w:line="560" w:lineRule="exact"/>
        <w:ind w:left="0" w:leftChars="0" w:firstLine="0" w:firstLineChars="0"/>
        <w:jc w:val="center"/>
        <w:rPr>
          <w:rFonts w:hint="eastAsia" w:ascii="Times New Roman" w:hAnsi="Times New Roman" w:eastAsia="宋体" w:cs="Times New Roman"/>
          <w:color w:val="auto"/>
          <w:sz w:val="25"/>
          <w:szCs w:val="24"/>
          <w:highlight w:val="none"/>
        </w:rPr>
      </w:pPr>
      <w:r>
        <w:rPr>
          <w:rFonts w:hint="eastAsia" w:ascii="Times New Roman" w:hAnsi="Times New Roman" w:eastAsia="宋体" w:cs="Times New Roman"/>
          <w:color w:val="auto"/>
          <w:sz w:val="25"/>
          <w:szCs w:val="24"/>
          <w:highlight w:val="none"/>
        </w:rPr>
        <w:t>商务标评审</w:t>
      </w:r>
    </w:p>
    <w:tbl>
      <w:tblPr>
        <w:tblStyle w:val="47"/>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80"/>
        <w:gridCol w:w="2858"/>
        <w:gridCol w:w="5526"/>
      </w:tblGrid>
      <w:tr w14:paraId="7B94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0" w:type="dxa"/>
            <w:gridSpan w:val="2"/>
            <w:noWrap w:val="0"/>
            <w:vAlign w:val="center"/>
          </w:tcPr>
          <w:p w14:paraId="143D8C4E">
            <w:pPr>
              <w:adjustRightInd w:val="0"/>
              <w:snapToGrid w:val="0"/>
              <w:spacing w:line="560" w:lineRule="exact"/>
              <w:jc w:val="center"/>
              <w:rPr>
                <w:rFonts w:hint="eastAsia" w:ascii="宋体" w:hAnsi="宋体" w:cs="宋体"/>
                <w:color w:val="auto"/>
                <w:szCs w:val="21"/>
                <w:highlight w:val="none"/>
              </w:rPr>
            </w:pPr>
            <w:bookmarkStart w:id="120" w:name="_Toc15058913"/>
            <w:bookmarkStart w:id="121" w:name="_Toc179632607"/>
            <w:bookmarkStart w:id="122" w:name="_Toc144974556"/>
            <w:bookmarkStart w:id="123" w:name="_Toc152042366"/>
            <w:bookmarkStart w:id="124" w:name="_Toc78803381"/>
            <w:bookmarkStart w:id="125" w:name="_Toc246996975"/>
            <w:bookmarkStart w:id="126" w:name="_Toc6491"/>
            <w:bookmarkStart w:id="127" w:name="_Toc324404872"/>
            <w:bookmarkStart w:id="128" w:name="_Toc152045589"/>
            <w:bookmarkStart w:id="129" w:name="_Toc506107324"/>
            <w:bookmarkStart w:id="130" w:name="_Toc247085747"/>
            <w:bookmarkStart w:id="131" w:name="_Toc246996232"/>
            <w:bookmarkStart w:id="132" w:name="_Toc35425113"/>
            <w:bookmarkStart w:id="133" w:name="_Toc35424947"/>
            <w:r>
              <w:rPr>
                <w:rFonts w:hint="eastAsia" w:ascii="宋体" w:hAnsi="宋体" w:cs="宋体"/>
                <w:color w:val="auto"/>
                <w:szCs w:val="21"/>
                <w:highlight w:val="none"/>
              </w:rPr>
              <w:t>条款号</w:t>
            </w:r>
          </w:p>
        </w:tc>
        <w:tc>
          <w:tcPr>
            <w:tcW w:w="2858" w:type="dxa"/>
            <w:noWrap w:val="0"/>
            <w:vAlign w:val="center"/>
          </w:tcPr>
          <w:p w14:paraId="333E1D52">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5526" w:type="dxa"/>
            <w:noWrap w:val="0"/>
            <w:vAlign w:val="center"/>
          </w:tcPr>
          <w:p w14:paraId="7FEED237">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r>
      <w:tr w14:paraId="3305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0" w:type="dxa"/>
            <w:vMerge w:val="restart"/>
            <w:noWrap w:val="0"/>
            <w:vAlign w:val="center"/>
          </w:tcPr>
          <w:p w14:paraId="2ED09A3D">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p>
        </w:tc>
        <w:tc>
          <w:tcPr>
            <w:tcW w:w="780" w:type="dxa"/>
            <w:vMerge w:val="restart"/>
            <w:noWrap w:val="0"/>
            <w:vAlign w:val="center"/>
          </w:tcPr>
          <w:p w14:paraId="60C7E2F2">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2858" w:type="dxa"/>
            <w:noWrap w:val="0"/>
            <w:vAlign w:val="center"/>
          </w:tcPr>
          <w:p w14:paraId="017775B0">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投标函签字盖章</w:t>
            </w:r>
          </w:p>
        </w:tc>
        <w:tc>
          <w:tcPr>
            <w:tcW w:w="5526" w:type="dxa"/>
            <w:noWrap w:val="0"/>
            <w:vAlign w:val="center"/>
          </w:tcPr>
          <w:p w14:paraId="3F81F23C">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有投标人及其法定代表人签章。</w:t>
            </w:r>
          </w:p>
        </w:tc>
      </w:tr>
      <w:tr w14:paraId="6B0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3700C00D">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14:paraId="065B03CB">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14:paraId="241FD3CA">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5526" w:type="dxa"/>
            <w:noWrap w:val="0"/>
            <w:vAlign w:val="center"/>
          </w:tcPr>
          <w:p w14:paraId="01312F3B">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章“投标文件格式”的要求。</w:t>
            </w:r>
          </w:p>
        </w:tc>
      </w:tr>
      <w:tr w14:paraId="15BC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2C5FBDDE">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14:paraId="329A8809">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14:paraId="4DF4A6F3">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商务标签字盖章</w:t>
            </w:r>
          </w:p>
        </w:tc>
        <w:tc>
          <w:tcPr>
            <w:tcW w:w="5526" w:type="dxa"/>
            <w:noWrap w:val="0"/>
            <w:vAlign w:val="center"/>
          </w:tcPr>
          <w:p w14:paraId="1C8555C3">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按投标文件格式要求签章。</w:t>
            </w:r>
          </w:p>
        </w:tc>
      </w:tr>
      <w:tr w14:paraId="50CC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0" w:type="dxa"/>
            <w:vMerge w:val="continue"/>
            <w:noWrap w:val="0"/>
            <w:vAlign w:val="center"/>
          </w:tcPr>
          <w:p w14:paraId="6BBFE91B">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14:paraId="189EADC7">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14:paraId="5F468EB6">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报价唯一</w:t>
            </w:r>
          </w:p>
        </w:tc>
        <w:tc>
          <w:tcPr>
            <w:tcW w:w="5526" w:type="dxa"/>
            <w:noWrap w:val="0"/>
            <w:vAlign w:val="center"/>
          </w:tcPr>
          <w:p w14:paraId="08DAAE97">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只能有一个报价。</w:t>
            </w:r>
          </w:p>
        </w:tc>
      </w:tr>
      <w:tr w14:paraId="74F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0" w:type="dxa"/>
            <w:vMerge w:val="restart"/>
            <w:noWrap w:val="0"/>
            <w:vAlign w:val="center"/>
          </w:tcPr>
          <w:p w14:paraId="59F3DEE5">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w:t>
            </w:r>
          </w:p>
        </w:tc>
        <w:tc>
          <w:tcPr>
            <w:tcW w:w="780" w:type="dxa"/>
            <w:vMerge w:val="restart"/>
            <w:noWrap w:val="0"/>
            <w:vAlign w:val="center"/>
          </w:tcPr>
          <w:p w14:paraId="1D89A365">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响应性评审标准</w:t>
            </w:r>
          </w:p>
          <w:p w14:paraId="1C9DD95C">
            <w:pPr>
              <w:adjustRightInd w:val="0"/>
              <w:snapToGrid w:val="0"/>
              <w:spacing w:line="560" w:lineRule="exact"/>
              <w:jc w:val="center"/>
              <w:rPr>
                <w:rFonts w:hint="eastAsia" w:ascii="宋体" w:hAnsi="宋体" w:cs="宋体"/>
                <w:color w:val="auto"/>
                <w:szCs w:val="21"/>
                <w:highlight w:val="none"/>
              </w:rPr>
            </w:pPr>
          </w:p>
        </w:tc>
        <w:tc>
          <w:tcPr>
            <w:tcW w:w="2858" w:type="dxa"/>
            <w:noWrap w:val="0"/>
            <w:vAlign w:val="center"/>
          </w:tcPr>
          <w:p w14:paraId="11A690D3">
            <w:pPr>
              <w:adjustRightInd w:val="0"/>
              <w:snapToGrid w:val="0"/>
              <w:spacing w:line="5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供货期</w:t>
            </w:r>
          </w:p>
        </w:tc>
        <w:tc>
          <w:tcPr>
            <w:tcW w:w="5526" w:type="dxa"/>
            <w:noWrap w:val="0"/>
            <w:vAlign w:val="center"/>
          </w:tcPr>
          <w:p w14:paraId="45957E2D">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w:t>
            </w:r>
            <w:r>
              <w:rPr>
                <w:rFonts w:hint="eastAsia" w:ascii="宋体" w:hAnsi="宋体" w:cs="宋体"/>
                <w:color w:val="auto"/>
                <w:szCs w:val="21"/>
                <w:highlight w:val="none"/>
                <w:lang w:val="en-US" w:eastAsia="zh-CN"/>
              </w:rPr>
              <w:t>采购清单规定</w:t>
            </w:r>
            <w:r>
              <w:rPr>
                <w:rFonts w:hint="eastAsia" w:ascii="宋体" w:hAnsi="宋体" w:cs="宋体"/>
                <w:color w:val="auto"/>
                <w:szCs w:val="21"/>
                <w:highlight w:val="none"/>
              </w:rPr>
              <w:t>。</w:t>
            </w:r>
          </w:p>
        </w:tc>
      </w:tr>
      <w:tr w14:paraId="7E4E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913C3E4">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14:paraId="1E28DC8E">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14:paraId="2072AC6F">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5526" w:type="dxa"/>
            <w:noWrap w:val="0"/>
            <w:vAlign w:val="center"/>
          </w:tcPr>
          <w:p w14:paraId="249DF313">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符合投标须知前附表规定。</w:t>
            </w:r>
          </w:p>
        </w:tc>
      </w:tr>
      <w:tr w14:paraId="402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6F9F4B0">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14:paraId="5B7E47B5">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14:paraId="01A8BD8F">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526" w:type="dxa"/>
            <w:noWrap w:val="0"/>
            <w:vAlign w:val="center"/>
          </w:tcPr>
          <w:p w14:paraId="74AE9B67">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符合投标须知前附表规定。</w:t>
            </w:r>
          </w:p>
        </w:tc>
      </w:tr>
      <w:tr w14:paraId="1357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591FD257">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14:paraId="777044C5">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14:paraId="05FAB150">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综合单价</w:t>
            </w: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评审</w:t>
            </w:r>
          </w:p>
        </w:tc>
        <w:tc>
          <w:tcPr>
            <w:tcW w:w="5526" w:type="dxa"/>
            <w:noWrap w:val="0"/>
            <w:vAlign w:val="center"/>
          </w:tcPr>
          <w:p w14:paraId="2D6FC50A">
            <w:pPr>
              <w:adjustRightInd w:val="0"/>
              <w:snapToGrid w:val="0"/>
              <w:spacing w:line="560" w:lineRule="exact"/>
              <w:rPr>
                <w:rFonts w:hint="eastAsia" w:ascii="宋体" w:hAnsi="宋体" w:cs="宋体"/>
                <w:color w:val="auto"/>
                <w:spacing w:val="-6"/>
                <w:szCs w:val="21"/>
                <w:highlight w:val="none"/>
              </w:rPr>
            </w:pPr>
            <w:r>
              <w:rPr>
                <w:rFonts w:hint="eastAsia" w:ascii="宋体" w:hAnsi="宋体" w:cs="宋体"/>
                <w:color w:val="auto"/>
                <w:spacing w:val="-6"/>
                <w:szCs w:val="21"/>
                <w:highlight w:val="none"/>
              </w:rPr>
              <w:t>不得高于最高限价。</w:t>
            </w:r>
          </w:p>
        </w:tc>
      </w:tr>
    </w:tbl>
    <w:p w14:paraId="4EB39FDF">
      <w:pPr>
        <w:adjustRightInd w:val="0"/>
        <w:snapToGrid w:val="0"/>
        <w:spacing w:line="560" w:lineRule="exact"/>
        <w:ind w:firstLine="422" w:firstLineChars="200"/>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商务标评审表注：</w:t>
      </w:r>
    </w:p>
    <w:p w14:paraId="17712525">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1、本表所称投标报价是指按招标文件规定修正后的投标总报价（多算投标报价、多报费用不扣减）</w:t>
      </w:r>
      <w:r>
        <w:rPr>
          <w:rFonts w:hint="eastAsia" w:ascii="宋体" w:hAnsi="宋体" w:cs="宋体"/>
          <w:color w:val="auto"/>
          <w:szCs w:val="21"/>
          <w:highlight w:val="none"/>
        </w:rPr>
        <w:t>，报价以元为单位，保留两位小数，小数点后第三位四舍五入。</w:t>
      </w:r>
    </w:p>
    <w:p w14:paraId="46A304D5">
      <w:pPr>
        <w:adjustRightInd w:val="0"/>
        <w:snapToGrid w:val="0"/>
        <w:spacing w:line="560" w:lineRule="exact"/>
        <w:ind w:firstLine="420" w:firstLineChars="200"/>
        <w:rPr>
          <w:rFonts w:hint="eastAsia" w:ascii="宋体" w:hAnsi="宋体"/>
          <w:color w:val="auto"/>
          <w:highlight w:val="none"/>
        </w:rPr>
      </w:pPr>
      <w:r>
        <w:rPr>
          <w:rFonts w:hint="eastAsia" w:ascii="宋体" w:hAnsi="宋体"/>
          <w:color w:val="auto"/>
          <w:highlight w:val="none"/>
        </w:rPr>
        <w:t>2、缺漏项金额是指投标人漏计招标人发布的清单项目，按最高投标限价对应清单综合单价计算缺漏金额。</w:t>
      </w:r>
    </w:p>
    <w:p w14:paraId="59E5148A">
      <w:pPr>
        <w:pStyle w:val="3"/>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1.评标方法</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E1FC433">
      <w:pPr>
        <w:widowControl/>
        <w:adjustRightInd w:val="0"/>
        <w:snapToGrid w:val="0"/>
        <w:spacing w:line="560" w:lineRule="exact"/>
        <w:ind w:firstLine="422" w:firstLineChars="200"/>
        <w:jc w:val="left"/>
        <w:rPr>
          <w:rFonts w:hint="eastAsia" w:ascii="宋体" w:hAnsi="宋体" w:cs="宋体"/>
          <w:b/>
          <w:color w:val="auto"/>
          <w:szCs w:val="21"/>
          <w:highlight w:val="none"/>
        </w:rPr>
      </w:pPr>
      <w:bookmarkStart w:id="134" w:name="_Toc11945"/>
      <w:bookmarkStart w:id="135" w:name="_Toc506107325"/>
      <w:bookmarkStart w:id="136" w:name="_Toc78803382"/>
      <w:bookmarkStart w:id="137" w:name="_Toc324404873"/>
      <w:bookmarkStart w:id="138" w:name="_Toc15058914"/>
      <w:bookmarkStart w:id="139" w:name="_Toc35425114"/>
      <w:bookmarkStart w:id="140" w:name="_Toc35424948"/>
      <w:bookmarkStart w:id="141" w:name="_Toc144974557"/>
      <w:bookmarkStart w:id="142" w:name="_Toc296602478"/>
      <w:bookmarkStart w:id="143" w:name="_Toc246996233"/>
      <w:bookmarkStart w:id="144" w:name="_Toc179632608"/>
      <w:bookmarkStart w:id="145" w:name="_Toc246996976"/>
      <w:bookmarkStart w:id="146" w:name="_Toc247085748"/>
      <w:bookmarkStart w:id="147" w:name="_Toc152042367"/>
      <w:bookmarkStart w:id="148" w:name="_Toc152045590"/>
      <w:r>
        <w:rPr>
          <w:rFonts w:hint="eastAsia" w:ascii="宋体" w:hAnsi="宋体" w:cs="宋体"/>
          <w:b/>
          <w:color w:val="auto"/>
          <w:szCs w:val="21"/>
          <w:highlight w:val="none"/>
        </w:rPr>
        <w:t>本次评标采用合理价格竞争法。评标委员会对满足招标文件实质性要求的投标文件，最终按投标报价最低原则，推荐有效投标报价最低的为第一中标候选人，次低的为第二中标候选人，以此类推，推荐中标候选人</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名，并标明排序，但投标报价低于其成本的除外。投标报价最低的有效投标人有两名或两名以上相同时，由评标委员会主任委员或招标人抽签确定第一中标候选人。</w:t>
      </w:r>
    </w:p>
    <w:p w14:paraId="2DAB305A">
      <w:pPr>
        <w:adjustRightInd w:val="0"/>
        <w:snapToGrid w:val="0"/>
        <w:spacing w:line="5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根据评标委员会评审初步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F12DD3B">
      <w:pPr>
        <w:pStyle w:val="3"/>
        <w:spacing w:beforeLines="50" w:afterLines="50"/>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2.评标委员会的职责</w:t>
      </w:r>
      <w:bookmarkEnd w:id="134"/>
      <w:bookmarkEnd w:id="135"/>
      <w:bookmarkEnd w:id="136"/>
      <w:bookmarkEnd w:id="137"/>
      <w:bookmarkEnd w:id="138"/>
      <w:bookmarkEnd w:id="139"/>
      <w:bookmarkEnd w:id="140"/>
    </w:p>
    <w:p w14:paraId="2366AE8E">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bookmarkStart w:id="149" w:name="_Toc15058915"/>
      <w:bookmarkStart w:id="150" w:name="_Toc324404874"/>
      <w:bookmarkStart w:id="151" w:name="_Toc35425115"/>
      <w:bookmarkStart w:id="152" w:name="_Toc17377"/>
      <w:bookmarkStart w:id="153" w:name="_Toc78803384"/>
      <w:bookmarkStart w:id="154" w:name="_Toc506107326"/>
      <w:bookmarkStart w:id="155" w:name="_Toc35424949"/>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3"/>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3.评标程序</w:t>
      </w:r>
      <w:bookmarkEnd w:id="149"/>
      <w:bookmarkEnd w:id="150"/>
      <w:bookmarkEnd w:id="151"/>
      <w:bookmarkEnd w:id="152"/>
      <w:bookmarkEnd w:id="153"/>
      <w:bookmarkEnd w:id="154"/>
      <w:bookmarkEnd w:id="155"/>
    </w:p>
    <w:p w14:paraId="6091849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评标先做准备工作，先进行</w:t>
      </w:r>
      <w:r>
        <w:rPr>
          <w:rFonts w:hint="eastAsia" w:ascii="宋体" w:hAnsi="宋体" w:cs="宋体"/>
          <w:color w:val="auto"/>
          <w:szCs w:val="21"/>
          <w:highlight w:val="none"/>
          <w:lang w:val="en-US" w:eastAsia="zh-CN"/>
        </w:rPr>
        <w:t>资格审查</w:t>
      </w:r>
      <w:r>
        <w:rPr>
          <w:rFonts w:hint="eastAsia" w:ascii="宋体" w:hAnsi="宋体" w:cs="宋体"/>
          <w:color w:val="auto"/>
          <w:szCs w:val="21"/>
          <w:highlight w:val="none"/>
        </w:rPr>
        <w:t>，然后进行</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评审。</w:t>
      </w:r>
    </w:p>
    <w:p w14:paraId="6E980930">
      <w:pPr>
        <w:pStyle w:val="3"/>
        <w:ind w:firstLine="422" w:firstLineChars="200"/>
        <w:rPr>
          <w:rFonts w:ascii="宋体" w:hAnsi="宋体" w:eastAsia="宋体" w:cs="宋体"/>
          <w:color w:val="auto"/>
          <w:highlight w:val="none"/>
        </w:rPr>
      </w:pPr>
      <w:bookmarkStart w:id="156" w:name="_Toc15058916"/>
      <w:bookmarkStart w:id="157" w:name="_Toc78803385"/>
      <w:bookmarkStart w:id="158" w:name="_Toc27389"/>
      <w:bookmarkStart w:id="159" w:name="_Toc35424950"/>
      <w:bookmarkStart w:id="160" w:name="_Toc35425116"/>
      <w:r>
        <w:rPr>
          <w:rFonts w:hint="eastAsia" w:ascii="宋体" w:hAnsi="宋体" w:eastAsia="宋体" w:cs="宋体"/>
          <w:color w:val="auto"/>
          <w:highlight w:val="none"/>
        </w:rPr>
        <w:t>3.1评标准备工作</w:t>
      </w:r>
      <w:bookmarkEnd w:id="156"/>
      <w:bookmarkEnd w:id="157"/>
      <w:bookmarkEnd w:id="158"/>
      <w:bookmarkEnd w:id="159"/>
      <w:bookmarkEnd w:id="160"/>
    </w:p>
    <w:p w14:paraId="12DD11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评标委员会熟悉评标工作情况：</w:t>
      </w:r>
    </w:p>
    <w:p w14:paraId="61A7679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（4）核对评标工作用表。</w:t>
      </w:r>
    </w:p>
    <w:p w14:paraId="6912EA5D">
      <w:pPr>
        <w:pStyle w:val="3"/>
        <w:ind w:firstLine="422" w:firstLineChars="200"/>
        <w:rPr>
          <w:rFonts w:ascii="宋体" w:hAnsi="宋体" w:eastAsia="宋体" w:cs="宋体"/>
          <w:color w:val="auto"/>
          <w:highlight w:val="none"/>
        </w:rPr>
      </w:pPr>
      <w:bookmarkStart w:id="161" w:name="_Toc11990"/>
      <w:bookmarkStart w:id="162" w:name="_Toc78803387"/>
      <w:bookmarkStart w:id="163" w:name="_Toc15058918"/>
      <w:bookmarkStart w:id="164" w:name="_Toc35425118"/>
      <w:bookmarkStart w:id="165" w:name="_Toc35424952"/>
      <w:bookmarkStart w:id="166" w:name="_Toc17468"/>
      <w:bookmarkStart w:id="167" w:name="_Toc506107327"/>
      <w:bookmarkStart w:id="168" w:name="_Toc12200"/>
      <w:bookmarkStart w:id="169" w:name="_Toc15058919"/>
      <w:bookmarkStart w:id="170" w:name="_Toc35424954"/>
      <w:bookmarkStart w:id="171" w:name="_Toc35425120"/>
      <w:bookmarkStart w:id="172" w:name="_Toc324404875"/>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商务标评审</w:t>
      </w:r>
      <w:bookmarkEnd w:id="161"/>
      <w:bookmarkEnd w:id="162"/>
      <w:bookmarkEnd w:id="163"/>
      <w:bookmarkEnd w:id="164"/>
      <w:bookmarkEnd w:id="165"/>
      <w:bookmarkEnd w:id="166"/>
    </w:p>
    <w:p w14:paraId="686CA6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173" w:name="_Toc26895"/>
      <w:bookmarkStart w:id="174" w:name="_Toc35425119"/>
      <w:bookmarkStart w:id="175" w:name="_Toc35424953"/>
      <w:bookmarkStart w:id="176" w:name="_Toc18087"/>
      <w:bookmarkStart w:id="177" w:name="_Toc78803388"/>
      <w:r>
        <w:rPr>
          <w:rStyle w:val="198"/>
          <w:rFonts w:hint="eastAsia" w:ascii="宋体" w:hAnsi="宋体" w:eastAsia="宋体" w:cs="宋体"/>
          <w:color w:val="auto"/>
          <w:highlight w:val="none"/>
        </w:rPr>
        <w:t>3.</w:t>
      </w:r>
      <w:r>
        <w:rPr>
          <w:rStyle w:val="198"/>
          <w:rFonts w:hint="eastAsia" w:ascii="宋体" w:hAnsi="宋体" w:cs="宋体"/>
          <w:color w:val="auto"/>
          <w:highlight w:val="none"/>
          <w:lang w:val="en-US"/>
        </w:rPr>
        <w:t>3</w:t>
      </w:r>
      <w:r>
        <w:rPr>
          <w:rStyle w:val="198"/>
          <w:rFonts w:hint="eastAsia" w:ascii="宋体" w:hAnsi="宋体" w:eastAsia="宋体" w:cs="宋体"/>
          <w:color w:val="auto"/>
          <w:highlight w:val="none"/>
        </w:rPr>
        <w:t>推荐中标候选人</w:t>
      </w:r>
      <w:bookmarkEnd w:id="173"/>
      <w:bookmarkEnd w:id="174"/>
      <w:bookmarkEnd w:id="175"/>
      <w:bookmarkEnd w:id="176"/>
      <w:bookmarkEnd w:id="177"/>
      <w:r>
        <w:rPr>
          <w:rFonts w:hint="eastAsia" w:ascii="宋体" w:hAnsi="宋体" w:cs="宋体"/>
          <w:b/>
          <w:bCs/>
          <w:color w:val="auto"/>
          <w:highlight w:val="none"/>
        </w:rPr>
        <w:t>：</w:t>
      </w:r>
      <w:r>
        <w:rPr>
          <w:rFonts w:hint="eastAsia" w:ascii="宋体" w:hAnsi="宋体" w:cs="宋体"/>
          <w:color w:val="auto"/>
          <w:highlight w:val="none"/>
          <w:lang w:val="en-US" w:eastAsia="zh-CN"/>
        </w:rPr>
        <w:t>资格审查、报价</w:t>
      </w:r>
      <w:r>
        <w:rPr>
          <w:rFonts w:hint="eastAsia" w:ascii="宋体" w:hAnsi="宋体" w:cs="宋体"/>
          <w:color w:val="auto"/>
          <w:highlight w:val="none"/>
        </w:rPr>
        <w:t>评审后，推荐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3"/>
        <w:spacing w:beforeLines="50" w:afterLines="50"/>
        <w:ind w:firstLine="422" w:firstLineChars="200"/>
        <w:rPr>
          <w:rFonts w:ascii="宋体" w:hAnsi="宋体" w:eastAsia="宋体" w:cs="宋体"/>
          <w:color w:val="auto"/>
          <w:highlight w:val="none"/>
        </w:rPr>
      </w:pPr>
      <w:bookmarkStart w:id="178" w:name="_Toc78803389"/>
      <w:r>
        <w:rPr>
          <w:rFonts w:hint="eastAsia" w:ascii="宋体" w:hAnsi="宋体" w:eastAsia="宋体" w:cs="宋体"/>
          <w:color w:val="auto"/>
          <w:highlight w:val="none"/>
        </w:rPr>
        <w:t>4.评审内容</w:t>
      </w:r>
      <w:bookmarkEnd w:id="167"/>
      <w:bookmarkEnd w:id="168"/>
      <w:bookmarkEnd w:id="169"/>
      <w:bookmarkEnd w:id="170"/>
      <w:bookmarkEnd w:id="171"/>
      <w:bookmarkEnd w:id="172"/>
      <w:bookmarkEnd w:id="178"/>
    </w:p>
    <w:p w14:paraId="0F1392E9">
      <w:pPr>
        <w:pStyle w:val="3"/>
        <w:ind w:firstLine="422" w:firstLineChars="200"/>
        <w:rPr>
          <w:rFonts w:ascii="宋体" w:hAnsi="宋体" w:eastAsia="宋体" w:cs="宋体"/>
          <w:color w:val="auto"/>
          <w:highlight w:val="none"/>
        </w:rPr>
      </w:pPr>
      <w:bookmarkStart w:id="179" w:name="_Toc9630"/>
      <w:bookmarkStart w:id="180" w:name="_Toc78803390"/>
      <w:r>
        <w:rPr>
          <w:rFonts w:hint="eastAsia" w:ascii="宋体" w:hAnsi="宋体" w:eastAsia="宋体" w:cs="宋体"/>
          <w:color w:val="auto"/>
          <w:highlight w:val="none"/>
        </w:rPr>
        <w:t>4.1</w:t>
      </w:r>
      <w:bookmarkEnd w:id="179"/>
      <w:bookmarkEnd w:id="180"/>
      <w:bookmarkStart w:id="181" w:name="_Toc35425122"/>
      <w:bookmarkStart w:id="182" w:name="_Toc78803391"/>
      <w:bookmarkStart w:id="183" w:name="_Toc15058921"/>
      <w:bookmarkStart w:id="184" w:name="_Toc35424956"/>
      <w:bookmarkStart w:id="185" w:name="_Toc3531"/>
      <w:bookmarkStart w:id="186" w:name="_Toc324404876"/>
      <w:r>
        <w:rPr>
          <w:rFonts w:hint="eastAsia" w:ascii="宋体" w:hAnsi="宋体" w:eastAsia="宋体" w:cs="宋体"/>
          <w:color w:val="auto"/>
          <w:highlight w:val="none"/>
        </w:rPr>
        <w:t>商务标评审</w:t>
      </w:r>
      <w:bookmarkEnd w:id="181"/>
      <w:bookmarkEnd w:id="182"/>
      <w:bookmarkEnd w:id="183"/>
      <w:bookmarkEnd w:id="184"/>
      <w:bookmarkEnd w:id="185"/>
    </w:p>
    <w:p w14:paraId="7908D5C2">
      <w:pPr>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4.1.1形式性评审标准：见商务标评审表。</w:t>
      </w:r>
    </w:p>
    <w:p w14:paraId="5FDB8153">
      <w:pPr>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4.1.2响应性评审标准：见商务标评审表。</w:t>
      </w:r>
    </w:p>
    <w:p w14:paraId="5104F405">
      <w:pPr>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评标委员会依据上述标准对投标文件进行初步评审。有一项不符合评审标准的，作无效投标处理。</w:t>
      </w:r>
    </w:p>
    <w:p w14:paraId="5D984954">
      <w:pPr>
        <w:spacing w:line="440" w:lineRule="exact"/>
        <w:ind w:firstLine="420" w:firstLineChars="200"/>
        <w:jc w:val="left"/>
        <w:rPr>
          <w:rFonts w:hint="eastAsia" w:ascii="宋体" w:hAnsi="宋体" w:eastAsia="宋体" w:cs="宋体"/>
          <w:color w:val="auto"/>
          <w:highlight w:val="none"/>
        </w:rPr>
      </w:pPr>
      <w:bookmarkStart w:id="187" w:name="_Toc35424957"/>
      <w:bookmarkStart w:id="188" w:name="_Toc78803392"/>
      <w:bookmarkStart w:id="189" w:name="_Toc506107328"/>
      <w:bookmarkStart w:id="190" w:name="_Toc13125"/>
      <w:bookmarkStart w:id="191" w:name="_Toc35425123"/>
      <w:bookmarkStart w:id="192" w:name="_Toc15058922"/>
      <w:r>
        <w:rPr>
          <w:rFonts w:hint="eastAsia" w:ascii="宋体" w:hAnsi="宋体" w:eastAsia="宋体" w:cs="宋体"/>
          <w:color w:val="auto"/>
          <w:highlight w:val="none"/>
        </w:rPr>
        <w:t>4.</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评标委员会审查投标文件，审查全部数据计算的正确性、分析各种费用构成的合理性和正确性等内容，看其是否有计算或表达上的错误，投标报价有错误的，评标委员会按以下原则对投标报价进行修正。</w:t>
      </w:r>
    </w:p>
    <w:p w14:paraId="3588E17A">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14:paraId="48583295">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14:paraId="66441996">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3"/>
        <w:spacing w:beforeLines="50" w:afterLines="50"/>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5.无效投标条款</w:t>
      </w:r>
      <w:bookmarkEnd w:id="186"/>
      <w:bookmarkEnd w:id="187"/>
      <w:bookmarkEnd w:id="188"/>
      <w:bookmarkEnd w:id="189"/>
      <w:bookmarkEnd w:id="190"/>
      <w:bookmarkEnd w:id="191"/>
      <w:bookmarkEnd w:id="192"/>
    </w:p>
    <w:p w14:paraId="19B71362">
      <w:pPr>
        <w:spacing w:line="440" w:lineRule="exact"/>
        <w:ind w:firstLine="420" w:firstLineChars="200"/>
        <w:jc w:val="left"/>
        <w:rPr>
          <w:rFonts w:hint="eastAsia" w:ascii="宋体" w:hAnsi="宋体" w:eastAsia="宋体" w:cs="宋体"/>
          <w:color w:val="auto"/>
          <w:highlight w:val="none"/>
        </w:rPr>
      </w:pPr>
      <w:bookmarkStart w:id="193" w:name="_Toc324404877"/>
      <w:bookmarkStart w:id="194" w:name="_Toc15058923"/>
      <w:bookmarkStart w:id="195" w:name="_Toc35425124"/>
      <w:bookmarkStart w:id="196" w:name="_Toc506107329"/>
      <w:bookmarkStart w:id="197" w:name="_Toc35424958"/>
      <w:bookmarkStart w:id="198" w:name="_Toc78803393"/>
      <w:bookmarkStart w:id="199" w:name="_Toc27846"/>
      <w:r>
        <w:rPr>
          <w:rFonts w:hint="eastAsia" w:ascii="宋体" w:hAnsi="宋体" w:eastAsia="宋体" w:cs="宋体"/>
          <w:color w:val="auto"/>
          <w:highlight w:val="none"/>
        </w:rPr>
        <w:t>5.</w:t>
      </w:r>
      <w:r>
        <w:rPr>
          <w:rFonts w:hint="eastAsia" w:ascii="宋体" w:hAnsi="宋体" w:cs="宋体"/>
          <w:color w:val="auto"/>
          <w:highlight w:val="none"/>
          <w:lang w:val="en-US" w:eastAsia="zh-CN"/>
        </w:rPr>
        <w:t>1</w:t>
      </w:r>
      <w:r>
        <w:rPr>
          <w:rFonts w:hint="eastAsia" w:ascii="宋体" w:hAnsi="宋体" w:eastAsia="宋体" w:cs="宋体"/>
          <w:color w:val="auto"/>
          <w:highlight w:val="none"/>
        </w:rPr>
        <w:t>投标人有下列情形的，经评审后其投标作无效投标处理：</w:t>
      </w:r>
    </w:p>
    <w:p w14:paraId="14839BB2">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商务标评审</w:t>
      </w:r>
    </w:p>
    <w:p w14:paraId="2A080AD7">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(1)评标委员会依据《商务标评审表》进行形式性评审和响应性评审。有一项不符合评审标准的，做无效投标处理；</w:t>
      </w:r>
    </w:p>
    <w:p w14:paraId="5769FB6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（2）商务标详细评审标准中有任何一项不能通过评审的，作无效投标处理。</w:t>
      </w:r>
    </w:p>
    <w:p w14:paraId="11B68C29">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cs="宋体"/>
          <w:color w:val="auto"/>
          <w:highlight w:val="none"/>
          <w:lang w:val="en-US" w:eastAsia="zh-CN"/>
        </w:rPr>
        <w:t>2</w:t>
      </w:r>
      <w:r>
        <w:rPr>
          <w:rFonts w:hint="eastAsia" w:ascii="宋体" w:hAnsi="宋体" w:eastAsia="宋体" w:cs="宋体"/>
          <w:color w:val="auto"/>
          <w:highlight w:val="none"/>
        </w:rPr>
        <w:t>其他无效投标情况：</w:t>
      </w:r>
    </w:p>
    <w:p w14:paraId="5D501451">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（2）按第四章“评标方法”第4.</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项修正错误的原则及方法调整或修正投标文件的投标报价，调整或修正的价格经投标人书面确认后具有约束力。投标人不接受修正价格的，其投标将被拒绝。</w:t>
      </w:r>
    </w:p>
    <w:p w14:paraId="48DD6505">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）投标人有串通投标、视为串通投标、弄虚作假、行贿等违法行为。</w:t>
      </w:r>
    </w:p>
    <w:p w14:paraId="7AE90BB0">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）投标文件没有对招标文件的实质性要求和条件作出响应。</w:t>
      </w:r>
    </w:p>
    <w:p w14:paraId="08A90169">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）未按规定的格式填写导致实质性内容不全以及实质上不响应，或者关键字迹模糊、无法辨认。</w:t>
      </w:r>
    </w:p>
    <w:p w14:paraId="00808C1E">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）同一投标人提交两个以上不同的投标文件或者投标报价，但招标文件规定提交备选投标的除外。</w:t>
      </w:r>
    </w:p>
    <w:p w14:paraId="2533827A">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）投标文件中存在招标人不能接受的其他实质性条件。</w:t>
      </w:r>
    </w:p>
    <w:p w14:paraId="3D744B31">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）投标人拒不按照要求对投标文件进行澄清、说明、补正的，或评标委员会根据招标文件的规定对招标文件的计算错误进行修正后，投标人不接受修正的投标报价的。</w:t>
      </w:r>
    </w:p>
    <w:p w14:paraId="512E080E">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）投标人单方面出现其他投标人材料。</w:t>
      </w:r>
    </w:p>
    <w:p w14:paraId="47D8332E">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）投标人联系人或联系电话相同的。</w:t>
      </w:r>
    </w:p>
    <w:p w14:paraId="14639CA5">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）法律、法规规定的其他情形。</w:t>
      </w:r>
    </w:p>
    <w:p w14:paraId="5A018EF6">
      <w:pPr>
        <w:pStyle w:val="3"/>
        <w:spacing w:beforeLines="50" w:afterLines="50"/>
        <w:ind w:firstLine="422" w:firstLineChars="200"/>
        <w:rPr>
          <w:rFonts w:hint="eastAsia" w:ascii="宋体" w:hAnsi="宋体" w:eastAsia="宋体" w:cs="宋体"/>
          <w:color w:val="auto"/>
          <w:highlight w:val="none"/>
        </w:rPr>
      </w:pPr>
      <w:bookmarkStart w:id="200" w:name="_Toc95223409"/>
      <w:r>
        <w:rPr>
          <w:rFonts w:hint="eastAsia" w:ascii="宋体" w:hAnsi="宋体" w:eastAsia="宋体" w:cs="宋体"/>
          <w:color w:val="auto"/>
          <w:highlight w:val="none"/>
        </w:rPr>
        <w:t>6.投标文件的澄清和补正</w:t>
      </w:r>
      <w:bookmarkEnd w:id="200"/>
    </w:p>
    <w:p w14:paraId="4C9D7324">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6.1在评标过程中，评标委员会可以书面形式要求投标</w:t>
      </w:r>
      <w:bookmarkStart w:id="201" w:name="_Toc60061506"/>
      <w:r>
        <w:rPr>
          <w:rFonts w:hint="eastAsia" w:ascii="宋体" w:hAnsi="宋体" w:eastAsia="宋体" w:cs="宋体"/>
          <w:color w:val="auto"/>
          <w:highlight w:val="none"/>
        </w:rPr>
        <w:t>人对所提交的投标文件中含</w:t>
      </w:r>
      <w:bookmarkEnd w:id="201"/>
      <w:r>
        <w:rPr>
          <w:rFonts w:hint="eastAsia" w:ascii="宋体" w:hAnsi="宋体" w:eastAsia="宋体" w:cs="宋体"/>
          <w:color w:val="auto"/>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6.2澄清、说明和补正不得改变投标文件的实质性内容（算术性错误修正的除外）。投标人的书面澄清、说明和补正属于投标文件的组成部分。</w:t>
      </w:r>
    </w:p>
    <w:p w14:paraId="5067B074">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6.3评标委员会对投标人提交的澄清、说明和补正有疑问的，可以要求投标人进一步澄清、说明或补正、直至满足评标委员会的要求。</w:t>
      </w:r>
    </w:p>
    <w:p w14:paraId="42BDF8A3">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按照投标文件规定进行澄清、补正后的投标报价经投标人的法定代表人或其委托代理人确认后即为该投标人的最终投标报价。投标人一旦中标，此报价即为中标价。</w:t>
      </w:r>
    </w:p>
    <w:bookmarkEnd w:id="141"/>
    <w:bookmarkEnd w:id="142"/>
    <w:bookmarkEnd w:id="143"/>
    <w:bookmarkEnd w:id="144"/>
    <w:bookmarkEnd w:id="145"/>
    <w:bookmarkEnd w:id="146"/>
    <w:bookmarkEnd w:id="147"/>
    <w:bookmarkEnd w:id="148"/>
    <w:bookmarkEnd w:id="193"/>
    <w:bookmarkEnd w:id="194"/>
    <w:bookmarkEnd w:id="195"/>
    <w:bookmarkEnd w:id="196"/>
    <w:bookmarkEnd w:id="197"/>
    <w:bookmarkEnd w:id="198"/>
    <w:bookmarkEnd w:id="199"/>
    <w:p w14:paraId="1ED9F886">
      <w:pPr>
        <w:pStyle w:val="3"/>
        <w:spacing w:beforeLines="50" w:afterLines="50"/>
        <w:ind w:firstLine="422" w:firstLineChars="200"/>
        <w:rPr>
          <w:rFonts w:hint="eastAsia" w:ascii="宋体" w:hAnsi="宋体" w:eastAsia="宋体" w:cs="宋体"/>
          <w:color w:val="auto"/>
          <w:highlight w:val="none"/>
        </w:rPr>
      </w:pPr>
      <w:bookmarkStart w:id="202" w:name="_Toc95223411"/>
      <w:bookmarkStart w:id="203" w:name="_Toc15058927"/>
      <w:bookmarkStart w:id="204" w:name="_Toc35425128"/>
      <w:bookmarkStart w:id="205" w:name="_Toc506107333"/>
      <w:bookmarkStart w:id="206" w:name="_Toc35424962"/>
      <w:bookmarkStart w:id="207" w:name="_Toc144974826"/>
      <w:bookmarkStart w:id="208" w:name="_Toc152042546"/>
      <w:bookmarkStart w:id="209" w:name="_Toc179632785"/>
      <w:bookmarkStart w:id="210" w:name="_Toc152045767"/>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.评审结果</w:t>
      </w:r>
      <w:bookmarkEnd w:id="202"/>
    </w:p>
    <w:p w14:paraId="5A148736">
      <w:pPr>
        <w:spacing w:line="440" w:lineRule="exact"/>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.1除第二章“投标人须知”及其前附表授权直接确定中标人外，评</w:t>
      </w:r>
      <w:bookmarkStart w:id="211" w:name="_Toc506107331"/>
      <w:bookmarkStart w:id="212" w:name="_Toc324404879"/>
      <w:bookmarkStart w:id="213" w:name="_Toc15058925"/>
      <w:bookmarkStart w:id="214" w:name="_Toc60061508"/>
      <w:r>
        <w:rPr>
          <w:rFonts w:hint="eastAsia" w:ascii="宋体" w:hAnsi="宋体" w:eastAsia="宋体" w:cs="宋体"/>
          <w:color w:val="auto"/>
          <w:highlight w:val="none"/>
        </w:rPr>
        <w:t>标委员会</w:t>
      </w:r>
      <w:bookmarkEnd w:id="211"/>
      <w:bookmarkEnd w:id="212"/>
      <w:bookmarkEnd w:id="213"/>
      <w:bookmarkEnd w:id="214"/>
      <w:r>
        <w:rPr>
          <w:rFonts w:hint="eastAsia" w:ascii="宋体" w:hAnsi="宋体" w:eastAsia="宋体" w:cs="宋体"/>
          <w:color w:val="auto"/>
          <w:highlight w:val="none"/>
        </w:rPr>
        <w:t>按有效报价由低到高的顺序推荐中标候选人）。</w:t>
      </w:r>
    </w:p>
    <w:p w14:paraId="0586443D">
      <w:pPr>
        <w:spacing w:line="440" w:lineRule="exact"/>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.2评标委员会完成评标后，应当向招标人提交书面评标报告。评标报告应当如实记载以下内容：</w:t>
      </w:r>
    </w:p>
    <w:p w14:paraId="60C496F3">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（1）基本情况和数据表。</w:t>
      </w:r>
    </w:p>
    <w:p w14:paraId="2FF38250">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（2）评标委员会成员名单。</w:t>
      </w:r>
    </w:p>
    <w:p w14:paraId="3E8F5A80">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（3）开标记录。</w:t>
      </w:r>
    </w:p>
    <w:p w14:paraId="77CE3783">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（4）符合要求的投标人一览表。</w:t>
      </w:r>
    </w:p>
    <w:p w14:paraId="1A0FCCD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（5）否决投标情况说明。</w:t>
      </w:r>
    </w:p>
    <w:p w14:paraId="18FE4A2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（6）评标标准、评标方法或者评标因素。</w:t>
      </w:r>
    </w:p>
    <w:p w14:paraId="4F8B3E86">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（7）经评审的价格比较一览表。</w:t>
      </w:r>
    </w:p>
    <w:p w14:paraId="4B89E24A">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（8）经评审的投标人排序。</w:t>
      </w:r>
    </w:p>
    <w:p w14:paraId="3C2A0C70">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（9）推荐的中标候选人名单与签订合同前要处理的事宜。</w:t>
      </w:r>
    </w:p>
    <w:p w14:paraId="03A977F1">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（10）澄清、说明、补正事项纪要。</w:t>
      </w:r>
    </w:p>
    <w:p w14:paraId="555E532D">
      <w:pPr>
        <w:spacing w:line="440" w:lineRule="exact"/>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3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DDB352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3"/>
        <w:spacing w:beforeLines="50" w:afterLines="50"/>
        <w:ind w:firstLine="422" w:firstLineChars="200"/>
        <w:rPr>
          <w:rFonts w:hint="eastAsia" w:ascii="宋体" w:hAnsi="宋体" w:eastAsia="宋体" w:cs="宋体"/>
          <w:color w:val="auto"/>
          <w:highlight w:val="none"/>
        </w:rPr>
      </w:pPr>
      <w:bookmarkStart w:id="215" w:name="_Toc95223412"/>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.其他</w:t>
      </w:r>
      <w:bookmarkEnd w:id="215"/>
    </w:p>
    <w:p w14:paraId="546BC29A">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投标人提供的与投标文件有关的各类证书、证明、文件、资料等的真实性、</w:t>
      </w:r>
      <w:bookmarkStart w:id="216" w:name="_Toc506107332"/>
      <w:bookmarkStart w:id="217" w:name="_Toc60061509"/>
      <w:bookmarkStart w:id="218" w:name="_Toc15058926"/>
      <w:bookmarkStart w:id="219" w:name="_Toc324404880"/>
      <w:r>
        <w:rPr>
          <w:rFonts w:hint="eastAsia" w:ascii="宋体" w:hAnsi="宋体" w:eastAsia="宋体" w:cs="宋体"/>
          <w:color w:val="auto"/>
          <w:highlight w:val="none"/>
        </w:rPr>
        <w:t>合法性由</w:t>
      </w:r>
      <w:bookmarkEnd w:id="216"/>
      <w:bookmarkEnd w:id="217"/>
      <w:bookmarkEnd w:id="218"/>
      <w:bookmarkEnd w:id="219"/>
      <w:r>
        <w:rPr>
          <w:rFonts w:hint="eastAsia" w:ascii="宋体" w:hAnsi="宋体" w:eastAsia="宋体" w:cs="宋体"/>
          <w:color w:val="auto"/>
          <w:highlight w:val="none"/>
        </w:rPr>
        <w:t>投标人负全责。</w:t>
      </w:r>
    </w:p>
    <w:p w14:paraId="569BEFC2">
      <w:pPr>
        <w:rPr>
          <w:color w:val="auto"/>
          <w:highlight w:val="none"/>
        </w:rPr>
      </w:pPr>
    </w:p>
    <w:p w14:paraId="65923B12">
      <w:pPr>
        <w:rPr>
          <w:rFonts w:hint="eastAsia"/>
          <w:color w:val="auto"/>
          <w:highlight w:val="none"/>
        </w:rPr>
      </w:pPr>
      <w:r>
        <w:rPr>
          <w:rFonts w:hint="eastAsia"/>
          <w:color w:val="auto"/>
          <w:highlight w:val="none"/>
        </w:rPr>
        <w:br w:type="page"/>
      </w:r>
      <w:bookmarkStart w:id="220" w:name="_Toc78803397"/>
    </w:p>
    <w:bookmarkEnd w:id="203"/>
    <w:bookmarkEnd w:id="204"/>
    <w:bookmarkEnd w:id="205"/>
    <w:bookmarkEnd w:id="206"/>
    <w:bookmarkEnd w:id="220"/>
    <w:p w14:paraId="5461BA94">
      <w:pPr>
        <w:keepNext w:val="0"/>
        <w:keepLines w:val="0"/>
        <w:pageBreakBefore w:val="0"/>
        <w:widowControl w:val="0"/>
        <w:kinsoku/>
        <w:wordWrap/>
        <w:overflowPunct/>
        <w:topLinePunct w:val="0"/>
        <w:autoSpaceDE/>
        <w:autoSpaceDN/>
        <w:bidi w:val="0"/>
        <w:adjustRightInd/>
        <w:snapToGrid w:val="0"/>
        <w:spacing w:before="156" w:beforeLines="50" w:after="156" w:afterLines="50" w:line="520" w:lineRule="exact"/>
        <w:jc w:val="center"/>
        <w:textAlignment w:val="auto"/>
        <w:outlineLvl w:val="0"/>
        <w:rPr>
          <w:rFonts w:hint="eastAsia" w:eastAsia="宋体"/>
          <w:color w:val="auto"/>
          <w:highlight w:val="none"/>
          <w:lang w:eastAsia="zh-CN"/>
        </w:rPr>
      </w:pPr>
      <w:bookmarkStart w:id="221" w:name="_Toc16721"/>
      <w:r>
        <w:rPr>
          <w:rFonts w:hint="eastAsia" w:ascii="宋体" w:cs="宋体"/>
          <w:b/>
          <w:bCs/>
          <w:color w:val="auto"/>
          <w:sz w:val="28"/>
          <w:szCs w:val="28"/>
          <w:highlight w:val="none"/>
        </w:rPr>
        <w:t>第</w:t>
      </w:r>
      <w:r>
        <w:rPr>
          <w:rFonts w:hint="eastAsia" w:ascii="宋体" w:cs="宋体"/>
          <w:b/>
          <w:bCs/>
          <w:color w:val="auto"/>
          <w:sz w:val="28"/>
          <w:szCs w:val="28"/>
          <w:highlight w:val="none"/>
          <w:lang w:val="en-US" w:eastAsia="zh-CN"/>
        </w:rPr>
        <w:t>五</w:t>
      </w:r>
      <w:r>
        <w:rPr>
          <w:rFonts w:hint="eastAsia" w:ascii="宋体" w:cs="宋体"/>
          <w:b/>
          <w:bCs/>
          <w:color w:val="auto"/>
          <w:sz w:val="28"/>
          <w:szCs w:val="28"/>
          <w:highlight w:val="none"/>
        </w:rPr>
        <w:t xml:space="preserve">章  </w:t>
      </w:r>
      <w:r>
        <w:rPr>
          <w:rFonts w:hint="eastAsia" w:ascii="宋体" w:cs="宋体"/>
          <w:b/>
          <w:bCs/>
          <w:color w:val="auto"/>
          <w:sz w:val="28"/>
          <w:szCs w:val="28"/>
          <w:highlight w:val="none"/>
          <w:lang w:eastAsia="zh-CN"/>
        </w:rPr>
        <w:t>采购需求</w:t>
      </w:r>
    </w:p>
    <w:p w14:paraId="59EFD62F">
      <w:pPr>
        <w:pStyle w:val="6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一、</w:t>
      </w:r>
      <w:r>
        <w:rPr>
          <w:rFonts w:hint="eastAsia" w:ascii="宋体" w:hAnsi="宋体" w:cs="宋体"/>
          <w:b/>
          <w:color w:val="auto"/>
          <w:sz w:val="21"/>
          <w:szCs w:val="21"/>
          <w:highlight w:val="none"/>
          <w:lang w:val="en-US" w:eastAsia="zh-CN"/>
        </w:rPr>
        <w:t>项目概况</w:t>
      </w:r>
    </w:p>
    <w:p w14:paraId="5AA9CBE3">
      <w:pPr>
        <w:pStyle w:val="6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本项目为“2025年滁州市公路工程有限责任公司年度沥青混合料采购”，所有产品均须符合相关国家标准。 </w:t>
      </w:r>
    </w:p>
    <w:p w14:paraId="5259D3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二、技术要求</w:t>
      </w:r>
    </w:p>
    <w:p w14:paraId="06463272">
      <w:pPr>
        <w:keepNext w:val="0"/>
        <w:keepLines w:val="0"/>
        <w:widowControl/>
        <w:suppressLineNumbers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1.路用材料沥青、碎石、水泥、黄砂、矿粉等,其质量要求应符合交通部有关行业规范的技术要求。沥青采用A级70号道路石油沥青,各项指标详见下表:</w:t>
      </w:r>
    </w:p>
    <w:p w14:paraId="7CBE6CB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269865" cy="3740150"/>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9865" cy="3740150"/>
                    </a:xfrm>
                    <a:prstGeom prst="rect">
                      <a:avLst/>
                    </a:prstGeom>
                    <a:noFill/>
                    <a:ln>
                      <a:noFill/>
                    </a:ln>
                  </pic:spPr>
                </pic:pic>
              </a:graphicData>
            </a:graphic>
          </wp:inline>
        </w:drawing>
      </w:r>
    </w:p>
    <w:p w14:paraId="27A542B5">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2.沥青混合料</w:t>
      </w:r>
    </w:p>
    <w:p w14:paraId="02EB8376">
      <w:pPr>
        <w:bidi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drawing>
          <wp:inline distT="0" distB="0" distL="114300" distR="114300">
            <wp:extent cx="5363845" cy="1795780"/>
            <wp:effectExtent l="0" t="0" r="825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363845" cy="1795780"/>
                    </a:xfrm>
                    <a:prstGeom prst="rect">
                      <a:avLst/>
                    </a:prstGeom>
                    <a:noFill/>
                    <a:ln>
                      <a:noFill/>
                    </a:ln>
                  </pic:spPr>
                </pic:pic>
              </a:graphicData>
            </a:graphic>
          </wp:inline>
        </w:drawing>
      </w:r>
    </w:p>
    <w:p w14:paraId="38D8C12F">
      <w:pPr>
        <w:keepNext w:val="0"/>
        <w:keepLines w:val="0"/>
        <w:widowControl/>
        <w:suppressLineNumbers w:val="0"/>
        <w:ind w:firstLine="210" w:firstLineChars="1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3.粗集料</w:t>
      </w:r>
    </w:p>
    <w:p w14:paraId="1C436145">
      <w:pPr>
        <w:keepNext w:val="0"/>
        <w:keepLines w:val="0"/>
        <w:widowControl/>
        <w:suppressLineNumbers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用于沥青面层的粗集料应洁净、干燥、无风化、无杂质,具有足够的强度、耐磨耗性。厂家应有专门的除尘设备,严格控制针片状颗粒含量、粉尘的含量,采用部式机头破、反击式破碎机二破,整性机三破进行破碎,加工成最后的产品应具有良好较正方的颗粒形状。反对鄂式机复破碎,以防集料产生内伤,影响路面质量。粗集料的质量要求应符合下表规定:</w:t>
      </w:r>
    </w:p>
    <w:p w14:paraId="6B6547E5">
      <w:pPr>
        <w:keepNext w:val="0"/>
        <w:keepLines w:val="0"/>
        <w:widowControl/>
        <w:suppressLineNumbers w:val="0"/>
        <w:ind w:firstLine="210" w:firstLineChars="100"/>
        <w:jc w:val="left"/>
        <w:rPr>
          <w:rFonts w:hint="eastAsia" w:ascii="宋体" w:hAnsi="宋体" w:eastAsia="宋体" w:cs="宋体"/>
          <w:color w:val="auto"/>
          <w:kern w:val="2"/>
          <w:sz w:val="21"/>
          <w:szCs w:val="21"/>
          <w:highlight w:val="none"/>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color w:val="auto"/>
          <w:sz w:val="21"/>
          <w:szCs w:val="21"/>
          <w:highlight w:val="none"/>
        </w:rPr>
        <w:drawing>
          <wp:anchor distT="0" distB="0" distL="114300" distR="114300" simplePos="0" relativeHeight="251660288" behindDoc="0" locked="0" layoutInCell="1" allowOverlap="1">
            <wp:simplePos x="0" y="0"/>
            <wp:positionH relativeFrom="column">
              <wp:posOffset>34290</wp:posOffset>
            </wp:positionH>
            <wp:positionV relativeFrom="paragraph">
              <wp:posOffset>28575</wp:posOffset>
            </wp:positionV>
            <wp:extent cx="5269865" cy="4061460"/>
            <wp:effectExtent l="0" t="0" r="635"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69865" cy="4061460"/>
                    </a:xfrm>
                    <a:prstGeom prst="rect">
                      <a:avLst/>
                    </a:prstGeom>
                    <a:noFill/>
                    <a:ln>
                      <a:noFill/>
                    </a:ln>
                  </pic:spPr>
                </pic:pic>
              </a:graphicData>
            </a:graphic>
          </wp:anchor>
        </w:drawing>
      </w:r>
    </w:p>
    <w:p w14:paraId="28F2D7DA">
      <w:pPr>
        <w:bidi w:val="0"/>
        <w:rPr>
          <w:rFonts w:hint="eastAsia" w:ascii="宋体" w:hAnsi="宋体" w:eastAsia="宋体" w:cs="宋体"/>
          <w:color w:val="auto"/>
          <w:kern w:val="2"/>
          <w:sz w:val="21"/>
          <w:szCs w:val="21"/>
          <w:highlight w:val="none"/>
          <w:lang w:val="en-US" w:eastAsia="zh-CN" w:bidi="ar-SA"/>
        </w:rPr>
      </w:pPr>
    </w:p>
    <w:p w14:paraId="5681ACF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4.细集料 </w:t>
      </w:r>
    </w:p>
    <w:p w14:paraId="52F03F83">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细集料包括机制砂、石屑。细集料的生产必须由具有生产许可证的采石场、机制砂场生产,细集料的必须具有一定的级配,要符合《公路沥青路面施工技术规范》(JTF40-2004)中要求的沥青混合料细集料应洁净、干燥、无风化、无杂质,质量应符合下表的要求:</w:t>
      </w:r>
    </w:p>
    <w:p w14:paraId="38CAAE51">
      <w:pPr>
        <w:bidi w:val="0"/>
        <w:jc w:val="left"/>
        <w:rPr>
          <w:rFonts w:hint="eastAsia" w:ascii="宋体" w:hAnsi="宋体" w:eastAsia="宋体" w:cs="宋体"/>
          <w:color w:val="auto"/>
          <w:sz w:val="21"/>
          <w:szCs w:val="21"/>
          <w:highlight w:val="none"/>
        </w:rPr>
      </w:pPr>
    </w:p>
    <w:p w14:paraId="5FA71BA8">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272405" cy="2164715"/>
            <wp:effectExtent l="0" t="0" r="1079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72405" cy="2164715"/>
                    </a:xfrm>
                    <a:prstGeom prst="rect">
                      <a:avLst/>
                    </a:prstGeom>
                    <a:noFill/>
                    <a:ln>
                      <a:noFill/>
                    </a:ln>
                  </pic:spPr>
                </pic:pic>
              </a:graphicData>
            </a:graphic>
          </wp:inline>
        </w:drawing>
      </w:r>
    </w:p>
    <w:p w14:paraId="286027AC">
      <w:pPr>
        <w:bidi w:val="0"/>
        <w:rPr>
          <w:rFonts w:hint="eastAsia" w:ascii="宋体" w:hAnsi="宋体" w:eastAsia="宋体" w:cs="宋体"/>
          <w:color w:val="auto"/>
          <w:kern w:val="2"/>
          <w:sz w:val="21"/>
          <w:szCs w:val="21"/>
          <w:highlight w:val="none"/>
          <w:lang w:val="en-US" w:eastAsia="zh-CN" w:bidi="ar-SA"/>
        </w:rPr>
      </w:pPr>
    </w:p>
    <w:p w14:paraId="46A7DA8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注:①、对于石屑和机制砂,采用砂当量(适用于0-4.75m)或者亚甲蓝值指标(适用于0-2.36mm或0-0.15）来控制细集料洁净程度。机制砂的级配应该符合《公路沥青路面施工技术规范》(JT0F40-2004)中S16的要求。 </w:t>
      </w:r>
    </w:p>
    <w:p w14:paraId="1D8B20DF">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5.矿粉 </w:t>
      </w:r>
    </w:p>
    <w:p w14:paraId="710508EB">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用于沥青混合料的矿粉应采用石灰岩经磨细得到的矿粉,原石料的泥土杂质应除净。矿粉应洁净、干燥,能自由地从矿粉仓流出。掉和机的粉生可作为矿粉的一部分回收使用。但每盘用量不得超过填料总量的25%,掺有粉尘填料的塑性指数不得大于4%。其质量技术要求详见下表：</w:t>
      </w:r>
    </w:p>
    <w:p w14:paraId="518C59CD">
      <w:pPr>
        <w:keepNext w:val="0"/>
        <w:keepLines w:val="0"/>
        <w:widowControl/>
        <w:suppressLineNumbers w:val="0"/>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沥青混合料用矿粉技术要求</w:t>
      </w:r>
    </w:p>
    <w:tbl>
      <w:tblPr>
        <w:tblStyle w:val="48"/>
        <w:tblpPr w:leftFromText="180" w:rightFromText="180" w:vertAnchor="text" w:horzAnchor="page" w:tblpX="1871"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2245"/>
        <w:gridCol w:w="4157"/>
      </w:tblGrid>
      <w:tr w14:paraId="55BF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2"/>
            <w:vAlign w:val="top"/>
          </w:tcPr>
          <w:p w14:paraId="1542180F">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指标</w:t>
            </w:r>
          </w:p>
        </w:tc>
        <w:tc>
          <w:tcPr>
            <w:tcW w:w="4157" w:type="dxa"/>
            <w:vAlign w:val="top"/>
          </w:tcPr>
          <w:p w14:paraId="03CFC53D">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技术要求</w:t>
            </w:r>
          </w:p>
        </w:tc>
      </w:tr>
      <w:tr w14:paraId="71FD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2"/>
            <w:vAlign w:val="top"/>
          </w:tcPr>
          <w:p w14:paraId="6046844F">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表观密度不小于（t/m³）</w:t>
            </w:r>
          </w:p>
        </w:tc>
        <w:tc>
          <w:tcPr>
            <w:tcW w:w="4157" w:type="dxa"/>
            <w:vAlign w:val="top"/>
          </w:tcPr>
          <w:p w14:paraId="66845303">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2.45</w:t>
            </w:r>
          </w:p>
        </w:tc>
      </w:tr>
      <w:tr w14:paraId="536D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2"/>
            <w:vAlign w:val="top"/>
          </w:tcPr>
          <w:p w14:paraId="311E4452">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含水量不大于（%）</w:t>
            </w:r>
          </w:p>
        </w:tc>
        <w:tc>
          <w:tcPr>
            <w:tcW w:w="4157" w:type="dxa"/>
            <w:vAlign w:val="top"/>
          </w:tcPr>
          <w:p w14:paraId="1C6C9DCA">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14:paraId="7F53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Merge w:val="restart"/>
            <w:vAlign w:val="top"/>
          </w:tcPr>
          <w:p w14:paraId="4D348EC4">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p>
          <w:p w14:paraId="793F1F16">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粒度范围</w:t>
            </w:r>
          </w:p>
        </w:tc>
        <w:tc>
          <w:tcPr>
            <w:tcW w:w="2245" w:type="dxa"/>
            <w:vAlign w:val="top"/>
          </w:tcPr>
          <w:p w14:paraId="7AEAA0F9">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&lt;0.6（%）</w:t>
            </w:r>
          </w:p>
        </w:tc>
        <w:tc>
          <w:tcPr>
            <w:tcW w:w="4157" w:type="dxa"/>
            <w:vAlign w:val="top"/>
          </w:tcPr>
          <w:p w14:paraId="4365797E">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100</w:t>
            </w:r>
          </w:p>
        </w:tc>
      </w:tr>
      <w:tr w14:paraId="013D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Merge w:val="continue"/>
            <w:vAlign w:val="top"/>
          </w:tcPr>
          <w:p w14:paraId="79A6DADE">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p>
        </w:tc>
        <w:tc>
          <w:tcPr>
            <w:tcW w:w="2245" w:type="dxa"/>
            <w:vAlign w:val="top"/>
          </w:tcPr>
          <w:p w14:paraId="230B23CB">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&lt;0.15（%）</w:t>
            </w:r>
          </w:p>
        </w:tc>
        <w:tc>
          <w:tcPr>
            <w:tcW w:w="4157" w:type="dxa"/>
            <w:vAlign w:val="top"/>
          </w:tcPr>
          <w:p w14:paraId="0321BCC8">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90-100</w:t>
            </w:r>
          </w:p>
        </w:tc>
      </w:tr>
      <w:tr w14:paraId="65A9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Merge w:val="continue"/>
            <w:vAlign w:val="top"/>
          </w:tcPr>
          <w:p w14:paraId="06A69AFA">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p>
        </w:tc>
        <w:tc>
          <w:tcPr>
            <w:tcW w:w="2245" w:type="dxa"/>
            <w:vAlign w:val="top"/>
          </w:tcPr>
          <w:p w14:paraId="3D70847E">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&lt;0.075（%）</w:t>
            </w:r>
          </w:p>
        </w:tc>
        <w:tc>
          <w:tcPr>
            <w:tcW w:w="4157" w:type="dxa"/>
            <w:vAlign w:val="top"/>
          </w:tcPr>
          <w:p w14:paraId="7C96E40D">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70-100</w:t>
            </w:r>
          </w:p>
        </w:tc>
      </w:tr>
      <w:tr w14:paraId="26FC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2"/>
            <w:vAlign w:val="top"/>
          </w:tcPr>
          <w:p w14:paraId="76B25D57">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外观</w:t>
            </w:r>
          </w:p>
        </w:tc>
        <w:tc>
          <w:tcPr>
            <w:tcW w:w="4157" w:type="dxa"/>
            <w:vAlign w:val="top"/>
          </w:tcPr>
          <w:p w14:paraId="484274DD">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无团粒结块</w:t>
            </w:r>
          </w:p>
        </w:tc>
      </w:tr>
      <w:tr w14:paraId="439C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2"/>
            <w:vAlign w:val="top"/>
          </w:tcPr>
          <w:p w14:paraId="2357066B">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亲水系数</w:t>
            </w:r>
          </w:p>
        </w:tc>
        <w:tc>
          <w:tcPr>
            <w:tcW w:w="4157" w:type="dxa"/>
            <w:vAlign w:val="top"/>
          </w:tcPr>
          <w:p w14:paraId="535033B4">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&lt;1</w:t>
            </w:r>
          </w:p>
        </w:tc>
      </w:tr>
      <w:tr w14:paraId="57C4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2"/>
            <w:vAlign w:val="top"/>
          </w:tcPr>
          <w:p w14:paraId="39711F25">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塑性指数（%）</w:t>
            </w:r>
          </w:p>
        </w:tc>
        <w:tc>
          <w:tcPr>
            <w:tcW w:w="4157" w:type="dxa"/>
            <w:vAlign w:val="top"/>
          </w:tcPr>
          <w:p w14:paraId="087718EA">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&lt;4</w:t>
            </w:r>
          </w:p>
        </w:tc>
      </w:tr>
      <w:tr w14:paraId="7D52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2"/>
            <w:vAlign w:val="top"/>
          </w:tcPr>
          <w:p w14:paraId="12B666DC">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加热稳定性</w:t>
            </w:r>
          </w:p>
        </w:tc>
        <w:tc>
          <w:tcPr>
            <w:tcW w:w="4157" w:type="dxa"/>
            <w:vAlign w:val="top"/>
          </w:tcPr>
          <w:p w14:paraId="2374B0E2">
            <w:pPr>
              <w:keepNext w:val="0"/>
              <w:keepLines w:val="0"/>
              <w:suppressLineNumbers w:val="0"/>
              <w:tabs>
                <w:tab w:val="left" w:pos="248"/>
              </w:tabs>
              <w:bidi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实测记录</w:t>
            </w:r>
          </w:p>
        </w:tc>
      </w:tr>
    </w:tbl>
    <w:p w14:paraId="03055BF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14:paraId="280AA7E7">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6.PR抗车辙剂</w:t>
      </w:r>
    </w:p>
    <w:p w14:paraId="21D7D20D">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PR抗车辙剂最显著的优势是可以显著提高沥青混合料的动稳定度。尤其适用于具有高温、重载、渠化交通、长大纵坡等特点的沥青路面。本次要求采用进口抗车辙剂。</w:t>
      </w:r>
    </w:p>
    <w:p w14:paraId="47841E70">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①主要的技术要求 </w:t>
      </w:r>
    </w:p>
    <w:p w14:paraId="722E68E1">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抗车辙剂具有卓越的融合能力，极大的改善沥青胶体的结构，通过沥青和矿料之间特别的物理、化学作用来发挥功效，使沥青混凝土高温稳定性得到提高。能有效提高沥青混合料的高温抗变形能力，动稳定度达到6000次/m以上。除有效提高和改善高温稳定性和抗变形能力外，不影响水稳定性及低温抗裂性能。</w:t>
      </w:r>
    </w:p>
    <w:p w14:paraId="6B4897C7">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p>
    <w:p w14:paraId="66A264DD">
      <w:pPr>
        <w:bidi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drawing>
          <wp:inline distT="0" distB="0" distL="114300" distR="114300">
            <wp:extent cx="5272405" cy="1828165"/>
            <wp:effectExtent l="0" t="0" r="1079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72405" cy="1828165"/>
                    </a:xfrm>
                    <a:prstGeom prst="rect">
                      <a:avLst/>
                    </a:prstGeom>
                    <a:noFill/>
                    <a:ln>
                      <a:noFill/>
                    </a:ln>
                  </pic:spPr>
                </pic:pic>
              </a:graphicData>
            </a:graphic>
          </wp:inline>
        </w:drawing>
      </w:r>
    </w:p>
    <w:p w14:paraId="28C74041">
      <w:pPr>
        <w:bidi w:val="0"/>
        <w:rPr>
          <w:rFonts w:hint="eastAsia" w:ascii="宋体" w:hAnsi="宋体" w:eastAsia="宋体" w:cs="宋体"/>
          <w:color w:val="auto"/>
          <w:kern w:val="2"/>
          <w:sz w:val="21"/>
          <w:szCs w:val="21"/>
          <w:highlight w:val="none"/>
          <w:lang w:val="en-US" w:eastAsia="zh-CN" w:bidi="ar-SA"/>
        </w:rPr>
      </w:pPr>
    </w:p>
    <w:p w14:paraId="6C70F434">
      <w:pPr>
        <w:keepNext w:val="0"/>
        <w:keepLines w:val="0"/>
        <w:widowControl/>
        <w:suppressLineNumbers w:val="0"/>
        <w:ind w:firstLine="420" w:firstLineChars="200"/>
        <w:jc w:val="left"/>
        <w:rPr>
          <w:rFonts w:hint="default" w:ascii="宋体" w:hAnsi="宋体" w:eastAsia="宋体" w:cs="宋体"/>
          <w:color w:val="auto"/>
          <w:kern w:val="0"/>
          <w:sz w:val="30"/>
          <w:szCs w:val="30"/>
          <w:highlight w:val="none"/>
          <w:lang w:val="en-US" w:eastAsia="zh-CN" w:bidi="ar"/>
        </w:rPr>
      </w:pPr>
      <w:r>
        <w:rPr>
          <w:rFonts w:hint="eastAsia" w:ascii="宋体" w:hAnsi="宋体" w:eastAsia="宋体" w:cs="宋体"/>
          <w:color w:val="auto"/>
          <w:kern w:val="0"/>
          <w:sz w:val="21"/>
          <w:szCs w:val="21"/>
          <w:highlight w:val="none"/>
          <w:lang w:val="en-US" w:eastAsia="zh-CN" w:bidi="ar"/>
        </w:rPr>
        <w:t>由于抗车辙剂掺量很小(本次采用0.3%,即每顿沥青混合料中添加 3.kg),故理论密度计算时可不考虑其影响(推荐采用实测法) 。 室内实验室试验方法应根据采用的抗车辙剂的特点与厂家咨询后进行试验。试验检测方法按照现行《公路工程沥青及沥青混合料试验规程》(JTJ052-2011) 规定的方法 执行。</w:t>
      </w:r>
    </w:p>
    <w:p w14:paraId="31644057">
      <w:pPr>
        <w:keepNext w:val="0"/>
        <w:keepLines w:val="0"/>
        <w:widowControl/>
        <w:suppressLineNumbers w:val="0"/>
        <w:ind w:firstLine="1400" w:firstLineChars="500"/>
        <w:jc w:val="left"/>
        <w:rPr>
          <w:rFonts w:hint="default" w:ascii="宋体" w:hAnsi="宋体" w:eastAsia="宋体" w:cs="宋体"/>
          <w:color w:val="auto"/>
          <w:kern w:val="0"/>
          <w:sz w:val="28"/>
          <w:szCs w:val="28"/>
          <w:highlight w:val="none"/>
          <w:lang w:val="en-US" w:eastAsia="zh-CN" w:bidi="ar"/>
        </w:rPr>
      </w:pPr>
      <w:r>
        <w:rPr>
          <w:rFonts w:hint="default" w:ascii="宋体" w:hAnsi="宋体" w:eastAsia="宋体" w:cs="宋体"/>
          <w:color w:val="auto"/>
          <w:kern w:val="0"/>
          <w:sz w:val="28"/>
          <w:szCs w:val="28"/>
          <w:highlight w:val="none"/>
          <w:lang w:val="en-US" w:eastAsia="zh-CN" w:bidi="ar"/>
        </w:rPr>
        <w:t>密级配沥青混合料马歇尔试验技术标准</w:t>
      </w:r>
    </w:p>
    <w:p w14:paraId="2B021C7E">
      <w:pPr>
        <w:bidi w:val="0"/>
        <w:rPr>
          <w:color w:val="auto"/>
          <w:highlight w:val="none"/>
          <w:lang w:val="en-US" w:eastAsia="zh-CN"/>
        </w:rPr>
      </w:pPr>
    </w:p>
    <w:tbl>
      <w:tblPr>
        <w:tblStyle w:val="48"/>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700"/>
        <w:gridCol w:w="1000"/>
        <w:gridCol w:w="946"/>
        <w:gridCol w:w="854"/>
        <w:gridCol w:w="964"/>
        <w:gridCol w:w="927"/>
        <w:gridCol w:w="1654"/>
      </w:tblGrid>
      <w:tr w14:paraId="5EE3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gridSpan w:val="2"/>
          </w:tcPr>
          <w:p w14:paraId="2E46DB43">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试验指标</w:t>
            </w:r>
          </w:p>
        </w:tc>
        <w:tc>
          <w:tcPr>
            <w:tcW w:w="2800" w:type="dxa"/>
            <w:gridSpan w:val="3"/>
          </w:tcPr>
          <w:p w14:paraId="0DEFBDE1">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单位</w:t>
            </w:r>
          </w:p>
        </w:tc>
        <w:tc>
          <w:tcPr>
            <w:tcW w:w="3545" w:type="dxa"/>
            <w:gridSpan w:val="3"/>
          </w:tcPr>
          <w:p w14:paraId="5C4B3151">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指标</w:t>
            </w:r>
          </w:p>
        </w:tc>
      </w:tr>
      <w:tr w14:paraId="7C27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gridSpan w:val="2"/>
          </w:tcPr>
          <w:p w14:paraId="636376F0">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击实次数（双面）</w:t>
            </w:r>
          </w:p>
        </w:tc>
        <w:tc>
          <w:tcPr>
            <w:tcW w:w="2800" w:type="dxa"/>
            <w:gridSpan w:val="3"/>
          </w:tcPr>
          <w:p w14:paraId="3AA06443">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次</w:t>
            </w:r>
          </w:p>
        </w:tc>
        <w:tc>
          <w:tcPr>
            <w:tcW w:w="3545" w:type="dxa"/>
            <w:gridSpan w:val="3"/>
          </w:tcPr>
          <w:p w14:paraId="0995B3CF">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r>
      <w:tr w14:paraId="1DC3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91" w:type="dxa"/>
            <w:gridSpan w:val="2"/>
          </w:tcPr>
          <w:p w14:paraId="257AE060">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试件尺寸</w:t>
            </w:r>
          </w:p>
        </w:tc>
        <w:tc>
          <w:tcPr>
            <w:tcW w:w="2800" w:type="dxa"/>
            <w:gridSpan w:val="3"/>
          </w:tcPr>
          <w:p w14:paraId="19792338">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mm</w:t>
            </w:r>
          </w:p>
        </w:tc>
        <w:tc>
          <w:tcPr>
            <w:tcW w:w="3545" w:type="dxa"/>
            <w:gridSpan w:val="3"/>
          </w:tcPr>
          <w:p w14:paraId="76A1136F">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Φ101.6mm*63.5mm</w:t>
            </w:r>
          </w:p>
        </w:tc>
      </w:tr>
      <w:tr w14:paraId="4D18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tcPr>
          <w:p w14:paraId="5EB18141">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空隙率vv</w:t>
            </w:r>
          </w:p>
        </w:tc>
        <w:tc>
          <w:tcPr>
            <w:tcW w:w="1700" w:type="dxa"/>
          </w:tcPr>
          <w:p w14:paraId="2260D211">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深约90mm以内</w:t>
            </w:r>
          </w:p>
        </w:tc>
        <w:tc>
          <w:tcPr>
            <w:tcW w:w="2800" w:type="dxa"/>
            <w:gridSpan w:val="3"/>
          </w:tcPr>
          <w:p w14:paraId="7C644BA8">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3545" w:type="dxa"/>
            <w:gridSpan w:val="3"/>
          </w:tcPr>
          <w:p w14:paraId="068D7BC8">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3-6</w:t>
            </w:r>
          </w:p>
        </w:tc>
      </w:tr>
      <w:tr w14:paraId="23F6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14:paraId="037DF3C5">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p>
        </w:tc>
        <w:tc>
          <w:tcPr>
            <w:tcW w:w="1700" w:type="dxa"/>
          </w:tcPr>
          <w:p w14:paraId="053D2FA5">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深约90mm以下</w:t>
            </w:r>
          </w:p>
        </w:tc>
        <w:tc>
          <w:tcPr>
            <w:tcW w:w="2800" w:type="dxa"/>
            <w:gridSpan w:val="3"/>
          </w:tcPr>
          <w:p w14:paraId="04B6C05D">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3545" w:type="dxa"/>
            <w:gridSpan w:val="3"/>
          </w:tcPr>
          <w:p w14:paraId="28B6676C">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3-6</w:t>
            </w:r>
          </w:p>
        </w:tc>
      </w:tr>
      <w:tr w14:paraId="5EFA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gridSpan w:val="2"/>
          </w:tcPr>
          <w:p w14:paraId="61571BFD">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稳定度MS不小于</w:t>
            </w:r>
          </w:p>
        </w:tc>
        <w:tc>
          <w:tcPr>
            <w:tcW w:w="2800" w:type="dxa"/>
            <w:gridSpan w:val="3"/>
          </w:tcPr>
          <w:p w14:paraId="0EF21503">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KN</w:t>
            </w:r>
          </w:p>
        </w:tc>
        <w:tc>
          <w:tcPr>
            <w:tcW w:w="3545" w:type="dxa"/>
            <w:gridSpan w:val="3"/>
          </w:tcPr>
          <w:p w14:paraId="5F2D99DC">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r>
      <w:tr w14:paraId="3799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gridSpan w:val="2"/>
          </w:tcPr>
          <w:p w14:paraId="3F3D3519">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流值FL</w:t>
            </w:r>
          </w:p>
        </w:tc>
        <w:tc>
          <w:tcPr>
            <w:tcW w:w="2800" w:type="dxa"/>
            <w:gridSpan w:val="3"/>
          </w:tcPr>
          <w:p w14:paraId="420F4FD1">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mm</w:t>
            </w:r>
          </w:p>
        </w:tc>
        <w:tc>
          <w:tcPr>
            <w:tcW w:w="3545" w:type="dxa"/>
            <w:gridSpan w:val="3"/>
          </w:tcPr>
          <w:p w14:paraId="2766552B">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r>
      <w:tr w14:paraId="73B1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tcPr>
          <w:p w14:paraId="5562F3B2">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矿料间隙率VMA（%）不小于</w:t>
            </w:r>
          </w:p>
        </w:tc>
        <w:tc>
          <w:tcPr>
            <w:tcW w:w="1700" w:type="dxa"/>
          </w:tcPr>
          <w:p w14:paraId="17295D60">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设计空隙率（%）</w:t>
            </w:r>
          </w:p>
        </w:tc>
        <w:tc>
          <w:tcPr>
            <w:tcW w:w="6345" w:type="dxa"/>
            <w:gridSpan w:val="6"/>
          </w:tcPr>
          <w:p w14:paraId="7D429947">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相应于以下公称最大粒径（mm）的最小VMA技术要求（%）</w:t>
            </w:r>
          </w:p>
        </w:tc>
      </w:tr>
      <w:tr w14:paraId="129E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14:paraId="202A86A9">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p>
        </w:tc>
        <w:tc>
          <w:tcPr>
            <w:tcW w:w="1700" w:type="dxa"/>
          </w:tcPr>
          <w:p w14:paraId="0BD1BA54">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000" w:type="dxa"/>
          </w:tcPr>
          <w:p w14:paraId="3517E240">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26.5</w:t>
            </w:r>
          </w:p>
        </w:tc>
        <w:tc>
          <w:tcPr>
            <w:tcW w:w="946" w:type="dxa"/>
          </w:tcPr>
          <w:p w14:paraId="0DA86C88">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854" w:type="dxa"/>
          </w:tcPr>
          <w:p w14:paraId="1B56C353">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964" w:type="dxa"/>
          </w:tcPr>
          <w:p w14:paraId="1256BB47">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927" w:type="dxa"/>
          </w:tcPr>
          <w:p w14:paraId="356A01ED">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54" w:type="dxa"/>
          </w:tcPr>
          <w:p w14:paraId="43CEC229">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4.75</w:t>
            </w:r>
          </w:p>
        </w:tc>
      </w:tr>
      <w:tr w14:paraId="0E59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14:paraId="1E2CFF72">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p>
        </w:tc>
        <w:tc>
          <w:tcPr>
            <w:tcW w:w="1700" w:type="dxa"/>
          </w:tcPr>
          <w:p w14:paraId="587ED999">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000" w:type="dxa"/>
          </w:tcPr>
          <w:p w14:paraId="31789D0B">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946" w:type="dxa"/>
          </w:tcPr>
          <w:p w14:paraId="390A5B5C">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854" w:type="dxa"/>
          </w:tcPr>
          <w:p w14:paraId="1CA0C485">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964" w:type="dxa"/>
          </w:tcPr>
          <w:p w14:paraId="5C745467">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927" w:type="dxa"/>
          </w:tcPr>
          <w:p w14:paraId="13F52588">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1654" w:type="dxa"/>
          </w:tcPr>
          <w:p w14:paraId="3850D0BA">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r>
      <w:tr w14:paraId="58D2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14:paraId="2DB1ED96">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p>
        </w:tc>
        <w:tc>
          <w:tcPr>
            <w:tcW w:w="1700" w:type="dxa"/>
          </w:tcPr>
          <w:p w14:paraId="79FE18C3">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000" w:type="dxa"/>
          </w:tcPr>
          <w:p w14:paraId="7A7EE536">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946" w:type="dxa"/>
          </w:tcPr>
          <w:p w14:paraId="378927F1">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854" w:type="dxa"/>
          </w:tcPr>
          <w:p w14:paraId="1CF53F2E">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964" w:type="dxa"/>
          </w:tcPr>
          <w:p w14:paraId="5BDAE448">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927" w:type="dxa"/>
          </w:tcPr>
          <w:p w14:paraId="7509144B">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654" w:type="dxa"/>
          </w:tcPr>
          <w:p w14:paraId="15F33856">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r>
      <w:tr w14:paraId="21E7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14:paraId="203AC8A8">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p>
        </w:tc>
        <w:tc>
          <w:tcPr>
            <w:tcW w:w="1700" w:type="dxa"/>
          </w:tcPr>
          <w:p w14:paraId="5F340AD3">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000" w:type="dxa"/>
          </w:tcPr>
          <w:p w14:paraId="6008468C">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946" w:type="dxa"/>
          </w:tcPr>
          <w:p w14:paraId="3CF0F228">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854" w:type="dxa"/>
          </w:tcPr>
          <w:p w14:paraId="7FC10E3C">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964" w:type="dxa"/>
          </w:tcPr>
          <w:p w14:paraId="4974FF89">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927" w:type="dxa"/>
          </w:tcPr>
          <w:p w14:paraId="2C696442">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654" w:type="dxa"/>
          </w:tcPr>
          <w:p w14:paraId="5C07EA24">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r>
      <w:tr w14:paraId="59E0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14:paraId="1698A10B">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p>
        </w:tc>
        <w:tc>
          <w:tcPr>
            <w:tcW w:w="1700" w:type="dxa"/>
          </w:tcPr>
          <w:p w14:paraId="3BE0F98F">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000" w:type="dxa"/>
          </w:tcPr>
          <w:p w14:paraId="0EF344F7">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946" w:type="dxa"/>
          </w:tcPr>
          <w:p w14:paraId="254FE210">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854" w:type="dxa"/>
          </w:tcPr>
          <w:p w14:paraId="29AC61FC">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964" w:type="dxa"/>
          </w:tcPr>
          <w:p w14:paraId="508A0E4B">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927" w:type="dxa"/>
          </w:tcPr>
          <w:p w14:paraId="4DED85E7">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654" w:type="dxa"/>
          </w:tcPr>
          <w:p w14:paraId="0EC35C96">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r>
      <w:tr w14:paraId="72E7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gridSpan w:val="2"/>
          </w:tcPr>
          <w:p w14:paraId="54FC43B4">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沥青饱和度VFA（%）</w:t>
            </w:r>
          </w:p>
        </w:tc>
        <w:tc>
          <w:tcPr>
            <w:tcW w:w="1000" w:type="dxa"/>
          </w:tcPr>
          <w:p w14:paraId="5818301F">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55-70</w:t>
            </w:r>
          </w:p>
        </w:tc>
        <w:tc>
          <w:tcPr>
            <w:tcW w:w="2764" w:type="dxa"/>
            <w:gridSpan w:val="3"/>
          </w:tcPr>
          <w:p w14:paraId="6F672789">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65-75</w:t>
            </w:r>
          </w:p>
        </w:tc>
        <w:tc>
          <w:tcPr>
            <w:tcW w:w="2581" w:type="dxa"/>
            <w:gridSpan w:val="2"/>
          </w:tcPr>
          <w:p w14:paraId="65974E01">
            <w:pPr>
              <w:keepNext w:val="0"/>
              <w:keepLines w:val="0"/>
              <w:suppressLineNumbers w:val="0"/>
              <w:bidi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70-85</w:t>
            </w:r>
          </w:p>
        </w:tc>
      </w:tr>
    </w:tbl>
    <w:p w14:paraId="42E0FC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lang w:val="en-US" w:eastAsia="zh-CN"/>
        </w:rPr>
      </w:pPr>
    </w:p>
    <w:p w14:paraId="6047F6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三、采购清单</w:t>
      </w:r>
    </w:p>
    <w:tbl>
      <w:tblPr>
        <w:tblStyle w:val="47"/>
        <w:tblW w:w="9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2"/>
        <w:gridCol w:w="2615"/>
        <w:gridCol w:w="1362"/>
        <w:gridCol w:w="1732"/>
        <w:gridCol w:w="1976"/>
      </w:tblGrid>
      <w:tr w14:paraId="7EC1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14:paraId="3FEFB9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序号</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466A2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
              </w:rPr>
              <w:t>种类</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046D5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
              </w:rPr>
              <w:t>计划采购</w:t>
            </w:r>
            <w:r>
              <w:rPr>
                <w:rFonts w:hint="eastAsia" w:eastAsia="宋体" w:cs="宋体"/>
                <w:i w:val="0"/>
                <w:iCs w:val="0"/>
                <w:color w:val="auto"/>
                <w:sz w:val="24"/>
                <w:szCs w:val="24"/>
                <w:highlight w:val="none"/>
                <w:u w:val="none"/>
                <w:lang w:val="en-US" w:eastAsia="zh-CN"/>
              </w:rPr>
              <w:t>数量（吨）</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6E1EFB9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综合单价最高限价（元/吨）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9E692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最高限价（元）</w:t>
            </w:r>
          </w:p>
        </w:tc>
      </w:tr>
      <w:tr w14:paraId="465F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14:paraId="7F9648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2DAC862A">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rPr>
            </w:pPr>
            <w:r>
              <w:rPr>
                <w:rFonts w:hint="default" w:ascii="Calibri" w:hAnsi="Calibri" w:eastAsia="宋体" w:cs="Calibri"/>
                <w:color w:val="auto"/>
                <w:kern w:val="2"/>
                <w:sz w:val="21"/>
                <w:szCs w:val="21"/>
                <w:highlight w:val="none"/>
                <w:lang w:val="en-US" w:eastAsia="zh-CN" w:bidi="ar"/>
              </w:rPr>
              <w:t>AC-13</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70</w:t>
            </w:r>
            <w:r>
              <w:rPr>
                <w:rFonts w:hint="eastAsia" w:ascii="宋体" w:hAnsi="宋体" w:eastAsia="宋体" w:cs="宋体"/>
                <w:color w:val="auto"/>
                <w:kern w:val="2"/>
                <w:sz w:val="21"/>
                <w:szCs w:val="21"/>
                <w:highlight w:val="none"/>
                <w:lang w:val="en-US" w:eastAsia="zh-CN" w:bidi="ar"/>
              </w:rPr>
              <w:t>号</w:t>
            </w:r>
            <w:r>
              <w:rPr>
                <w:rFonts w:hint="default" w:ascii="Calibri" w:hAnsi="Calibri" w:eastAsia="宋体" w:cs="Calibri"/>
                <w:color w:val="auto"/>
                <w:kern w:val="2"/>
                <w:sz w:val="21"/>
                <w:szCs w:val="21"/>
                <w:highlight w:val="none"/>
                <w:lang w:val="en-US" w:eastAsia="zh-CN" w:bidi="ar"/>
              </w:rPr>
              <w:t>A</w:t>
            </w:r>
            <w:r>
              <w:rPr>
                <w:rFonts w:hint="eastAsia" w:ascii="宋体" w:hAnsi="宋体" w:eastAsia="宋体" w:cs="宋体"/>
                <w:color w:val="auto"/>
                <w:kern w:val="2"/>
                <w:sz w:val="21"/>
                <w:szCs w:val="21"/>
                <w:highlight w:val="none"/>
                <w:lang w:val="en-US" w:eastAsia="zh-CN" w:bidi="ar"/>
              </w:rPr>
              <w:t>，石灰岩）</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5389AAB8">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kern w:val="2"/>
                <w:sz w:val="21"/>
                <w:szCs w:val="21"/>
                <w:highlight w:val="none"/>
                <w:lang w:val="en-US" w:eastAsia="zh-CN" w:bidi="ar"/>
              </w:rPr>
              <w:t>1000</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2F7AA6B1">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kern w:val="2"/>
                <w:sz w:val="21"/>
                <w:szCs w:val="21"/>
                <w:highlight w:val="none"/>
                <w:lang w:val="en-US" w:eastAsia="zh-CN" w:bidi="ar"/>
              </w:rPr>
              <w:t>5</w:t>
            </w:r>
            <w:r>
              <w:rPr>
                <w:rFonts w:hint="eastAsia" w:ascii="Calibri" w:hAnsi="Calibri" w:eastAsia="宋体" w:cs="Calibri"/>
                <w:color w:val="auto"/>
                <w:kern w:val="2"/>
                <w:sz w:val="21"/>
                <w:szCs w:val="21"/>
                <w:highlight w:val="none"/>
                <w:lang w:val="en-US" w:eastAsia="zh-CN" w:bidi="ar"/>
              </w:rPr>
              <w:t>30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A28B1FC">
            <w:pPr>
              <w:keepNext w:val="0"/>
              <w:keepLines w:val="0"/>
              <w:widowControl w:val="0"/>
              <w:suppressLineNumbers w:val="0"/>
              <w:tabs>
                <w:tab w:val="left" w:pos="731"/>
              </w:tabs>
              <w:spacing w:before="0" w:beforeAutospacing="0" w:after="0" w:afterAutospacing="0"/>
              <w:ind w:left="0" w:leftChars="0" w:right="0" w:rightChars="0"/>
              <w:jc w:val="center"/>
              <w:rPr>
                <w:rFonts w:hint="eastAsia" w:ascii="Calibri" w:hAnsi="Calibri" w:eastAsia="宋体" w:cs="Calibri"/>
                <w:color w:val="auto"/>
                <w:kern w:val="2"/>
                <w:sz w:val="21"/>
                <w:szCs w:val="21"/>
                <w:highlight w:val="none"/>
                <w:lang w:val="en-US" w:eastAsia="zh-CN" w:bidi="ar"/>
              </w:rPr>
            </w:pPr>
            <w:r>
              <w:rPr>
                <w:rFonts w:hint="default" w:ascii="Calibri" w:hAnsi="Calibri" w:eastAsia="宋体" w:cs="Calibri"/>
                <w:color w:val="auto"/>
                <w:kern w:val="2"/>
                <w:sz w:val="21"/>
                <w:szCs w:val="21"/>
                <w:highlight w:val="none"/>
                <w:lang w:val="en-US" w:eastAsia="zh-CN" w:bidi="ar"/>
              </w:rPr>
              <w:t>530000</w:t>
            </w:r>
          </w:p>
        </w:tc>
      </w:tr>
      <w:tr w14:paraId="670E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14:paraId="0E1ACFB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190AF626">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color w:val="auto"/>
                <w:kern w:val="0"/>
                <w:sz w:val="24"/>
                <w:szCs w:val="24"/>
                <w:highlight w:val="none"/>
                <w:u w:val="none"/>
                <w:lang w:val="en-US" w:eastAsia="zh-CN" w:bidi="ar"/>
              </w:rPr>
            </w:pPr>
            <w:r>
              <w:rPr>
                <w:rFonts w:hint="default" w:ascii="Calibri" w:hAnsi="Calibri" w:eastAsia="宋体" w:cs="Calibri"/>
                <w:color w:val="auto"/>
                <w:kern w:val="2"/>
                <w:sz w:val="21"/>
                <w:szCs w:val="21"/>
                <w:highlight w:val="none"/>
                <w:lang w:val="en-US" w:eastAsia="zh-CN" w:bidi="ar"/>
              </w:rPr>
              <w:t>AC-13</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SBS</w:t>
            </w:r>
            <w:r>
              <w:rPr>
                <w:rFonts w:hint="eastAsia" w:ascii="宋体" w:hAnsi="宋体" w:eastAsia="宋体" w:cs="宋体"/>
                <w:color w:val="auto"/>
                <w:kern w:val="2"/>
                <w:sz w:val="21"/>
                <w:szCs w:val="21"/>
                <w:highlight w:val="none"/>
                <w:lang w:val="en-US" w:eastAsia="zh-CN" w:bidi="ar"/>
              </w:rPr>
              <w:t>，石灰岩）</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161F0372">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kern w:val="2"/>
                <w:sz w:val="21"/>
                <w:szCs w:val="21"/>
                <w:highlight w:val="none"/>
                <w:lang w:val="en-US" w:eastAsia="zh-CN" w:bidi="ar"/>
              </w:rPr>
              <w:t>300</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072FFAF9">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kern w:val="2"/>
                <w:sz w:val="21"/>
                <w:szCs w:val="21"/>
                <w:highlight w:val="none"/>
                <w:lang w:val="en-US" w:eastAsia="zh-CN" w:bidi="ar"/>
              </w:rPr>
              <w:t>5</w:t>
            </w:r>
            <w:r>
              <w:rPr>
                <w:rFonts w:hint="eastAsia" w:ascii="Calibri" w:hAnsi="Calibri" w:eastAsia="宋体" w:cs="Calibri"/>
                <w:color w:val="auto"/>
                <w:kern w:val="2"/>
                <w:sz w:val="21"/>
                <w:szCs w:val="21"/>
                <w:highlight w:val="none"/>
                <w:lang w:val="en-US" w:eastAsia="zh-CN" w:bidi="ar"/>
              </w:rPr>
              <w:t>50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2E3A7E6">
            <w:pPr>
              <w:keepNext w:val="0"/>
              <w:keepLines w:val="0"/>
              <w:widowControl w:val="0"/>
              <w:suppressLineNumbers w:val="0"/>
              <w:tabs>
                <w:tab w:val="left" w:pos="731"/>
              </w:tabs>
              <w:spacing w:before="0" w:beforeAutospacing="0" w:after="0" w:afterAutospacing="0"/>
              <w:ind w:left="0" w:leftChars="0" w:right="0" w:rightChars="0"/>
              <w:jc w:val="center"/>
              <w:rPr>
                <w:rFonts w:hint="eastAsia" w:ascii="Calibri" w:hAnsi="Calibri" w:eastAsia="宋体" w:cs="Calibri"/>
                <w:color w:val="auto"/>
                <w:kern w:val="2"/>
                <w:sz w:val="21"/>
                <w:szCs w:val="21"/>
                <w:highlight w:val="none"/>
                <w:lang w:val="en-US" w:eastAsia="zh-CN" w:bidi="ar"/>
              </w:rPr>
            </w:pPr>
            <w:r>
              <w:rPr>
                <w:rFonts w:hint="default" w:ascii="Calibri" w:hAnsi="Calibri" w:eastAsia="宋体" w:cs="Calibri"/>
                <w:color w:val="auto"/>
                <w:kern w:val="2"/>
                <w:sz w:val="21"/>
                <w:szCs w:val="21"/>
                <w:highlight w:val="none"/>
                <w:lang w:val="en-US" w:eastAsia="zh-CN" w:bidi="ar"/>
              </w:rPr>
              <w:t>165000</w:t>
            </w:r>
          </w:p>
        </w:tc>
      </w:tr>
      <w:tr w14:paraId="3A4B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14:paraId="38477241">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02573230">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color w:val="auto"/>
                <w:kern w:val="0"/>
                <w:sz w:val="24"/>
                <w:szCs w:val="24"/>
                <w:highlight w:val="none"/>
                <w:u w:val="none"/>
                <w:lang w:val="en-US" w:eastAsia="zh-CN" w:bidi="ar"/>
              </w:rPr>
            </w:pPr>
            <w:r>
              <w:rPr>
                <w:rFonts w:hint="default" w:ascii="Calibri" w:hAnsi="Calibri" w:eastAsia="宋体" w:cs="Calibri"/>
                <w:color w:val="auto"/>
                <w:kern w:val="2"/>
                <w:sz w:val="21"/>
                <w:szCs w:val="21"/>
                <w:highlight w:val="none"/>
                <w:lang w:val="en-US" w:eastAsia="zh-CN" w:bidi="ar"/>
              </w:rPr>
              <w:t>AC-13</w:t>
            </w:r>
            <w:r>
              <w:rPr>
                <w:rFonts w:hint="eastAsia" w:ascii="宋体" w:hAnsi="宋体" w:eastAsia="宋体" w:cs="宋体"/>
                <w:color w:val="auto"/>
                <w:kern w:val="2"/>
                <w:sz w:val="21"/>
                <w:szCs w:val="21"/>
                <w:highlight w:val="none"/>
                <w:lang w:val="en-US" w:eastAsia="zh-CN" w:bidi="ar"/>
              </w:rPr>
              <w:t>（橡胶改性沥青，玄武岩，</w:t>
            </w:r>
            <w:r>
              <w:rPr>
                <w:rFonts w:hint="default" w:ascii="Calibri" w:hAnsi="Calibri" w:eastAsia="宋体" w:cs="Calibri"/>
                <w:color w:val="auto"/>
                <w:kern w:val="2"/>
                <w:sz w:val="21"/>
                <w:szCs w:val="21"/>
                <w:highlight w:val="none"/>
                <w:lang w:val="en-US" w:eastAsia="zh-CN" w:bidi="ar"/>
              </w:rPr>
              <w:t xml:space="preserve">0.3%PR </w:t>
            </w:r>
            <w:r>
              <w:rPr>
                <w:rFonts w:hint="eastAsia" w:ascii="宋体" w:hAnsi="宋体" w:eastAsia="宋体" w:cs="宋体"/>
                <w:color w:val="auto"/>
                <w:kern w:val="2"/>
                <w:sz w:val="21"/>
                <w:szCs w:val="21"/>
                <w:highlight w:val="none"/>
                <w:lang w:val="en-US" w:eastAsia="zh-CN" w:bidi="ar"/>
              </w:rPr>
              <w:t>抗车辙剂）</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2922537D">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kern w:val="2"/>
                <w:sz w:val="21"/>
                <w:szCs w:val="21"/>
                <w:highlight w:val="none"/>
                <w:lang w:val="en-US" w:eastAsia="zh-CN" w:bidi="ar"/>
              </w:rPr>
              <w:t>850</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49A442D8">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kern w:val="2"/>
                <w:sz w:val="21"/>
                <w:szCs w:val="21"/>
                <w:highlight w:val="none"/>
                <w:lang w:val="en-US" w:eastAsia="zh-CN" w:bidi="ar"/>
              </w:rPr>
              <w:t>6</w:t>
            </w:r>
            <w:r>
              <w:rPr>
                <w:rFonts w:hint="eastAsia" w:ascii="Calibri" w:hAnsi="Calibri" w:eastAsia="宋体" w:cs="Calibri"/>
                <w:color w:val="auto"/>
                <w:kern w:val="2"/>
                <w:sz w:val="21"/>
                <w:szCs w:val="21"/>
                <w:highlight w:val="none"/>
                <w:lang w:val="en-US" w:eastAsia="zh-CN" w:bidi="ar"/>
              </w:rPr>
              <w:t>50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E59F4AB">
            <w:pPr>
              <w:keepNext w:val="0"/>
              <w:keepLines w:val="0"/>
              <w:widowControl w:val="0"/>
              <w:suppressLineNumbers w:val="0"/>
              <w:tabs>
                <w:tab w:val="left" w:pos="731"/>
              </w:tabs>
              <w:spacing w:before="0" w:beforeAutospacing="0" w:after="0" w:afterAutospacing="0"/>
              <w:ind w:left="0" w:leftChars="0" w:right="0" w:rightChars="0"/>
              <w:jc w:val="center"/>
              <w:rPr>
                <w:rFonts w:hint="eastAsia" w:ascii="Calibri" w:hAnsi="Calibri" w:eastAsia="宋体" w:cs="Calibri"/>
                <w:color w:val="auto"/>
                <w:kern w:val="2"/>
                <w:sz w:val="21"/>
                <w:szCs w:val="21"/>
                <w:highlight w:val="none"/>
                <w:lang w:val="en-US" w:eastAsia="zh-CN" w:bidi="ar"/>
              </w:rPr>
            </w:pPr>
            <w:r>
              <w:rPr>
                <w:rFonts w:hint="default" w:ascii="Calibri" w:hAnsi="Calibri" w:eastAsia="宋体" w:cs="Calibri"/>
                <w:color w:val="auto"/>
                <w:kern w:val="2"/>
                <w:sz w:val="21"/>
                <w:szCs w:val="21"/>
                <w:highlight w:val="none"/>
                <w:lang w:val="en-US" w:eastAsia="zh-CN" w:bidi="ar"/>
              </w:rPr>
              <w:t>552500</w:t>
            </w:r>
          </w:p>
        </w:tc>
      </w:tr>
      <w:tr w14:paraId="1F3E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14:paraId="285C2806">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4</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332DD144">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color w:val="auto"/>
                <w:kern w:val="0"/>
                <w:sz w:val="24"/>
                <w:szCs w:val="24"/>
                <w:highlight w:val="none"/>
                <w:u w:val="none"/>
                <w:lang w:val="en-US" w:eastAsia="zh-CN" w:bidi="ar"/>
              </w:rPr>
            </w:pPr>
            <w:r>
              <w:rPr>
                <w:rFonts w:hint="default" w:ascii="Calibri" w:hAnsi="Calibri" w:eastAsia="宋体" w:cs="Calibri"/>
                <w:color w:val="auto"/>
                <w:kern w:val="2"/>
                <w:sz w:val="21"/>
                <w:szCs w:val="21"/>
                <w:highlight w:val="none"/>
                <w:lang w:val="en-US" w:eastAsia="zh-CN" w:bidi="ar"/>
              </w:rPr>
              <w:t>AC-16</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70</w:t>
            </w:r>
            <w:r>
              <w:rPr>
                <w:rFonts w:hint="eastAsia" w:ascii="宋体" w:hAnsi="宋体" w:eastAsia="宋体" w:cs="宋体"/>
                <w:color w:val="auto"/>
                <w:kern w:val="2"/>
                <w:sz w:val="21"/>
                <w:szCs w:val="21"/>
                <w:highlight w:val="none"/>
                <w:lang w:val="en-US" w:eastAsia="zh-CN" w:bidi="ar"/>
              </w:rPr>
              <w:t>号</w:t>
            </w:r>
            <w:r>
              <w:rPr>
                <w:rFonts w:hint="default" w:ascii="Calibri" w:hAnsi="Calibri" w:eastAsia="宋体" w:cs="Calibri"/>
                <w:color w:val="auto"/>
                <w:kern w:val="2"/>
                <w:sz w:val="21"/>
                <w:szCs w:val="21"/>
                <w:highlight w:val="none"/>
                <w:lang w:val="en-US" w:eastAsia="zh-CN" w:bidi="ar"/>
              </w:rPr>
              <w:t>A</w:t>
            </w:r>
            <w:r>
              <w:rPr>
                <w:rFonts w:hint="eastAsia" w:ascii="宋体" w:hAnsi="宋体" w:eastAsia="宋体" w:cs="宋体"/>
                <w:color w:val="auto"/>
                <w:kern w:val="2"/>
                <w:sz w:val="21"/>
                <w:szCs w:val="21"/>
                <w:highlight w:val="none"/>
                <w:lang w:val="en-US" w:eastAsia="zh-CN" w:bidi="ar"/>
              </w:rPr>
              <w:t>，石灰岩）</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20109688">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kern w:val="2"/>
                <w:sz w:val="21"/>
                <w:szCs w:val="21"/>
                <w:highlight w:val="none"/>
                <w:lang w:val="en-US" w:eastAsia="zh-CN" w:bidi="ar"/>
              </w:rPr>
              <w:t>400</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68971B21">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kern w:val="2"/>
                <w:sz w:val="21"/>
                <w:szCs w:val="21"/>
                <w:highlight w:val="none"/>
                <w:lang w:val="en-US" w:eastAsia="zh-CN" w:bidi="ar"/>
              </w:rPr>
              <w:t>4</w:t>
            </w:r>
            <w:r>
              <w:rPr>
                <w:rFonts w:hint="eastAsia" w:ascii="Calibri" w:hAnsi="Calibri" w:eastAsia="宋体" w:cs="Calibri"/>
                <w:color w:val="auto"/>
                <w:kern w:val="2"/>
                <w:sz w:val="21"/>
                <w:szCs w:val="21"/>
                <w:highlight w:val="none"/>
                <w:lang w:val="en-US" w:eastAsia="zh-CN" w:bidi="ar"/>
              </w:rPr>
              <w:t>50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5AEEB87">
            <w:pPr>
              <w:keepNext w:val="0"/>
              <w:keepLines w:val="0"/>
              <w:widowControl w:val="0"/>
              <w:suppressLineNumbers w:val="0"/>
              <w:tabs>
                <w:tab w:val="left" w:pos="731"/>
              </w:tabs>
              <w:spacing w:before="0" w:beforeAutospacing="0" w:after="0" w:afterAutospacing="0"/>
              <w:ind w:left="0" w:leftChars="0" w:right="0" w:rightChars="0"/>
              <w:jc w:val="center"/>
              <w:rPr>
                <w:rFonts w:hint="eastAsia" w:ascii="Calibri" w:hAnsi="Calibri" w:eastAsia="宋体" w:cs="Calibri"/>
                <w:color w:val="auto"/>
                <w:kern w:val="2"/>
                <w:sz w:val="21"/>
                <w:szCs w:val="21"/>
                <w:highlight w:val="none"/>
                <w:lang w:val="en-US" w:eastAsia="zh-CN" w:bidi="ar"/>
              </w:rPr>
            </w:pPr>
            <w:r>
              <w:rPr>
                <w:rFonts w:hint="default" w:ascii="Calibri" w:hAnsi="Calibri" w:eastAsia="宋体" w:cs="Calibri"/>
                <w:color w:val="auto"/>
                <w:kern w:val="2"/>
                <w:sz w:val="21"/>
                <w:szCs w:val="21"/>
                <w:highlight w:val="none"/>
                <w:lang w:val="en-US" w:eastAsia="zh-CN" w:bidi="ar"/>
              </w:rPr>
              <w:t>180000</w:t>
            </w:r>
          </w:p>
        </w:tc>
      </w:tr>
      <w:tr w14:paraId="5842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14:paraId="09B8351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4D0813C6">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color w:val="auto"/>
                <w:kern w:val="0"/>
                <w:sz w:val="24"/>
                <w:szCs w:val="24"/>
                <w:highlight w:val="none"/>
                <w:u w:val="none"/>
                <w:lang w:val="en-US" w:eastAsia="zh-CN" w:bidi="ar"/>
              </w:rPr>
            </w:pPr>
            <w:r>
              <w:rPr>
                <w:rFonts w:hint="default" w:ascii="Calibri" w:hAnsi="Calibri" w:eastAsia="宋体" w:cs="Calibri"/>
                <w:color w:val="auto"/>
                <w:kern w:val="2"/>
                <w:sz w:val="21"/>
                <w:szCs w:val="21"/>
                <w:highlight w:val="none"/>
                <w:lang w:val="en-US" w:eastAsia="zh-CN" w:bidi="ar"/>
              </w:rPr>
              <w:t>AC-20</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70</w:t>
            </w:r>
            <w:r>
              <w:rPr>
                <w:rFonts w:hint="eastAsia" w:ascii="宋体" w:hAnsi="宋体" w:eastAsia="宋体" w:cs="宋体"/>
                <w:color w:val="auto"/>
                <w:kern w:val="2"/>
                <w:sz w:val="21"/>
                <w:szCs w:val="21"/>
                <w:highlight w:val="none"/>
                <w:lang w:val="en-US" w:eastAsia="zh-CN" w:bidi="ar"/>
              </w:rPr>
              <w:t>号</w:t>
            </w:r>
            <w:r>
              <w:rPr>
                <w:rFonts w:hint="default" w:ascii="Calibri" w:hAnsi="Calibri" w:eastAsia="宋体" w:cs="Calibri"/>
                <w:color w:val="auto"/>
                <w:kern w:val="2"/>
                <w:sz w:val="21"/>
                <w:szCs w:val="21"/>
                <w:highlight w:val="none"/>
                <w:lang w:val="en-US" w:eastAsia="zh-CN" w:bidi="ar"/>
              </w:rPr>
              <w:t>A</w:t>
            </w:r>
            <w:r>
              <w:rPr>
                <w:rFonts w:hint="eastAsia" w:ascii="宋体" w:hAnsi="宋体" w:eastAsia="宋体" w:cs="宋体"/>
                <w:color w:val="auto"/>
                <w:kern w:val="2"/>
                <w:sz w:val="21"/>
                <w:szCs w:val="21"/>
                <w:highlight w:val="none"/>
                <w:lang w:val="en-US" w:eastAsia="zh-CN" w:bidi="ar"/>
              </w:rPr>
              <w:t>，石灰岩）</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2971781D">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kern w:val="2"/>
                <w:sz w:val="21"/>
                <w:szCs w:val="21"/>
                <w:highlight w:val="none"/>
                <w:lang w:val="en-US" w:eastAsia="zh-CN" w:bidi="ar"/>
              </w:rPr>
              <w:t>1300</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35FC58E4">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eastAsia" w:ascii="Calibri" w:hAnsi="Calibri" w:eastAsia="宋体" w:cs="Calibri"/>
                <w:color w:val="auto"/>
                <w:kern w:val="2"/>
                <w:sz w:val="21"/>
                <w:szCs w:val="21"/>
                <w:highlight w:val="none"/>
                <w:lang w:val="en-US" w:eastAsia="zh-CN" w:bidi="ar"/>
              </w:rPr>
              <w:t>425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0FC1193">
            <w:pPr>
              <w:keepNext w:val="0"/>
              <w:keepLines w:val="0"/>
              <w:widowControl w:val="0"/>
              <w:suppressLineNumbers w:val="0"/>
              <w:tabs>
                <w:tab w:val="left" w:pos="731"/>
              </w:tabs>
              <w:spacing w:before="0" w:beforeAutospacing="0" w:after="0" w:afterAutospacing="0"/>
              <w:ind w:left="0" w:leftChars="0" w:right="0" w:rightChars="0"/>
              <w:jc w:val="center"/>
              <w:rPr>
                <w:rFonts w:hint="eastAsia" w:ascii="Calibri" w:hAnsi="Calibri" w:eastAsia="宋体" w:cs="Calibri"/>
                <w:color w:val="auto"/>
                <w:kern w:val="2"/>
                <w:sz w:val="21"/>
                <w:szCs w:val="21"/>
                <w:highlight w:val="none"/>
                <w:lang w:val="en-US" w:eastAsia="zh-CN" w:bidi="ar"/>
              </w:rPr>
            </w:pPr>
            <w:r>
              <w:rPr>
                <w:rFonts w:hint="default" w:ascii="Calibri" w:hAnsi="Calibri" w:eastAsia="宋体" w:cs="Calibri"/>
                <w:color w:val="auto"/>
                <w:kern w:val="2"/>
                <w:sz w:val="21"/>
                <w:szCs w:val="21"/>
                <w:highlight w:val="none"/>
                <w:lang w:val="en-US" w:eastAsia="zh-CN" w:bidi="ar"/>
              </w:rPr>
              <w:t>552500</w:t>
            </w:r>
          </w:p>
        </w:tc>
      </w:tr>
      <w:tr w14:paraId="6AAD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14:paraId="1FE401E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合计（元）</w:t>
            </w:r>
          </w:p>
        </w:tc>
        <w:tc>
          <w:tcPr>
            <w:tcW w:w="768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C1399">
            <w:pPr>
              <w:keepNext w:val="0"/>
              <w:keepLines w:val="0"/>
              <w:widowControl/>
              <w:suppressLineNumbers w:val="0"/>
              <w:jc w:val="center"/>
              <w:textAlignment w:val="bottom"/>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1980000</w:t>
            </w:r>
          </w:p>
        </w:tc>
      </w:tr>
    </w:tbl>
    <w:p w14:paraId="14E4BF9E">
      <w:pPr>
        <w:pStyle w:val="6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注：1.投标人请认真阅读招标文件，本次后续供货提供的材料应不低于图纸设计要求和相关国家质量标准及验收标准。</w:t>
      </w:r>
    </w:p>
    <w:p w14:paraId="05F4C13E">
      <w:pPr>
        <w:pStyle w:val="6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投标综合单价应为含13%增值税和含运费等一切必需的附加费用的报价。包括但不限于材料费、生产加工费、装卸费、运输费、管理费、其他费用（如包装费、仓储费、保管费、场地清理搬移相关费用）、安装调试费、利润、售后服务费、税金、政策性文件规定及合同包含的所有风险和责任等、货物送至招标人指定地点前的各项应有费用。投标时投标人必须保证报价的完整性，如有漏报，则视为优惠，中标后不允许追加费用。投标人应当保持单项价格的合理性，严禁出现不平衡报价的情况，项目采购结束后，招标人有权对各单项价格进行核查，对于严重超过市场价格的单价，将在正式合同中明确：对于认定为不平衡报价的单项，如果发生数量变动，将按照有利于招标人的单价进行认价。</w:t>
      </w:r>
    </w:p>
    <w:p w14:paraId="065C76B7">
      <w:pPr>
        <w:pStyle w:val="2"/>
        <w:spacing w:beforeLines="50" w:afterLines="50"/>
        <w:rPr>
          <w:rFonts w:hint="eastAsia" w:ascii="Arial" w:hAnsi="Arial" w:eastAsia="宋体" w:cs="Times New Roman"/>
          <w:color w:val="auto"/>
          <w:kern w:val="0"/>
          <w:sz w:val="32"/>
          <w:szCs w:val="32"/>
          <w:highlight w:val="none"/>
          <w:lang w:val="en-US" w:eastAsia="zh-CN"/>
        </w:rPr>
      </w:pPr>
    </w:p>
    <w:p w14:paraId="3741D341">
      <w:pPr>
        <w:rPr>
          <w:rFonts w:hint="eastAsia" w:ascii="Arial" w:hAnsi="Arial" w:eastAsia="宋体" w:cs="Times New Roman"/>
          <w:color w:val="auto"/>
          <w:kern w:val="0"/>
          <w:sz w:val="32"/>
          <w:szCs w:val="32"/>
          <w:highlight w:val="none"/>
          <w:lang w:val="en-US" w:eastAsia="zh-CN"/>
        </w:rPr>
      </w:pPr>
    </w:p>
    <w:p w14:paraId="6A1A192A">
      <w:pPr>
        <w:rPr>
          <w:rFonts w:hint="eastAsia" w:ascii="Arial" w:hAnsi="Arial" w:eastAsia="宋体" w:cs="Times New Roman"/>
          <w:color w:val="auto"/>
          <w:kern w:val="0"/>
          <w:sz w:val="32"/>
          <w:szCs w:val="32"/>
          <w:highlight w:val="none"/>
          <w:lang w:val="en-US" w:eastAsia="zh-CN"/>
        </w:rPr>
      </w:pPr>
    </w:p>
    <w:p w14:paraId="375A677C">
      <w:pPr>
        <w:rPr>
          <w:rFonts w:hint="eastAsia" w:ascii="Arial" w:hAnsi="Arial" w:eastAsia="宋体" w:cs="Times New Roman"/>
          <w:color w:val="auto"/>
          <w:kern w:val="0"/>
          <w:sz w:val="32"/>
          <w:szCs w:val="32"/>
          <w:highlight w:val="none"/>
          <w:lang w:val="en-US" w:eastAsia="zh-CN"/>
        </w:rPr>
      </w:pPr>
    </w:p>
    <w:p w14:paraId="4FF5E5A1">
      <w:pPr>
        <w:rPr>
          <w:rFonts w:hint="eastAsia" w:ascii="Arial" w:hAnsi="Arial" w:eastAsia="宋体" w:cs="Times New Roman"/>
          <w:color w:val="auto"/>
          <w:kern w:val="0"/>
          <w:sz w:val="32"/>
          <w:szCs w:val="32"/>
          <w:highlight w:val="none"/>
          <w:lang w:val="en-US" w:eastAsia="zh-CN"/>
        </w:rPr>
      </w:pPr>
    </w:p>
    <w:p w14:paraId="06443A57">
      <w:pPr>
        <w:rPr>
          <w:rFonts w:hint="eastAsia" w:ascii="Arial" w:hAnsi="Arial" w:eastAsia="宋体" w:cs="Times New Roman"/>
          <w:color w:val="auto"/>
          <w:kern w:val="0"/>
          <w:sz w:val="32"/>
          <w:szCs w:val="32"/>
          <w:highlight w:val="none"/>
          <w:lang w:val="en-US" w:eastAsia="zh-CN"/>
        </w:rPr>
      </w:pPr>
    </w:p>
    <w:p w14:paraId="1483233F">
      <w:pPr>
        <w:rPr>
          <w:rFonts w:hint="eastAsia" w:ascii="Arial" w:hAnsi="Arial" w:eastAsia="宋体" w:cs="Times New Roman"/>
          <w:color w:val="auto"/>
          <w:kern w:val="0"/>
          <w:sz w:val="32"/>
          <w:szCs w:val="32"/>
          <w:highlight w:val="none"/>
          <w:lang w:val="en-US" w:eastAsia="zh-CN"/>
        </w:rPr>
      </w:pPr>
    </w:p>
    <w:p w14:paraId="0A591DFF">
      <w:pPr>
        <w:rPr>
          <w:rFonts w:hint="eastAsia" w:ascii="Arial" w:hAnsi="Arial" w:eastAsia="宋体" w:cs="Times New Roman"/>
          <w:color w:val="auto"/>
          <w:kern w:val="0"/>
          <w:sz w:val="32"/>
          <w:szCs w:val="32"/>
          <w:highlight w:val="none"/>
          <w:lang w:val="en-US" w:eastAsia="zh-CN"/>
        </w:rPr>
      </w:pPr>
    </w:p>
    <w:p w14:paraId="0640226E">
      <w:pPr>
        <w:rPr>
          <w:rFonts w:hint="eastAsia" w:ascii="Arial" w:hAnsi="Arial" w:eastAsia="宋体" w:cs="Times New Roman"/>
          <w:color w:val="auto"/>
          <w:kern w:val="0"/>
          <w:sz w:val="32"/>
          <w:szCs w:val="32"/>
          <w:highlight w:val="none"/>
          <w:lang w:val="en-US" w:eastAsia="zh-CN"/>
        </w:rPr>
      </w:pPr>
    </w:p>
    <w:p w14:paraId="226BC7FC">
      <w:pPr>
        <w:pStyle w:val="2"/>
        <w:spacing w:beforeLines="50" w:afterLines="50"/>
        <w:rPr>
          <w:rFonts w:hint="eastAsia" w:ascii="Arial" w:hAnsi="Arial" w:eastAsia="宋体" w:cs="Times New Roman"/>
          <w:color w:val="auto"/>
          <w:kern w:val="0"/>
          <w:sz w:val="32"/>
          <w:szCs w:val="32"/>
          <w:highlight w:val="none"/>
          <w:lang w:val="en-US" w:eastAsia="zh-CN"/>
        </w:rPr>
      </w:pPr>
      <w:r>
        <w:rPr>
          <w:rFonts w:hint="eastAsia" w:ascii="Arial" w:hAnsi="Arial" w:eastAsia="宋体" w:cs="Times New Roman"/>
          <w:color w:val="auto"/>
          <w:kern w:val="0"/>
          <w:sz w:val="32"/>
          <w:szCs w:val="32"/>
          <w:highlight w:val="none"/>
          <w:lang w:val="en-US" w:eastAsia="zh-CN"/>
        </w:rPr>
        <w:t>第</w:t>
      </w:r>
      <w:r>
        <w:rPr>
          <w:rFonts w:hint="eastAsia" w:ascii="Arial" w:hAnsi="Arial" w:cs="Times New Roman"/>
          <w:color w:val="auto"/>
          <w:kern w:val="0"/>
          <w:sz w:val="32"/>
          <w:szCs w:val="32"/>
          <w:highlight w:val="none"/>
          <w:lang w:val="en-US" w:eastAsia="zh-CN"/>
        </w:rPr>
        <w:t>六</w:t>
      </w:r>
      <w:r>
        <w:rPr>
          <w:rFonts w:hint="eastAsia" w:ascii="Arial" w:hAnsi="Arial" w:eastAsia="宋体" w:cs="Times New Roman"/>
          <w:color w:val="auto"/>
          <w:kern w:val="0"/>
          <w:sz w:val="32"/>
          <w:szCs w:val="32"/>
          <w:highlight w:val="none"/>
          <w:lang w:val="en-US" w:eastAsia="zh-CN"/>
        </w:rPr>
        <w:t>章  合同条款</w:t>
      </w:r>
      <w:bookmarkEnd w:id="221"/>
    </w:p>
    <w:bookmarkEnd w:id="207"/>
    <w:bookmarkEnd w:id="208"/>
    <w:bookmarkEnd w:id="209"/>
    <w:bookmarkEnd w:id="210"/>
    <w:p w14:paraId="28384113">
      <w:pPr>
        <w:numPr>
          <w:ilvl w:val="0"/>
          <w:numId w:val="0"/>
        </w:numPr>
        <w:jc w:val="center"/>
        <w:outlineLvl w:val="1"/>
        <w:rPr>
          <w:rFonts w:hint="eastAsia" w:ascii="宋体" w:hAnsi="宋体" w:eastAsia="宋体" w:cs="宋体"/>
          <w:color w:val="auto"/>
          <w:highlight w:val="none"/>
        </w:rPr>
      </w:pPr>
    </w:p>
    <w:p w14:paraId="55FF469C">
      <w:pPr>
        <w:pStyle w:val="199"/>
        <w:ind w:right="670" w:rightChars="319" w:firstLine="643" w:firstLineChars="200"/>
        <w:rPr>
          <w:rFonts w:hint="eastAsia" w:ascii="宋体" w:hAnsi="宋体" w:cs="宋体"/>
          <w:b/>
          <w:color w:val="auto"/>
          <w:sz w:val="32"/>
          <w:szCs w:val="32"/>
          <w:highlight w:val="none"/>
        </w:rPr>
      </w:pPr>
      <w:bookmarkStart w:id="222" w:name="_Toc152045786"/>
      <w:bookmarkStart w:id="223" w:name="_Toc247085872"/>
      <w:bookmarkStart w:id="224" w:name="_Toc506107340"/>
      <w:bookmarkStart w:id="225" w:name="_Toc246997097"/>
      <w:bookmarkStart w:id="226" w:name="_Toc246996354"/>
      <w:bookmarkStart w:id="227" w:name="_Toc35424970"/>
      <w:bookmarkStart w:id="228" w:name="_Toc15058934"/>
      <w:bookmarkStart w:id="229" w:name="_Toc179632806"/>
      <w:bookmarkStart w:id="230" w:name="_Toc324404888"/>
      <w:bookmarkStart w:id="231" w:name="_Toc78803398"/>
      <w:bookmarkStart w:id="232" w:name="_Toc152042575"/>
      <w:bookmarkStart w:id="233" w:name="_Toc35425136"/>
      <w:bookmarkStart w:id="234" w:name="_Toc144974855"/>
      <w:r>
        <w:rPr>
          <w:rFonts w:hint="eastAsia" w:ascii="宋体" w:hAnsi="宋体" w:cs="宋体"/>
          <w:b/>
          <w:color w:val="auto"/>
          <w:sz w:val="32"/>
          <w:szCs w:val="32"/>
          <w:highlight w:val="none"/>
        </w:rPr>
        <w:t>本项目合同待确定中标人后双方制定,主要内容包括但不限于中标</w:t>
      </w:r>
      <w:r>
        <w:rPr>
          <w:rFonts w:hint="eastAsia" w:ascii="宋体" w:hAnsi="宋体" w:cs="宋体"/>
          <w:b/>
          <w:color w:val="auto"/>
          <w:sz w:val="32"/>
          <w:szCs w:val="32"/>
          <w:highlight w:val="none"/>
          <w:lang w:val="en-US" w:eastAsia="zh-CN"/>
        </w:rPr>
        <w:t>价</w:t>
      </w:r>
      <w:r>
        <w:rPr>
          <w:rFonts w:hint="eastAsia" w:ascii="宋体" w:hAnsi="宋体" w:cs="宋体"/>
          <w:b/>
          <w:color w:val="auto"/>
          <w:sz w:val="32"/>
          <w:szCs w:val="32"/>
          <w:highlight w:val="none"/>
        </w:rPr>
        <w:t>、供货期、结算价、付款方式等。其他详细内容双方协商确定。</w:t>
      </w:r>
    </w:p>
    <w:p w14:paraId="3A3DFD1F">
      <w:pPr>
        <w:pStyle w:val="44"/>
        <w:spacing w:beforeLines="50" w:afterLines="50" w:line="440" w:lineRule="exact"/>
        <w:rPr>
          <w:bCs/>
          <w:color w:val="auto"/>
          <w:szCs w:val="32"/>
          <w:highlight w:val="none"/>
        </w:rPr>
      </w:pPr>
      <w:r>
        <w:rPr>
          <w:rFonts w:hint="eastAsia"/>
          <w:bCs/>
          <w:color w:val="auto"/>
          <w:szCs w:val="32"/>
          <w:highlight w:val="none"/>
        </w:rPr>
        <w:br w:type="page"/>
      </w:r>
      <w:r>
        <w:rPr>
          <w:rFonts w:hint="eastAsia"/>
          <w:bCs/>
          <w:color w:val="auto"/>
          <w:szCs w:val="32"/>
          <w:highlight w:val="none"/>
        </w:rPr>
        <w:t>第</w:t>
      </w:r>
      <w:r>
        <w:rPr>
          <w:rFonts w:hint="eastAsia"/>
          <w:bCs/>
          <w:color w:val="auto"/>
          <w:szCs w:val="32"/>
          <w:highlight w:val="none"/>
          <w:lang w:val="en-US" w:eastAsia="zh-CN"/>
        </w:rPr>
        <w:t>七</w:t>
      </w:r>
      <w:r>
        <w:rPr>
          <w:rFonts w:hint="eastAsia"/>
          <w:bCs/>
          <w:color w:val="auto"/>
          <w:szCs w:val="32"/>
          <w:highlight w:val="none"/>
        </w:rPr>
        <w:t>章  投标文件格式</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7B05D42C">
      <w:pPr>
        <w:jc w:val="right"/>
        <w:rPr>
          <w:color w:val="auto"/>
          <w:highlight w:val="none"/>
        </w:rPr>
      </w:pPr>
      <w:r>
        <w:rPr>
          <w:rFonts w:hint="eastAsia" w:asciiTheme="majorEastAsia" w:hAnsiTheme="majorEastAsia" w:eastAsiaTheme="majorEastAsia" w:cstheme="majorEastAsia"/>
          <w:color w:val="auto"/>
          <w:sz w:val="28"/>
          <w:szCs w:val="28"/>
          <w:highlight w:val="none"/>
          <w:lang w:val="en-US" w:eastAsia="zh-CN"/>
        </w:rPr>
        <w:t>正本/副本</w:t>
      </w:r>
    </w:p>
    <w:p w14:paraId="082E4B32">
      <w:pPr>
        <w:rPr>
          <w:color w:val="auto"/>
          <w:highlight w:val="none"/>
        </w:rPr>
      </w:pPr>
    </w:p>
    <w:p w14:paraId="5069B979">
      <w:pPr>
        <w:rPr>
          <w:color w:val="auto"/>
          <w:highlight w:val="none"/>
        </w:rPr>
      </w:pPr>
    </w:p>
    <w:p w14:paraId="56143D65">
      <w:pPr>
        <w:jc w:val="center"/>
        <w:rPr>
          <w:rFonts w:eastAsia="黑体"/>
          <w:color w:val="auto"/>
          <w:sz w:val="20"/>
          <w:szCs w:val="20"/>
          <w:highlight w:val="none"/>
        </w:rPr>
      </w:pPr>
      <w:r>
        <w:rPr>
          <w:rFonts w:eastAsia="黑体"/>
          <w:color w:val="auto"/>
          <w:sz w:val="28"/>
          <w:szCs w:val="28"/>
          <w:highlight w:val="none"/>
        </w:rPr>
        <w:t>（项目名称）</w:t>
      </w:r>
    </w:p>
    <w:p w14:paraId="7576ABA9">
      <w:pPr>
        <w:jc w:val="center"/>
        <w:rPr>
          <w:rFonts w:eastAsia="黑体"/>
          <w:color w:val="auto"/>
          <w:sz w:val="20"/>
          <w:szCs w:val="20"/>
          <w:highlight w:val="none"/>
        </w:rPr>
      </w:pPr>
    </w:p>
    <w:p w14:paraId="7FF06958">
      <w:pPr>
        <w:jc w:val="center"/>
        <w:rPr>
          <w:rFonts w:eastAsia="黑体"/>
          <w:color w:val="auto"/>
          <w:sz w:val="20"/>
          <w:szCs w:val="20"/>
          <w:highlight w:val="none"/>
        </w:rPr>
      </w:pPr>
    </w:p>
    <w:p w14:paraId="3165CB1E">
      <w:pPr>
        <w:jc w:val="center"/>
        <w:rPr>
          <w:rFonts w:eastAsia="黑体"/>
          <w:color w:val="auto"/>
          <w:sz w:val="20"/>
          <w:szCs w:val="20"/>
          <w:highlight w:val="none"/>
        </w:rPr>
      </w:pPr>
    </w:p>
    <w:p w14:paraId="75BA9D51">
      <w:pPr>
        <w:rPr>
          <w:rFonts w:eastAsia="黑体"/>
          <w:color w:val="auto"/>
          <w:sz w:val="20"/>
          <w:szCs w:val="20"/>
          <w:highlight w:val="none"/>
        </w:rPr>
      </w:pPr>
    </w:p>
    <w:p w14:paraId="6E31F056">
      <w:pPr>
        <w:jc w:val="center"/>
        <w:rPr>
          <w:rFonts w:hint="eastAsia"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w:t>
      </w:r>
    </w:p>
    <w:p w14:paraId="69FD5586">
      <w:pPr>
        <w:rPr>
          <w:rFonts w:eastAsia="黑体"/>
          <w:color w:val="auto"/>
          <w:sz w:val="28"/>
          <w:szCs w:val="28"/>
          <w:highlight w:val="none"/>
        </w:rPr>
      </w:pPr>
    </w:p>
    <w:p w14:paraId="73AD1326">
      <w:pPr>
        <w:rPr>
          <w:rFonts w:eastAsia="黑体"/>
          <w:color w:val="auto"/>
          <w:sz w:val="28"/>
          <w:szCs w:val="28"/>
          <w:highlight w:val="none"/>
        </w:rPr>
      </w:pPr>
    </w:p>
    <w:p w14:paraId="7707CE46">
      <w:pPr>
        <w:rPr>
          <w:rFonts w:eastAsia="黑体"/>
          <w:color w:val="auto"/>
          <w:sz w:val="28"/>
          <w:szCs w:val="28"/>
          <w:highlight w:val="none"/>
        </w:rPr>
      </w:pPr>
    </w:p>
    <w:p w14:paraId="3E29662A">
      <w:pPr>
        <w:rPr>
          <w:rFonts w:eastAsia="黑体"/>
          <w:color w:val="auto"/>
          <w:sz w:val="28"/>
          <w:szCs w:val="28"/>
          <w:highlight w:val="none"/>
        </w:rPr>
      </w:pPr>
    </w:p>
    <w:p w14:paraId="69D02104">
      <w:pPr>
        <w:pStyle w:val="14"/>
        <w:ind w:firstLine="420"/>
        <w:rPr>
          <w:rFonts w:ascii="Times New Roman"/>
          <w:color w:val="auto"/>
          <w:szCs w:val="24"/>
          <w:highlight w:val="none"/>
        </w:rPr>
      </w:pPr>
    </w:p>
    <w:p w14:paraId="3062FE47">
      <w:pPr>
        <w:rPr>
          <w:rFonts w:ascii="Times New Roman"/>
          <w:color w:val="auto"/>
          <w:szCs w:val="24"/>
          <w:highlight w:val="none"/>
        </w:rPr>
      </w:pPr>
    </w:p>
    <w:p w14:paraId="78F93F73">
      <w:pPr>
        <w:pStyle w:val="14"/>
        <w:rPr>
          <w:rFonts w:ascii="Times New Roman"/>
          <w:color w:val="auto"/>
          <w:szCs w:val="24"/>
          <w:highlight w:val="none"/>
        </w:rPr>
      </w:pPr>
    </w:p>
    <w:p w14:paraId="1E9D0BD8">
      <w:pPr>
        <w:rPr>
          <w:rFonts w:ascii="Times New Roman"/>
          <w:color w:val="auto"/>
          <w:szCs w:val="24"/>
          <w:highlight w:val="none"/>
        </w:rPr>
      </w:pPr>
    </w:p>
    <w:p w14:paraId="63F5BB9B">
      <w:pPr>
        <w:rPr>
          <w:rFonts w:eastAsia="黑体"/>
          <w:color w:val="auto"/>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color w:val="auto"/>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盖</w:t>
      </w:r>
      <w:r>
        <w:rPr>
          <w:rFonts w:eastAsia="黑体"/>
          <w:color w:val="auto"/>
          <w:sz w:val="28"/>
          <w:szCs w:val="28"/>
          <w:highlight w:val="none"/>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签字或盖章</w:t>
      </w:r>
      <w:r>
        <w:rPr>
          <w:rFonts w:eastAsia="黑体"/>
          <w:color w:val="auto"/>
          <w:sz w:val="28"/>
          <w:szCs w:val="28"/>
          <w:highlight w:val="none"/>
        </w:rPr>
        <w:t>）</w:t>
      </w:r>
    </w:p>
    <w:p w14:paraId="211A5D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0EBCA57C">
      <w:pPr>
        <w:spacing w:beforeLines="50" w:afterLines="50" w:line="440" w:lineRule="exact"/>
        <w:ind w:firstLine="643" w:firstLineChars="200"/>
        <w:jc w:val="center"/>
        <w:rPr>
          <w:rFonts w:ascii="宋体" w:hAnsi="宋体" w:cs="宋体"/>
          <w:b/>
          <w:color w:val="auto"/>
          <w:sz w:val="28"/>
          <w:szCs w:val="28"/>
          <w:highlight w:val="none"/>
        </w:rPr>
      </w:pPr>
      <w:bookmarkStart w:id="235" w:name="_Toc12683"/>
      <w:bookmarkStart w:id="236" w:name="_Toc35425137"/>
      <w:bookmarkStart w:id="237" w:name="_Toc35424971"/>
      <w:bookmarkStart w:id="238" w:name="_Toc78803399"/>
      <w:r>
        <w:rPr>
          <w:rStyle w:val="121"/>
          <w:rFonts w:hint="eastAsia" w:ascii="宋体" w:hAnsi="宋体" w:cs="宋体"/>
          <w:color w:val="auto"/>
          <w:sz w:val="32"/>
          <w:highlight w:val="none"/>
        </w:rPr>
        <w:br w:type="page"/>
      </w:r>
      <w:bookmarkEnd w:id="235"/>
      <w:bookmarkEnd w:id="236"/>
      <w:bookmarkEnd w:id="237"/>
      <w:bookmarkEnd w:id="238"/>
      <w:r>
        <w:rPr>
          <w:rFonts w:hint="eastAsia" w:ascii="宋体" w:hAnsi="宋体" w:cs="宋体"/>
          <w:b/>
          <w:color w:val="auto"/>
          <w:sz w:val="28"/>
          <w:szCs w:val="28"/>
          <w:highlight w:val="none"/>
        </w:rPr>
        <w:t>目</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录</w:t>
      </w:r>
    </w:p>
    <w:p w14:paraId="58DF5975">
      <w:pPr>
        <w:widowControl w:val="0"/>
        <w:spacing w:line="4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（1）法定代表人身份证明文件和本人有效身份证(或法定代表人授权书和委托代理人身份证)</w:t>
      </w:r>
      <w:r>
        <w:rPr>
          <w:rFonts w:hint="eastAsia" w:ascii="宋体" w:hAnsi="宋体" w:eastAsia="宋体" w:cs="Times New Roman"/>
          <w:color w:val="auto"/>
          <w:szCs w:val="21"/>
          <w:highlight w:val="none"/>
          <w:lang w:val="en-US" w:eastAsia="zh-CN"/>
        </w:rPr>
        <w:t>（格式见附件）</w:t>
      </w:r>
      <w:r>
        <w:rPr>
          <w:rFonts w:hint="eastAsia" w:ascii="宋体" w:hAnsi="宋体" w:eastAsia="宋体" w:cs="Times New Roman"/>
          <w:color w:val="auto"/>
          <w:szCs w:val="21"/>
          <w:highlight w:val="none"/>
        </w:rPr>
        <w:t>；</w:t>
      </w:r>
    </w:p>
    <w:p w14:paraId="15254230">
      <w:pPr>
        <w:widowControl w:val="0"/>
        <w:spacing w:line="4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（2）企业法人营业执照；</w:t>
      </w:r>
    </w:p>
    <w:p w14:paraId="6D053B57">
      <w:pPr>
        <w:widowControl w:val="0"/>
        <w:spacing w:line="4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（3）诚信投标承诺书</w:t>
      </w:r>
      <w:r>
        <w:rPr>
          <w:rFonts w:hint="eastAsia" w:ascii="宋体" w:hAnsi="宋体" w:eastAsia="宋体" w:cs="Times New Roman"/>
          <w:color w:val="auto"/>
          <w:szCs w:val="21"/>
          <w:highlight w:val="none"/>
          <w:lang w:val="en-US" w:eastAsia="zh-CN"/>
        </w:rPr>
        <w:t>（格式见附件）</w:t>
      </w:r>
      <w:r>
        <w:rPr>
          <w:rFonts w:hint="eastAsia" w:ascii="宋体" w:hAnsi="宋体" w:eastAsia="宋体" w:cs="Times New Roman"/>
          <w:color w:val="auto"/>
          <w:szCs w:val="21"/>
          <w:highlight w:val="none"/>
        </w:rPr>
        <w:t>；</w:t>
      </w:r>
    </w:p>
    <w:p w14:paraId="6435C1A9">
      <w:pPr>
        <w:widowControl w:val="0"/>
        <w:spacing w:line="44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）服务承诺书（格式见附件）；</w:t>
      </w:r>
    </w:p>
    <w:p w14:paraId="4152F9CA">
      <w:pPr>
        <w:widowControl w:val="0"/>
        <w:spacing w:line="44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（5）投标函（格式见附件）；</w:t>
      </w:r>
    </w:p>
    <w:p w14:paraId="07FE4030">
      <w:pPr>
        <w:widowControl w:val="0"/>
        <w:spacing w:line="44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（6）分项报价清单（格式见附件）；</w:t>
      </w:r>
    </w:p>
    <w:p w14:paraId="68BD6520">
      <w:pPr>
        <w:widowControl w:val="0"/>
        <w:spacing w:line="4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）投标人认为需要提供的其他材料。</w:t>
      </w:r>
    </w:p>
    <w:p w14:paraId="59163E6F">
      <w:pPr>
        <w:spacing w:line="360" w:lineRule="auto"/>
        <w:jc w:val="center"/>
        <w:rPr>
          <w:rFonts w:ascii="宋体"/>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（1）法定代表人身份证明或授权委托书</w:t>
      </w:r>
    </w:p>
    <w:p w14:paraId="1618991E">
      <w:pPr>
        <w:pStyle w:val="75"/>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239" w:name="_Toc506107356"/>
      <w:bookmarkStart w:id="240" w:name="_Toc26598"/>
      <w:bookmarkStart w:id="241" w:name="_Toc503196197"/>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（投标人名称）</w:t>
      </w:r>
      <w:r>
        <w:rPr>
          <w:rFonts w:hint="eastAsia" w:ascii="宋体"/>
          <w:color w:val="auto"/>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color w:val="auto"/>
          <w:highlight w:val="none"/>
        </w:rPr>
      </w:pPr>
      <w:r>
        <w:rPr>
          <w:rFonts w:hint="eastAsia" w:ascii="宋体"/>
          <w:color w:val="auto"/>
          <w:sz w:val="24"/>
          <w:highlight w:val="none"/>
        </w:rPr>
        <w:t>附：</w:t>
      </w:r>
      <w:r>
        <w:rPr>
          <w:rFonts w:hint="eastAsia" w:ascii="宋体"/>
          <w:b/>
          <w:color w:val="auto"/>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盖</w:t>
      </w:r>
      <w:r>
        <w:rPr>
          <w:rFonts w:hint="eastAsia" w:ascii="宋体"/>
          <w:color w:val="auto"/>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color w:val="auto"/>
          <w:highlight w:val="none"/>
        </w:rPr>
      </w:pPr>
    </w:p>
    <w:p w14:paraId="1550066F">
      <w:pPr>
        <w:pStyle w:val="75"/>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color w:val="auto"/>
          <w:sz w:val="24"/>
          <w:highlight w:val="none"/>
        </w:rPr>
      </w:pPr>
      <w:r>
        <w:rPr>
          <w:rFonts w:hint="eastAsia" w:ascii="宋体"/>
          <w:color w:val="auto"/>
          <w:sz w:val="24"/>
          <w:highlight w:val="none"/>
        </w:rPr>
        <w:t>本人</w:t>
      </w:r>
      <w:r>
        <w:rPr>
          <w:rFonts w:hint="eastAsia" w:ascii="宋体"/>
          <w:color w:val="auto"/>
          <w:sz w:val="24"/>
          <w:highlight w:val="none"/>
          <w:u w:val="single"/>
        </w:rPr>
        <w:t xml:space="preserve"> （姓名）</w:t>
      </w:r>
      <w:r>
        <w:rPr>
          <w:rFonts w:hint="eastAsia" w:ascii="宋体"/>
          <w:color w:val="auto"/>
          <w:sz w:val="24"/>
          <w:highlight w:val="none"/>
        </w:rPr>
        <w:t>系</w:t>
      </w:r>
      <w:r>
        <w:rPr>
          <w:rFonts w:hint="eastAsia" w:ascii="宋体"/>
          <w:color w:val="auto"/>
          <w:sz w:val="24"/>
          <w:highlight w:val="none"/>
          <w:u w:val="single"/>
        </w:rPr>
        <w:t>（投标人）</w:t>
      </w:r>
      <w:r>
        <w:rPr>
          <w:rFonts w:hint="eastAsia" w:ascii="宋体"/>
          <w:color w:val="auto"/>
          <w:sz w:val="24"/>
          <w:highlight w:val="none"/>
        </w:rPr>
        <w:t>的法定代表人，现委托</w:t>
      </w:r>
      <w:r>
        <w:rPr>
          <w:rFonts w:hint="eastAsia" w:ascii="宋体"/>
          <w:color w:val="auto"/>
          <w:sz w:val="24"/>
          <w:highlight w:val="none"/>
          <w:u w:val="single"/>
        </w:rPr>
        <w:t>（姓名）</w:t>
      </w:r>
      <w:r>
        <w:rPr>
          <w:rFonts w:hint="eastAsia" w:ascii="宋体"/>
          <w:color w:val="auto"/>
          <w:sz w:val="24"/>
          <w:highlight w:val="none"/>
        </w:rPr>
        <w:t>为我方代理人。代理人根据授权，以我方名义签署、澄清、说明、补正、递交、撤回、修改</w:t>
      </w:r>
      <w:r>
        <w:rPr>
          <w:rFonts w:hint="eastAsia" w:ascii="宋体"/>
          <w:color w:val="auto"/>
          <w:sz w:val="24"/>
          <w:highlight w:val="none"/>
          <w:u w:val="single"/>
        </w:rPr>
        <w:t xml:space="preserve"> “   ”(项目名称）</w:t>
      </w:r>
      <w:r>
        <w:rPr>
          <w:rFonts w:hint="eastAsia" w:ascii="宋体"/>
          <w:color w:val="auto"/>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lang w:val="en-US" w:eastAsia="zh-CN"/>
        </w:rPr>
        <w:t xml:space="preserve">              </w:t>
      </w:r>
      <w:r>
        <w:rPr>
          <w:rFonts w:hint="eastAsia" w:ascii="宋体" w:cs="宋体"/>
          <w:color w:val="auto"/>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color w:val="auto"/>
          <w:sz w:val="24"/>
          <w:highlight w:val="none"/>
        </w:rPr>
      </w:pPr>
      <w:r>
        <w:rPr>
          <w:rFonts w:hint="eastAsia" w:ascii="宋体"/>
          <w:b/>
          <w:color w:val="auto"/>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color w:val="auto"/>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color w:val="auto"/>
          <w:sz w:val="24"/>
          <w:highlight w:val="none"/>
        </w:rPr>
      </w:pPr>
      <w:r>
        <w:rPr>
          <w:rFonts w:hint="eastAsia" w:ascii="宋体"/>
          <w:color w:val="auto"/>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color w:val="auto"/>
          <w:sz w:val="24"/>
          <w:highlight w:val="none"/>
        </w:rPr>
      </w:pPr>
      <w:r>
        <w:rPr>
          <w:rFonts w:hint="eastAsia" w:ascii="宋体"/>
          <w:color w:val="auto"/>
          <w:sz w:val="24"/>
          <w:highlight w:val="none"/>
        </w:rPr>
        <w:t>年    月    日</w:t>
      </w:r>
    </w:p>
    <w:p w14:paraId="528761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color w:val="auto"/>
          <w:sz w:val="28"/>
          <w:szCs w:val="28"/>
          <w:highlight w:val="none"/>
        </w:rPr>
      </w:pPr>
      <w:r>
        <w:rPr>
          <w:rFonts w:hint="eastAsia"/>
          <w:b/>
          <w:color w:val="auto"/>
          <w:sz w:val="28"/>
          <w:szCs w:val="28"/>
          <w:highlight w:val="none"/>
        </w:rPr>
        <w:t>（2）诚信投标承诺书</w:t>
      </w:r>
      <w:bookmarkEnd w:id="239"/>
      <w:bookmarkEnd w:id="240"/>
      <w:bookmarkEnd w:id="241"/>
    </w:p>
    <w:p w14:paraId="4F449F94">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六、</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（企业名称）或</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（企业名称）法定代表人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或拟派项目经理（负责人）      没有下列情形：</w:t>
      </w:r>
      <w:bookmarkStart w:id="242" w:name="OLE_LINK134"/>
      <w:bookmarkStart w:id="243" w:name="OLE_LINK133"/>
      <w:r>
        <w:rPr>
          <w:rFonts w:hint="eastAsia" w:ascii="宋体" w:hAnsi="宋体" w:eastAsia="宋体" w:cs="Times New Roman"/>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242"/>
      <w:bookmarkEnd w:id="243"/>
      <w:r>
        <w:rPr>
          <w:rFonts w:hint="eastAsia" w:ascii="宋体" w:hAnsi="宋体" w:eastAsia="宋体" w:cs="Times New Roman"/>
          <w:color w:val="auto"/>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、保证中标后不转包及使用挂靠队伍，若有分包征得建设单位同意；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九</w:t>
      </w:r>
      <w:r>
        <w:rPr>
          <w:rFonts w:hint="eastAsia" w:ascii="宋体" w:hAnsi="宋体"/>
          <w:color w:val="auto"/>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一</w:t>
      </w:r>
      <w:r>
        <w:rPr>
          <w:rFonts w:hint="eastAsia" w:ascii="宋体" w:hAnsi="宋体"/>
          <w:color w:val="auto"/>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635156B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投标人（盖章）：              法定代表人（签字或</w:t>
      </w:r>
      <w:r>
        <w:rPr>
          <w:rFonts w:hint="eastAsia" w:ascii="宋体" w:hAnsi="宋体"/>
          <w:color w:val="auto"/>
          <w:szCs w:val="21"/>
          <w:highlight w:val="none"/>
          <w:lang w:val="en-US" w:eastAsia="zh-CN"/>
        </w:rPr>
        <w:t>盖</w:t>
      </w:r>
      <w:r>
        <w:rPr>
          <w:rFonts w:hint="eastAsia" w:ascii="宋体" w:hAnsi="宋体"/>
          <w:color w:val="auto"/>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40" w:lineRule="exact"/>
        <w:ind w:firstLine="5250" w:firstLineChars="2500"/>
        <w:textAlignment w:val="auto"/>
        <w:rPr>
          <w:color w:val="auto"/>
          <w:highlight w:val="none"/>
        </w:rPr>
      </w:pPr>
      <w:r>
        <w:rPr>
          <w:rFonts w:hint="eastAsia" w:ascii="宋体" w:hAnsi="宋体"/>
          <w:color w:val="auto"/>
          <w:szCs w:val="21"/>
          <w:highlight w:val="none"/>
        </w:rPr>
        <w:t>日期：    年   月   日</w:t>
      </w:r>
    </w:p>
    <w:p w14:paraId="364DDAFB">
      <w:pPr>
        <w:rPr>
          <w:rFonts w:eastAsia="黑体"/>
          <w:color w:val="auto"/>
          <w:sz w:val="28"/>
          <w:szCs w:val="28"/>
          <w:highlight w:val="none"/>
          <w:u w:val="single"/>
        </w:rPr>
      </w:pPr>
      <w:r>
        <w:rPr>
          <w:rFonts w:hint="eastAsia" w:ascii="宋体" w:hAnsi="宋体"/>
          <w:b/>
          <w:color w:val="auto"/>
          <w:sz w:val="32"/>
          <w:szCs w:val="32"/>
          <w:highlight w:val="none"/>
        </w:rPr>
        <w:br w:type="page"/>
      </w:r>
    </w:p>
    <w:p w14:paraId="30BFF376">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b/>
          <w:bCs/>
          <w:color w:val="auto"/>
          <w:sz w:val="28"/>
          <w:szCs w:val="28"/>
          <w:highlight w:val="none"/>
        </w:rPr>
      </w:pPr>
      <w:r>
        <w:rPr>
          <w:rFonts w:hint="eastAsia"/>
          <w:b/>
          <w:bCs/>
          <w:color w:val="auto"/>
          <w:sz w:val="28"/>
          <w:szCs w:val="28"/>
          <w:highlight w:val="none"/>
          <w:lang w:eastAsia="zh-CN"/>
        </w:rPr>
        <w:t>（</w:t>
      </w:r>
      <w:r>
        <w:rPr>
          <w:rFonts w:hint="eastAsia"/>
          <w:b/>
          <w:bCs/>
          <w:color w:val="auto"/>
          <w:sz w:val="28"/>
          <w:szCs w:val="28"/>
          <w:highlight w:val="none"/>
          <w:lang w:val="en-US" w:eastAsia="zh-CN"/>
        </w:rPr>
        <w:t>3）</w:t>
      </w:r>
      <w:r>
        <w:rPr>
          <w:rFonts w:hint="eastAsia"/>
          <w:b/>
          <w:bCs/>
          <w:color w:val="auto"/>
          <w:sz w:val="28"/>
          <w:szCs w:val="28"/>
          <w:highlight w:val="none"/>
        </w:rPr>
        <w:t>服务承诺书</w:t>
      </w:r>
    </w:p>
    <w:p w14:paraId="06669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     ：</w:t>
      </w:r>
    </w:p>
    <w:p w14:paraId="1DEE3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本承诺声明：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（投标人名称</w:t>
      </w:r>
      <w:r>
        <w:rPr>
          <w:rFonts w:hint="eastAsia" w:ascii="宋体" w:hAnsi="宋体"/>
          <w:color w:val="auto"/>
          <w:sz w:val="24"/>
          <w:highlight w:val="none"/>
          <w:lang w:eastAsia="zh-CN"/>
        </w:rPr>
        <w:t>）</w:t>
      </w:r>
      <w:r>
        <w:rPr>
          <w:rFonts w:hint="eastAsia" w:ascii="宋体" w:hAnsi="宋体"/>
          <w:color w:val="auto"/>
          <w:sz w:val="24"/>
          <w:highlight w:val="none"/>
        </w:rPr>
        <w:t>对本招标文件所有要求完全响应</w:t>
      </w:r>
      <w:r>
        <w:rPr>
          <w:rFonts w:hint="eastAsia" w:ascii="宋体" w:hAnsi="宋体"/>
          <w:color w:val="auto"/>
          <w:sz w:val="24"/>
          <w:highlight w:val="none"/>
          <w:lang w:eastAsia="zh-CN"/>
        </w:rPr>
        <w:t>，</w:t>
      </w:r>
      <w:r>
        <w:rPr>
          <w:rFonts w:hint="eastAsia" w:ascii="宋体" w:hAnsi="宋体"/>
          <w:color w:val="auto"/>
          <w:sz w:val="24"/>
          <w:highlight w:val="none"/>
        </w:rPr>
        <w:t>若有幸中标将严格按照以上承诺进行服务。</w:t>
      </w:r>
      <w:r>
        <w:rPr>
          <w:rFonts w:hint="eastAsia" w:ascii="宋体" w:hAnsi="宋体"/>
          <w:color w:val="auto"/>
          <w:sz w:val="24"/>
          <w:highlight w:val="none"/>
          <w:lang w:val="en-US" w:eastAsia="zh-CN"/>
        </w:rPr>
        <w:t>若发现有偏离且不能按招标人要求调整的，招标人有权终止合同重新招标，我方承担因此产生的所有经济责任。</w:t>
      </w:r>
    </w:p>
    <w:p w14:paraId="1A4CEE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012AA7D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w:t>
      </w:r>
    </w:p>
    <w:p w14:paraId="607BD8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（签字或签章）       </w:t>
      </w:r>
    </w:p>
    <w:p w14:paraId="22FBA8F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u w:val="single"/>
        </w:rPr>
      </w:pPr>
      <w:r>
        <w:rPr>
          <w:rFonts w:hint="eastAsia" w:ascii="宋体" w:hAnsi="宋体"/>
          <w:color w:val="auto"/>
          <w:sz w:val="24"/>
          <w:highlight w:val="none"/>
        </w:rPr>
        <w:t xml:space="preserve">                                     </w:t>
      </w:r>
    </w:p>
    <w:p w14:paraId="2DC9AE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（盖章）    </w:t>
      </w:r>
    </w:p>
    <w:p w14:paraId="1506B835">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rPr>
      </w:pPr>
    </w:p>
    <w:p w14:paraId="65CFB084">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11B63892">
      <w:pPr>
        <w:adjustRightInd w:val="0"/>
        <w:snapToGrid w:val="0"/>
        <w:spacing w:line="560" w:lineRule="exact"/>
        <w:ind w:firstLine="420" w:firstLineChars="200"/>
        <w:rPr>
          <w:rFonts w:hint="eastAsia"/>
          <w:color w:val="auto"/>
          <w:highlight w:val="none"/>
        </w:rPr>
      </w:pPr>
      <w:r>
        <w:rPr>
          <w:color w:val="auto"/>
          <w:highlight w:val="none"/>
        </w:rPr>
        <w:br w:type="page"/>
      </w:r>
    </w:p>
    <w:p w14:paraId="5D358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b/>
          <w:color w:val="auto"/>
          <w:sz w:val="32"/>
          <w:szCs w:val="32"/>
          <w:highlight w:val="none"/>
          <w:u w:val="single"/>
          <w:lang w:val="en-US" w:eastAsia="zh-CN"/>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）投 标 函</w:t>
      </w:r>
    </w:p>
    <w:p w14:paraId="246EE2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bookmarkStart w:id="244" w:name="_Toc35425140"/>
      <w:bookmarkStart w:id="245" w:name="_Toc35424974"/>
      <w:bookmarkStart w:id="246" w:name="_Toc506107366"/>
      <w:bookmarkStart w:id="247" w:name="_Toc15058950"/>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34202DD2">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我们决定参加贵单位组织的“</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 xml:space="preserve">”的项目。我方授权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none"/>
        </w:rPr>
        <w:t>姓名和职务</w:t>
      </w:r>
      <w:r>
        <w:rPr>
          <w:rFonts w:hint="eastAsia" w:ascii="宋体" w:hAnsi="宋体" w:eastAsia="宋体" w:cs="宋体"/>
          <w:color w:val="auto"/>
          <w:highlight w:val="none"/>
        </w:rPr>
        <w:t xml:space="preserve">)代表我方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（投标单位的名称）全权处理本项目投标的有关事宜 </w:t>
      </w:r>
      <w:r>
        <w:rPr>
          <w:rFonts w:hint="eastAsia" w:ascii="宋体" w:hAnsi="宋体" w:eastAsia="宋体" w:cs="宋体"/>
          <w:color w:val="auto"/>
          <w:highlight w:val="none"/>
          <w:lang w:eastAsia="zh-CN"/>
        </w:rPr>
        <w:t>。</w:t>
      </w:r>
    </w:p>
    <w:p w14:paraId="410E35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我们已仔细地研究了</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highlight w:val="none"/>
        </w:rPr>
        <w:t>规定的合同范围，工作要求，并考虑到了潜在所有风险。</w:t>
      </w:r>
      <w:r>
        <w:rPr>
          <w:rFonts w:hint="eastAsia" w:ascii="宋体" w:hAnsi="宋体" w:eastAsia="宋体" w:cs="宋体"/>
          <w:color w:val="auto"/>
          <w:sz w:val="21"/>
          <w:szCs w:val="21"/>
          <w:highlight w:val="none"/>
        </w:rPr>
        <w:t>我方愿以（币种，金额、单位）</w:t>
      </w:r>
      <w:r>
        <w:rPr>
          <w:rFonts w:hint="eastAsia" w:ascii="宋体" w:hAnsi="宋体" w:eastAsia="宋体" w:cs="宋体"/>
          <w:color w:val="auto"/>
          <w:sz w:val="21"/>
          <w:szCs w:val="21"/>
          <w:highlight w:val="none"/>
          <w:u w:val="single"/>
        </w:rPr>
        <w:t>人民币           元</w:t>
      </w:r>
      <w:r>
        <w:rPr>
          <w:rFonts w:hint="eastAsia" w:ascii="宋体" w:hAnsi="宋体" w:eastAsia="宋体" w:cs="宋体"/>
          <w:color w:val="auto"/>
          <w:sz w:val="21"/>
          <w:szCs w:val="21"/>
          <w:highlight w:val="none"/>
        </w:rPr>
        <w:t>的投标报价承包上述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，并承担任何质量缺陷保修责任。</w:t>
      </w:r>
    </w:p>
    <w:p w14:paraId="34E058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我方已详细审核全部招标文件及有关附件，承诺招标文件及有关附件中所有条款。</w:t>
      </w:r>
    </w:p>
    <w:p w14:paraId="06798B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一旦我方中标，保证按照招标人要求开始实施本项目并移交整个项目，项目质量达到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符合相关国家标准  </w:t>
      </w:r>
      <w:r>
        <w:rPr>
          <w:rFonts w:hint="eastAsia" w:ascii="宋体" w:hAnsi="宋体" w:eastAsia="宋体" w:cs="宋体"/>
          <w:color w:val="auto"/>
          <w:sz w:val="21"/>
          <w:szCs w:val="21"/>
          <w:highlight w:val="none"/>
        </w:rPr>
        <w:t>。</w:t>
      </w:r>
    </w:p>
    <w:p w14:paraId="19B988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如果我方在本投标书有效期内撤回投标书，或在中标通知书下达后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天内未能或拒绝签订合同书，或自行转标，贵单位有权另选中标单位。</w:t>
      </w:r>
    </w:p>
    <w:p w14:paraId="4A498E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日历天（从投标截止之日算起）。</w:t>
      </w:r>
    </w:p>
    <w:p w14:paraId="2ED2F7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我单位提供如下通讯地址：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电子邮箱（地址），确认本项目相关法律文书均通过提供的以上地址送达，相关文书只要发送至以上电子邮箱（地址）即视为送达，投标人愿意承担一切法律后果。</w:t>
      </w: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41B57621">
      <w:pPr>
        <w:spacing w:line="600" w:lineRule="exact"/>
        <w:ind w:firstLine="2310" w:firstLineChars="110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或委托代理人</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签字或盖章</w:t>
      </w:r>
      <w:r>
        <w:rPr>
          <w:rFonts w:hint="eastAsia" w:ascii="宋体" w:hAnsi="宋体"/>
          <w:color w:val="auto"/>
          <w:szCs w:val="21"/>
          <w:highlight w:val="none"/>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573E0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p>
    <w:p w14:paraId="65A7D62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bCs/>
          <w:color w:val="auto"/>
          <w:szCs w:val="32"/>
          <w:highlight w:val="none"/>
        </w:rPr>
      </w:pPr>
      <w:r>
        <w:rPr>
          <w:rFonts w:hint="eastAsia"/>
          <w:color w:val="auto"/>
          <w:sz w:val="32"/>
          <w:szCs w:val="32"/>
          <w:highlight w:val="none"/>
        </w:rPr>
        <w:br w:type="page"/>
      </w:r>
      <w:bookmarkEnd w:id="7"/>
      <w:bookmarkEnd w:id="8"/>
      <w:bookmarkEnd w:id="9"/>
      <w:bookmarkEnd w:id="10"/>
      <w:bookmarkEnd w:id="11"/>
      <w:bookmarkEnd w:id="244"/>
      <w:bookmarkEnd w:id="245"/>
      <w:bookmarkEnd w:id="246"/>
      <w:bookmarkEnd w:id="247"/>
      <w:bookmarkStart w:id="248" w:name="_Toc78803402"/>
    </w:p>
    <w:p w14:paraId="67A18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color w:val="auto"/>
          <w:sz w:val="36"/>
          <w:szCs w:val="36"/>
          <w:highlight w:val="none"/>
        </w:rPr>
      </w:pPr>
      <w:r>
        <w:rPr>
          <w:rFonts w:hint="eastAsia"/>
          <w:b/>
          <w:color w:val="auto"/>
          <w:sz w:val="28"/>
          <w:szCs w:val="28"/>
          <w:highlight w:val="none"/>
          <w:lang w:eastAsia="zh-CN"/>
        </w:rPr>
        <w:t>（</w:t>
      </w:r>
      <w:r>
        <w:rPr>
          <w:rFonts w:hint="eastAsia"/>
          <w:b/>
          <w:color w:val="auto"/>
          <w:sz w:val="28"/>
          <w:szCs w:val="28"/>
          <w:highlight w:val="none"/>
          <w:lang w:val="en-US" w:eastAsia="zh-CN"/>
        </w:rPr>
        <w:t>5）</w:t>
      </w:r>
      <w:r>
        <w:rPr>
          <w:rFonts w:hint="eastAsia"/>
          <w:b/>
          <w:color w:val="auto"/>
          <w:sz w:val="28"/>
          <w:szCs w:val="28"/>
          <w:highlight w:val="none"/>
        </w:rPr>
        <w:t>分项报价清单</w:t>
      </w:r>
    </w:p>
    <w:p w14:paraId="4A16D117">
      <w:pPr>
        <w:keepNext w:val="0"/>
        <w:keepLines w:val="0"/>
        <w:pageBreakBefore w:val="0"/>
        <w:widowControl w:val="0"/>
        <w:kinsoku/>
        <w:wordWrap/>
        <w:overflowPunct/>
        <w:topLinePunct w:val="0"/>
        <w:autoSpaceDE/>
        <w:autoSpaceDN/>
        <w:bidi w:val="0"/>
        <w:adjustRightInd/>
        <w:snapToGrid/>
        <w:spacing w:line="440" w:lineRule="exact"/>
        <w:ind w:right="464" w:rightChars="221"/>
        <w:textAlignment w:val="auto"/>
        <w:rPr>
          <w:rFonts w:hint="eastAsia" w:ascii="宋体" w:hAnsi="宋体" w:eastAsia="宋体" w:cs="宋体"/>
          <w:color w:val="auto"/>
          <w:szCs w:val="21"/>
          <w:highlight w:val="none"/>
          <w:lang w:val="zh-CN" w:eastAsia="zh-CN"/>
        </w:rPr>
      </w:pPr>
    </w:p>
    <w:tbl>
      <w:tblPr>
        <w:tblStyle w:val="47"/>
        <w:tblW w:w="935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473"/>
        <w:gridCol w:w="2130"/>
        <w:gridCol w:w="1755"/>
        <w:gridCol w:w="1549"/>
        <w:gridCol w:w="801"/>
      </w:tblGrid>
      <w:tr w14:paraId="499C68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noWrap w:val="0"/>
            <w:vAlign w:val="center"/>
          </w:tcPr>
          <w:p w14:paraId="450BCBB9">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i w:val="0"/>
                <w:iCs w:val="0"/>
                <w:color w:val="auto"/>
                <w:sz w:val="24"/>
                <w:szCs w:val="24"/>
                <w:highlight w:val="none"/>
                <w:u w:val="none"/>
                <w:lang w:val="en-US" w:eastAsia="zh-CN"/>
              </w:rPr>
              <w:t>序号</w:t>
            </w:r>
          </w:p>
        </w:tc>
        <w:tc>
          <w:tcPr>
            <w:tcW w:w="2473" w:type="dxa"/>
            <w:tcBorders>
              <w:right w:val="single" w:color="auto" w:sz="4" w:space="0"/>
            </w:tcBorders>
            <w:noWrap w:val="0"/>
            <w:vAlign w:val="center"/>
          </w:tcPr>
          <w:p w14:paraId="4E484C1F">
            <w:pPr>
              <w:keepNext w:val="0"/>
              <w:keepLines w:val="0"/>
              <w:widowControl/>
              <w:suppressLineNumbers w:val="0"/>
              <w:jc w:val="center"/>
              <w:textAlignment w:val="center"/>
              <w:rPr>
                <w:rFonts w:hint="eastAsia" w:ascii="宋体" w:hAnsi="宋体" w:eastAsia="宋体"/>
                <w:color w:val="auto"/>
                <w:szCs w:val="21"/>
                <w:highlight w:val="none"/>
                <w:lang w:eastAsia="zh-CN"/>
              </w:rPr>
            </w:pPr>
            <w:r>
              <w:rPr>
                <w:rFonts w:hint="eastAsia" w:ascii="宋体" w:hAnsi="宋体" w:eastAsia="宋体" w:cs="宋体"/>
                <w:color w:val="auto"/>
                <w:kern w:val="2"/>
                <w:sz w:val="24"/>
                <w:szCs w:val="24"/>
                <w:highlight w:val="none"/>
                <w:lang w:val="en-US" w:eastAsia="zh-CN" w:bidi="ar"/>
              </w:rPr>
              <w:t>种类</w:t>
            </w:r>
          </w:p>
        </w:tc>
        <w:tc>
          <w:tcPr>
            <w:tcW w:w="2130" w:type="dxa"/>
            <w:tcBorders>
              <w:left w:val="single" w:color="auto" w:sz="4" w:space="0"/>
            </w:tcBorders>
            <w:noWrap w:val="0"/>
            <w:vAlign w:val="center"/>
          </w:tcPr>
          <w:p w14:paraId="0A75DA83">
            <w:pPr>
              <w:keepNext w:val="0"/>
              <w:keepLines w:val="0"/>
              <w:widowControl/>
              <w:suppressLineNumbers w:val="0"/>
              <w:jc w:val="center"/>
              <w:textAlignment w:val="center"/>
              <w:rPr>
                <w:rFonts w:hint="default" w:ascii="宋体" w:hAnsi="宋体" w:eastAsia="宋体"/>
                <w:color w:val="auto"/>
                <w:szCs w:val="21"/>
                <w:highlight w:val="none"/>
                <w:lang w:val="en-US" w:eastAsia="zh-CN"/>
              </w:rPr>
            </w:pPr>
            <w:r>
              <w:rPr>
                <w:rFonts w:hint="eastAsia" w:ascii="宋体" w:hAnsi="宋体" w:eastAsia="宋体" w:cs="宋体"/>
                <w:color w:val="auto"/>
                <w:kern w:val="2"/>
                <w:sz w:val="24"/>
                <w:szCs w:val="24"/>
                <w:highlight w:val="none"/>
                <w:lang w:val="en-US" w:eastAsia="zh-CN" w:bidi="ar"/>
              </w:rPr>
              <w:t>计划采购</w:t>
            </w:r>
            <w:r>
              <w:rPr>
                <w:rFonts w:hint="eastAsia" w:eastAsia="宋体" w:cs="宋体"/>
                <w:i w:val="0"/>
                <w:iCs w:val="0"/>
                <w:color w:val="auto"/>
                <w:sz w:val="24"/>
                <w:szCs w:val="24"/>
                <w:highlight w:val="none"/>
                <w:u w:val="none"/>
                <w:lang w:val="en-US" w:eastAsia="zh-CN"/>
              </w:rPr>
              <w:t>数量（吨）</w:t>
            </w:r>
          </w:p>
        </w:tc>
        <w:tc>
          <w:tcPr>
            <w:tcW w:w="1755" w:type="dxa"/>
            <w:noWrap w:val="0"/>
            <w:vAlign w:val="center"/>
          </w:tcPr>
          <w:p w14:paraId="3B43D0BA">
            <w:pPr>
              <w:keepNext w:val="0"/>
              <w:keepLines w:val="0"/>
              <w:widowControl/>
              <w:suppressLineNumbers w:val="0"/>
              <w:ind w:left="240" w:hanging="240" w:hangingChars="100"/>
              <w:jc w:val="both"/>
              <w:textAlignment w:val="center"/>
              <w:rPr>
                <w:rFonts w:hint="eastAsia" w:ascii="宋体" w:hAnsi="宋体"/>
                <w:color w:val="auto"/>
                <w:szCs w:val="21"/>
                <w:highlight w:val="none"/>
              </w:rPr>
            </w:pPr>
            <w:r>
              <w:rPr>
                <w:rFonts w:hint="eastAsia" w:cs="宋体"/>
                <w:i w:val="0"/>
                <w:iCs w:val="0"/>
                <w:color w:val="auto"/>
                <w:sz w:val="24"/>
                <w:szCs w:val="24"/>
                <w:highlight w:val="none"/>
                <w:u w:val="none"/>
                <w:lang w:val="en-US" w:eastAsia="zh-CN"/>
              </w:rPr>
              <w:t xml:space="preserve">投标综合单价  </w:t>
            </w:r>
            <w:r>
              <w:rPr>
                <w:rFonts w:hint="eastAsia" w:eastAsia="宋体" w:cs="宋体"/>
                <w:i w:val="0"/>
                <w:iCs w:val="0"/>
                <w:color w:val="auto"/>
                <w:sz w:val="24"/>
                <w:szCs w:val="24"/>
                <w:highlight w:val="none"/>
                <w:u w:val="none"/>
                <w:lang w:val="en-US" w:eastAsia="zh-CN"/>
              </w:rPr>
              <w:t>（元/吨）</w:t>
            </w:r>
          </w:p>
        </w:tc>
        <w:tc>
          <w:tcPr>
            <w:tcW w:w="1549" w:type="dxa"/>
            <w:tcBorders>
              <w:right w:val="single" w:color="auto" w:sz="4" w:space="0"/>
            </w:tcBorders>
            <w:noWrap w:val="0"/>
            <w:vAlign w:val="center"/>
          </w:tcPr>
          <w:p w14:paraId="6686E77B">
            <w:pPr>
              <w:keepNext w:val="0"/>
              <w:keepLines w:val="0"/>
              <w:widowControl/>
              <w:suppressLineNumbers w:val="0"/>
              <w:jc w:val="center"/>
              <w:textAlignment w:val="center"/>
              <w:rPr>
                <w:rFonts w:hint="eastAsia" w:ascii="宋体" w:hAnsi="宋体" w:eastAsia="宋体"/>
                <w:color w:val="auto"/>
                <w:szCs w:val="21"/>
                <w:highlight w:val="none"/>
                <w:lang w:eastAsia="zh-CN"/>
              </w:rPr>
            </w:pPr>
            <w:r>
              <w:rPr>
                <w:rFonts w:hint="eastAsia" w:eastAsia="宋体" w:cs="宋体"/>
                <w:i w:val="0"/>
                <w:iCs w:val="0"/>
                <w:color w:val="auto"/>
                <w:sz w:val="24"/>
                <w:szCs w:val="24"/>
                <w:highlight w:val="none"/>
                <w:u w:val="none"/>
                <w:lang w:val="en-US" w:eastAsia="zh-CN"/>
              </w:rPr>
              <w:t>合计（元）</w:t>
            </w:r>
          </w:p>
        </w:tc>
        <w:tc>
          <w:tcPr>
            <w:tcW w:w="801" w:type="dxa"/>
            <w:tcBorders>
              <w:left w:val="single" w:color="auto" w:sz="4" w:space="0"/>
            </w:tcBorders>
            <w:noWrap w:val="0"/>
            <w:vAlign w:val="center"/>
          </w:tcPr>
          <w:p w14:paraId="3B614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0" w:leftChars="-38" w:right="-94" w:rightChars="-45"/>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备注</w:t>
            </w:r>
          </w:p>
        </w:tc>
      </w:tr>
      <w:tr w14:paraId="54B616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643" w:type="dxa"/>
            <w:shd w:val="clear" w:color="auto" w:fill="auto"/>
            <w:noWrap w:val="0"/>
            <w:vAlign w:val="center"/>
          </w:tcPr>
          <w:p w14:paraId="43B3ADDA">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i w:val="0"/>
                <w:iCs w:val="0"/>
                <w:color w:val="auto"/>
                <w:sz w:val="24"/>
                <w:szCs w:val="24"/>
                <w:highlight w:val="none"/>
                <w:u w:val="none"/>
                <w:lang w:val="en-US" w:eastAsia="zh-CN"/>
              </w:rPr>
              <w:t>1</w:t>
            </w:r>
          </w:p>
        </w:tc>
        <w:tc>
          <w:tcPr>
            <w:tcW w:w="2473" w:type="dxa"/>
            <w:tcBorders>
              <w:right w:val="single" w:color="auto" w:sz="4" w:space="0"/>
            </w:tcBorders>
            <w:shd w:val="clear" w:color="auto" w:fill="FFFFFF"/>
            <w:noWrap w:val="0"/>
            <w:vAlign w:val="center"/>
          </w:tcPr>
          <w:p w14:paraId="0DAC339F">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Cs w:val="21"/>
                <w:highlight w:val="none"/>
                <w:lang w:val="en-US" w:eastAsia="zh-CN"/>
              </w:rPr>
            </w:pPr>
            <w:r>
              <w:rPr>
                <w:rFonts w:hint="default" w:ascii="Calibri" w:hAnsi="Calibri" w:eastAsia="宋体" w:cs="Calibri"/>
                <w:color w:val="auto"/>
                <w:kern w:val="2"/>
                <w:sz w:val="21"/>
                <w:szCs w:val="21"/>
                <w:highlight w:val="none"/>
                <w:lang w:val="en-US" w:eastAsia="zh-CN" w:bidi="ar"/>
              </w:rPr>
              <w:t>AC-13</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70</w:t>
            </w:r>
            <w:r>
              <w:rPr>
                <w:rFonts w:hint="eastAsia" w:ascii="宋体" w:hAnsi="宋体" w:eastAsia="宋体" w:cs="宋体"/>
                <w:color w:val="auto"/>
                <w:kern w:val="2"/>
                <w:sz w:val="21"/>
                <w:szCs w:val="21"/>
                <w:highlight w:val="none"/>
                <w:lang w:val="en-US" w:eastAsia="zh-CN" w:bidi="ar"/>
              </w:rPr>
              <w:t>号</w:t>
            </w:r>
            <w:r>
              <w:rPr>
                <w:rFonts w:hint="default" w:ascii="Calibri" w:hAnsi="Calibri" w:eastAsia="宋体" w:cs="Calibri"/>
                <w:color w:val="auto"/>
                <w:kern w:val="2"/>
                <w:sz w:val="21"/>
                <w:szCs w:val="21"/>
                <w:highlight w:val="none"/>
                <w:lang w:val="en-US" w:eastAsia="zh-CN" w:bidi="ar"/>
              </w:rPr>
              <w:t>A</w:t>
            </w:r>
            <w:r>
              <w:rPr>
                <w:rFonts w:hint="eastAsia" w:ascii="宋体" w:hAnsi="宋体" w:eastAsia="宋体" w:cs="宋体"/>
                <w:color w:val="auto"/>
                <w:kern w:val="2"/>
                <w:sz w:val="21"/>
                <w:szCs w:val="21"/>
                <w:highlight w:val="none"/>
                <w:lang w:val="en-US" w:eastAsia="zh-CN" w:bidi="ar"/>
              </w:rPr>
              <w:t>，石灰岩）</w:t>
            </w:r>
          </w:p>
        </w:tc>
        <w:tc>
          <w:tcPr>
            <w:tcW w:w="2130" w:type="dxa"/>
            <w:tcBorders>
              <w:left w:val="single" w:color="auto" w:sz="4" w:space="0"/>
            </w:tcBorders>
            <w:shd w:val="clear" w:color="auto" w:fill="auto"/>
            <w:noWrap w:val="0"/>
            <w:vAlign w:val="center"/>
          </w:tcPr>
          <w:p w14:paraId="6A712DFE">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Cs w:val="21"/>
                <w:highlight w:val="none"/>
                <w:lang w:val="en-US" w:eastAsia="zh-CN"/>
              </w:rPr>
            </w:pPr>
            <w:r>
              <w:rPr>
                <w:rFonts w:hint="default" w:ascii="Calibri" w:hAnsi="Calibri" w:eastAsia="宋体" w:cs="Calibri"/>
                <w:color w:val="auto"/>
                <w:kern w:val="2"/>
                <w:sz w:val="21"/>
                <w:szCs w:val="21"/>
                <w:highlight w:val="none"/>
                <w:lang w:val="en-US" w:eastAsia="zh-CN" w:bidi="ar"/>
              </w:rPr>
              <w:t>1000</w:t>
            </w:r>
          </w:p>
        </w:tc>
        <w:tc>
          <w:tcPr>
            <w:tcW w:w="1755" w:type="dxa"/>
            <w:shd w:val="clear" w:color="auto" w:fill="FFFFFF"/>
            <w:noWrap w:val="0"/>
            <w:vAlign w:val="center"/>
          </w:tcPr>
          <w:p w14:paraId="6A96D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i w:val="0"/>
                <w:iCs w:val="0"/>
                <w:color w:val="auto"/>
                <w:szCs w:val="21"/>
                <w:highlight w:val="none"/>
                <w:lang w:val="en-US" w:eastAsia="zh-CN"/>
              </w:rPr>
            </w:pPr>
          </w:p>
        </w:tc>
        <w:tc>
          <w:tcPr>
            <w:tcW w:w="1549" w:type="dxa"/>
            <w:tcBorders>
              <w:right w:val="single" w:color="auto" w:sz="4" w:space="0"/>
            </w:tcBorders>
            <w:noWrap w:val="0"/>
            <w:vAlign w:val="center"/>
          </w:tcPr>
          <w:p w14:paraId="61DEA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i w:val="0"/>
                <w:iCs w:val="0"/>
                <w:color w:val="auto"/>
                <w:szCs w:val="21"/>
                <w:highlight w:val="none"/>
                <w:lang w:val="en-US" w:eastAsia="zh-CN"/>
              </w:rPr>
            </w:pPr>
          </w:p>
        </w:tc>
        <w:tc>
          <w:tcPr>
            <w:tcW w:w="801" w:type="dxa"/>
            <w:tcBorders>
              <w:left w:val="single" w:color="auto" w:sz="4" w:space="0"/>
            </w:tcBorders>
            <w:noWrap w:val="0"/>
            <w:vAlign w:val="center"/>
          </w:tcPr>
          <w:p w14:paraId="26784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宋体" w:hAnsi="宋体" w:eastAsia="宋体" w:cs="宋体"/>
                <w:i w:val="0"/>
                <w:iCs w:val="0"/>
                <w:color w:val="auto"/>
                <w:szCs w:val="21"/>
                <w:highlight w:val="none"/>
                <w:lang w:val="en-US" w:eastAsia="zh-CN"/>
              </w:rPr>
            </w:pPr>
          </w:p>
        </w:tc>
      </w:tr>
      <w:tr w14:paraId="7A426C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643" w:type="dxa"/>
            <w:shd w:val="clear" w:color="auto" w:fill="auto"/>
            <w:noWrap w:val="0"/>
            <w:vAlign w:val="center"/>
          </w:tcPr>
          <w:p w14:paraId="7567FEE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4"/>
                <w:szCs w:val="24"/>
                <w:highlight w:val="none"/>
                <w:u w:val="none"/>
                <w:lang w:val="en-US" w:eastAsia="zh-CN"/>
              </w:rPr>
              <w:t>2</w:t>
            </w:r>
          </w:p>
        </w:tc>
        <w:tc>
          <w:tcPr>
            <w:tcW w:w="2473" w:type="dxa"/>
            <w:tcBorders>
              <w:right w:val="single" w:color="auto" w:sz="4" w:space="0"/>
            </w:tcBorders>
            <w:shd w:val="clear" w:color="auto" w:fill="FFFFFF"/>
            <w:noWrap w:val="0"/>
            <w:vAlign w:val="center"/>
          </w:tcPr>
          <w:p w14:paraId="3B281E51">
            <w:pPr>
              <w:keepNext w:val="0"/>
              <w:keepLines w:val="0"/>
              <w:widowControl w:val="0"/>
              <w:suppressLineNumbers w:val="0"/>
              <w:tabs>
                <w:tab w:val="left" w:pos="731"/>
              </w:tabs>
              <w:spacing w:before="0" w:beforeAutospacing="0" w:after="0" w:afterAutospacing="0"/>
              <w:ind w:left="0" w:leftChars="0" w:right="0" w:rightChars="0"/>
              <w:jc w:val="center"/>
              <w:rPr>
                <w:rFonts w:hint="eastAsia" w:eastAsia="宋体" w:cs="宋体"/>
                <w:i w:val="0"/>
                <w:color w:val="auto"/>
                <w:kern w:val="0"/>
                <w:sz w:val="24"/>
                <w:szCs w:val="24"/>
                <w:highlight w:val="none"/>
                <w:u w:val="none"/>
                <w:lang w:val="en-US" w:eastAsia="zh-CN" w:bidi="ar"/>
              </w:rPr>
            </w:pPr>
            <w:r>
              <w:rPr>
                <w:rFonts w:hint="default" w:ascii="Calibri" w:hAnsi="Calibri" w:eastAsia="宋体" w:cs="Calibri"/>
                <w:color w:val="auto"/>
                <w:kern w:val="2"/>
                <w:sz w:val="21"/>
                <w:szCs w:val="21"/>
                <w:highlight w:val="none"/>
                <w:lang w:val="en-US" w:eastAsia="zh-CN" w:bidi="ar"/>
              </w:rPr>
              <w:t>AC-13</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SBS</w:t>
            </w:r>
            <w:r>
              <w:rPr>
                <w:rFonts w:hint="eastAsia" w:ascii="宋体" w:hAnsi="宋体" w:eastAsia="宋体" w:cs="宋体"/>
                <w:color w:val="auto"/>
                <w:kern w:val="2"/>
                <w:sz w:val="21"/>
                <w:szCs w:val="21"/>
                <w:highlight w:val="none"/>
                <w:lang w:val="en-US" w:eastAsia="zh-CN" w:bidi="ar"/>
              </w:rPr>
              <w:t>，石灰岩）</w:t>
            </w:r>
          </w:p>
        </w:tc>
        <w:tc>
          <w:tcPr>
            <w:tcW w:w="2130" w:type="dxa"/>
            <w:tcBorders>
              <w:left w:val="single" w:color="auto" w:sz="4" w:space="0"/>
            </w:tcBorders>
            <w:shd w:val="clear" w:color="auto" w:fill="auto"/>
            <w:noWrap w:val="0"/>
            <w:vAlign w:val="center"/>
          </w:tcPr>
          <w:p w14:paraId="32ECC7C0">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Cs w:val="21"/>
                <w:highlight w:val="none"/>
                <w:lang w:val="en-US" w:eastAsia="zh-CN"/>
              </w:rPr>
            </w:pPr>
            <w:r>
              <w:rPr>
                <w:rFonts w:hint="default" w:ascii="Calibri" w:hAnsi="Calibri" w:eastAsia="宋体" w:cs="Calibri"/>
                <w:color w:val="auto"/>
                <w:kern w:val="2"/>
                <w:sz w:val="21"/>
                <w:szCs w:val="21"/>
                <w:highlight w:val="none"/>
                <w:lang w:val="en-US" w:eastAsia="zh-CN" w:bidi="ar"/>
              </w:rPr>
              <w:t>300</w:t>
            </w:r>
          </w:p>
        </w:tc>
        <w:tc>
          <w:tcPr>
            <w:tcW w:w="1755" w:type="dxa"/>
            <w:shd w:val="clear" w:color="auto" w:fill="FFFFFF"/>
            <w:noWrap w:val="0"/>
            <w:vAlign w:val="center"/>
          </w:tcPr>
          <w:p w14:paraId="55C65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i w:val="0"/>
                <w:iCs w:val="0"/>
                <w:color w:val="auto"/>
                <w:szCs w:val="21"/>
                <w:highlight w:val="none"/>
                <w:lang w:val="en-US" w:eastAsia="zh-CN"/>
              </w:rPr>
            </w:pPr>
          </w:p>
        </w:tc>
        <w:tc>
          <w:tcPr>
            <w:tcW w:w="1549" w:type="dxa"/>
            <w:tcBorders>
              <w:right w:val="single" w:color="auto" w:sz="4" w:space="0"/>
            </w:tcBorders>
            <w:noWrap w:val="0"/>
            <w:vAlign w:val="center"/>
          </w:tcPr>
          <w:p w14:paraId="05837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i w:val="0"/>
                <w:iCs w:val="0"/>
                <w:color w:val="auto"/>
                <w:szCs w:val="21"/>
                <w:highlight w:val="none"/>
                <w:lang w:val="en-US" w:eastAsia="zh-CN"/>
              </w:rPr>
            </w:pPr>
          </w:p>
        </w:tc>
        <w:tc>
          <w:tcPr>
            <w:tcW w:w="801" w:type="dxa"/>
            <w:tcBorders>
              <w:left w:val="single" w:color="auto" w:sz="4" w:space="0"/>
            </w:tcBorders>
            <w:noWrap w:val="0"/>
            <w:vAlign w:val="center"/>
          </w:tcPr>
          <w:p w14:paraId="542FD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宋体" w:hAnsi="宋体" w:eastAsia="宋体" w:cs="宋体"/>
                <w:i w:val="0"/>
                <w:iCs w:val="0"/>
                <w:color w:val="auto"/>
                <w:szCs w:val="21"/>
                <w:highlight w:val="none"/>
                <w:lang w:val="en-US" w:eastAsia="zh-CN"/>
              </w:rPr>
            </w:pPr>
          </w:p>
        </w:tc>
      </w:tr>
      <w:tr w14:paraId="392A41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643" w:type="dxa"/>
            <w:shd w:val="clear" w:color="auto" w:fill="auto"/>
            <w:noWrap w:val="0"/>
            <w:vAlign w:val="center"/>
          </w:tcPr>
          <w:p w14:paraId="46DE4CC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4"/>
                <w:szCs w:val="24"/>
                <w:highlight w:val="none"/>
                <w:u w:val="none"/>
                <w:lang w:val="en-US" w:eastAsia="zh-CN"/>
              </w:rPr>
              <w:t>3</w:t>
            </w:r>
          </w:p>
        </w:tc>
        <w:tc>
          <w:tcPr>
            <w:tcW w:w="2473" w:type="dxa"/>
            <w:tcBorders>
              <w:right w:val="single" w:color="auto" w:sz="4" w:space="0"/>
            </w:tcBorders>
            <w:shd w:val="clear" w:color="auto" w:fill="FFFFFF"/>
            <w:noWrap w:val="0"/>
            <w:vAlign w:val="center"/>
          </w:tcPr>
          <w:p w14:paraId="50E7D6BF">
            <w:pPr>
              <w:keepNext w:val="0"/>
              <w:keepLines w:val="0"/>
              <w:widowControl w:val="0"/>
              <w:suppressLineNumbers w:val="0"/>
              <w:tabs>
                <w:tab w:val="left" w:pos="731"/>
              </w:tabs>
              <w:spacing w:before="0" w:beforeAutospacing="0" w:after="0" w:afterAutospacing="0"/>
              <w:ind w:left="0" w:leftChars="0" w:right="0" w:rightChars="0"/>
              <w:jc w:val="center"/>
              <w:rPr>
                <w:rFonts w:hint="eastAsia" w:eastAsia="宋体" w:cs="宋体"/>
                <w:i w:val="0"/>
                <w:color w:val="auto"/>
                <w:kern w:val="0"/>
                <w:sz w:val="24"/>
                <w:szCs w:val="24"/>
                <w:highlight w:val="none"/>
                <w:u w:val="none"/>
                <w:lang w:val="en-US" w:eastAsia="zh-CN" w:bidi="ar"/>
              </w:rPr>
            </w:pPr>
            <w:r>
              <w:rPr>
                <w:rFonts w:hint="default" w:ascii="Calibri" w:hAnsi="Calibri" w:eastAsia="宋体" w:cs="Calibri"/>
                <w:color w:val="auto"/>
                <w:kern w:val="2"/>
                <w:sz w:val="21"/>
                <w:szCs w:val="21"/>
                <w:highlight w:val="none"/>
                <w:lang w:val="en-US" w:eastAsia="zh-CN" w:bidi="ar"/>
              </w:rPr>
              <w:t>AC-13</w:t>
            </w:r>
            <w:r>
              <w:rPr>
                <w:rFonts w:hint="eastAsia" w:ascii="宋体" w:hAnsi="宋体" w:eastAsia="宋体" w:cs="宋体"/>
                <w:color w:val="auto"/>
                <w:kern w:val="2"/>
                <w:sz w:val="21"/>
                <w:szCs w:val="21"/>
                <w:highlight w:val="none"/>
                <w:lang w:val="en-US" w:eastAsia="zh-CN" w:bidi="ar"/>
              </w:rPr>
              <w:t>（橡胶改性沥青，玄武岩，</w:t>
            </w:r>
            <w:r>
              <w:rPr>
                <w:rFonts w:hint="default" w:ascii="Calibri" w:hAnsi="Calibri" w:eastAsia="宋体" w:cs="Calibri"/>
                <w:color w:val="auto"/>
                <w:kern w:val="2"/>
                <w:sz w:val="21"/>
                <w:szCs w:val="21"/>
                <w:highlight w:val="none"/>
                <w:lang w:val="en-US" w:eastAsia="zh-CN" w:bidi="ar"/>
              </w:rPr>
              <w:t xml:space="preserve">0.3%PR </w:t>
            </w:r>
            <w:r>
              <w:rPr>
                <w:rFonts w:hint="eastAsia" w:ascii="宋体" w:hAnsi="宋体" w:eastAsia="宋体" w:cs="宋体"/>
                <w:color w:val="auto"/>
                <w:kern w:val="2"/>
                <w:sz w:val="21"/>
                <w:szCs w:val="21"/>
                <w:highlight w:val="none"/>
                <w:lang w:val="en-US" w:eastAsia="zh-CN" w:bidi="ar"/>
              </w:rPr>
              <w:t>抗车辙剂）</w:t>
            </w:r>
          </w:p>
        </w:tc>
        <w:tc>
          <w:tcPr>
            <w:tcW w:w="2130" w:type="dxa"/>
            <w:tcBorders>
              <w:left w:val="single" w:color="auto" w:sz="4" w:space="0"/>
            </w:tcBorders>
            <w:shd w:val="clear" w:color="auto" w:fill="auto"/>
            <w:noWrap w:val="0"/>
            <w:vAlign w:val="center"/>
          </w:tcPr>
          <w:p w14:paraId="37D22775">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Cs w:val="21"/>
                <w:highlight w:val="none"/>
                <w:lang w:val="en-US" w:eastAsia="zh-CN"/>
              </w:rPr>
            </w:pPr>
            <w:r>
              <w:rPr>
                <w:rFonts w:hint="default" w:ascii="Calibri" w:hAnsi="Calibri" w:eastAsia="宋体" w:cs="Calibri"/>
                <w:color w:val="auto"/>
                <w:kern w:val="2"/>
                <w:sz w:val="21"/>
                <w:szCs w:val="21"/>
                <w:highlight w:val="none"/>
                <w:lang w:val="en-US" w:eastAsia="zh-CN" w:bidi="ar"/>
              </w:rPr>
              <w:t>850</w:t>
            </w:r>
          </w:p>
        </w:tc>
        <w:tc>
          <w:tcPr>
            <w:tcW w:w="1755" w:type="dxa"/>
            <w:shd w:val="clear" w:color="auto" w:fill="FFFFFF"/>
            <w:noWrap w:val="0"/>
            <w:vAlign w:val="center"/>
          </w:tcPr>
          <w:p w14:paraId="5EF8B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i w:val="0"/>
                <w:iCs w:val="0"/>
                <w:color w:val="auto"/>
                <w:szCs w:val="21"/>
                <w:highlight w:val="none"/>
                <w:lang w:val="en-US" w:eastAsia="zh-CN"/>
              </w:rPr>
            </w:pPr>
          </w:p>
        </w:tc>
        <w:tc>
          <w:tcPr>
            <w:tcW w:w="1549" w:type="dxa"/>
            <w:tcBorders>
              <w:right w:val="single" w:color="auto" w:sz="4" w:space="0"/>
            </w:tcBorders>
            <w:noWrap w:val="0"/>
            <w:vAlign w:val="center"/>
          </w:tcPr>
          <w:p w14:paraId="3CDA9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i w:val="0"/>
                <w:iCs w:val="0"/>
                <w:color w:val="auto"/>
                <w:szCs w:val="21"/>
                <w:highlight w:val="none"/>
                <w:lang w:val="en-US" w:eastAsia="zh-CN"/>
              </w:rPr>
            </w:pPr>
          </w:p>
        </w:tc>
        <w:tc>
          <w:tcPr>
            <w:tcW w:w="801" w:type="dxa"/>
            <w:tcBorders>
              <w:left w:val="single" w:color="auto" w:sz="4" w:space="0"/>
            </w:tcBorders>
            <w:noWrap w:val="0"/>
            <w:vAlign w:val="center"/>
          </w:tcPr>
          <w:p w14:paraId="72610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宋体" w:hAnsi="宋体" w:eastAsia="宋体" w:cs="宋体"/>
                <w:i w:val="0"/>
                <w:iCs w:val="0"/>
                <w:color w:val="auto"/>
                <w:szCs w:val="21"/>
                <w:highlight w:val="none"/>
                <w:lang w:val="en-US" w:eastAsia="zh-CN"/>
              </w:rPr>
            </w:pPr>
          </w:p>
        </w:tc>
      </w:tr>
      <w:tr w14:paraId="1A09A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643" w:type="dxa"/>
            <w:shd w:val="clear" w:color="auto" w:fill="auto"/>
            <w:noWrap w:val="0"/>
            <w:vAlign w:val="center"/>
          </w:tcPr>
          <w:p w14:paraId="473C643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4"/>
                <w:szCs w:val="24"/>
                <w:highlight w:val="none"/>
                <w:u w:val="none"/>
                <w:lang w:val="en-US" w:eastAsia="zh-CN"/>
              </w:rPr>
              <w:t>4</w:t>
            </w:r>
          </w:p>
        </w:tc>
        <w:tc>
          <w:tcPr>
            <w:tcW w:w="2473" w:type="dxa"/>
            <w:tcBorders>
              <w:right w:val="single" w:color="auto" w:sz="4" w:space="0"/>
            </w:tcBorders>
            <w:shd w:val="clear" w:color="auto" w:fill="FFFFFF"/>
            <w:noWrap w:val="0"/>
            <w:vAlign w:val="center"/>
          </w:tcPr>
          <w:p w14:paraId="47A8BB36">
            <w:pPr>
              <w:keepNext w:val="0"/>
              <w:keepLines w:val="0"/>
              <w:widowControl w:val="0"/>
              <w:suppressLineNumbers w:val="0"/>
              <w:tabs>
                <w:tab w:val="left" w:pos="731"/>
              </w:tabs>
              <w:spacing w:before="0" w:beforeAutospacing="0" w:after="0" w:afterAutospacing="0"/>
              <w:ind w:left="0" w:leftChars="0" w:right="0" w:rightChars="0"/>
              <w:jc w:val="center"/>
              <w:rPr>
                <w:rFonts w:hint="eastAsia" w:eastAsia="宋体" w:cs="宋体"/>
                <w:i w:val="0"/>
                <w:color w:val="auto"/>
                <w:kern w:val="0"/>
                <w:sz w:val="24"/>
                <w:szCs w:val="24"/>
                <w:highlight w:val="none"/>
                <w:u w:val="none"/>
                <w:lang w:val="en-US" w:eastAsia="zh-CN" w:bidi="ar"/>
              </w:rPr>
            </w:pPr>
            <w:r>
              <w:rPr>
                <w:rFonts w:hint="default" w:ascii="Calibri" w:hAnsi="Calibri" w:eastAsia="宋体" w:cs="Calibri"/>
                <w:color w:val="auto"/>
                <w:kern w:val="2"/>
                <w:sz w:val="21"/>
                <w:szCs w:val="21"/>
                <w:highlight w:val="none"/>
                <w:lang w:val="en-US" w:eastAsia="zh-CN" w:bidi="ar"/>
              </w:rPr>
              <w:t>AC-16</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70</w:t>
            </w:r>
            <w:r>
              <w:rPr>
                <w:rFonts w:hint="eastAsia" w:ascii="宋体" w:hAnsi="宋体" w:eastAsia="宋体" w:cs="宋体"/>
                <w:color w:val="auto"/>
                <w:kern w:val="2"/>
                <w:sz w:val="21"/>
                <w:szCs w:val="21"/>
                <w:highlight w:val="none"/>
                <w:lang w:val="en-US" w:eastAsia="zh-CN" w:bidi="ar"/>
              </w:rPr>
              <w:t>号</w:t>
            </w:r>
            <w:r>
              <w:rPr>
                <w:rFonts w:hint="default" w:ascii="Calibri" w:hAnsi="Calibri" w:eastAsia="宋体" w:cs="Calibri"/>
                <w:color w:val="auto"/>
                <w:kern w:val="2"/>
                <w:sz w:val="21"/>
                <w:szCs w:val="21"/>
                <w:highlight w:val="none"/>
                <w:lang w:val="en-US" w:eastAsia="zh-CN" w:bidi="ar"/>
              </w:rPr>
              <w:t>A</w:t>
            </w:r>
            <w:r>
              <w:rPr>
                <w:rFonts w:hint="eastAsia" w:ascii="宋体" w:hAnsi="宋体" w:eastAsia="宋体" w:cs="宋体"/>
                <w:color w:val="auto"/>
                <w:kern w:val="2"/>
                <w:sz w:val="21"/>
                <w:szCs w:val="21"/>
                <w:highlight w:val="none"/>
                <w:lang w:val="en-US" w:eastAsia="zh-CN" w:bidi="ar"/>
              </w:rPr>
              <w:t>，石灰岩）</w:t>
            </w:r>
          </w:p>
        </w:tc>
        <w:tc>
          <w:tcPr>
            <w:tcW w:w="2130" w:type="dxa"/>
            <w:tcBorders>
              <w:left w:val="single" w:color="auto" w:sz="4" w:space="0"/>
            </w:tcBorders>
            <w:shd w:val="clear" w:color="auto" w:fill="auto"/>
            <w:noWrap w:val="0"/>
            <w:vAlign w:val="center"/>
          </w:tcPr>
          <w:p w14:paraId="6AEFD207">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Cs w:val="21"/>
                <w:highlight w:val="none"/>
                <w:lang w:val="en-US" w:eastAsia="zh-CN"/>
              </w:rPr>
            </w:pPr>
            <w:r>
              <w:rPr>
                <w:rFonts w:hint="default" w:ascii="Calibri" w:hAnsi="Calibri" w:eastAsia="宋体" w:cs="Calibri"/>
                <w:color w:val="auto"/>
                <w:kern w:val="2"/>
                <w:sz w:val="21"/>
                <w:szCs w:val="21"/>
                <w:highlight w:val="none"/>
                <w:lang w:val="en-US" w:eastAsia="zh-CN" w:bidi="ar"/>
              </w:rPr>
              <w:t>400</w:t>
            </w:r>
          </w:p>
        </w:tc>
        <w:tc>
          <w:tcPr>
            <w:tcW w:w="1755" w:type="dxa"/>
            <w:shd w:val="clear" w:color="auto" w:fill="FFFFFF"/>
            <w:noWrap w:val="0"/>
            <w:vAlign w:val="center"/>
          </w:tcPr>
          <w:p w14:paraId="1BEC7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i w:val="0"/>
                <w:iCs w:val="0"/>
                <w:color w:val="auto"/>
                <w:szCs w:val="21"/>
                <w:highlight w:val="none"/>
                <w:lang w:val="en-US" w:eastAsia="zh-CN"/>
              </w:rPr>
            </w:pPr>
          </w:p>
        </w:tc>
        <w:tc>
          <w:tcPr>
            <w:tcW w:w="1549" w:type="dxa"/>
            <w:tcBorders>
              <w:right w:val="single" w:color="auto" w:sz="4" w:space="0"/>
            </w:tcBorders>
            <w:noWrap w:val="0"/>
            <w:vAlign w:val="center"/>
          </w:tcPr>
          <w:p w14:paraId="660E1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i w:val="0"/>
                <w:iCs w:val="0"/>
                <w:color w:val="auto"/>
                <w:szCs w:val="21"/>
                <w:highlight w:val="none"/>
                <w:lang w:val="en-US" w:eastAsia="zh-CN"/>
              </w:rPr>
            </w:pPr>
          </w:p>
        </w:tc>
        <w:tc>
          <w:tcPr>
            <w:tcW w:w="801" w:type="dxa"/>
            <w:tcBorders>
              <w:left w:val="single" w:color="auto" w:sz="4" w:space="0"/>
            </w:tcBorders>
            <w:noWrap w:val="0"/>
            <w:vAlign w:val="center"/>
          </w:tcPr>
          <w:p w14:paraId="6BFD0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宋体" w:hAnsi="宋体" w:eastAsia="宋体" w:cs="宋体"/>
                <w:i w:val="0"/>
                <w:iCs w:val="0"/>
                <w:color w:val="auto"/>
                <w:szCs w:val="21"/>
                <w:highlight w:val="none"/>
                <w:lang w:val="en-US" w:eastAsia="zh-CN"/>
              </w:rPr>
            </w:pPr>
          </w:p>
        </w:tc>
      </w:tr>
      <w:tr w14:paraId="0DDCB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643" w:type="dxa"/>
            <w:shd w:val="clear" w:color="auto" w:fill="auto"/>
            <w:noWrap w:val="0"/>
            <w:vAlign w:val="center"/>
          </w:tcPr>
          <w:p w14:paraId="25DE8E5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4"/>
                <w:szCs w:val="24"/>
                <w:highlight w:val="none"/>
                <w:u w:val="none"/>
                <w:lang w:val="en-US" w:eastAsia="zh-CN"/>
              </w:rPr>
              <w:t>5</w:t>
            </w:r>
          </w:p>
        </w:tc>
        <w:tc>
          <w:tcPr>
            <w:tcW w:w="2473" w:type="dxa"/>
            <w:tcBorders>
              <w:right w:val="single" w:color="auto" w:sz="4" w:space="0"/>
            </w:tcBorders>
            <w:shd w:val="clear" w:color="auto" w:fill="FFFFFF"/>
            <w:noWrap w:val="0"/>
            <w:vAlign w:val="center"/>
          </w:tcPr>
          <w:p w14:paraId="2A9EB11F">
            <w:pPr>
              <w:keepNext w:val="0"/>
              <w:keepLines w:val="0"/>
              <w:widowControl w:val="0"/>
              <w:suppressLineNumbers w:val="0"/>
              <w:tabs>
                <w:tab w:val="left" w:pos="731"/>
              </w:tabs>
              <w:spacing w:before="0" w:beforeAutospacing="0" w:after="0" w:afterAutospacing="0"/>
              <w:ind w:left="0" w:leftChars="0" w:right="0" w:rightChars="0"/>
              <w:jc w:val="center"/>
              <w:rPr>
                <w:rFonts w:hint="eastAsia" w:eastAsia="宋体" w:cs="宋体"/>
                <w:i w:val="0"/>
                <w:color w:val="auto"/>
                <w:kern w:val="0"/>
                <w:sz w:val="24"/>
                <w:szCs w:val="24"/>
                <w:highlight w:val="none"/>
                <w:u w:val="none"/>
                <w:lang w:val="en-US" w:eastAsia="zh-CN" w:bidi="ar"/>
              </w:rPr>
            </w:pPr>
            <w:r>
              <w:rPr>
                <w:rFonts w:hint="default" w:ascii="Calibri" w:hAnsi="Calibri" w:eastAsia="宋体" w:cs="Calibri"/>
                <w:color w:val="auto"/>
                <w:kern w:val="2"/>
                <w:sz w:val="21"/>
                <w:szCs w:val="21"/>
                <w:highlight w:val="none"/>
                <w:lang w:val="en-US" w:eastAsia="zh-CN" w:bidi="ar"/>
              </w:rPr>
              <w:t>AC-20</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70</w:t>
            </w:r>
            <w:r>
              <w:rPr>
                <w:rFonts w:hint="eastAsia" w:ascii="宋体" w:hAnsi="宋体" w:eastAsia="宋体" w:cs="宋体"/>
                <w:color w:val="auto"/>
                <w:kern w:val="2"/>
                <w:sz w:val="21"/>
                <w:szCs w:val="21"/>
                <w:highlight w:val="none"/>
                <w:lang w:val="en-US" w:eastAsia="zh-CN" w:bidi="ar"/>
              </w:rPr>
              <w:t>号</w:t>
            </w:r>
            <w:r>
              <w:rPr>
                <w:rFonts w:hint="default" w:ascii="Calibri" w:hAnsi="Calibri" w:eastAsia="宋体" w:cs="Calibri"/>
                <w:color w:val="auto"/>
                <w:kern w:val="2"/>
                <w:sz w:val="21"/>
                <w:szCs w:val="21"/>
                <w:highlight w:val="none"/>
                <w:lang w:val="en-US" w:eastAsia="zh-CN" w:bidi="ar"/>
              </w:rPr>
              <w:t>A</w:t>
            </w:r>
            <w:r>
              <w:rPr>
                <w:rFonts w:hint="eastAsia" w:ascii="宋体" w:hAnsi="宋体" w:eastAsia="宋体" w:cs="宋体"/>
                <w:color w:val="auto"/>
                <w:kern w:val="2"/>
                <w:sz w:val="21"/>
                <w:szCs w:val="21"/>
                <w:highlight w:val="none"/>
                <w:lang w:val="en-US" w:eastAsia="zh-CN" w:bidi="ar"/>
              </w:rPr>
              <w:t>，石灰岩）</w:t>
            </w:r>
          </w:p>
        </w:tc>
        <w:tc>
          <w:tcPr>
            <w:tcW w:w="2130" w:type="dxa"/>
            <w:tcBorders>
              <w:left w:val="single" w:color="auto" w:sz="4" w:space="0"/>
            </w:tcBorders>
            <w:shd w:val="clear" w:color="auto" w:fill="auto"/>
            <w:noWrap w:val="0"/>
            <w:vAlign w:val="center"/>
          </w:tcPr>
          <w:p w14:paraId="66A63C7C">
            <w:pPr>
              <w:keepNext w:val="0"/>
              <w:keepLines w:val="0"/>
              <w:widowControl w:val="0"/>
              <w:suppressLineNumbers w:val="0"/>
              <w:tabs>
                <w:tab w:val="left" w:pos="731"/>
              </w:tabs>
              <w:spacing w:before="0" w:beforeAutospacing="0" w:after="0" w:afterAutospacing="0"/>
              <w:ind w:left="0" w:leftChars="0" w:right="0" w:rightChars="0"/>
              <w:jc w:val="center"/>
              <w:rPr>
                <w:rFonts w:hint="eastAsia" w:ascii="宋体" w:hAnsi="宋体" w:eastAsia="宋体" w:cs="宋体"/>
                <w:i w:val="0"/>
                <w:iCs w:val="0"/>
                <w:color w:val="auto"/>
                <w:szCs w:val="21"/>
                <w:highlight w:val="none"/>
                <w:lang w:val="en-US" w:eastAsia="zh-CN"/>
              </w:rPr>
            </w:pPr>
            <w:r>
              <w:rPr>
                <w:rFonts w:hint="default" w:ascii="Calibri" w:hAnsi="Calibri" w:eastAsia="宋体" w:cs="Calibri"/>
                <w:color w:val="auto"/>
                <w:kern w:val="2"/>
                <w:sz w:val="21"/>
                <w:szCs w:val="21"/>
                <w:highlight w:val="none"/>
                <w:lang w:val="en-US" w:eastAsia="zh-CN" w:bidi="ar"/>
              </w:rPr>
              <w:t>1300</w:t>
            </w:r>
          </w:p>
        </w:tc>
        <w:tc>
          <w:tcPr>
            <w:tcW w:w="1755" w:type="dxa"/>
            <w:shd w:val="clear" w:color="auto" w:fill="FFFFFF"/>
            <w:noWrap w:val="0"/>
            <w:vAlign w:val="center"/>
          </w:tcPr>
          <w:p w14:paraId="0A0C9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i w:val="0"/>
                <w:iCs w:val="0"/>
                <w:color w:val="auto"/>
                <w:szCs w:val="21"/>
                <w:highlight w:val="none"/>
                <w:lang w:val="en-US" w:eastAsia="zh-CN"/>
              </w:rPr>
            </w:pPr>
          </w:p>
        </w:tc>
        <w:tc>
          <w:tcPr>
            <w:tcW w:w="1549" w:type="dxa"/>
            <w:tcBorders>
              <w:right w:val="single" w:color="auto" w:sz="4" w:space="0"/>
            </w:tcBorders>
            <w:noWrap w:val="0"/>
            <w:vAlign w:val="center"/>
          </w:tcPr>
          <w:p w14:paraId="01899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i w:val="0"/>
                <w:iCs w:val="0"/>
                <w:color w:val="auto"/>
                <w:szCs w:val="21"/>
                <w:highlight w:val="none"/>
                <w:lang w:val="en-US" w:eastAsia="zh-CN"/>
              </w:rPr>
            </w:pPr>
          </w:p>
        </w:tc>
        <w:tc>
          <w:tcPr>
            <w:tcW w:w="801" w:type="dxa"/>
            <w:tcBorders>
              <w:left w:val="single" w:color="auto" w:sz="4" w:space="0"/>
            </w:tcBorders>
            <w:noWrap w:val="0"/>
            <w:vAlign w:val="center"/>
          </w:tcPr>
          <w:p w14:paraId="34C82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宋体" w:hAnsi="宋体" w:eastAsia="宋体" w:cs="宋体"/>
                <w:i w:val="0"/>
                <w:iCs w:val="0"/>
                <w:color w:val="auto"/>
                <w:szCs w:val="21"/>
                <w:highlight w:val="none"/>
                <w:lang w:val="en-US" w:eastAsia="zh-CN"/>
              </w:rPr>
            </w:pPr>
          </w:p>
        </w:tc>
      </w:tr>
      <w:tr w14:paraId="63BE8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351" w:type="dxa"/>
            <w:gridSpan w:val="6"/>
            <w:noWrap w:val="0"/>
            <w:vAlign w:val="top"/>
          </w:tcPr>
          <w:p w14:paraId="7BA6B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olor w:val="auto"/>
                <w:sz w:val="24"/>
                <w:highlight w:val="none"/>
                <w:lang w:eastAsia="zh-CN"/>
              </w:rPr>
            </w:pPr>
            <w:r>
              <w:rPr>
                <w:rFonts w:hint="eastAsia" w:ascii="宋体" w:hAnsi="宋体"/>
                <w:b/>
                <w:color w:val="auto"/>
                <w:sz w:val="24"/>
                <w:highlight w:val="none"/>
                <w:lang w:val="en-US" w:eastAsia="zh-CN"/>
              </w:rPr>
              <w:t>投标</w:t>
            </w:r>
            <w:r>
              <w:rPr>
                <w:rFonts w:hint="eastAsia" w:ascii="宋体" w:hAnsi="宋体"/>
                <w:b/>
                <w:color w:val="auto"/>
                <w:sz w:val="24"/>
                <w:highlight w:val="none"/>
              </w:rPr>
              <w:t>报价：</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r>
              <w:rPr>
                <w:rFonts w:hint="eastAsia" w:ascii="宋体" w:hAnsi="宋体"/>
                <w:b/>
                <w:color w:val="auto"/>
                <w:sz w:val="24"/>
                <w:highlight w:val="none"/>
              </w:rPr>
              <w:t>元；小写：</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元</w:t>
            </w:r>
            <w:r>
              <w:rPr>
                <w:rFonts w:hint="eastAsia" w:ascii="宋体" w:hAnsi="宋体"/>
                <w:b/>
                <w:color w:val="auto"/>
                <w:sz w:val="24"/>
                <w:highlight w:val="none"/>
                <w:lang w:eastAsia="zh-CN"/>
              </w:rPr>
              <w:t>。</w:t>
            </w:r>
          </w:p>
        </w:tc>
      </w:tr>
    </w:tbl>
    <w:p w14:paraId="72B282C1">
      <w:pPr>
        <w:keepNext w:val="0"/>
        <w:keepLines w:val="0"/>
        <w:pageBreakBefore w:val="0"/>
        <w:widowControl w:val="0"/>
        <w:kinsoku/>
        <w:wordWrap/>
        <w:overflowPunct/>
        <w:topLinePunct w:val="0"/>
        <w:autoSpaceDE/>
        <w:autoSpaceDN/>
        <w:bidi w:val="0"/>
        <w:adjustRightInd/>
        <w:snapToGrid/>
        <w:spacing w:line="440" w:lineRule="exact"/>
        <w:ind w:right="464" w:rightChars="221"/>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注：1.所有投标只能选择一种方案，单价和合价的报价只能是唯一，且须列出详细的分项报价。（与采购清单项相一致，不得缺项，否则视同包含在其他项目。）</w:t>
      </w:r>
    </w:p>
    <w:p w14:paraId="298FB59E">
      <w:pPr>
        <w:pStyle w:val="6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2.投标人请认真阅读招标文件，本次后续供货提供的材料应不低于图纸设计要求和相关国家质量标准及验收标准。</w:t>
      </w:r>
    </w:p>
    <w:p w14:paraId="64FE6FF2">
      <w:pPr>
        <w:pStyle w:val="6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投标综合单价应为含13%增值税和含运费等一切必需的附加费用的报价。</w:t>
      </w:r>
      <w:r>
        <w:rPr>
          <w:rFonts w:hint="eastAsia" w:ascii="宋体" w:hAnsi="宋体" w:eastAsia="宋体" w:cs="宋体"/>
          <w:color w:val="auto"/>
          <w:kern w:val="2"/>
          <w:sz w:val="21"/>
          <w:szCs w:val="21"/>
          <w:highlight w:val="none"/>
          <w:lang w:val="en-US" w:eastAsia="zh-CN" w:bidi="ar-SA"/>
        </w:rPr>
        <w:t>包括但不限于材料费、生产加工费、装卸费、运输费、管理费、其他费用（如包装费、仓储费、保管费、场地清理搬移相关费用）、安装调试费、利润、售后服务费、税金、政策性文件规定及合同包含的所有风险和责任等、货物送至招标人指定地点前的各项应有费用。投标时投标人必须保证报价的完整性，如有漏报，则视为优惠，中标后不允许追加费用。投标人应当保持单项价格的合理性，严禁出现不平衡报价的情况，项目采购结束后，招标人有权对各单项价格进行核查，对于严重超过市场价格的单价，将在正式合同中明确：对于认定为不平衡报价的单项，如果发生数量变动，将按照有利于招标人的单价进行认价。</w:t>
      </w:r>
    </w:p>
    <w:p w14:paraId="2822D2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 w:val="24"/>
          <w:highlight w:val="none"/>
        </w:rPr>
      </w:pPr>
    </w:p>
    <w:p w14:paraId="1B6D57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 w:val="24"/>
          <w:highlight w:val="none"/>
        </w:rPr>
      </w:pPr>
      <w:r>
        <w:rPr>
          <w:rFonts w:hint="eastAsia" w:ascii="宋体"/>
          <w:color w:val="auto"/>
          <w:sz w:val="24"/>
          <w:highlight w:val="none"/>
        </w:rPr>
        <w:t>投标人名称（盖单位章）：</w:t>
      </w:r>
      <w:r>
        <w:rPr>
          <w:rFonts w:hint="eastAsia" w:ascii="宋体"/>
          <w:color w:val="auto"/>
          <w:sz w:val="24"/>
          <w:highlight w:val="none"/>
          <w:u w:val="single"/>
        </w:rPr>
        <w:t xml:space="preserve">                           </w:t>
      </w:r>
    </w:p>
    <w:p w14:paraId="5C3448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 w:val="24"/>
          <w:highlight w:val="none"/>
        </w:rPr>
      </w:pPr>
      <w:r>
        <w:rPr>
          <w:rFonts w:hint="eastAsia" w:ascii="宋体"/>
          <w:color w:val="auto"/>
          <w:sz w:val="24"/>
          <w:highlight w:val="none"/>
        </w:rPr>
        <w:t>法定代表人 (</w:t>
      </w:r>
      <w:r>
        <w:rPr>
          <w:rFonts w:hint="eastAsia" w:ascii="宋体"/>
          <w:color w:val="auto"/>
          <w:sz w:val="24"/>
          <w:highlight w:val="none"/>
          <w:lang w:val="en-US" w:eastAsia="zh-CN"/>
        </w:rPr>
        <w:t>签字或盖章</w:t>
      </w:r>
      <w:r>
        <w:rPr>
          <w:rFonts w:hint="eastAsia" w:ascii="宋体"/>
          <w:color w:val="auto"/>
          <w:sz w:val="24"/>
          <w:highlight w:val="none"/>
        </w:rPr>
        <w:t>)：</w:t>
      </w:r>
      <w:r>
        <w:rPr>
          <w:rFonts w:hint="eastAsia" w:ascii="宋体"/>
          <w:color w:val="auto"/>
          <w:sz w:val="24"/>
          <w:highlight w:val="none"/>
          <w:u w:val="single"/>
        </w:rPr>
        <w:t xml:space="preserve">                          </w:t>
      </w:r>
    </w:p>
    <w:p w14:paraId="07AE01C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color w:val="auto"/>
          <w:sz w:val="24"/>
          <w:highlight w:val="none"/>
          <w:lang w:val="en-US" w:eastAsia="zh-CN"/>
        </w:rPr>
      </w:pPr>
      <w:r>
        <w:rPr>
          <w:rFonts w:hint="eastAsia" w:ascii="宋体"/>
          <w:color w:val="auto"/>
          <w:sz w:val="24"/>
          <w:highlight w:val="none"/>
          <w:lang w:val="en-US" w:eastAsia="zh-CN"/>
        </w:rPr>
        <w:t xml:space="preserve">                                  </w:t>
      </w:r>
    </w:p>
    <w:p w14:paraId="15558281">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bCs/>
          <w:color w:val="auto"/>
          <w:szCs w:val="32"/>
          <w:highlight w:val="non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r>
        <w:rPr>
          <w:rFonts w:hint="eastAsia"/>
          <w:bCs/>
          <w:color w:val="auto"/>
          <w:szCs w:val="32"/>
          <w:highlight w:val="none"/>
        </w:rPr>
        <w:br w:type="page"/>
      </w:r>
      <w:bookmarkEnd w:id="248"/>
      <w:bookmarkStart w:id="249" w:name="OLE_LINK25"/>
      <w:bookmarkStart w:id="250" w:name="OLE_LINK24"/>
    </w:p>
    <w:p w14:paraId="2A4126FB">
      <w:pPr>
        <w:keepNext/>
        <w:keepLines/>
        <w:spacing w:before="200" w:after="200" w:line="600" w:lineRule="exact"/>
        <w:outlineLvl w:val="0"/>
        <w:rPr>
          <w:rFonts w:ascii="黑体" w:hAnsi="黑体" w:eastAsia="黑体"/>
          <w:b/>
          <w:bCs/>
          <w:color w:val="auto"/>
          <w:kern w:val="44"/>
          <w:sz w:val="28"/>
          <w:szCs w:val="28"/>
          <w:highlight w:val="none"/>
        </w:rPr>
      </w:pPr>
      <w:r>
        <w:rPr>
          <w:rFonts w:hint="eastAsia" w:ascii="黑体" w:hAnsi="黑体" w:eastAsia="黑体"/>
          <w:b/>
          <w:bCs/>
          <w:color w:val="auto"/>
          <w:kern w:val="44"/>
          <w:sz w:val="36"/>
          <w:szCs w:val="28"/>
          <w:highlight w:val="none"/>
        </w:rPr>
        <w:t>附件1 关于联合惩戒失信行为加强信用查询管理的通知</w:t>
      </w:r>
    </w:p>
    <w:p w14:paraId="09A0678C">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一、失信行为联合惩戒的范围和查询渠道</w:t>
      </w:r>
    </w:p>
    <w:p w14:paraId="111FA733">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在我市公共资源交易活动中对存在下列失信行为的投标人、法定代表人及其项目经理（建造师）实施联合惩戒，禁止参与我市公共资源交易活动。</w:t>
      </w:r>
    </w:p>
    <w:p w14:paraId="3D351125">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（一）工程建设项目</w:t>
      </w:r>
    </w:p>
    <w:p w14:paraId="10687A1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1、“信用中国”网站（www.creditchina.gov.cn）查询</w:t>
      </w:r>
      <w:bookmarkStart w:id="251" w:name="OLE_LINK92"/>
      <w:bookmarkStart w:id="252" w:name="OLE_LINK93"/>
      <w:bookmarkStart w:id="253" w:name="OLE_LINK91"/>
      <w:bookmarkStart w:id="254" w:name="OLE_LINK103"/>
      <w:r>
        <w:rPr>
          <w:rFonts w:hint="eastAsia" w:ascii="仿宋_GB2312" w:hAnsi="宋体" w:eastAsia="仿宋_GB2312"/>
          <w:color w:val="auto"/>
          <w:sz w:val="28"/>
          <w:szCs w:val="28"/>
          <w:highlight w:val="none"/>
        </w:rPr>
        <w:t>投标人、法定代表人及其项目经理(建造师)</w:t>
      </w:r>
      <w:bookmarkEnd w:id="251"/>
      <w:bookmarkEnd w:id="252"/>
      <w:bookmarkEnd w:id="253"/>
      <w:bookmarkEnd w:id="254"/>
      <w:r>
        <w:rPr>
          <w:rFonts w:hint="eastAsia" w:ascii="仿宋_GB2312" w:hAnsi="宋体" w:eastAsia="仿宋_GB2312"/>
          <w:color w:val="auto"/>
          <w:sz w:val="28"/>
          <w:szCs w:val="28"/>
          <w:highlight w:val="none"/>
        </w:rPr>
        <w:t>以下失信行为：</w:t>
      </w:r>
    </w:p>
    <w:p w14:paraId="2E6CDCE9">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255" w:name="OLE_LINK86"/>
      <w:bookmarkStart w:id="256" w:name="OLE_LINK119"/>
      <w:bookmarkStart w:id="257" w:name="OLE_LINK87"/>
      <w:bookmarkStart w:id="258" w:name="OLE_LINK21"/>
      <w:bookmarkStart w:id="259" w:name="OLE_LINK94"/>
      <w:r>
        <w:rPr>
          <w:rFonts w:hint="eastAsia" w:ascii="仿宋_GB2312" w:hAnsi="宋体" w:eastAsia="仿宋_GB2312"/>
          <w:color w:val="auto"/>
          <w:sz w:val="28"/>
          <w:szCs w:val="28"/>
          <w:highlight w:val="none"/>
        </w:rPr>
        <w:t>①被列入“失信被执行人”的;</w:t>
      </w:r>
    </w:p>
    <w:p w14:paraId="50DB4CB6">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w:t>
      </w:r>
      <w:bookmarkStart w:id="260" w:name="OLE_LINK118"/>
      <w:bookmarkStart w:id="261" w:name="OLE_LINK116"/>
      <w:bookmarkStart w:id="262" w:name="OLE_LINK115"/>
      <w:bookmarkStart w:id="263" w:name="OLE_LINK117"/>
      <w:r>
        <w:rPr>
          <w:rFonts w:hint="eastAsia" w:ascii="仿宋_GB2312" w:hAnsi="宋体" w:eastAsia="仿宋_GB2312"/>
          <w:color w:val="auto"/>
          <w:sz w:val="28"/>
          <w:szCs w:val="28"/>
          <w:highlight w:val="none"/>
        </w:rPr>
        <w:t>“重大税收违法失信主体”</w:t>
      </w:r>
      <w:bookmarkEnd w:id="260"/>
      <w:bookmarkEnd w:id="261"/>
      <w:bookmarkEnd w:id="262"/>
      <w:bookmarkEnd w:id="263"/>
      <w:r>
        <w:rPr>
          <w:rFonts w:hint="eastAsia" w:ascii="仿宋_GB2312" w:hAnsi="宋体" w:eastAsia="仿宋_GB2312"/>
          <w:color w:val="auto"/>
          <w:sz w:val="28"/>
          <w:szCs w:val="28"/>
          <w:highlight w:val="none"/>
        </w:rPr>
        <w:t>的；</w:t>
      </w:r>
    </w:p>
    <w:p w14:paraId="63A8E4EB">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w:t>
      </w:r>
      <w:bookmarkStart w:id="264" w:name="OLE_LINK84"/>
      <w:bookmarkStart w:id="265" w:name="OLE_LINK85"/>
      <w:r>
        <w:rPr>
          <w:rFonts w:hint="eastAsia" w:ascii="仿宋_GB2312" w:hAnsi="宋体" w:eastAsia="仿宋_GB2312"/>
          <w:color w:val="auto"/>
          <w:sz w:val="28"/>
          <w:szCs w:val="28"/>
          <w:highlight w:val="none"/>
        </w:rPr>
        <w:t>农民工工资失信联合惩戒对象</w:t>
      </w:r>
      <w:bookmarkEnd w:id="264"/>
      <w:bookmarkEnd w:id="265"/>
      <w:r>
        <w:rPr>
          <w:rFonts w:hint="eastAsia" w:ascii="仿宋_GB2312" w:hAnsi="宋体" w:eastAsia="仿宋_GB2312"/>
          <w:color w:val="auto"/>
          <w:sz w:val="28"/>
          <w:szCs w:val="28"/>
          <w:highlight w:val="none"/>
        </w:rPr>
        <w:t>名单”的；</w:t>
      </w:r>
    </w:p>
    <w:p w14:paraId="017E86B9">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14:paraId="02D2D875">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bookmarkEnd w:id="255"/>
    <w:bookmarkEnd w:id="256"/>
    <w:bookmarkEnd w:id="257"/>
    <w:bookmarkEnd w:id="258"/>
    <w:bookmarkEnd w:id="259"/>
    <w:p w14:paraId="5B1D83A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bookmarkStart w:id="266" w:name="OLE_LINK130"/>
      <w:r>
        <w:rPr>
          <w:rFonts w:hint="eastAsia" w:ascii="仿宋_GB2312" w:hAnsi="宋体" w:eastAsia="仿宋_GB2312"/>
          <w:color w:val="auto"/>
          <w:sz w:val="28"/>
          <w:szCs w:val="28"/>
          <w:highlight w:val="none"/>
        </w:rPr>
        <w:t>国家企业信用信息公示系统网站</w:t>
      </w:r>
      <w:bookmarkEnd w:id="266"/>
      <w:r>
        <w:rPr>
          <w:rFonts w:hint="eastAsia" w:ascii="仿宋_GB2312" w:hAnsi="宋体" w:eastAsia="仿宋_GB2312"/>
          <w:color w:val="auto"/>
          <w:sz w:val="28"/>
          <w:szCs w:val="28"/>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"http://www.gsxt.gov.cn）查询"</w:instrText>
      </w:r>
      <w:r>
        <w:rPr>
          <w:color w:val="auto"/>
          <w:highlight w:val="none"/>
        </w:rPr>
        <w:instrText xml:space="preserve"> </w:instrText>
      </w:r>
      <w:r>
        <w:rPr>
          <w:color w:val="auto"/>
          <w:highlight w:val="none"/>
        </w:rPr>
        <w:fldChar w:fldCharType="separate"/>
      </w:r>
      <w:bookmarkStart w:id="267" w:name="OLE_LINK90"/>
      <w:bookmarkStart w:id="268" w:name="OLE_LINK89"/>
      <w:r>
        <w:rPr>
          <w:rStyle w:val="58"/>
          <w:rFonts w:hint="eastAsia" w:ascii="仿宋_GB2312" w:hAnsi="宋体" w:eastAsia="仿宋_GB2312"/>
          <w:color w:val="auto"/>
          <w:sz w:val="28"/>
          <w:szCs w:val="28"/>
          <w:highlight w:val="none"/>
        </w:rPr>
        <w:t>www.gsxt.gov.cn</w:t>
      </w:r>
      <w:bookmarkEnd w:id="267"/>
      <w:bookmarkEnd w:id="268"/>
      <w:r>
        <w:rPr>
          <w:rStyle w:val="58"/>
          <w:rFonts w:hint="eastAsia" w:ascii="仿宋_GB2312" w:hAnsi="宋体" w:eastAsia="仿宋_GB2312"/>
          <w:color w:val="auto"/>
          <w:sz w:val="28"/>
          <w:szCs w:val="28"/>
          <w:highlight w:val="none"/>
        </w:rPr>
        <w:t>）</w:t>
      </w:r>
      <w:r>
        <w:rPr>
          <w:color w:val="auto"/>
          <w:highlight w:val="none"/>
        </w:rPr>
        <w:fldChar w:fldCharType="end"/>
      </w:r>
      <w:r>
        <w:rPr>
          <w:rFonts w:hint="eastAsia" w:ascii="仿宋_GB2312" w:hAnsi="宋体" w:eastAsia="仿宋_GB2312"/>
          <w:color w:val="auto"/>
          <w:sz w:val="28"/>
          <w:szCs w:val="28"/>
          <w:highlight w:val="none"/>
        </w:rPr>
        <w:t>查询投标人以下失信行为：</w:t>
      </w:r>
    </w:p>
    <w:p w14:paraId="1F26687D">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269" w:name="OLE_LINK121"/>
      <w:bookmarkStart w:id="270" w:name="OLE_LINK120"/>
      <w:bookmarkStart w:id="271" w:name="OLE_LINK122"/>
      <w:r>
        <w:rPr>
          <w:rFonts w:hint="eastAsia" w:ascii="仿宋_GB2312" w:hAnsi="宋体" w:eastAsia="仿宋_GB2312"/>
          <w:color w:val="auto"/>
          <w:sz w:val="28"/>
          <w:szCs w:val="28"/>
          <w:highlight w:val="none"/>
        </w:rPr>
        <w:t>①被列入“经营异常名录”或者“严重违法失信名单”的。</w:t>
      </w:r>
      <w:bookmarkEnd w:id="269"/>
      <w:bookmarkEnd w:id="270"/>
      <w:bookmarkEnd w:id="271"/>
    </w:p>
    <w:p w14:paraId="2D595562">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3、由</w:t>
      </w:r>
      <w:r>
        <w:rPr>
          <w:rFonts w:hint="eastAsia" w:ascii="仿宋_GB2312" w:hAnsi="宋体" w:eastAsia="仿宋_GB2312"/>
          <w:color w:val="auto"/>
          <w:kern w:val="0"/>
          <w:sz w:val="28"/>
          <w:szCs w:val="28"/>
          <w:highlight w:val="none"/>
        </w:rPr>
        <w:t>投标人、法定代表人及其项目经理(建造师)</w:t>
      </w:r>
      <w:r>
        <w:rPr>
          <w:rFonts w:hint="eastAsia" w:ascii="仿宋_GB2312" w:hAnsi="宋体" w:eastAsia="仿宋_GB2312"/>
          <w:color w:val="auto"/>
          <w:sz w:val="28"/>
          <w:szCs w:val="28"/>
          <w:highlight w:val="none"/>
        </w:rPr>
        <w:t>进行承诺，不进行现场网上信用查询的失信行为：</w:t>
      </w:r>
    </w:p>
    <w:p w14:paraId="1BAA7049">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bookmarkStart w:id="272" w:name="OLE_LINK123"/>
      <w:bookmarkStart w:id="273" w:name="OLE_LINK124"/>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p>
    <w:p w14:paraId="4E911FA7">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②被滁州市县两级公管部门取消在一定期限内的投标资格且在取消期限内的；</w:t>
      </w:r>
    </w:p>
    <w:p w14:paraId="6E58DD11">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③被滁州市县两级各行业主管部门取消在一定期限内的投标资格且在取消期限内的；</w:t>
      </w:r>
    </w:p>
    <w:p w14:paraId="7AA62B42">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④因拖欠农民工工资被</w:t>
      </w:r>
      <w:bookmarkStart w:id="274" w:name="OLE_LINK107"/>
      <w:bookmarkStart w:id="275" w:name="OLE_LINK108"/>
      <w:r>
        <w:rPr>
          <w:rFonts w:hint="eastAsia" w:ascii="仿宋_GB2312" w:hAnsi="宋体" w:eastAsia="仿宋_GB2312"/>
          <w:color w:val="auto"/>
          <w:sz w:val="28"/>
          <w:szCs w:val="28"/>
          <w:highlight w:val="none"/>
        </w:rPr>
        <w:t>县级及以上有关行政主管部门限制投标资格且在限制期限内的</w:t>
      </w:r>
      <w:bookmarkEnd w:id="274"/>
      <w:bookmarkEnd w:id="275"/>
      <w:r>
        <w:rPr>
          <w:rFonts w:hint="eastAsia" w:ascii="仿宋_GB2312" w:hAnsi="宋体" w:eastAsia="仿宋_GB2312"/>
          <w:color w:val="auto"/>
          <w:sz w:val="28"/>
          <w:szCs w:val="28"/>
          <w:highlight w:val="none"/>
        </w:rPr>
        <w:t>；</w:t>
      </w:r>
    </w:p>
    <w:p w14:paraId="6A25262F">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72"/>
    <w:bookmarkEnd w:id="273"/>
    <w:p w14:paraId="7F296185">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（二）政府采购项目</w:t>
      </w:r>
    </w:p>
    <w:p w14:paraId="560B5431">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t>
      </w:r>
      <w:r>
        <w:rPr>
          <w:rFonts w:hint="eastAsia" w:ascii="仿宋" w:hAnsi="仿宋" w:eastAsia="仿宋"/>
          <w:color w:val="auto"/>
          <w:sz w:val="28"/>
          <w:szCs w:val="28"/>
          <w:highlight w:val="none"/>
        </w:rPr>
        <w:t>（</w:t>
      </w:r>
      <w:r>
        <w:rPr>
          <w:rStyle w:val="58"/>
          <w:rFonts w:hint="eastAsia" w:ascii="仿宋" w:hAnsi="仿宋" w:eastAsia="仿宋"/>
          <w:color w:val="auto"/>
          <w:sz w:val="28"/>
          <w:szCs w:val="28"/>
          <w:highlight w:val="none"/>
        </w:rPr>
        <w:t>www.creditchina.gov.cn</w:t>
      </w:r>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查询供应商、法定代表人及其项目负责人以下失信行为：</w:t>
      </w:r>
    </w:p>
    <w:p w14:paraId="43CAEF09">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①被列入“失信被执行人”的;</w:t>
      </w:r>
    </w:p>
    <w:p w14:paraId="0EE3E333">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②被列入“重大税收违法失信主体”的；</w:t>
      </w:r>
    </w:p>
    <w:p w14:paraId="54AB0801">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③被列入“拖欠农民工工资失信联合惩戒对象名单”的；</w:t>
      </w:r>
    </w:p>
    <w:p w14:paraId="689248D0">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14:paraId="1234D946">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p w14:paraId="529DD6F6">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2、国家企业信用信息公示系统网站</w:t>
      </w:r>
      <w:r>
        <w:rPr>
          <w:rFonts w:hint="eastAsia" w:ascii="仿宋" w:hAnsi="仿宋" w:eastAsia="仿宋"/>
          <w:color w:val="auto"/>
          <w:sz w:val="28"/>
          <w:szCs w:val="28"/>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"http://www.gsxt.gov.cn）查询"</w:instrText>
      </w:r>
      <w:r>
        <w:rPr>
          <w:color w:val="auto"/>
          <w:highlight w:val="none"/>
        </w:rPr>
        <w:instrText xml:space="preserve"> </w:instrText>
      </w:r>
      <w:r>
        <w:rPr>
          <w:color w:val="auto"/>
          <w:highlight w:val="none"/>
        </w:rPr>
        <w:fldChar w:fldCharType="separate"/>
      </w:r>
      <w:r>
        <w:rPr>
          <w:rStyle w:val="58"/>
          <w:rFonts w:hint="eastAsia" w:ascii="仿宋" w:hAnsi="仿宋" w:eastAsia="仿宋"/>
          <w:color w:val="auto"/>
          <w:sz w:val="28"/>
          <w:szCs w:val="28"/>
          <w:highlight w:val="none"/>
        </w:rPr>
        <w:t>www.gsxt.gov.cn）</w:t>
      </w:r>
      <w:r>
        <w:rPr>
          <w:color w:val="auto"/>
          <w:highlight w:val="none"/>
        </w:rPr>
        <w:fldChar w:fldCharType="end"/>
      </w:r>
      <w:r>
        <w:rPr>
          <w:rFonts w:hint="eastAsia" w:ascii="仿宋_GB2312" w:hAnsi="宋体" w:eastAsia="仿宋_GB2312"/>
          <w:color w:val="auto"/>
          <w:sz w:val="28"/>
          <w:szCs w:val="28"/>
          <w:highlight w:val="none"/>
        </w:rPr>
        <w:t>查询供应商以下失信行为：</w:t>
      </w:r>
    </w:p>
    <w:p w14:paraId="641E2072">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bookmarkStart w:id="276" w:name="OLE_LINK101"/>
      <w:bookmarkStart w:id="277" w:name="OLE_LINK100"/>
      <w:bookmarkStart w:id="278" w:name="OLE_LINK102"/>
      <w:r>
        <w:rPr>
          <w:rFonts w:hint="eastAsia" w:ascii="仿宋_GB2312" w:hAnsi="宋体" w:eastAsia="仿宋_GB2312"/>
          <w:color w:val="auto"/>
          <w:sz w:val="28"/>
          <w:szCs w:val="28"/>
          <w:highlight w:val="none"/>
        </w:rPr>
        <w:t>被列入“经营异常名录”或者“严重违法失信名单”的</w:t>
      </w:r>
      <w:bookmarkEnd w:id="276"/>
      <w:bookmarkEnd w:id="277"/>
      <w:bookmarkEnd w:id="278"/>
      <w:r>
        <w:rPr>
          <w:rFonts w:hint="eastAsia" w:ascii="仿宋_GB2312" w:hAnsi="宋体" w:eastAsia="仿宋_GB2312"/>
          <w:color w:val="auto"/>
          <w:sz w:val="28"/>
          <w:szCs w:val="28"/>
          <w:highlight w:val="none"/>
        </w:rPr>
        <w:t>。</w:t>
      </w:r>
    </w:p>
    <w:p w14:paraId="62D4D9B3">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3、中国政府采购网站</w:t>
      </w:r>
      <w:r>
        <w:rPr>
          <w:rFonts w:hint="eastAsia" w:ascii="仿宋" w:hAnsi="仿宋" w:eastAsia="仿宋"/>
          <w:color w:val="auto"/>
          <w:sz w:val="28"/>
          <w:szCs w:val="28"/>
          <w:highlight w:val="none"/>
        </w:rPr>
        <w:t>（</w:t>
      </w:r>
      <w:bookmarkStart w:id="279" w:name="OLE_LINK95"/>
      <w:bookmarkStart w:id="280" w:name="OLE_LINK96"/>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HYPERLINK "http://www.ccgp.gov.cn" </w:instrText>
      </w:r>
      <w:r>
        <w:rPr>
          <w:rFonts w:ascii="仿宋" w:hAnsi="仿宋" w:eastAsia="仿宋"/>
          <w:color w:val="auto"/>
          <w:sz w:val="28"/>
          <w:szCs w:val="28"/>
          <w:highlight w:val="none"/>
        </w:rPr>
        <w:fldChar w:fldCharType="separate"/>
      </w:r>
      <w:r>
        <w:rPr>
          <w:rStyle w:val="58"/>
          <w:rFonts w:hint="eastAsia" w:ascii="仿宋" w:hAnsi="仿宋" w:eastAsia="仿宋"/>
          <w:color w:val="auto"/>
          <w:sz w:val="28"/>
          <w:szCs w:val="28"/>
          <w:highlight w:val="none"/>
        </w:rPr>
        <w:t>www.ccgp.gov.cn</w:t>
      </w:r>
      <w:r>
        <w:rPr>
          <w:rFonts w:ascii="仿宋" w:hAnsi="仿宋" w:eastAsia="仿宋"/>
          <w:color w:val="auto"/>
          <w:sz w:val="28"/>
          <w:szCs w:val="28"/>
          <w:highlight w:val="none"/>
        </w:rPr>
        <w:fldChar w:fldCharType="end"/>
      </w:r>
      <w:bookmarkEnd w:id="279"/>
      <w:bookmarkEnd w:id="280"/>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查询以下失信行为：</w:t>
      </w:r>
    </w:p>
    <w:p w14:paraId="6C7A1199">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r>
        <w:rPr>
          <w:rFonts w:hint="eastAsia" w:ascii="仿宋_GB2312" w:hAnsi="宋体" w:eastAsia="仿宋_GB2312"/>
          <w:color w:val="auto"/>
          <w:sz w:val="28"/>
          <w:szCs w:val="28"/>
          <w:highlight w:val="none"/>
        </w:rPr>
        <w:t>①</w:t>
      </w:r>
      <w:bookmarkStart w:id="281" w:name="OLE_LINK104"/>
      <w:bookmarkStart w:id="282" w:name="OLE_LINK106"/>
      <w:bookmarkStart w:id="283" w:name="OLE_LINK105"/>
      <w:r>
        <w:rPr>
          <w:rFonts w:hint="eastAsia" w:ascii="仿宋_GB2312" w:hAnsi="宋体" w:eastAsia="仿宋_GB2312"/>
          <w:color w:val="auto"/>
          <w:sz w:val="28"/>
          <w:szCs w:val="28"/>
          <w:highlight w:val="none"/>
        </w:rPr>
        <w:t>被列入“政府采购严重违法失信行为信息记录”的</w:t>
      </w:r>
      <w:bookmarkEnd w:id="281"/>
      <w:bookmarkEnd w:id="282"/>
      <w:bookmarkEnd w:id="283"/>
      <w:r>
        <w:rPr>
          <w:rFonts w:hint="eastAsia" w:ascii="仿宋_GB2312" w:hAnsi="宋体" w:eastAsia="仿宋_GB2312" w:cs="楷体"/>
          <w:color w:val="auto"/>
          <w:sz w:val="28"/>
          <w:szCs w:val="28"/>
          <w:highlight w:val="none"/>
        </w:rPr>
        <w:t>。</w:t>
      </w:r>
    </w:p>
    <w:p w14:paraId="38BA5E10">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4、由竞争主体进行承诺，不进行现场网上信用查询的失信行为：</w:t>
      </w:r>
    </w:p>
    <w:p w14:paraId="03260E1C">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r>
        <w:rPr>
          <w:rFonts w:hint="eastAsia" w:ascii="仿宋_GB2312" w:hAnsi="宋体" w:eastAsia="仿宋_GB2312"/>
          <w:color w:val="auto"/>
          <w:sz w:val="28"/>
          <w:szCs w:val="28"/>
          <w:highlight w:val="none"/>
        </w:rPr>
        <w:t>。</w:t>
      </w:r>
    </w:p>
    <w:p w14:paraId="50EC2F32">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二、在开评标活动中的查询程序</w:t>
      </w:r>
    </w:p>
    <w:p w14:paraId="69F2EB3A">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1762D9F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B74405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3、项目单位及其委托的代理机构应当做好信用查询结果截图和记录留存。</w:t>
      </w:r>
    </w:p>
    <w:p w14:paraId="00F859FF">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三、相关要求</w:t>
      </w:r>
    </w:p>
    <w:p w14:paraId="40A2EA7F">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29565E05">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7EDF9DF7">
      <w:pPr>
        <w:wordWrap w:val="0"/>
        <w:adjustRightInd w:val="0"/>
        <w:snapToGrid w:val="0"/>
        <w:spacing w:line="560" w:lineRule="exact"/>
        <w:ind w:firstLine="560" w:firstLineChars="200"/>
        <w:rPr>
          <w:rFonts w:hint="eastAsia"/>
          <w:color w:val="auto"/>
          <w:highlight w:val="none"/>
        </w:rPr>
      </w:pPr>
      <w:r>
        <w:rPr>
          <w:rFonts w:hint="eastAsia" w:ascii="仿宋_GB2312" w:hAnsi="宋体" w:eastAsia="仿宋_GB2312"/>
          <w:color w:val="auto"/>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highlight w:val="none"/>
        </w:rPr>
        <w:fldChar w:fldCharType="begin"/>
      </w:r>
      <w:r>
        <w:rPr>
          <w:color w:val="auto"/>
          <w:highlight w:val="none"/>
        </w:rPr>
        <w:instrText xml:space="preserve"> HYPERLINK "https://credit.ah.gov.cn/xinyong-fuwu/xvbahv/index.html" </w:instrText>
      </w:r>
      <w:r>
        <w:rPr>
          <w:color w:val="auto"/>
          <w:highlight w:val="none"/>
        </w:rPr>
        <w:fldChar w:fldCharType="separate"/>
      </w:r>
      <w:r>
        <w:rPr>
          <w:rStyle w:val="58"/>
          <w:rFonts w:hint="eastAsia" w:ascii="仿宋_GB2312" w:hAnsi="宋体" w:eastAsia="仿宋_GB2312"/>
          <w:color w:val="auto"/>
          <w:sz w:val="28"/>
          <w:szCs w:val="28"/>
          <w:highlight w:val="none"/>
        </w:rPr>
        <w:t>https://credit.ah.gov.cn/xinyong-fuwu/xvbahv/index.html</w:t>
      </w:r>
      <w:r>
        <w:rPr>
          <w:color w:val="auto"/>
          <w:highlight w:val="none"/>
        </w:rPr>
        <w:fldChar w:fldCharType="end"/>
      </w:r>
      <w:r>
        <w:rPr>
          <w:rFonts w:hint="eastAsia" w:ascii="仿宋_GB2312" w:hAnsi="宋体" w:eastAsia="仿宋_GB2312"/>
          <w:color w:val="auto"/>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8AD4BB1">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2、“信用中国”查询的严重失信行为判定依据为各行业主管部门下发的联合惩戒文件中规定的行为（按附件2执行）。</w:t>
      </w:r>
    </w:p>
    <w:p w14:paraId="236813D9">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3、资格预审的项目以递交资格预审申请文件截止时间查询为准；资格后审的项目以递交投标文件截止时间查询为准。</w:t>
      </w:r>
    </w:p>
    <w:p w14:paraId="6E17AC8C">
      <w:pPr>
        <w:ind w:right="960"/>
        <w:rPr>
          <w:rFonts w:hint="eastAsia" w:ascii="仿宋" w:hAnsi="仿宋" w:eastAsia="仿宋"/>
          <w:color w:val="auto"/>
          <w:sz w:val="32"/>
          <w:szCs w:val="32"/>
          <w:highlight w:val="none"/>
        </w:rPr>
      </w:pPr>
    </w:p>
    <w:p w14:paraId="1F9FF3CE">
      <w:pPr>
        <w:ind w:right="960"/>
        <w:rPr>
          <w:rFonts w:hint="eastAsia" w:ascii="仿宋" w:hAnsi="仿宋" w:eastAsia="仿宋"/>
          <w:color w:val="auto"/>
          <w:sz w:val="32"/>
          <w:szCs w:val="32"/>
          <w:highlight w:val="none"/>
        </w:rPr>
      </w:pPr>
    </w:p>
    <w:p w14:paraId="2CFC44A2">
      <w:pPr>
        <w:ind w:right="960"/>
        <w:rPr>
          <w:rFonts w:hint="eastAsia" w:ascii="仿宋" w:hAnsi="仿宋" w:eastAsia="仿宋"/>
          <w:color w:val="auto"/>
          <w:sz w:val="32"/>
          <w:szCs w:val="32"/>
          <w:highlight w:val="none"/>
        </w:rPr>
      </w:pPr>
    </w:p>
    <w:p w14:paraId="79034A74">
      <w:pPr>
        <w:ind w:right="960"/>
        <w:rPr>
          <w:rFonts w:hint="eastAsia" w:ascii="仿宋" w:hAnsi="仿宋" w:eastAsia="仿宋"/>
          <w:color w:val="auto"/>
          <w:sz w:val="32"/>
          <w:szCs w:val="32"/>
          <w:highlight w:val="none"/>
        </w:rPr>
      </w:pPr>
    </w:p>
    <w:p w14:paraId="7F497489">
      <w:pPr>
        <w:ind w:right="960"/>
        <w:rPr>
          <w:rFonts w:hint="eastAsia" w:ascii="仿宋" w:hAnsi="仿宋" w:eastAsia="仿宋"/>
          <w:color w:val="auto"/>
          <w:sz w:val="32"/>
          <w:szCs w:val="32"/>
          <w:highlight w:val="none"/>
        </w:rPr>
      </w:pPr>
    </w:p>
    <w:p w14:paraId="259EB6AF">
      <w:pPr>
        <w:ind w:right="960"/>
        <w:rPr>
          <w:rFonts w:hint="eastAsia" w:ascii="仿宋" w:hAnsi="仿宋" w:eastAsia="仿宋"/>
          <w:color w:val="auto"/>
          <w:sz w:val="32"/>
          <w:szCs w:val="32"/>
          <w:highlight w:val="none"/>
        </w:rPr>
      </w:pPr>
    </w:p>
    <w:p w14:paraId="7E933A85">
      <w:pPr>
        <w:ind w:right="960"/>
        <w:rPr>
          <w:rFonts w:hint="eastAsia" w:ascii="仿宋" w:hAnsi="仿宋" w:eastAsia="仿宋"/>
          <w:color w:val="auto"/>
          <w:sz w:val="32"/>
          <w:szCs w:val="32"/>
          <w:highlight w:val="none"/>
        </w:rPr>
      </w:pPr>
    </w:p>
    <w:p w14:paraId="27E5AA0A">
      <w:pPr>
        <w:ind w:right="960"/>
        <w:rPr>
          <w:rFonts w:hint="eastAsia" w:ascii="仿宋" w:hAnsi="仿宋" w:eastAsia="仿宋"/>
          <w:color w:val="auto"/>
          <w:sz w:val="32"/>
          <w:szCs w:val="32"/>
          <w:highlight w:val="none"/>
        </w:rPr>
      </w:pPr>
    </w:p>
    <w:p w14:paraId="61A775B5">
      <w:pPr>
        <w:pStyle w:val="14"/>
        <w:rPr>
          <w:rFonts w:hint="eastAsia"/>
          <w:color w:val="auto"/>
          <w:highlight w:val="none"/>
        </w:rPr>
      </w:pPr>
    </w:p>
    <w:p w14:paraId="33119FEA">
      <w:pPr>
        <w:rPr>
          <w:color w:val="auto"/>
          <w:highlight w:val="none"/>
        </w:rPr>
      </w:pPr>
    </w:p>
    <w:p w14:paraId="057AA8A0">
      <w:pPr>
        <w:pStyle w:val="14"/>
        <w:rPr>
          <w:color w:val="auto"/>
          <w:highlight w:val="none"/>
        </w:rPr>
      </w:pPr>
    </w:p>
    <w:p w14:paraId="3C5B7BD2">
      <w:pPr>
        <w:rPr>
          <w:color w:val="auto"/>
          <w:highlight w:val="none"/>
        </w:rPr>
      </w:pPr>
    </w:p>
    <w:p w14:paraId="39A8CD9C">
      <w:pPr>
        <w:pStyle w:val="14"/>
        <w:rPr>
          <w:color w:val="auto"/>
          <w:highlight w:val="none"/>
        </w:rPr>
      </w:pPr>
    </w:p>
    <w:p w14:paraId="38C8052D">
      <w:pPr>
        <w:rPr>
          <w:color w:val="auto"/>
          <w:highlight w:val="none"/>
        </w:rPr>
      </w:pPr>
    </w:p>
    <w:p w14:paraId="5A816C82">
      <w:pPr>
        <w:pStyle w:val="14"/>
        <w:rPr>
          <w:color w:val="auto"/>
          <w:highlight w:val="none"/>
        </w:rPr>
      </w:pPr>
    </w:p>
    <w:p w14:paraId="59DF448A">
      <w:pPr>
        <w:rPr>
          <w:color w:val="auto"/>
          <w:highlight w:val="none"/>
        </w:rPr>
      </w:pPr>
    </w:p>
    <w:p w14:paraId="6024615A">
      <w:pPr>
        <w:ind w:right="960"/>
        <w:rPr>
          <w:rFonts w:ascii="仿宋" w:hAnsi="仿宋" w:eastAsia="仿宋"/>
          <w:color w:val="auto"/>
          <w:sz w:val="32"/>
          <w:szCs w:val="32"/>
          <w:highlight w:val="none"/>
        </w:rPr>
      </w:pPr>
    </w:p>
    <w:p w14:paraId="10798735">
      <w:pPr>
        <w:keepNext/>
        <w:keepLines/>
        <w:spacing w:before="200" w:after="200" w:line="600" w:lineRule="exact"/>
        <w:outlineLvl w:val="0"/>
        <w:rPr>
          <w:rFonts w:hint="eastAsia" w:ascii="黑体" w:hAnsi="黑体" w:eastAsia="黑体"/>
          <w:b/>
          <w:bCs/>
          <w:color w:val="auto"/>
          <w:kern w:val="44"/>
          <w:sz w:val="36"/>
          <w:szCs w:val="28"/>
          <w:highlight w:val="none"/>
        </w:rPr>
      </w:pPr>
      <w:bookmarkStart w:id="284" w:name="_Toc95223549"/>
      <w:bookmarkStart w:id="285" w:name="OLE_LINK41"/>
      <w:bookmarkStart w:id="286" w:name="OLE_LINK31"/>
      <w:r>
        <w:rPr>
          <w:rFonts w:hint="eastAsia" w:ascii="黑体" w:hAnsi="黑体" w:eastAsia="黑体"/>
          <w:b/>
          <w:bCs/>
          <w:color w:val="auto"/>
          <w:kern w:val="44"/>
          <w:sz w:val="36"/>
          <w:szCs w:val="28"/>
          <w:highlight w:val="none"/>
        </w:rPr>
        <w:t xml:space="preserve">附件2 </w:t>
      </w:r>
      <w:bookmarkStart w:id="287" w:name="OLE_LINK75"/>
      <w:bookmarkStart w:id="288" w:name="OLE_LINK74"/>
      <w:r>
        <w:rPr>
          <w:rFonts w:hint="eastAsia" w:ascii="黑体" w:hAnsi="黑体" w:eastAsia="黑体"/>
          <w:b/>
          <w:bCs/>
          <w:color w:val="auto"/>
          <w:kern w:val="44"/>
          <w:sz w:val="36"/>
          <w:szCs w:val="28"/>
          <w:highlight w:val="none"/>
        </w:rPr>
        <w:t>“信用中国”查询的严重失信行为</w:t>
      </w:r>
      <w:bookmarkStart w:id="289" w:name="OLE_LINK39"/>
      <w:bookmarkStart w:id="290" w:name="OLE_LINK40"/>
      <w:bookmarkStart w:id="291" w:name="OLE_LINK38"/>
      <w:bookmarkStart w:id="292" w:name="OLE_LINK76"/>
      <w:r>
        <w:rPr>
          <w:rFonts w:hint="eastAsia" w:ascii="黑体" w:hAnsi="黑体" w:eastAsia="黑体"/>
          <w:b/>
          <w:bCs/>
          <w:color w:val="auto"/>
          <w:kern w:val="44"/>
          <w:sz w:val="36"/>
          <w:szCs w:val="28"/>
          <w:highlight w:val="none"/>
        </w:rPr>
        <w:t>类别及判定依据</w:t>
      </w:r>
      <w:bookmarkEnd w:id="284"/>
      <w:bookmarkEnd w:id="287"/>
      <w:bookmarkEnd w:id="288"/>
      <w:bookmarkEnd w:id="289"/>
      <w:bookmarkEnd w:id="290"/>
      <w:bookmarkEnd w:id="291"/>
      <w:bookmarkEnd w:id="292"/>
    </w:p>
    <w:bookmarkEnd w:id="285"/>
    <w:bookmarkEnd w:id="286"/>
    <w:p w14:paraId="569E3695">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28"/>
          <w:szCs w:val="28"/>
          <w:highlight w:val="none"/>
        </w:rPr>
        <w:t>信用中国”查询的严重失信行为判定依据为各行业主管部门下发的联合惩戒文件中规定的行为。下面将部分类别的严重失信行为列举如下：</w:t>
      </w:r>
    </w:p>
    <w:p w14:paraId="02804722">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一、安全生产领域严重失信行为：</w:t>
      </w:r>
    </w:p>
    <w:p w14:paraId="0A57807B">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（一）下列发生生产安全事故的生产经营单位及其有关人员应当列入严重失信主体名单：</w:t>
      </w:r>
    </w:p>
    <w:p w14:paraId="28D8E075">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1、发生特别重大、重大生产安全事故的生产经营单位及其主要负责人，以及经调查认定对该事故发生负有责任，应当列入名单的其他单位和人员；</w:t>
      </w:r>
    </w:p>
    <w:p w14:paraId="72C4569F">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2、12个月内累计发生2起以上较大生产安全事故的生产经营单位及其主要负责人；</w:t>
      </w:r>
    </w:p>
    <w:p w14:paraId="1B9F00CE">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34B7B631">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4、瞒报、谎报生产安全事故的生产经营单位及其有关责任人员；</w:t>
      </w:r>
    </w:p>
    <w:p w14:paraId="46D6BEBE">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5、发生生产安全事故后，不立即组织抢救或者在事故调查处理期间擅离职守或者逃匿的生产经营单位主要负责人。</w:t>
      </w:r>
    </w:p>
    <w:p w14:paraId="701F4F61">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（二）下列未发生生产安全事故，但因安全生产违法行为，受到行政处罚的生产经营单位或者机构及其有关人员，应当列入严重失信主体名单：</w:t>
      </w:r>
    </w:p>
    <w:p w14:paraId="4E563177">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1、未依法取得安全生产相关许可或者许可被暂扣、吊销期间从事相关生产经营活动的生产经营单位及其主要负责人；</w:t>
      </w:r>
    </w:p>
    <w:p w14:paraId="4F1C2E60">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2、承担安全评价、认证、检测、检验职责的机构及其直接责任人员租借资质、挂靠、出具虚假报告或者证书的；</w:t>
      </w:r>
    </w:p>
    <w:p w14:paraId="70F4E2BF">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3、在应急管理部门作出行政处罚后，有执行能力拒不执行或者逃避执行的生产经营单位及其主要负责人；</w:t>
      </w:r>
    </w:p>
    <w:p w14:paraId="42B74B1C">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4、其他违反安全生产法律法规受到行政处罚，且性质恶劣、情节严重的。</w:t>
      </w:r>
    </w:p>
    <w:p w14:paraId="7E0F25A1">
      <w:pPr>
        <w:adjustRightInd w:val="0"/>
        <w:snapToGrid w:val="0"/>
        <w:spacing w:line="560" w:lineRule="exact"/>
        <w:ind w:firstLine="645"/>
        <w:jc w:val="left"/>
        <w:rPr>
          <w:rFonts w:hint="eastAsia" w:ascii="仿宋_GB2312" w:hAnsi="Calibri" w:eastAsia="仿宋_GB2312"/>
          <w:b/>
          <w:color w:val="auto"/>
          <w:sz w:val="28"/>
          <w:szCs w:val="28"/>
          <w:highlight w:val="none"/>
        </w:rPr>
      </w:pPr>
      <w:r>
        <w:rPr>
          <w:rFonts w:hint="eastAsia" w:ascii="仿宋_GB2312" w:hAnsi="宋体" w:eastAsia="仿宋_GB2312"/>
          <w:b/>
          <w:color w:val="auto"/>
          <w:sz w:val="28"/>
          <w:szCs w:val="28"/>
          <w:highlight w:val="none"/>
        </w:rPr>
        <w:t>依据：《安全生产严重失信主体名单管理办法》</w:t>
      </w:r>
      <w:r>
        <w:rPr>
          <w:rFonts w:hint="eastAsia" w:ascii="仿宋_GB2312" w:hAnsi="Calibri" w:eastAsia="仿宋_GB2312"/>
          <w:b/>
          <w:color w:val="auto"/>
          <w:sz w:val="28"/>
          <w:szCs w:val="28"/>
          <w:highlight w:val="none"/>
        </w:rPr>
        <w:t>（2023年8月8日应急管理部令第11号）</w:t>
      </w:r>
    </w:p>
    <w:p w14:paraId="76C82FA5">
      <w:pPr>
        <w:adjustRightInd w:val="0"/>
        <w:snapToGrid w:val="0"/>
        <w:spacing w:line="560" w:lineRule="exact"/>
        <w:ind w:firstLine="645"/>
        <w:jc w:val="left"/>
        <w:rPr>
          <w:rFonts w:hint="eastAsia" w:ascii="仿宋_GB2312" w:hAnsi="宋体" w:eastAsia="仿宋_GB2312"/>
          <w:b/>
          <w:color w:val="auto"/>
          <w:sz w:val="28"/>
          <w:szCs w:val="28"/>
          <w:highlight w:val="none"/>
        </w:rPr>
      </w:pPr>
    </w:p>
    <w:p w14:paraId="5B3C7CCF">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二、环境保护领域严重失信行为：</w:t>
      </w:r>
    </w:p>
    <w:p w14:paraId="4B8957CF">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（一）因为环境违法构成</w:t>
      </w:r>
      <w:r>
        <w:rPr>
          <w:color w:val="auto"/>
          <w:highlight w:val="none"/>
        </w:rPr>
        <w:fldChar w:fldCharType="begin"/>
      </w:r>
      <w:r>
        <w:rPr>
          <w:color w:val="auto"/>
          <w:highlight w:val="none"/>
        </w:rPr>
        <w:instrText xml:space="preserve"> HYPERLINK "https://baike.sogou.com/m/fullLemma?lid=10403954&amp;g_ut=3"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环境犯罪</w:t>
      </w:r>
      <w:r>
        <w:rPr>
          <w:color w:val="auto"/>
          <w:highlight w:val="none"/>
        </w:rPr>
        <w:fldChar w:fldCharType="end"/>
      </w:r>
      <w:r>
        <w:rPr>
          <w:rFonts w:hint="eastAsia" w:ascii="仿宋_GB2312" w:hAnsi="宋体" w:eastAsia="仿宋_GB2312"/>
          <w:color w:val="auto"/>
          <w:sz w:val="28"/>
          <w:szCs w:val="28"/>
          <w:highlight w:val="none"/>
        </w:rPr>
        <w:t>的；</w:t>
      </w:r>
    </w:p>
    <w:p w14:paraId="62C46487">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w:t>
      </w:r>
      <w:r>
        <w:rPr>
          <w:color w:val="auto"/>
          <w:highlight w:val="none"/>
        </w:rPr>
        <w:fldChar w:fldCharType="begin"/>
      </w:r>
      <w:r>
        <w:rPr>
          <w:color w:val="auto"/>
          <w:highlight w:val="none"/>
        </w:rPr>
        <w:instrText xml:space="preserve"> HYPERLINK "https://baike.sogou.com/m/fullLemma?lid=76033123&amp;g_ut=3"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建设项目环境影响评价</w:t>
      </w:r>
      <w:r>
        <w:rPr>
          <w:color w:val="auto"/>
          <w:highlight w:val="none"/>
        </w:rPr>
        <w:fldChar w:fldCharType="end"/>
      </w:r>
      <w:r>
        <w:rPr>
          <w:rFonts w:hint="eastAsia" w:ascii="仿宋_GB2312" w:hAnsi="宋体" w:eastAsia="仿宋_GB2312"/>
          <w:color w:val="auto"/>
          <w:sz w:val="28"/>
          <w:szCs w:val="28"/>
          <w:highlight w:val="none"/>
        </w:rPr>
        <w:t>文件未按规定通过审批，擅自开工建设的；</w:t>
      </w:r>
    </w:p>
    <w:p w14:paraId="2694527D">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（三）建设项目环保设施未建成、环保措施未落实、未通过</w:t>
      </w:r>
      <w:r>
        <w:rPr>
          <w:color w:val="auto"/>
          <w:highlight w:val="none"/>
        </w:rPr>
        <w:fldChar w:fldCharType="begin"/>
      </w:r>
      <w:r>
        <w:rPr>
          <w:color w:val="auto"/>
          <w:highlight w:val="none"/>
        </w:rPr>
        <w:instrText xml:space="preserve"> HYPERLINK "https://baike.sogou.com/m/fullLemma?lid=6470550&amp;g_ut=3"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竣工环保验收</w:t>
      </w:r>
      <w:r>
        <w:rPr>
          <w:color w:val="auto"/>
          <w:highlight w:val="none"/>
        </w:rPr>
        <w:fldChar w:fldCharType="end"/>
      </w:r>
      <w:r>
        <w:rPr>
          <w:rFonts w:hint="eastAsia" w:ascii="仿宋_GB2312" w:hAnsi="宋体" w:eastAsia="仿宋_GB2312"/>
          <w:color w:val="auto"/>
          <w:sz w:val="28"/>
          <w:szCs w:val="28"/>
          <w:highlight w:val="none"/>
        </w:rPr>
        <w:t>或者验收不合格，主体工程正式投入生产或者使用的；</w:t>
      </w:r>
    </w:p>
    <w:p w14:paraId="202C32E8">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（四）建设项目性质、规模、地点、采用的生产工艺或者防治污染、防止生态破坏的措施发生重大变动，未重新报批环境影响评价文件，擅自投入生产或者使用的；</w:t>
      </w:r>
    </w:p>
    <w:p w14:paraId="49AF629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（五）主要污染物排放总量超过控制指标的；</w:t>
      </w:r>
    </w:p>
    <w:p w14:paraId="149EDC58">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（六）私设暗管或者利用</w:t>
      </w:r>
      <w:r>
        <w:rPr>
          <w:color w:val="auto"/>
          <w:highlight w:val="none"/>
        </w:rPr>
        <w:fldChar w:fldCharType="begin"/>
      </w:r>
      <w:r>
        <w:rPr>
          <w:color w:val="auto"/>
          <w:highlight w:val="none"/>
        </w:rPr>
        <w:instrText xml:space="preserve"> HYPERLINK "https://baike.sogou.com/m/fullLemma?lid=41657319&amp;g_ut=3"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渗井</w:t>
      </w:r>
      <w:r>
        <w:rPr>
          <w:color w:val="auto"/>
          <w:highlight w:val="none"/>
        </w:rPr>
        <w:fldChar w:fldCharType="end"/>
      </w:r>
      <w:r>
        <w:rPr>
          <w:rFonts w:hint="eastAsia" w:ascii="仿宋_GB2312" w:hAnsi="宋体" w:eastAsia="仿宋_GB2312"/>
          <w:color w:val="auto"/>
          <w:sz w:val="28"/>
          <w:szCs w:val="28"/>
          <w:highlight w:val="none"/>
        </w:rPr>
        <w:t>、渗坑、裂隙、溶洞等排放、倾倒、处置水污染物，或者通过私设旁路排放</w:t>
      </w:r>
      <w:r>
        <w:rPr>
          <w:color w:val="auto"/>
          <w:highlight w:val="none"/>
        </w:rPr>
        <w:fldChar w:fldCharType="begin"/>
      </w:r>
      <w:r>
        <w:rPr>
          <w:color w:val="auto"/>
          <w:highlight w:val="none"/>
        </w:rPr>
        <w:instrText xml:space="preserve"> HYPERLINK "https://baike.sogou.com/m/fullLemma?lid=7758328&amp;g_ut=3"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大气污染物</w:t>
      </w:r>
      <w:r>
        <w:rPr>
          <w:color w:val="auto"/>
          <w:highlight w:val="none"/>
        </w:rPr>
        <w:fldChar w:fldCharType="end"/>
      </w:r>
      <w:r>
        <w:rPr>
          <w:rFonts w:hint="eastAsia" w:ascii="仿宋_GB2312" w:hAnsi="宋体" w:eastAsia="仿宋_GB2312"/>
          <w:color w:val="auto"/>
          <w:sz w:val="28"/>
          <w:szCs w:val="28"/>
          <w:highlight w:val="none"/>
        </w:rPr>
        <w:t>的；</w:t>
      </w:r>
    </w:p>
    <w:p w14:paraId="708BCE91">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（七）非法排放、倾倒、处置危险废物，或者向无</w:t>
      </w:r>
      <w:r>
        <w:rPr>
          <w:color w:val="auto"/>
          <w:highlight w:val="none"/>
        </w:rPr>
        <w:fldChar w:fldCharType="begin"/>
      </w:r>
      <w:r>
        <w:rPr>
          <w:color w:val="auto"/>
          <w:highlight w:val="none"/>
        </w:rPr>
        <w:instrText xml:space="preserve"> HYPERLINK "https://baike.sogou.com/m/fullLemma?lid=5923292&amp;g_ut=3"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经营许可证</w:t>
      </w:r>
      <w:r>
        <w:rPr>
          <w:color w:val="auto"/>
          <w:highlight w:val="none"/>
        </w:rPr>
        <w:fldChar w:fldCharType="end"/>
      </w:r>
      <w:r>
        <w:rPr>
          <w:rFonts w:hint="eastAsia" w:ascii="仿宋_GB2312" w:hAnsi="宋体" w:eastAsia="仿宋_GB2312"/>
          <w:color w:val="auto"/>
          <w:sz w:val="28"/>
          <w:szCs w:val="28"/>
          <w:highlight w:val="none"/>
        </w:rPr>
        <w:t>或者超出经营许可范围的单位或个人提供或者委托其收集、贮存、利用、处置危险废物的；</w:t>
      </w:r>
    </w:p>
    <w:p w14:paraId="7F2B541B">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（八）</w:t>
      </w:r>
      <w:r>
        <w:rPr>
          <w:color w:val="auto"/>
          <w:highlight w:val="none"/>
        </w:rPr>
        <w:fldChar w:fldCharType="begin"/>
      </w:r>
      <w:r>
        <w:rPr>
          <w:color w:val="auto"/>
          <w:highlight w:val="none"/>
        </w:rPr>
        <w:instrText xml:space="preserve"> HYPERLINK "https://baike.sogou.com/m/fullLemma?lid=167759803&amp;g_ut=3"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环境违法行为</w:t>
      </w:r>
      <w:r>
        <w:rPr>
          <w:color w:val="auto"/>
          <w:highlight w:val="none"/>
        </w:rPr>
        <w:fldChar w:fldCharType="end"/>
      </w:r>
      <w:r>
        <w:rPr>
          <w:rFonts w:hint="eastAsia" w:ascii="仿宋_GB2312" w:hAnsi="宋体" w:eastAsia="仿宋_GB2312"/>
          <w:color w:val="auto"/>
          <w:sz w:val="28"/>
          <w:szCs w:val="28"/>
          <w:highlight w:val="none"/>
        </w:rPr>
        <w:t>造成集中式生活饮用水水源取水中断的；</w:t>
      </w:r>
    </w:p>
    <w:p w14:paraId="521C5819">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（九）环境违法行为对生活饮用水水源保护区、自然保护区、</w:t>
      </w:r>
      <w:r>
        <w:rPr>
          <w:color w:val="auto"/>
          <w:highlight w:val="none"/>
        </w:rPr>
        <w:fldChar w:fldCharType="begin"/>
      </w:r>
      <w:r>
        <w:rPr>
          <w:color w:val="auto"/>
          <w:highlight w:val="none"/>
        </w:rPr>
        <w:instrText xml:space="preserve"> HYPERLINK "https://baike.sogou.com/m/fullLemma?lid=155199213&amp;g_ut=3"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国家重点生态功能区</w:t>
      </w:r>
      <w:r>
        <w:rPr>
          <w:color w:val="auto"/>
          <w:highlight w:val="none"/>
        </w:rPr>
        <w:fldChar w:fldCharType="end"/>
      </w:r>
      <w:r>
        <w:rPr>
          <w:rFonts w:hint="eastAsia" w:ascii="仿宋_GB2312" w:hAnsi="宋体" w:eastAsia="仿宋_GB2312"/>
          <w:color w:val="auto"/>
          <w:sz w:val="28"/>
          <w:szCs w:val="28"/>
          <w:highlight w:val="none"/>
        </w:rPr>
        <w:t>、风景名胜区、居住功能区、</w:t>
      </w:r>
      <w:r>
        <w:rPr>
          <w:color w:val="auto"/>
          <w:highlight w:val="none"/>
        </w:rPr>
        <w:fldChar w:fldCharType="begin"/>
      </w:r>
      <w:r>
        <w:rPr>
          <w:color w:val="auto"/>
          <w:highlight w:val="none"/>
        </w:rPr>
        <w:instrText xml:space="preserve"> HYPERLINK "https://baike.sogou.com/m/fullLemma?lid=7757164&amp;g_ut=3"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基本农田保护区</w:t>
      </w:r>
      <w:r>
        <w:rPr>
          <w:color w:val="auto"/>
          <w:highlight w:val="none"/>
        </w:rPr>
        <w:fldChar w:fldCharType="end"/>
      </w:r>
      <w:r>
        <w:rPr>
          <w:rFonts w:hint="eastAsia" w:ascii="仿宋_GB2312" w:hAnsi="宋体" w:eastAsia="仿宋_GB2312"/>
          <w:color w:val="auto"/>
          <w:sz w:val="28"/>
          <w:szCs w:val="28"/>
          <w:highlight w:val="none"/>
        </w:rPr>
        <w:t>等环境敏感区造成重大不利影响的；</w:t>
      </w:r>
    </w:p>
    <w:p w14:paraId="043E6E21">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（十）违法从事自然资源开发、交通基础设施建设，以及其他开发建设活动，造成严重生态破坏的；</w:t>
      </w:r>
    </w:p>
    <w:p w14:paraId="3645129C">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（十一）发生较大及以上突发环境事件的；</w:t>
      </w:r>
    </w:p>
    <w:p w14:paraId="71EB4776">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（十二）被环保部门挂牌督办，整改逾期未完成的；</w:t>
      </w:r>
    </w:p>
    <w:p w14:paraId="3EB263D4">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（十三）以暴力、威胁等方式拒绝、阻挠环保部门工作人员现场检查的；</w:t>
      </w:r>
    </w:p>
    <w:p w14:paraId="530F511E">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（十四）违反重污染天气应急预案有关规定，对重污染天气响应不力的。</w:t>
      </w:r>
    </w:p>
    <w:p w14:paraId="2A8327F0">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依据：《关于对环境保护领域失信生产经营单位及其有关人员开展联合惩戒的合作备忘录》、《</w:t>
      </w:r>
      <w:bookmarkStart w:id="293" w:name="OLE_LINK12"/>
      <w:r>
        <w:rPr>
          <w:rFonts w:hint="eastAsia" w:ascii="仿宋_GB2312" w:hAnsi="宋体" w:eastAsia="仿宋_GB2312"/>
          <w:b/>
          <w:color w:val="auto"/>
          <w:sz w:val="28"/>
          <w:szCs w:val="28"/>
          <w:highlight w:val="none"/>
        </w:rPr>
        <w:t>企业环境信用评价办法（试行）</w:t>
      </w:r>
      <w:bookmarkEnd w:id="293"/>
      <w:r>
        <w:rPr>
          <w:rFonts w:hint="eastAsia" w:ascii="仿宋_GB2312" w:hAnsi="宋体" w:eastAsia="仿宋_GB2312"/>
          <w:b/>
          <w:color w:val="auto"/>
          <w:sz w:val="28"/>
          <w:szCs w:val="28"/>
          <w:highlight w:val="none"/>
        </w:rPr>
        <w:t>》（环发〔2013〕150号）</w:t>
      </w:r>
    </w:p>
    <w:p w14:paraId="03DDD88E">
      <w:pPr>
        <w:adjustRightInd w:val="0"/>
        <w:snapToGrid w:val="0"/>
        <w:spacing w:line="560" w:lineRule="exact"/>
        <w:ind w:firstLine="645"/>
        <w:jc w:val="left"/>
        <w:rPr>
          <w:rFonts w:hint="eastAsia" w:ascii="仿宋_GB2312" w:hAnsi="宋体" w:eastAsia="仿宋_GB2312"/>
          <w:b/>
          <w:color w:val="auto"/>
          <w:sz w:val="28"/>
          <w:szCs w:val="28"/>
          <w:highlight w:val="none"/>
        </w:rPr>
      </w:pPr>
    </w:p>
    <w:p w14:paraId="2867B5C5">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w:t>
      </w:r>
      <w:r>
        <w:rPr>
          <w:rFonts w:hint="eastAsia" w:ascii="仿宋_GB2312" w:hAnsi="宋体" w:eastAsia="仿宋_GB2312"/>
          <w:b/>
          <w:bCs/>
          <w:color w:val="auto"/>
          <w:sz w:val="28"/>
          <w:szCs w:val="28"/>
          <w:highlight w:val="none"/>
        </w:rPr>
        <w:t>公共资源交易领域严重失信行为</w:t>
      </w:r>
    </w:p>
    <w:p w14:paraId="1F847783">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（一）违反法律规定，必须进行招标的项目而不招标的，将必须进行招标的项目化整为零或者以其他任何方式规避招标的； </w:t>
      </w:r>
    </w:p>
    <w:p w14:paraId="06CD54DE">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14:paraId="5202ADEE">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（三）招标人以不合理的条件限制或者排斥潜在投标人的，对潜在投标人实行歧视待遇的，强制要求投标人组成联合体共同 投标的，或者限制投标人之间竞争的；</w:t>
      </w:r>
    </w:p>
    <w:p w14:paraId="4E593C03">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60BA595C">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（五）投标人相互串通投标或者与招标人串通投标的，投标人以向招标人或者评标委员会成员行贿的手段谋取中标的； </w:t>
      </w:r>
    </w:p>
    <w:p w14:paraId="3FD1A770">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（六）投标人以他人名义投标或者以其他方式弄虚作假，骗取中标的；</w:t>
      </w:r>
    </w:p>
    <w:p w14:paraId="0389408B">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（七）依法必须进行招标的项目，招标人违反法律规定，与投标人就投标价格、投标方案等实质性内容进行谈判的；</w:t>
      </w:r>
    </w:p>
    <w:p w14:paraId="38733830">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1CDA5D0D">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（九）招标人在评标委员会依法推荐的中标候选人以外确定中标人的，依法必须进行招标的项目在所有投标被评标委员会否 决后自行确定中标人的； </w:t>
      </w:r>
    </w:p>
    <w:p w14:paraId="7176B66A">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60D334E9">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（十一）招标人与中标人不按照招标文件和中标人的投标文件订立合同的，或者招标人、中标人订立背离合同实质性内容的 协议的； </w:t>
      </w:r>
    </w:p>
    <w:p w14:paraId="269B7055">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（十二）中标人不按照与招标人订立的合同履行义务，情节严重的； </w:t>
      </w:r>
    </w:p>
    <w:p w14:paraId="058E7906">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（十三）</w:t>
      </w:r>
      <w:r>
        <w:rPr>
          <w:rFonts w:hint="eastAsia" w:ascii="仿宋_GB2312" w:hAnsi="Calibri" w:eastAsia="仿宋_GB2312"/>
          <w:color w:val="auto"/>
          <w:sz w:val="28"/>
          <w:szCs w:val="28"/>
          <w:highlight w:val="none"/>
          <w:lang w:eastAsia="zh-CN"/>
        </w:rPr>
        <w:t>招标人</w:t>
      </w:r>
      <w:r>
        <w:rPr>
          <w:rFonts w:hint="eastAsia" w:ascii="仿宋_GB2312" w:hAnsi="Calibri" w:eastAsia="仿宋_GB2312"/>
          <w:color w:val="auto"/>
          <w:sz w:val="28"/>
          <w:szCs w:val="28"/>
          <w:highlight w:val="none"/>
        </w:rPr>
        <w:t>、采购代理机构存在应当采用公开招标方式而擅自采用其他方式采购，擅自提高采购标准，以不合理的条件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2C707695">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（十四）</w:t>
      </w:r>
      <w:r>
        <w:rPr>
          <w:rFonts w:hint="eastAsia" w:ascii="仿宋_GB2312" w:hAnsi="Calibri" w:eastAsia="仿宋_GB2312"/>
          <w:color w:val="auto"/>
          <w:sz w:val="28"/>
          <w:szCs w:val="28"/>
          <w:highlight w:val="none"/>
          <w:lang w:eastAsia="zh-CN"/>
        </w:rPr>
        <w:t>招标人</w:t>
      </w:r>
      <w:r>
        <w:rPr>
          <w:rFonts w:hint="eastAsia" w:ascii="仿宋_GB2312" w:hAnsi="Calibri" w:eastAsia="仿宋_GB2312"/>
          <w:color w:val="auto"/>
          <w:sz w:val="28"/>
          <w:szCs w:val="28"/>
          <w:highlight w:val="none"/>
        </w:rPr>
        <w:t>、采购代理机构及其工作人员存在与供应商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039D750">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（十五）</w:t>
      </w:r>
      <w:r>
        <w:rPr>
          <w:rFonts w:hint="eastAsia" w:ascii="仿宋_GB2312" w:hAnsi="Calibri" w:eastAsia="仿宋_GB2312"/>
          <w:color w:val="auto"/>
          <w:sz w:val="28"/>
          <w:szCs w:val="28"/>
          <w:highlight w:val="none"/>
          <w:lang w:eastAsia="zh-CN"/>
        </w:rPr>
        <w:t>招标人</w:t>
      </w:r>
      <w:r>
        <w:rPr>
          <w:rFonts w:hint="eastAsia" w:ascii="仿宋_GB2312" w:hAnsi="Calibri" w:eastAsia="仿宋_GB2312"/>
          <w:color w:val="auto"/>
          <w:sz w:val="28"/>
          <w:szCs w:val="28"/>
          <w:highlight w:val="none"/>
        </w:rPr>
        <w:t xml:space="preserve">对应当实行集中采购的政府采购项目，不委托集中采购机构实行集中采购的； </w:t>
      </w:r>
    </w:p>
    <w:p w14:paraId="21BD4E29">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（十六）</w:t>
      </w:r>
      <w:r>
        <w:rPr>
          <w:rFonts w:hint="eastAsia" w:ascii="仿宋_GB2312" w:hAnsi="Calibri" w:eastAsia="仿宋_GB2312"/>
          <w:color w:val="auto"/>
          <w:sz w:val="28"/>
          <w:szCs w:val="28"/>
          <w:highlight w:val="none"/>
          <w:lang w:eastAsia="zh-CN"/>
        </w:rPr>
        <w:t>招标人</w:t>
      </w:r>
      <w:r>
        <w:rPr>
          <w:rFonts w:hint="eastAsia" w:ascii="仿宋_GB2312" w:hAnsi="Calibri" w:eastAsia="仿宋_GB2312"/>
          <w:color w:val="auto"/>
          <w:sz w:val="28"/>
          <w:szCs w:val="28"/>
          <w:highlight w:val="none"/>
        </w:rPr>
        <w:t xml:space="preserve">、采购代理机构违反法律规定隐匿、销毁应当保存的采购文件或者伪造、变造采购文件的； </w:t>
      </w:r>
    </w:p>
    <w:p w14:paraId="652B6437">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（十七）供应商存在提供虚假材料谋取中标、成交，采取不 正当手段诋毁、排挤其他供应商，与</w:t>
      </w:r>
      <w:r>
        <w:rPr>
          <w:rFonts w:hint="eastAsia" w:ascii="仿宋_GB2312" w:hAnsi="Calibri" w:eastAsia="仿宋_GB2312"/>
          <w:color w:val="auto"/>
          <w:sz w:val="28"/>
          <w:szCs w:val="28"/>
          <w:highlight w:val="none"/>
          <w:lang w:eastAsia="zh-CN"/>
        </w:rPr>
        <w:t>招标人</w:t>
      </w:r>
      <w:r>
        <w:rPr>
          <w:rFonts w:hint="eastAsia" w:ascii="仿宋_GB2312" w:hAnsi="Calibri" w:eastAsia="仿宋_GB2312"/>
          <w:color w:val="auto"/>
          <w:sz w:val="28"/>
          <w:szCs w:val="28"/>
          <w:highlight w:val="none"/>
        </w:rPr>
        <w:t>、其他供应商或者采 购代理机构恶意串通，向</w:t>
      </w:r>
      <w:r>
        <w:rPr>
          <w:rFonts w:hint="eastAsia" w:ascii="仿宋_GB2312" w:hAnsi="Calibri" w:eastAsia="仿宋_GB2312"/>
          <w:color w:val="auto"/>
          <w:sz w:val="28"/>
          <w:szCs w:val="28"/>
          <w:highlight w:val="none"/>
          <w:lang w:eastAsia="zh-CN"/>
        </w:rPr>
        <w:t>招标人</w:t>
      </w:r>
      <w:r>
        <w:rPr>
          <w:rFonts w:hint="eastAsia" w:ascii="仿宋_GB2312" w:hAnsi="Calibri" w:eastAsia="仿宋_GB2312"/>
          <w:color w:val="auto"/>
          <w:sz w:val="28"/>
          <w:szCs w:val="28"/>
          <w:highlight w:val="none"/>
        </w:rPr>
        <w:t>、采购代理机构行贿或者提供其 他不正当利益，在招标采购过程中与</w:t>
      </w:r>
      <w:r>
        <w:rPr>
          <w:rFonts w:hint="eastAsia" w:ascii="仿宋_GB2312" w:hAnsi="Calibri" w:eastAsia="仿宋_GB2312"/>
          <w:color w:val="auto"/>
          <w:sz w:val="28"/>
          <w:szCs w:val="28"/>
          <w:highlight w:val="none"/>
          <w:lang w:eastAsia="zh-CN"/>
        </w:rPr>
        <w:t>招标人</w:t>
      </w:r>
      <w:r>
        <w:rPr>
          <w:rFonts w:hint="eastAsia" w:ascii="仿宋_GB2312" w:hAnsi="Calibri" w:eastAsia="仿宋_GB2312"/>
          <w:color w:val="auto"/>
          <w:sz w:val="28"/>
          <w:szCs w:val="28"/>
          <w:highlight w:val="none"/>
        </w:rPr>
        <w:t xml:space="preserve">进行协商谈判，或拒 绝有关部门监督检查或者提供虚假情况等情形的； </w:t>
      </w:r>
    </w:p>
    <w:p w14:paraId="3D1C1A00">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（十八）疫苗生产企业向县级疾病预防控制机构以外的单位或者个人销售第二类疫苗的； </w:t>
      </w:r>
    </w:p>
    <w:p w14:paraId="5FF91116">
      <w:pPr>
        <w:adjustRightInd w:val="0"/>
        <w:snapToGrid w:val="0"/>
        <w:spacing w:line="560" w:lineRule="exact"/>
        <w:ind w:left="141" w:leftChars="67" w:firstLine="420" w:firstLineChars="150"/>
        <w:jc w:val="left"/>
        <w:rPr>
          <w:rFonts w:hint="eastAsia" w:ascii="仿宋_GB2312" w:hAnsi="宋体" w:eastAsia="仿宋_GB2312"/>
          <w:color w:val="auto"/>
          <w:sz w:val="28"/>
          <w:szCs w:val="28"/>
          <w:highlight w:val="none"/>
        </w:rPr>
      </w:pPr>
      <w:r>
        <w:rPr>
          <w:rFonts w:hint="eastAsia" w:ascii="仿宋_GB2312" w:hAnsi="Calibri" w:eastAsia="仿宋_GB2312"/>
          <w:color w:val="auto"/>
          <w:sz w:val="28"/>
          <w:szCs w:val="28"/>
          <w:highlight w:val="none"/>
        </w:rPr>
        <w:t>（十九）存在其他违反公共资源交易法律法规行为的。</w:t>
      </w:r>
    </w:p>
    <w:p w14:paraId="52BB9B37">
      <w:pPr>
        <w:adjustRightInd w:val="0"/>
        <w:snapToGrid w:val="0"/>
        <w:spacing w:line="560" w:lineRule="exact"/>
        <w:ind w:firstLine="894" w:firstLineChars="318"/>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w:t>
      </w:r>
      <w:bookmarkStart w:id="294" w:name="OLE_LINK13"/>
      <w:r>
        <w:rPr>
          <w:rFonts w:hint="eastAsia" w:ascii="仿宋_GB2312" w:hAnsi="宋体" w:eastAsia="仿宋_GB2312"/>
          <w:b/>
          <w:color w:val="auto"/>
          <w:sz w:val="28"/>
          <w:szCs w:val="28"/>
          <w:highlight w:val="none"/>
        </w:rPr>
        <w:t>关于对公共资源交易领域严重失信主体开展联合惩戒的备忘录</w:t>
      </w:r>
      <w:bookmarkEnd w:id="294"/>
      <w:r>
        <w:rPr>
          <w:rFonts w:hint="eastAsia" w:ascii="仿宋_GB2312" w:hAnsi="宋体" w:eastAsia="仿宋_GB2312"/>
          <w:b/>
          <w:color w:val="auto"/>
          <w:sz w:val="28"/>
          <w:szCs w:val="28"/>
          <w:highlight w:val="none"/>
        </w:rPr>
        <w:t>》（发改法规〔2018〕457号）</w:t>
      </w:r>
    </w:p>
    <w:p w14:paraId="77795CF4">
      <w:pPr>
        <w:adjustRightInd w:val="0"/>
        <w:snapToGrid w:val="0"/>
        <w:spacing w:line="560" w:lineRule="exact"/>
        <w:ind w:firstLine="645"/>
        <w:jc w:val="left"/>
        <w:rPr>
          <w:rFonts w:hint="eastAsia" w:ascii="仿宋_GB2312" w:hAnsi="宋体" w:eastAsia="仿宋_GB2312"/>
          <w:color w:val="auto"/>
          <w:sz w:val="28"/>
          <w:szCs w:val="28"/>
          <w:highlight w:val="none"/>
        </w:rPr>
      </w:pPr>
    </w:p>
    <w:p w14:paraId="6E95C2AD">
      <w:pPr>
        <w:adjustRightInd w:val="0"/>
        <w:snapToGrid w:val="0"/>
        <w:spacing w:line="560" w:lineRule="exact"/>
        <w:ind w:firstLine="645"/>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四、</w:t>
      </w:r>
      <w:r>
        <w:rPr>
          <w:rFonts w:hint="eastAsia" w:ascii="仿宋_GB2312" w:hAnsi="宋体" w:eastAsia="仿宋_GB2312"/>
          <w:b/>
          <w:bCs/>
          <w:color w:val="auto"/>
          <w:sz w:val="28"/>
          <w:szCs w:val="28"/>
          <w:highlight w:val="none"/>
        </w:rPr>
        <w:t>社会保险领域严重失信行为</w:t>
      </w:r>
    </w:p>
    <w:p w14:paraId="47087B49">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（一）用人单位未按相关规定参加社会保险且拒不整改的； </w:t>
      </w:r>
    </w:p>
    <w:p w14:paraId="3886910C">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（二）用人单位未如实申报社会保险缴费基数且拒不整改的； </w:t>
      </w:r>
    </w:p>
    <w:p w14:paraId="169D24FD">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（三）应缴纳社会保险费却拒不缴纳的； </w:t>
      </w:r>
    </w:p>
    <w:p w14:paraId="2A9510B7">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（四）隐匿、转移、侵占、挪用社会保险费款、基金或者违规投资运营的；</w:t>
      </w:r>
    </w:p>
    <w:p w14:paraId="4C8ACAE7">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（五）以欺诈、伪造证明材料或者其他手段参加、申报社会保险和骗取社会保险基金支出或社会保险待遇的； </w:t>
      </w:r>
    </w:p>
    <w:p w14:paraId="28D327C1">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（六）非法获取、出售或变相交易社会保险个人权益数据的； </w:t>
      </w:r>
    </w:p>
    <w:p w14:paraId="7AD0C8A8">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（七）社会保险服务机构违反服务协议或相关规定的； </w:t>
      </w:r>
    </w:p>
    <w:p w14:paraId="543FF9F2">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5D72093F">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（九）其他违反法律法规规定的。</w:t>
      </w:r>
    </w:p>
    <w:p w14:paraId="73577A83">
      <w:pPr>
        <w:adjustRightInd w:val="0"/>
        <w:snapToGrid w:val="0"/>
        <w:spacing w:line="560" w:lineRule="exact"/>
        <w:ind w:firstLine="551" w:firstLineChars="196"/>
        <w:jc w:val="left"/>
        <w:rPr>
          <w:rFonts w:hint="eastAsia" w:ascii="仿宋_GB2312" w:hAnsi="Calibri" w:eastAsia="仿宋_GB2312"/>
          <w:color w:val="auto"/>
          <w:sz w:val="28"/>
          <w:szCs w:val="28"/>
          <w:highlight w:val="none"/>
        </w:rPr>
      </w:pPr>
      <w:r>
        <w:rPr>
          <w:rFonts w:hint="eastAsia" w:ascii="仿宋_GB2312" w:hAnsi="Calibri" w:eastAsia="仿宋_GB2312"/>
          <w:b/>
          <w:color w:val="auto"/>
          <w:sz w:val="28"/>
          <w:szCs w:val="28"/>
          <w:highlight w:val="none"/>
        </w:rPr>
        <w:t>依据：《关于对社会保险领域严重失信企业及其有关人员实施联合惩戒的合作备忘录》（发改财金〔2018〕1704号）</w:t>
      </w:r>
    </w:p>
    <w:p w14:paraId="0DAFA8E4">
      <w:pPr>
        <w:adjustRightInd w:val="0"/>
        <w:snapToGrid w:val="0"/>
        <w:spacing w:line="560" w:lineRule="exact"/>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p>
    <w:p w14:paraId="072C96ED">
      <w:pPr>
        <w:adjustRightInd w:val="0"/>
        <w:snapToGrid w:val="0"/>
        <w:spacing w:line="560" w:lineRule="exact"/>
        <w:ind w:firstLine="562" w:firstLineChars="200"/>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五、建筑市场领域</w:t>
      </w:r>
      <w:r>
        <w:rPr>
          <w:rFonts w:hint="eastAsia" w:ascii="仿宋_GB2312" w:hAnsi="宋体" w:eastAsia="仿宋_GB2312"/>
          <w:b/>
          <w:bCs/>
          <w:color w:val="auto"/>
          <w:sz w:val="28"/>
          <w:szCs w:val="28"/>
          <w:highlight w:val="none"/>
        </w:rPr>
        <w:t>严重失信行为</w:t>
      </w:r>
    </w:p>
    <w:p w14:paraId="6DF6A2C6">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（一）利用虚假材料、以欺骗手段取得企业资质的；</w:t>
      </w:r>
    </w:p>
    <w:p w14:paraId="6E096F19">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（二）发生转包、出借资质，受到行政处罚的；</w:t>
      </w:r>
    </w:p>
    <w:p w14:paraId="4F889CC4">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415D23A9">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（四）经法院判决或仲裁机构裁决，认定为拖欠工程款,且拒不履行生效法律文书确定的义务的。</w:t>
      </w:r>
    </w:p>
    <w:p w14:paraId="63BF8383">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各级住房城乡建设主管部门应当参照建筑市场主体“黑名单”，对被人力资源社会保障行政部门列入拖欠农民工工资“黑名单”的建筑市场各方主体加强监管。</w:t>
      </w:r>
    </w:p>
    <w:p w14:paraId="137E740C">
      <w:pPr>
        <w:ind w:firstLine="562" w:firstLineChars="200"/>
        <w:jc w:val="left"/>
        <w:rPr>
          <w:rFonts w:hint="eastAsia" w:ascii="宋体" w:hAnsi="宋体"/>
          <w:color w:val="auto"/>
          <w:sz w:val="28"/>
          <w:szCs w:val="28"/>
          <w:highlight w:val="none"/>
        </w:rPr>
      </w:pPr>
      <w:r>
        <w:rPr>
          <w:rFonts w:hint="eastAsia" w:ascii="仿宋_GB2312" w:hAnsi="Calibri" w:eastAsia="仿宋_GB2312"/>
          <w:b/>
          <w:color w:val="auto"/>
          <w:sz w:val="28"/>
          <w:szCs w:val="28"/>
          <w:highlight w:val="none"/>
        </w:rPr>
        <w:t>依据：《</w:t>
      </w:r>
      <w:bookmarkStart w:id="295" w:name="OLE_LINK18"/>
      <w:r>
        <w:rPr>
          <w:rFonts w:hint="eastAsia" w:ascii="仿宋_GB2312" w:hAnsi="Calibri" w:eastAsia="仿宋_GB2312"/>
          <w:b/>
          <w:color w:val="auto"/>
          <w:sz w:val="28"/>
          <w:szCs w:val="28"/>
          <w:highlight w:val="none"/>
        </w:rPr>
        <w:t>建筑市场信用管理暂行办法</w:t>
      </w:r>
      <w:bookmarkEnd w:id="295"/>
      <w:r>
        <w:rPr>
          <w:rFonts w:hint="eastAsia" w:ascii="仿宋_GB2312" w:hAnsi="Calibri" w:eastAsia="仿宋_GB2312"/>
          <w:b/>
          <w:color w:val="auto"/>
          <w:sz w:val="28"/>
          <w:szCs w:val="28"/>
          <w:highlight w:val="none"/>
        </w:rPr>
        <w:t>》（建市〔2017〕241号）</w:t>
      </w:r>
    </w:p>
    <w:p w14:paraId="34556646">
      <w:pPr>
        <w:adjustRightInd w:val="0"/>
        <w:snapToGrid w:val="0"/>
        <w:spacing w:line="560" w:lineRule="exact"/>
        <w:rPr>
          <w:rFonts w:hint="eastAsia" w:ascii="仿宋_GB2312" w:hAnsi="宋体" w:eastAsia="仿宋_GB2312"/>
          <w:b/>
          <w:color w:val="auto"/>
          <w:sz w:val="28"/>
          <w:szCs w:val="28"/>
          <w:highlight w:val="none"/>
        </w:rPr>
      </w:pPr>
    </w:p>
    <w:p w14:paraId="26E2999B">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w:t>
      </w:r>
      <w:bookmarkStart w:id="296" w:name="OLE_LINK19"/>
      <w:bookmarkStart w:id="297" w:name="OLE_LINK20"/>
      <w:r>
        <w:rPr>
          <w:rFonts w:hint="eastAsia" w:ascii="仿宋_GB2312" w:hAnsi="宋体" w:eastAsia="仿宋_GB2312"/>
          <w:b/>
          <w:color w:val="auto"/>
          <w:sz w:val="28"/>
          <w:szCs w:val="28"/>
          <w:highlight w:val="none"/>
        </w:rPr>
        <w:t>政府采购严重失信行为</w:t>
      </w:r>
      <w:bookmarkEnd w:id="296"/>
      <w:bookmarkEnd w:id="297"/>
    </w:p>
    <w:p w14:paraId="0B4AADE5">
      <w:pPr>
        <w:adjustRightInd w:val="0"/>
        <w:snapToGrid w:val="0"/>
        <w:spacing w:line="560" w:lineRule="exact"/>
        <w:ind w:firstLine="615"/>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（一）三万元以上罚款；</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（二）在一至三年内禁止参加政府采购活动（处罚期限届满的除外）；</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（三）在一至三年内禁止代理政府采购业务（处罚期限届满的除外）；</w:t>
      </w:r>
      <w:r>
        <w:rPr>
          <w:rFonts w:hint="eastAsia" w:ascii="仿宋_GB2312" w:hAnsi="Calibri" w:eastAsia="仿宋_GB2312"/>
          <w:color w:val="auto"/>
          <w:sz w:val="28"/>
          <w:szCs w:val="28"/>
          <w:highlight w:val="none"/>
        </w:rPr>
        <w:br w:type="textWrapping"/>
      </w:r>
      <w:r>
        <w:rPr>
          <w:rFonts w:hint="eastAsia" w:ascii="仿宋_GB2312" w:hAnsi="宋体" w:eastAsia="仿宋_GB2312"/>
          <w:color w:val="auto"/>
          <w:sz w:val="28"/>
          <w:szCs w:val="28"/>
          <w:highlight w:val="none"/>
        </w:rPr>
        <w:t xml:space="preserve">　 </w:t>
      </w:r>
      <w:r>
        <w:rPr>
          <w:rFonts w:hint="eastAsia" w:ascii="仿宋_GB2312" w:hAnsi="Calibri" w:eastAsia="仿宋_GB2312"/>
          <w:color w:val="auto"/>
          <w:sz w:val="28"/>
          <w:szCs w:val="28"/>
          <w:highlight w:val="none"/>
        </w:rPr>
        <w:t>（四）撤销政府采购代理机构资格（仅针对《政府采购法》第78条修改前作出的处罚决定）。</w:t>
      </w:r>
    </w:p>
    <w:p w14:paraId="51EFF7A7">
      <w:pPr>
        <w:adjustRightInd w:val="0"/>
        <w:snapToGrid w:val="0"/>
        <w:spacing w:line="560" w:lineRule="exact"/>
        <w:ind w:firstLine="562" w:firstLineChars="200"/>
        <w:jc w:val="left"/>
        <w:rPr>
          <w:rFonts w:hint="eastAsia" w:ascii="仿宋_GB2312" w:hAnsi="Calibri" w:eastAsia="仿宋_GB2312"/>
          <w:b/>
          <w:color w:val="auto"/>
          <w:sz w:val="28"/>
          <w:szCs w:val="28"/>
          <w:highlight w:val="none"/>
        </w:rPr>
      </w:pPr>
      <w:r>
        <w:rPr>
          <w:rFonts w:hint="eastAsia" w:ascii="仿宋_GB2312" w:hAnsi="Calibri" w:eastAsia="仿宋_GB2312"/>
          <w:b/>
          <w:color w:val="auto"/>
          <w:sz w:val="28"/>
          <w:szCs w:val="28"/>
          <w:highlight w:val="none"/>
        </w:rPr>
        <w:t>依据：《关于报送政府采购严重违法失信行为信息记录的通知》</w:t>
      </w:r>
      <w:r>
        <w:rPr>
          <w:rFonts w:hint="eastAsia" w:ascii="Calibri" w:hAnsi="Calibri"/>
          <w:b/>
          <w:color w:val="auto"/>
          <w:sz w:val="28"/>
          <w:szCs w:val="28"/>
          <w:highlight w:val="none"/>
        </w:rPr>
        <w:t>（财办库〔</w:t>
      </w:r>
      <w:r>
        <w:rPr>
          <w:rFonts w:ascii="Calibri" w:hAnsi="Calibri"/>
          <w:b/>
          <w:color w:val="auto"/>
          <w:sz w:val="28"/>
          <w:szCs w:val="28"/>
          <w:highlight w:val="none"/>
        </w:rPr>
        <w:t>2014</w:t>
      </w:r>
      <w:r>
        <w:rPr>
          <w:rFonts w:hint="eastAsia" w:ascii="Calibri" w:hAnsi="Calibri"/>
          <w:b/>
          <w:color w:val="auto"/>
          <w:sz w:val="28"/>
          <w:szCs w:val="28"/>
          <w:highlight w:val="none"/>
        </w:rPr>
        <w:t>〕</w:t>
      </w:r>
      <w:r>
        <w:rPr>
          <w:rFonts w:ascii="Calibri" w:hAnsi="Calibri"/>
          <w:b/>
          <w:color w:val="auto"/>
          <w:sz w:val="28"/>
          <w:szCs w:val="28"/>
          <w:highlight w:val="none"/>
        </w:rPr>
        <w:t>526</w:t>
      </w:r>
      <w:r>
        <w:rPr>
          <w:rFonts w:hint="eastAsia" w:ascii="Calibri" w:hAnsi="Calibri"/>
          <w:b/>
          <w:color w:val="auto"/>
          <w:sz w:val="28"/>
          <w:szCs w:val="28"/>
          <w:highlight w:val="none"/>
        </w:rPr>
        <w:t>号）</w:t>
      </w:r>
    </w:p>
    <w:p w14:paraId="6045B208">
      <w:pPr>
        <w:adjustRightInd w:val="0"/>
        <w:snapToGrid w:val="0"/>
        <w:spacing w:line="560" w:lineRule="exact"/>
        <w:rPr>
          <w:rFonts w:hint="eastAsia" w:ascii="仿宋_GB2312" w:hAnsi="宋体" w:eastAsia="仿宋_GB2312"/>
          <w:b/>
          <w:color w:val="auto"/>
          <w:sz w:val="28"/>
          <w:szCs w:val="28"/>
          <w:highlight w:val="none"/>
        </w:rPr>
      </w:pPr>
    </w:p>
    <w:p w14:paraId="2293551E">
      <w:pPr>
        <w:adjustRightInd w:val="0"/>
        <w:snapToGrid w:val="0"/>
        <w:spacing w:line="560" w:lineRule="exact"/>
        <w:ind w:firstLine="615"/>
        <w:rPr>
          <w:rFonts w:hint="eastAsia" w:ascii="仿宋_GB2312" w:hAnsi="Calibri" w:eastAsia="仿宋_GB2312"/>
          <w:b/>
          <w:color w:val="auto"/>
          <w:sz w:val="32"/>
          <w:szCs w:val="32"/>
          <w:highlight w:val="none"/>
        </w:rPr>
      </w:pPr>
      <w:r>
        <w:rPr>
          <w:rFonts w:hint="eastAsia" w:ascii="仿宋_GB2312" w:hAnsi="宋体" w:eastAsia="仿宋_GB2312"/>
          <w:b/>
          <w:color w:val="auto"/>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auto"/>
          <w:sz w:val="32"/>
          <w:szCs w:val="32"/>
          <w:highlight w:val="none"/>
        </w:rPr>
        <w:t>断。</w:t>
      </w:r>
    </w:p>
    <w:p w14:paraId="3F3142F4">
      <w:pPr>
        <w:pStyle w:val="14"/>
        <w:rPr>
          <w:color w:val="auto"/>
          <w:highlight w:val="none"/>
        </w:rPr>
      </w:pPr>
    </w:p>
    <w:p w14:paraId="1290ADCC">
      <w:pPr>
        <w:keepNext w:val="0"/>
        <w:keepLines w:val="0"/>
        <w:pageBreakBefore w:val="0"/>
        <w:kinsoku/>
        <w:wordWrap/>
        <w:overflowPunct/>
        <w:topLinePunct w:val="0"/>
        <w:autoSpaceDE/>
        <w:autoSpaceDN/>
        <w:bidi w:val="0"/>
        <w:adjustRightInd/>
        <w:snapToGrid/>
        <w:spacing w:line="440" w:lineRule="exact"/>
        <w:textAlignment w:val="auto"/>
        <w:rPr>
          <w:rFonts w:hint="eastAsia"/>
          <w:bCs/>
          <w:color w:val="auto"/>
          <w:szCs w:val="32"/>
          <w:highlight w:val="none"/>
        </w:rPr>
      </w:pPr>
    </w:p>
    <w:p w14:paraId="7D125A60">
      <w:pPr>
        <w:keepNext w:val="0"/>
        <w:keepLines w:val="0"/>
        <w:pageBreakBefore w:val="0"/>
        <w:kinsoku/>
        <w:wordWrap/>
        <w:overflowPunct/>
        <w:topLinePunct w:val="0"/>
        <w:autoSpaceDE/>
        <w:autoSpaceDN/>
        <w:bidi w:val="0"/>
        <w:adjustRightInd/>
        <w:snapToGrid/>
        <w:spacing w:line="440" w:lineRule="exact"/>
        <w:ind w:firstLine="4200" w:firstLineChars="2000"/>
        <w:textAlignment w:val="auto"/>
        <w:rPr>
          <w:rFonts w:hint="eastAsia"/>
          <w:bCs/>
          <w:color w:val="auto"/>
          <w:szCs w:val="32"/>
          <w:highlight w:val="none"/>
        </w:rPr>
      </w:pPr>
    </w:p>
    <w:p w14:paraId="34DBD626">
      <w:pPr>
        <w:keepNext w:val="0"/>
        <w:keepLines w:val="0"/>
        <w:pageBreakBefore w:val="0"/>
        <w:kinsoku/>
        <w:wordWrap/>
        <w:overflowPunct/>
        <w:topLinePunct w:val="0"/>
        <w:autoSpaceDE/>
        <w:autoSpaceDN/>
        <w:bidi w:val="0"/>
        <w:adjustRightInd/>
        <w:snapToGrid/>
        <w:spacing w:line="440" w:lineRule="exact"/>
        <w:ind w:firstLine="4200" w:firstLineChars="2000"/>
        <w:textAlignment w:val="auto"/>
        <w:rPr>
          <w:rFonts w:hint="eastAsia"/>
          <w:bCs/>
          <w:color w:val="auto"/>
          <w:szCs w:val="32"/>
          <w:highlight w:val="none"/>
        </w:rPr>
      </w:pPr>
    </w:p>
    <w:p w14:paraId="327B1172">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2300E546">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3F2BB44B">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0ABF27BD">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3605870F">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55F80BF8">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57E26DE4">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76002C86">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73467B55">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476F150B">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7C178269">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62832A49">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31A91227">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5B53009A">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6889568B">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5AF5CA18">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65431994">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07DEAAD4">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3A81E87A">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74855866">
      <w:pPr>
        <w:keepNext w:val="0"/>
        <w:keepLines w:val="0"/>
        <w:pageBreakBefore w:val="0"/>
        <w:kinsoku/>
        <w:wordWrap/>
        <w:overflowPunct/>
        <w:topLinePunct w:val="0"/>
        <w:autoSpaceDE/>
        <w:autoSpaceDN/>
        <w:bidi w:val="0"/>
        <w:adjustRightInd/>
        <w:snapToGrid/>
        <w:spacing w:line="440" w:lineRule="exact"/>
        <w:ind w:firstLine="6425" w:firstLineChars="2000"/>
        <w:textAlignment w:val="auto"/>
        <w:rPr>
          <w:rFonts w:hint="eastAsia"/>
          <w:b/>
          <w:color w:val="auto"/>
          <w:sz w:val="32"/>
          <w:highlight w:val="none"/>
        </w:rPr>
      </w:pPr>
    </w:p>
    <w:p w14:paraId="1619E3E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color w:val="auto"/>
          <w:sz w:val="32"/>
          <w:highlight w:val="none"/>
        </w:rPr>
      </w:pPr>
      <w:r>
        <w:rPr>
          <w:rFonts w:hint="eastAsia"/>
          <w:b/>
          <w:color w:val="auto"/>
          <w:sz w:val="32"/>
          <w:highlight w:val="none"/>
        </w:rPr>
        <w:t>第</w:t>
      </w:r>
      <w:r>
        <w:rPr>
          <w:rFonts w:hint="eastAsia"/>
          <w:b/>
          <w:color w:val="auto"/>
          <w:sz w:val="32"/>
          <w:highlight w:val="none"/>
          <w:lang w:val="en-US" w:eastAsia="zh-CN"/>
        </w:rPr>
        <w:t>八</w:t>
      </w:r>
      <w:r>
        <w:rPr>
          <w:rFonts w:hint="eastAsia"/>
          <w:b/>
          <w:color w:val="auto"/>
          <w:sz w:val="32"/>
          <w:highlight w:val="none"/>
        </w:rPr>
        <w:t>章  招标单位、招标代理机构对本招标文件的确认</w:t>
      </w:r>
    </w:p>
    <w:p w14:paraId="421A96D6">
      <w:pPr>
        <w:pStyle w:val="20"/>
        <w:rPr>
          <w:rFonts w:hint="eastAsia"/>
          <w:b w:val="0"/>
          <w:bCs w:val="0"/>
          <w:color w:val="auto"/>
          <w:sz w:val="24"/>
          <w:szCs w:val="24"/>
          <w:highlight w:val="none"/>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D65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2" w:hRule="atLeast"/>
        </w:trPr>
        <w:tc>
          <w:tcPr>
            <w:tcW w:w="9180" w:type="dxa"/>
            <w:noWrap w:val="0"/>
            <w:vAlign w:val="top"/>
          </w:tcPr>
          <w:p w14:paraId="02B8AB20">
            <w:pPr>
              <w:adjustRightInd w:val="0"/>
              <w:snapToGrid w:val="0"/>
              <w:spacing w:line="320" w:lineRule="exact"/>
              <w:rPr>
                <w:rFonts w:hint="eastAsia"/>
                <w:color w:val="auto"/>
                <w:sz w:val="30"/>
                <w:szCs w:val="30"/>
                <w:highlight w:val="none"/>
              </w:rPr>
            </w:pPr>
          </w:p>
          <w:p w14:paraId="20401AD4">
            <w:pPr>
              <w:spacing w:line="400" w:lineRule="atLeast"/>
              <w:ind w:firstLine="600" w:firstLineChars="200"/>
              <w:rPr>
                <w:rFonts w:hint="eastAsia"/>
                <w:b/>
                <w:color w:val="auto"/>
                <w:sz w:val="30"/>
                <w:highlight w:val="none"/>
              </w:rPr>
            </w:pPr>
            <w:r>
              <w:rPr>
                <w:rFonts w:hint="eastAsia"/>
                <w:color w:val="auto"/>
                <w:sz w:val="30"/>
                <w:highlight w:val="none"/>
              </w:rPr>
              <w:t>我单位对</w:t>
            </w:r>
            <w:r>
              <w:rPr>
                <w:rFonts w:hint="eastAsia"/>
                <w:b w:val="0"/>
                <w:bCs w:val="0"/>
                <w:color w:val="auto"/>
                <w:sz w:val="30"/>
                <w:highlight w:val="none"/>
                <w:u w:val="single"/>
                <w:lang w:eastAsia="zh-CN"/>
              </w:rPr>
              <w:t>2025年滁州市公路工程有限责任公司年度沥青混合料采购项目</w:t>
            </w:r>
            <w:r>
              <w:rPr>
                <w:rFonts w:hint="eastAsia"/>
                <w:color w:val="auto"/>
                <w:sz w:val="30"/>
                <w:highlight w:val="none"/>
              </w:rPr>
              <w:t>的招标文件进行确认。</w:t>
            </w:r>
          </w:p>
          <w:p w14:paraId="33745DFB">
            <w:pPr>
              <w:spacing w:line="700" w:lineRule="exact"/>
              <w:ind w:firstLine="600" w:firstLineChars="200"/>
              <w:rPr>
                <w:rFonts w:hint="eastAsia"/>
                <w:color w:val="auto"/>
                <w:sz w:val="30"/>
                <w:highlight w:val="none"/>
              </w:rPr>
            </w:pPr>
            <w:r>
              <w:rPr>
                <w:rFonts w:hint="eastAsia"/>
                <w:color w:val="auto"/>
                <w:sz w:val="30"/>
                <w:highlight w:val="none"/>
              </w:rPr>
              <w:t xml:space="preserve">招标单位：滁州市公路工程有限责任公司    </w:t>
            </w:r>
          </w:p>
          <w:p w14:paraId="4C06ECEB">
            <w:pPr>
              <w:spacing w:line="700" w:lineRule="exact"/>
              <w:ind w:firstLine="600" w:firstLineChars="200"/>
              <w:rPr>
                <w:rFonts w:hint="eastAsia"/>
                <w:color w:val="auto"/>
                <w:sz w:val="30"/>
                <w:highlight w:val="none"/>
                <w:lang w:val="en-US" w:eastAsia="zh-CN"/>
              </w:rPr>
            </w:pPr>
            <w:r>
              <w:rPr>
                <w:rFonts w:hint="eastAsia"/>
                <w:color w:val="auto"/>
                <w:sz w:val="30"/>
                <w:highlight w:val="none"/>
                <w:lang w:val="en-US" w:eastAsia="zh-CN"/>
              </w:rPr>
              <w:t>联系人</w:t>
            </w:r>
            <w:r>
              <w:rPr>
                <w:rFonts w:hint="eastAsia"/>
                <w:color w:val="auto"/>
                <w:sz w:val="30"/>
                <w:highlight w:val="none"/>
              </w:rPr>
              <w:t>：</w:t>
            </w:r>
            <w:r>
              <w:rPr>
                <w:rFonts w:hint="eastAsia"/>
                <w:color w:val="auto"/>
                <w:sz w:val="30"/>
                <w:highlight w:val="none"/>
                <w:lang w:val="en-US" w:eastAsia="zh-CN"/>
              </w:rPr>
              <w:t>张尧健</w:t>
            </w:r>
          </w:p>
          <w:p w14:paraId="489AC91F">
            <w:pPr>
              <w:spacing w:line="700" w:lineRule="exact"/>
              <w:ind w:firstLine="600" w:firstLineChars="200"/>
              <w:rPr>
                <w:rFonts w:hint="eastAsia" w:ascii="宋体" w:hAnsi="宋体" w:eastAsia="宋体" w:cs="宋体"/>
                <w:color w:val="auto"/>
                <w:sz w:val="30"/>
                <w:highlight w:val="none"/>
                <w:lang w:eastAsia="zh-CN"/>
              </w:rPr>
            </w:pPr>
            <w:r>
              <w:rPr>
                <w:rFonts w:hint="eastAsia"/>
                <w:color w:val="auto"/>
                <w:sz w:val="30"/>
                <w:highlight w:val="none"/>
              </w:rPr>
              <w:t>联系电话</w:t>
            </w:r>
            <w:r>
              <w:rPr>
                <w:rFonts w:hint="eastAsia" w:ascii="宋体" w:hAnsi="宋体" w:eastAsia="宋体" w:cs="宋体"/>
                <w:color w:val="auto"/>
                <w:sz w:val="30"/>
                <w:highlight w:val="none"/>
              </w:rPr>
              <w:t>：</w:t>
            </w:r>
            <w:r>
              <w:rPr>
                <w:rFonts w:hint="eastAsia" w:ascii="宋体" w:hAnsi="宋体" w:cs="宋体"/>
                <w:color w:val="auto"/>
                <w:sz w:val="30"/>
                <w:highlight w:val="none"/>
                <w:lang w:eastAsia="zh-CN"/>
              </w:rPr>
              <w:t>18375322111</w:t>
            </w:r>
          </w:p>
          <w:p w14:paraId="7F886AD9">
            <w:pPr>
              <w:spacing w:line="500" w:lineRule="exact"/>
              <w:ind w:firstLine="602" w:firstLineChars="200"/>
              <w:rPr>
                <w:rFonts w:hint="eastAsia"/>
                <w:b/>
                <w:color w:val="auto"/>
                <w:sz w:val="30"/>
                <w:highlight w:val="none"/>
              </w:rPr>
            </w:pPr>
          </w:p>
          <w:p w14:paraId="5BDD40CA">
            <w:pPr>
              <w:spacing w:line="500" w:lineRule="exact"/>
              <w:ind w:firstLine="300" w:firstLineChars="100"/>
              <w:rPr>
                <w:rFonts w:hint="eastAsia"/>
                <w:color w:val="auto"/>
                <w:sz w:val="30"/>
                <w:highlight w:val="none"/>
              </w:rPr>
            </w:pPr>
            <w:r>
              <w:rPr>
                <w:rFonts w:hint="eastAsia"/>
                <w:color w:val="auto"/>
                <w:sz w:val="30"/>
                <w:highlight w:val="none"/>
              </w:rPr>
              <w:t xml:space="preserve">                                  （单位盖章）</w:t>
            </w:r>
          </w:p>
          <w:p w14:paraId="2EE7E16A">
            <w:pPr>
              <w:ind w:firstLine="5700" w:firstLineChars="1900"/>
              <w:rPr>
                <w:rFonts w:hint="eastAsia"/>
                <w:color w:val="auto"/>
                <w:sz w:val="30"/>
                <w:highlight w:val="none"/>
              </w:rPr>
            </w:pPr>
            <w:r>
              <w:rPr>
                <w:rFonts w:hint="eastAsia"/>
                <w:color w:val="auto"/>
                <w:sz w:val="30"/>
                <w:highlight w:val="none"/>
              </w:rPr>
              <w:t>2025年</w:t>
            </w:r>
            <w:r>
              <w:rPr>
                <w:rFonts w:hint="eastAsia"/>
                <w:color w:val="auto"/>
                <w:sz w:val="30"/>
                <w:highlight w:val="none"/>
                <w:lang w:val="en-US" w:eastAsia="zh-CN"/>
              </w:rPr>
              <w:t>7</w:t>
            </w:r>
            <w:r>
              <w:rPr>
                <w:rFonts w:hint="eastAsia"/>
                <w:color w:val="auto"/>
                <w:sz w:val="30"/>
                <w:highlight w:val="none"/>
              </w:rPr>
              <w:t>月</w:t>
            </w:r>
          </w:p>
        </w:tc>
      </w:tr>
      <w:tr w14:paraId="62DC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5" w:hRule="atLeast"/>
        </w:trPr>
        <w:tc>
          <w:tcPr>
            <w:tcW w:w="9180" w:type="dxa"/>
            <w:noWrap w:val="0"/>
            <w:vAlign w:val="top"/>
          </w:tcPr>
          <w:p w14:paraId="0263EA06">
            <w:pPr>
              <w:spacing w:line="320" w:lineRule="atLeast"/>
              <w:ind w:firstLine="600" w:firstLineChars="200"/>
              <w:rPr>
                <w:rFonts w:hint="eastAsia"/>
                <w:color w:val="auto"/>
                <w:sz w:val="30"/>
                <w:highlight w:val="none"/>
              </w:rPr>
            </w:pPr>
          </w:p>
          <w:p w14:paraId="1F3597BB">
            <w:pPr>
              <w:spacing w:line="320" w:lineRule="atLeast"/>
              <w:ind w:firstLine="600" w:firstLineChars="200"/>
              <w:rPr>
                <w:rFonts w:hint="eastAsia"/>
                <w:color w:val="auto"/>
                <w:sz w:val="30"/>
                <w:highlight w:val="none"/>
              </w:rPr>
            </w:pPr>
            <w:r>
              <w:rPr>
                <w:rFonts w:hint="eastAsia"/>
                <w:color w:val="auto"/>
                <w:sz w:val="30"/>
                <w:highlight w:val="none"/>
              </w:rPr>
              <w:t>招标代理机构：滁州市城投工程咨询管理有限公司</w:t>
            </w:r>
          </w:p>
          <w:p w14:paraId="7C23A60D">
            <w:pPr>
              <w:spacing w:line="320" w:lineRule="atLeast"/>
              <w:ind w:firstLine="600" w:firstLineChars="200"/>
              <w:rPr>
                <w:rFonts w:hint="eastAsia" w:eastAsia="宋体"/>
                <w:color w:val="auto"/>
                <w:sz w:val="30"/>
                <w:highlight w:val="none"/>
                <w:lang w:eastAsia="zh-CN"/>
              </w:rPr>
            </w:pPr>
            <w:r>
              <w:rPr>
                <w:rFonts w:hint="eastAsia"/>
                <w:color w:val="auto"/>
                <w:sz w:val="30"/>
                <w:highlight w:val="none"/>
              </w:rPr>
              <w:t>经办人：</w:t>
            </w:r>
            <w:r>
              <w:rPr>
                <w:rFonts w:hint="eastAsia"/>
                <w:color w:val="auto"/>
                <w:sz w:val="30"/>
                <w:highlight w:val="none"/>
                <w:lang w:val="en-US" w:eastAsia="zh-CN"/>
              </w:rPr>
              <w:t>周晓培</w:t>
            </w:r>
          </w:p>
          <w:p w14:paraId="50324227">
            <w:pPr>
              <w:spacing w:line="560" w:lineRule="exact"/>
              <w:ind w:firstLine="600" w:firstLineChars="200"/>
              <w:rPr>
                <w:rFonts w:hint="default" w:eastAsia="宋体"/>
                <w:color w:val="auto"/>
                <w:sz w:val="30"/>
                <w:highlight w:val="none"/>
                <w:lang w:val="en-US" w:eastAsia="zh-CN"/>
              </w:rPr>
            </w:pPr>
            <w:r>
              <w:rPr>
                <w:rFonts w:hint="eastAsia"/>
                <w:color w:val="auto"/>
                <w:sz w:val="30"/>
                <w:highlight w:val="none"/>
              </w:rPr>
              <w:t>联系电话：</w:t>
            </w:r>
            <w:r>
              <w:rPr>
                <w:rFonts w:hint="eastAsia"/>
                <w:color w:val="auto"/>
                <w:sz w:val="30"/>
                <w:highlight w:val="none"/>
                <w:lang w:eastAsia="zh-CN"/>
              </w:rPr>
              <w:t>0550-3519512</w:t>
            </w:r>
            <w:r>
              <w:rPr>
                <w:rFonts w:hint="eastAsia"/>
                <w:color w:val="auto"/>
                <w:sz w:val="30"/>
                <w:highlight w:val="none"/>
              </w:rPr>
              <w:t>、</w:t>
            </w:r>
            <w:r>
              <w:rPr>
                <w:rFonts w:hint="eastAsia"/>
                <w:color w:val="auto"/>
                <w:sz w:val="30"/>
                <w:highlight w:val="none"/>
                <w:lang w:eastAsia="zh-CN"/>
              </w:rPr>
              <w:t>18255055896</w:t>
            </w:r>
          </w:p>
          <w:p w14:paraId="2AA6CE71">
            <w:pPr>
              <w:spacing w:line="500" w:lineRule="exact"/>
              <w:ind w:firstLine="600" w:firstLineChars="200"/>
              <w:rPr>
                <w:rFonts w:hint="eastAsia"/>
                <w:color w:val="auto"/>
                <w:sz w:val="30"/>
                <w:highlight w:val="none"/>
              </w:rPr>
            </w:pPr>
          </w:p>
          <w:p w14:paraId="02ED1E16">
            <w:pPr>
              <w:ind w:firstLine="5400" w:firstLineChars="1800"/>
              <w:rPr>
                <w:rFonts w:hint="eastAsia"/>
                <w:color w:val="auto"/>
                <w:sz w:val="30"/>
                <w:highlight w:val="none"/>
              </w:rPr>
            </w:pPr>
          </w:p>
          <w:p w14:paraId="08DECFF4">
            <w:pPr>
              <w:ind w:firstLine="5400" w:firstLineChars="1800"/>
              <w:rPr>
                <w:rFonts w:hint="eastAsia"/>
                <w:color w:val="auto"/>
                <w:sz w:val="30"/>
                <w:highlight w:val="none"/>
              </w:rPr>
            </w:pPr>
          </w:p>
          <w:p w14:paraId="012A3777">
            <w:pPr>
              <w:ind w:firstLine="5400" w:firstLineChars="1800"/>
              <w:rPr>
                <w:rFonts w:hint="eastAsia"/>
                <w:color w:val="auto"/>
                <w:sz w:val="30"/>
                <w:highlight w:val="none"/>
              </w:rPr>
            </w:pPr>
            <w:r>
              <w:rPr>
                <w:rFonts w:hint="eastAsia"/>
                <w:color w:val="auto"/>
                <w:sz w:val="30"/>
                <w:highlight w:val="none"/>
              </w:rPr>
              <w:t>（单位盖章）</w:t>
            </w:r>
          </w:p>
          <w:p w14:paraId="49C3845B">
            <w:pPr>
              <w:ind w:firstLine="5700" w:firstLineChars="1900"/>
              <w:rPr>
                <w:rFonts w:hint="eastAsia"/>
                <w:color w:val="auto"/>
                <w:sz w:val="30"/>
                <w:highlight w:val="none"/>
              </w:rPr>
            </w:pPr>
            <w:r>
              <w:rPr>
                <w:rFonts w:hint="eastAsia"/>
                <w:color w:val="auto"/>
                <w:sz w:val="30"/>
                <w:highlight w:val="none"/>
              </w:rPr>
              <w:t>2025年</w:t>
            </w:r>
            <w:r>
              <w:rPr>
                <w:rFonts w:hint="eastAsia"/>
                <w:color w:val="auto"/>
                <w:sz w:val="30"/>
                <w:highlight w:val="none"/>
                <w:lang w:val="en-US" w:eastAsia="zh-CN"/>
              </w:rPr>
              <w:t>7</w:t>
            </w:r>
            <w:r>
              <w:rPr>
                <w:rFonts w:hint="eastAsia"/>
                <w:color w:val="auto"/>
                <w:sz w:val="30"/>
                <w:highlight w:val="none"/>
              </w:rPr>
              <w:t>月</w:t>
            </w:r>
          </w:p>
        </w:tc>
      </w:tr>
      <w:bookmarkEnd w:id="249"/>
      <w:bookmarkEnd w:id="250"/>
    </w:tbl>
    <w:p w14:paraId="62416E7B">
      <w:pPr>
        <w:rPr>
          <w:rFonts w:hint="eastAsia"/>
          <w:color w:val="auto"/>
          <w:sz w:val="30"/>
          <w:szCs w:val="30"/>
          <w:highlight w:val="none"/>
        </w:rPr>
      </w:pPr>
    </w:p>
    <w:sectPr>
      <w:footerReference r:id="rId6"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〇.">
    <w:altName w:val="黑体"/>
    <w:panose1 w:val="00000000000000000000"/>
    <w:charset w:val="86"/>
    <w:family w:val="swiss"/>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p>
  <w:p w14:paraId="01B2BA8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4832">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A6145">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61A6145">
                    <w:pPr>
                      <w:pStyle w:val="29"/>
                    </w:pPr>
                    <w:r>
                      <w:fldChar w:fldCharType="begin"/>
                    </w:r>
                    <w:r>
                      <w:instrText xml:space="preserve"> PAGE  \* MERGEFORMAT </w:instrText>
                    </w:r>
                    <w:r>
                      <w:fldChar w:fldCharType="separate"/>
                    </w:r>
                    <w:r>
                      <w:t>3</w:t>
                    </w:r>
                    <w:r>
                      <w:fldChar w:fldCharType="end"/>
                    </w:r>
                  </w:p>
                </w:txbxContent>
              </v:textbox>
            </v:shape>
          </w:pict>
        </mc:Fallback>
      </mc:AlternateContent>
    </w:r>
  </w:p>
  <w:p w14:paraId="00C2541D">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A52C">
    <w:pPr>
      <w:pStyle w:val="29"/>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D9FC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4D9FCC">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19D1A22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034D1"/>
    <w:multiLevelType w:val="singleLevel"/>
    <w:tmpl w:val="E28034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2C047D"/>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E3A50"/>
    <w:rsid w:val="0CBF0B1F"/>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D869AB"/>
    <w:rsid w:val="0EE34A0A"/>
    <w:rsid w:val="0EEF23A4"/>
    <w:rsid w:val="0F2500FF"/>
    <w:rsid w:val="0F2A7DB7"/>
    <w:rsid w:val="0F2D61D9"/>
    <w:rsid w:val="0F43254D"/>
    <w:rsid w:val="0F45451E"/>
    <w:rsid w:val="0F5372FC"/>
    <w:rsid w:val="0F543C48"/>
    <w:rsid w:val="0F54568B"/>
    <w:rsid w:val="0F5B493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05890"/>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700A7A"/>
    <w:rsid w:val="16734728"/>
    <w:rsid w:val="167D1103"/>
    <w:rsid w:val="1683572D"/>
    <w:rsid w:val="169E0BEA"/>
    <w:rsid w:val="16AF7EFC"/>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35ECC"/>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AFE42C8"/>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433BA8"/>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7317F7"/>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BD012F"/>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31159D"/>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E95551"/>
    <w:rsid w:val="2BF95140"/>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CF4C0D"/>
    <w:rsid w:val="2CD40261"/>
    <w:rsid w:val="2CEE34EF"/>
    <w:rsid w:val="2CF605F7"/>
    <w:rsid w:val="2D016FE9"/>
    <w:rsid w:val="2D14362B"/>
    <w:rsid w:val="2D2E304F"/>
    <w:rsid w:val="2D3C07FE"/>
    <w:rsid w:val="2D5756FC"/>
    <w:rsid w:val="2D5D5591"/>
    <w:rsid w:val="2D74743A"/>
    <w:rsid w:val="2D7C11D4"/>
    <w:rsid w:val="2D7F4766"/>
    <w:rsid w:val="2D8D3A62"/>
    <w:rsid w:val="2DAF3E40"/>
    <w:rsid w:val="2DBE7F60"/>
    <w:rsid w:val="2DDA3BF6"/>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CA3D71"/>
    <w:rsid w:val="2FDC6A42"/>
    <w:rsid w:val="2FE65B09"/>
    <w:rsid w:val="2FFF53A8"/>
    <w:rsid w:val="30047098"/>
    <w:rsid w:val="30077F63"/>
    <w:rsid w:val="30115CE5"/>
    <w:rsid w:val="30135C1F"/>
    <w:rsid w:val="30191760"/>
    <w:rsid w:val="301F38A6"/>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62038"/>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622E0"/>
    <w:rsid w:val="340B1EAD"/>
    <w:rsid w:val="34111989"/>
    <w:rsid w:val="341266A4"/>
    <w:rsid w:val="3429350C"/>
    <w:rsid w:val="343C76C2"/>
    <w:rsid w:val="343D0166"/>
    <w:rsid w:val="343D6C24"/>
    <w:rsid w:val="345873A9"/>
    <w:rsid w:val="346621FE"/>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D6167"/>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77B8E"/>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210CF"/>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B306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BE3BED"/>
    <w:rsid w:val="40D05FDB"/>
    <w:rsid w:val="40DB515E"/>
    <w:rsid w:val="40E30197"/>
    <w:rsid w:val="40E63D94"/>
    <w:rsid w:val="40EA1367"/>
    <w:rsid w:val="40EB151F"/>
    <w:rsid w:val="40ED4F53"/>
    <w:rsid w:val="40F25A91"/>
    <w:rsid w:val="40FA12A3"/>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591292"/>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608FD"/>
    <w:rsid w:val="4A1A2F12"/>
    <w:rsid w:val="4A2C7C77"/>
    <w:rsid w:val="4A321C6F"/>
    <w:rsid w:val="4A366D8C"/>
    <w:rsid w:val="4A375709"/>
    <w:rsid w:val="4A475BFC"/>
    <w:rsid w:val="4A4E1094"/>
    <w:rsid w:val="4A561717"/>
    <w:rsid w:val="4A606796"/>
    <w:rsid w:val="4A717D8F"/>
    <w:rsid w:val="4A7260C9"/>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79722E"/>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8662F2"/>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C1B11"/>
    <w:rsid w:val="505F48A5"/>
    <w:rsid w:val="506472D4"/>
    <w:rsid w:val="50666C7A"/>
    <w:rsid w:val="507460A4"/>
    <w:rsid w:val="50926F7D"/>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72365"/>
    <w:rsid w:val="569C2904"/>
    <w:rsid w:val="56AA3219"/>
    <w:rsid w:val="56C35143"/>
    <w:rsid w:val="56CF2574"/>
    <w:rsid w:val="56CF424D"/>
    <w:rsid w:val="56DE4C00"/>
    <w:rsid w:val="5707525A"/>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573F7B"/>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9F20B5"/>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D396D"/>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B033F7"/>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9D6A1A"/>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B4293"/>
    <w:rsid w:val="6D0E1321"/>
    <w:rsid w:val="6D104BE0"/>
    <w:rsid w:val="6D132371"/>
    <w:rsid w:val="6D1338DD"/>
    <w:rsid w:val="6D153789"/>
    <w:rsid w:val="6D3B4D97"/>
    <w:rsid w:val="6D487B73"/>
    <w:rsid w:val="6D4A2408"/>
    <w:rsid w:val="6D4B1E5A"/>
    <w:rsid w:val="6D5E70E9"/>
    <w:rsid w:val="6D6729D8"/>
    <w:rsid w:val="6D6E09F2"/>
    <w:rsid w:val="6D6F1C1F"/>
    <w:rsid w:val="6D852386"/>
    <w:rsid w:val="6DAF4964"/>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E82732"/>
    <w:rsid w:val="6EF14DB2"/>
    <w:rsid w:val="6EFA06B8"/>
    <w:rsid w:val="6F046E40"/>
    <w:rsid w:val="6F11681F"/>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002F5"/>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1"/>
    <w:qFormat/>
    <w:uiPriority w:val="0"/>
    <w:pPr>
      <w:keepNext/>
      <w:keepLines/>
      <w:spacing w:line="440" w:lineRule="exact"/>
      <w:jc w:val="center"/>
      <w:outlineLvl w:val="0"/>
    </w:pPr>
    <w:rPr>
      <w:b/>
      <w:bCs/>
      <w:kern w:val="44"/>
      <w:sz w:val="44"/>
      <w:szCs w:val="44"/>
    </w:rPr>
  </w:style>
  <w:style w:type="paragraph" w:styleId="3">
    <w:name w:val="heading 2"/>
    <w:basedOn w:val="1"/>
    <w:next w:val="1"/>
    <w:link w:val="198"/>
    <w:qFormat/>
    <w:uiPriority w:val="0"/>
    <w:pPr>
      <w:keepNext/>
      <w:keepLines/>
      <w:spacing w:line="440" w:lineRule="exact"/>
      <w:jc w:val="left"/>
      <w:outlineLvl w:val="1"/>
    </w:pPr>
    <w:rPr>
      <w:rFonts w:ascii="Arial" w:hAnsi="Arial" w:eastAsia="黑体"/>
      <w:b/>
      <w:bCs/>
      <w:szCs w:val="32"/>
    </w:rPr>
  </w:style>
  <w:style w:type="paragraph" w:styleId="4">
    <w:name w:val="heading 3"/>
    <w:basedOn w:val="1"/>
    <w:next w:val="1"/>
    <w:link w:val="154"/>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130"/>
    <w:qFormat/>
    <w:uiPriority w:val="0"/>
    <w:pPr>
      <w:keepNext/>
      <w:keepLines/>
      <w:spacing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unhideWhenUsed/>
    <w:qFormat/>
    <w:uiPriority w:val="0"/>
    <w:pPr>
      <w:ind w:left="420" w:leftChars="200"/>
    </w:pPr>
  </w:style>
  <w:style w:type="paragraph" w:styleId="13">
    <w:name w:val="Normal Indent"/>
    <w:basedOn w:val="1"/>
    <w:next w:val="14"/>
    <w:qFormat/>
    <w:uiPriority w:val="0"/>
    <w:pPr>
      <w:ind w:firstLine="420" w:firstLineChars="200"/>
    </w:pPr>
  </w:style>
  <w:style w:type="paragraph" w:styleId="14">
    <w:name w:val="Body Text First Indent 2"/>
    <w:basedOn w:val="15"/>
    <w:next w:val="1"/>
    <w:qFormat/>
    <w:uiPriority w:val="0"/>
    <w:pPr>
      <w:spacing w:line="360" w:lineRule="auto"/>
      <w:ind w:firstLine="200" w:firstLineChars="200"/>
    </w:pPr>
    <w:rPr>
      <w:rFonts w:ascii="宋体"/>
      <w:szCs w:val="20"/>
    </w:rPr>
  </w:style>
  <w:style w:type="paragraph" w:styleId="15">
    <w:name w:val="Body Text Indent"/>
    <w:basedOn w:val="1"/>
    <w:next w:val="16"/>
    <w:qFormat/>
    <w:uiPriority w:val="0"/>
    <w:pPr>
      <w:ind w:left="420" w:leftChars="200"/>
    </w:pPr>
  </w:style>
  <w:style w:type="paragraph" w:styleId="16">
    <w:name w:val="envelope return"/>
    <w:basedOn w:val="1"/>
    <w:next w:val="11"/>
    <w:qFormat/>
    <w:uiPriority w:val="0"/>
    <w:pPr>
      <w:snapToGrid w:val="0"/>
    </w:pPr>
    <w:rPr>
      <w:rFonts w:ascii="Arial" w:hAnsi="Arial"/>
    </w:rPr>
  </w:style>
  <w:style w:type="paragraph" w:styleId="17">
    <w:name w:val="Document Map"/>
    <w:basedOn w:val="1"/>
    <w:qFormat/>
    <w:uiPriority w:val="0"/>
    <w:pPr>
      <w:shd w:val="clear" w:color="auto" w:fill="000080"/>
    </w:pPr>
  </w:style>
  <w:style w:type="paragraph" w:styleId="18">
    <w:name w:val="annotation text"/>
    <w:basedOn w:val="1"/>
    <w:link w:val="113"/>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3"/>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7"/>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customStyle="1" w:styleId="65">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styleId="66">
    <w:name w:val="List Paragraph"/>
    <w:basedOn w:val="1"/>
    <w:qFormat/>
    <w:uiPriority w:val="34"/>
    <w:pPr>
      <w:ind w:firstLine="420" w:firstLineChars="200"/>
    </w:pPr>
  </w:style>
  <w:style w:type="paragraph" w:customStyle="1" w:styleId="67">
    <w:name w:val="_Style 62"/>
    <w:basedOn w:val="1"/>
    <w:next w:val="1"/>
    <w:qFormat/>
    <w:uiPriority w:val="0"/>
    <w:pPr>
      <w:pBdr>
        <w:top w:val="single" w:color="auto" w:sz="6" w:space="1"/>
      </w:pBdr>
      <w:jc w:val="center"/>
    </w:pPr>
    <w:rPr>
      <w:rFonts w:ascii="Arial"/>
      <w:vanish/>
      <w:sz w:val="16"/>
    </w:rPr>
  </w:style>
  <w:style w:type="paragraph" w:customStyle="1" w:styleId="68">
    <w:name w:val="Blockquote"/>
    <w:basedOn w:val="1"/>
    <w:qFormat/>
    <w:uiPriority w:val="0"/>
    <w:pPr>
      <w:autoSpaceDE w:val="0"/>
      <w:autoSpaceDN w:val="0"/>
      <w:adjustRightInd w:val="0"/>
      <w:ind w:left="360" w:right="360"/>
      <w:jc w:val="left"/>
    </w:pPr>
    <w:rPr>
      <w:kern w:val="0"/>
      <w:sz w:val="24"/>
      <w:szCs w:val="20"/>
    </w:rPr>
  </w:style>
  <w:style w:type="paragraph" w:customStyle="1" w:styleId="69">
    <w:name w:val="表格"/>
    <w:basedOn w:val="1"/>
    <w:qFormat/>
    <w:uiPriority w:val="0"/>
    <w:pPr>
      <w:jc w:val="center"/>
      <w:textAlignment w:val="center"/>
    </w:pPr>
    <w:rPr>
      <w:rFonts w:ascii="华文细黑" w:hAnsi="华文细黑"/>
      <w:kern w:val="0"/>
      <w:szCs w:val="20"/>
    </w:rPr>
  </w:style>
  <w:style w:type="paragraph" w:customStyle="1" w:styleId="70">
    <w:name w:val="表格文字"/>
    <w:basedOn w:val="1"/>
    <w:qFormat/>
    <w:uiPriority w:val="0"/>
    <w:pPr>
      <w:adjustRightInd w:val="0"/>
      <w:spacing w:line="420" w:lineRule="atLeast"/>
      <w:jc w:val="left"/>
      <w:textAlignment w:val="baseline"/>
    </w:pPr>
    <w:rPr>
      <w:kern w:val="0"/>
      <w:szCs w:val="20"/>
    </w:rPr>
  </w:style>
  <w:style w:type="paragraph" w:customStyle="1" w:styleId="71">
    <w:name w:val="Char"/>
    <w:basedOn w:val="1"/>
    <w:next w:val="1"/>
    <w:qFormat/>
    <w:uiPriority w:val="0"/>
    <w:pPr>
      <w:widowControl/>
      <w:spacing w:line="360" w:lineRule="auto"/>
      <w:jc w:val="left"/>
    </w:pPr>
    <w:rPr>
      <w:kern w:val="0"/>
      <w:szCs w:val="20"/>
      <w:lang w:eastAsia="en-US"/>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2"/>
    <w:basedOn w:val="4"/>
    <w:qFormat/>
    <w:uiPriority w:val="0"/>
  </w:style>
  <w:style w:type="paragraph" w:customStyle="1" w:styleId="74">
    <w:name w:val="Default Paragraph Char Char Char Char"/>
    <w:basedOn w:val="1"/>
    <w:next w:val="1"/>
    <w:qFormat/>
    <w:uiPriority w:val="0"/>
    <w:pPr>
      <w:spacing w:line="360" w:lineRule="auto"/>
    </w:pPr>
    <w:rPr>
      <w:szCs w:val="20"/>
    </w:rPr>
  </w:style>
  <w:style w:type="paragraph" w:customStyle="1" w:styleId="75">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6">
    <w:name w:val="默认段落字体 Para Char Char Char Char"/>
    <w:basedOn w:val="1"/>
    <w:qFormat/>
    <w:uiPriority w:val="0"/>
  </w:style>
  <w:style w:type="paragraph" w:customStyle="1" w:styleId="77">
    <w:name w:val="样式 标题 1 + 黑体 五号"/>
    <w:basedOn w:val="2"/>
    <w:qFormat/>
    <w:uiPriority w:val="0"/>
    <w:pPr>
      <w:jc w:val="left"/>
    </w:pPr>
    <w:rPr>
      <w:rFonts w:ascii="黑体" w:hAnsi="黑体" w:eastAsia="黑体"/>
      <w:sz w:val="21"/>
    </w:rPr>
  </w:style>
  <w:style w:type="paragraph" w:customStyle="1" w:styleId="78">
    <w:name w:val="样式4"/>
    <w:basedOn w:val="4"/>
    <w:qFormat/>
    <w:uiPriority w:val="0"/>
    <w:rPr>
      <w:rFonts w:eastAsia="Arial"/>
    </w:rPr>
  </w:style>
  <w:style w:type="paragraph" w:customStyle="1" w:styleId="79">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80">
    <w:name w:val="列出段落1"/>
    <w:basedOn w:val="1"/>
    <w:qFormat/>
    <w:uiPriority w:val="0"/>
    <w:pPr>
      <w:ind w:firstLine="200" w:firstLineChars="200"/>
    </w:pPr>
  </w:style>
  <w:style w:type="paragraph" w:customStyle="1" w:styleId="81">
    <w:name w:val="p0 New"/>
    <w:basedOn w:val="1"/>
    <w:qFormat/>
    <w:uiPriority w:val="0"/>
    <w:pPr>
      <w:widowControl/>
      <w:jc w:val="left"/>
    </w:pPr>
    <w:rPr>
      <w:rFonts w:ascii="宋体" w:hAnsi="宋体" w:cs="宋体"/>
      <w:kern w:val="0"/>
      <w:sz w:val="18"/>
      <w:szCs w:val="18"/>
    </w:rPr>
  </w:style>
  <w:style w:type="paragraph" w:customStyle="1" w:styleId="82">
    <w:name w:val="样式 标题 1 + 黑体 三号 非加粗 居中 段前: 6 磅 段后: 6 磅 行距: 固定值 20 磅"/>
    <w:basedOn w:val="2"/>
    <w:qFormat/>
    <w:uiPriority w:val="0"/>
    <w:pPr>
      <w:spacing w:line="400" w:lineRule="exact"/>
    </w:pPr>
    <w:rPr>
      <w:rFonts w:ascii="黑体" w:hAnsi="黑体" w:eastAsia="黑体" w:cs="宋体"/>
      <w:b w:val="0"/>
      <w:bCs w:val="0"/>
      <w:sz w:val="32"/>
      <w:szCs w:val="20"/>
    </w:rPr>
  </w:style>
  <w:style w:type="paragraph" w:customStyle="1" w:styleId="83">
    <w:name w:val="_Style 78"/>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4">
    <w:name w:val="Char1"/>
    <w:basedOn w:val="1"/>
    <w:qFormat/>
    <w:uiPriority w:val="0"/>
    <w:pPr>
      <w:tabs>
        <w:tab w:val="left" w:pos="360"/>
      </w:tabs>
    </w:pPr>
    <w:rPr>
      <w:sz w:val="24"/>
    </w:rPr>
  </w:style>
  <w:style w:type="paragraph" w:customStyle="1" w:styleId="85">
    <w:name w:val="样式1"/>
    <w:basedOn w:val="4"/>
    <w:qFormat/>
    <w:uiPriority w:val="0"/>
    <w:rPr>
      <w:rFonts w:eastAsia="Arial"/>
    </w:rPr>
  </w:style>
  <w:style w:type="paragraph" w:customStyle="1" w:styleId="86">
    <w:name w:val="Char Char Char Char Char Char Char Char Char Char Char Char Char"/>
    <w:basedOn w:val="1"/>
    <w:qFormat/>
    <w:uiPriority w:val="0"/>
  </w:style>
  <w:style w:type="paragraph" w:customStyle="1" w:styleId="87">
    <w:name w:val="p"/>
    <w:basedOn w:val="1"/>
    <w:qFormat/>
    <w:uiPriority w:val="0"/>
    <w:rPr>
      <w:rFonts w:ascii="宋体"/>
      <w:sz w:val="24"/>
    </w:rPr>
  </w:style>
  <w:style w:type="paragraph" w:customStyle="1" w:styleId="88">
    <w:name w:val="Char Char Char Char"/>
    <w:basedOn w:val="1"/>
    <w:qFormat/>
    <w:uiPriority w:val="0"/>
  </w:style>
  <w:style w:type="paragraph" w:customStyle="1" w:styleId="89">
    <w:name w:val="_Style 84"/>
    <w:basedOn w:val="1"/>
    <w:next w:val="1"/>
    <w:qFormat/>
    <w:uiPriority w:val="0"/>
    <w:pPr>
      <w:pBdr>
        <w:bottom w:val="single" w:color="auto" w:sz="6" w:space="1"/>
      </w:pBdr>
      <w:jc w:val="center"/>
    </w:pPr>
    <w:rPr>
      <w:rFonts w:ascii="Arial"/>
      <w:vanish/>
      <w:sz w:val="16"/>
    </w:rPr>
  </w:style>
  <w:style w:type="paragraph" w:customStyle="1" w:styleId="90">
    <w:name w:val="1"/>
    <w:basedOn w:val="1"/>
    <w:next w:val="1"/>
    <w:qFormat/>
    <w:uiPriority w:val="0"/>
  </w:style>
  <w:style w:type="paragraph" w:customStyle="1" w:styleId="91">
    <w:name w:val="p15"/>
    <w:qFormat/>
    <w:uiPriority w:val="0"/>
    <w:pPr>
      <w:jc w:val="both"/>
    </w:pPr>
    <w:rPr>
      <w:rFonts w:ascii="宋体" w:hAnsi="Times New Roman" w:eastAsia="宋体" w:cs="宋体"/>
      <w:sz w:val="21"/>
      <w:szCs w:val="21"/>
      <w:lang w:val="en-US" w:eastAsia="zh-CN" w:bidi="ar-SA"/>
    </w:rPr>
  </w:style>
  <w:style w:type="paragraph" w:customStyle="1" w:styleId="92">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93">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4">
    <w:name w:val="p0"/>
    <w:basedOn w:val="1"/>
    <w:qFormat/>
    <w:uiPriority w:val="99"/>
    <w:pPr>
      <w:widowControl/>
    </w:pPr>
    <w:rPr>
      <w:kern w:val="0"/>
      <w:szCs w:val="21"/>
    </w:rPr>
  </w:style>
  <w:style w:type="paragraph" w:customStyle="1" w:styleId="95">
    <w:name w:val="样式3"/>
    <w:basedOn w:val="4"/>
    <w:qFormat/>
    <w:uiPriority w:val="0"/>
    <w:rPr>
      <w:rFonts w:eastAsia="Arial"/>
    </w:rPr>
  </w:style>
  <w:style w:type="paragraph" w:customStyle="1" w:styleId="9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97">
    <w:name w:val="Char Char Char Char Char Char Char Char Char Char Char Char Char1"/>
    <w:basedOn w:val="1"/>
    <w:qFormat/>
    <w:uiPriority w:val="0"/>
  </w:style>
  <w:style w:type="paragraph" w:customStyle="1" w:styleId="98">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9">
    <w:name w:val="正文2"/>
    <w:qFormat/>
    <w:uiPriority w:val="0"/>
    <w:pPr>
      <w:widowControl w:val="0"/>
      <w:jc w:val="both"/>
    </w:pPr>
    <w:rPr>
      <w:rFonts w:ascii="Times New Roman" w:hAnsi="Times New Roman" w:eastAsia="宋体" w:cs="Times New Roman"/>
      <w:lang w:val="en-US" w:eastAsia="zh-CN" w:bidi="ar-SA"/>
    </w:rPr>
  </w:style>
  <w:style w:type="character" w:customStyle="1" w:styleId="100">
    <w:name w:val="first-child"/>
    <w:basedOn w:val="49"/>
    <w:qFormat/>
    <w:uiPriority w:val="0"/>
  </w:style>
  <w:style w:type="character" w:customStyle="1" w:styleId="101">
    <w:name w:val="Char Char Char Char Char Char"/>
    <w:qFormat/>
    <w:uiPriority w:val="0"/>
    <w:rPr>
      <w:rFonts w:ascii="Arial" w:hAnsi="Arial" w:eastAsia="黑体"/>
      <w:b/>
      <w:bCs/>
      <w:kern w:val="2"/>
      <w:sz w:val="32"/>
      <w:szCs w:val="32"/>
      <w:lang w:val="en-US" w:eastAsia="zh-CN" w:bidi="ar-SA"/>
    </w:rPr>
  </w:style>
  <w:style w:type="character" w:customStyle="1" w:styleId="102">
    <w:name w:val="l11"/>
    <w:qFormat/>
    <w:uiPriority w:val="0"/>
    <w:rPr>
      <w:color w:val="999999"/>
    </w:rPr>
  </w:style>
  <w:style w:type="character" w:customStyle="1" w:styleId="103">
    <w:name w:val="Char Char"/>
    <w:qFormat/>
    <w:uiPriority w:val="0"/>
    <w:rPr>
      <w:rFonts w:ascii="Arial" w:hAnsi="Arial" w:eastAsia="黑体"/>
      <w:b/>
      <w:bCs/>
      <w:kern w:val="2"/>
      <w:sz w:val="32"/>
      <w:szCs w:val="32"/>
      <w:lang w:val="en-US" w:eastAsia="zh-CN" w:bidi="ar-SA"/>
    </w:rPr>
  </w:style>
  <w:style w:type="character" w:customStyle="1" w:styleId="104">
    <w:name w:val="Char Char5"/>
    <w:qFormat/>
    <w:uiPriority w:val="0"/>
    <w:rPr>
      <w:rFonts w:ascii="Arial" w:hAnsi="Arial" w:eastAsia="黑体"/>
      <w:b/>
      <w:bCs/>
      <w:kern w:val="2"/>
      <w:sz w:val="32"/>
      <w:szCs w:val="32"/>
    </w:rPr>
  </w:style>
  <w:style w:type="character" w:customStyle="1" w:styleId="105">
    <w:name w:val="msg-box28"/>
    <w:basedOn w:val="49"/>
    <w:qFormat/>
    <w:uiPriority w:val="0"/>
  </w:style>
  <w:style w:type="character" w:customStyle="1" w:styleId="106">
    <w:name w:val="img_title6"/>
    <w:qFormat/>
    <w:uiPriority w:val="0"/>
    <w:rPr>
      <w:vanish/>
    </w:rPr>
  </w:style>
  <w:style w:type="character" w:customStyle="1" w:styleId="107">
    <w:name w:val="tit12"/>
    <w:qFormat/>
    <w:uiPriority w:val="0"/>
    <w:rPr>
      <w:color w:val="04A06C"/>
    </w:rPr>
  </w:style>
  <w:style w:type="character" w:customStyle="1" w:styleId="108">
    <w:name w:val="Char Char2"/>
    <w:qFormat/>
    <w:uiPriority w:val="0"/>
    <w:rPr>
      <w:rFonts w:eastAsia="宋体"/>
      <w:kern w:val="2"/>
      <w:sz w:val="21"/>
      <w:szCs w:val="24"/>
      <w:lang w:val="en-US" w:eastAsia="zh-CN" w:bidi="ar-SA"/>
    </w:rPr>
  </w:style>
  <w:style w:type="character" w:customStyle="1" w:styleId="109">
    <w:name w:val="nostart"/>
    <w:qFormat/>
    <w:uiPriority w:val="0"/>
    <w:rPr>
      <w:color w:val="FF0000"/>
    </w:rPr>
  </w:style>
  <w:style w:type="character" w:customStyle="1" w:styleId="110">
    <w:name w:val="nostart3"/>
    <w:basedOn w:val="49"/>
    <w:qFormat/>
    <w:uiPriority w:val="0"/>
  </w:style>
  <w:style w:type="character" w:customStyle="1" w:styleId="111">
    <w:name w:val="img4"/>
    <w:basedOn w:val="49"/>
    <w:qFormat/>
    <w:uiPriority w:val="0"/>
  </w:style>
  <w:style w:type="character" w:customStyle="1" w:styleId="112">
    <w:name w:val="tit11"/>
    <w:qFormat/>
    <w:uiPriority w:val="0"/>
    <w:rPr>
      <w:color w:val="B60000"/>
    </w:rPr>
  </w:style>
  <w:style w:type="character" w:customStyle="1" w:styleId="113">
    <w:name w:val="批注文字 Char"/>
    <w:link w:val="18"/>
    <w:qFormat/>
    <w:uiPriority w:val="0"/>
    <w:rPr>
      <w:rFonts w:eastAsia="宋体"/>
      <w:kern w:val="2"/>
      <w:sz w:val="21"/>
      <w:szCs w:val="24"/>
      <w:lang w:val="en-US" w:eastAsia="zh-CN" w:bidi="ar-SA"/>
    </w:rPr>
  </w:style>
  <w:style w:type="character" w:customStyle="1" w:styleId="114">
    <w:name w:val="over"/>
    <w:qFormat/>
    <w:uiPriority w:val="0"/>
    <w:rPr>
      <w:color w:val="B60000"/>
    </w:rPr>
  </w:style>
  <w:style w:type="character" w:customStyle="1" w:styleId="115">
    <w:name w:val="HTML 预设格式 Char"/>
    <w:link w:val="41"/>
    <w:qFormat/>
    <w:uiPriority w:val="0"/>
    <w:rPr>
      <w:rFonts w:ascii="宋体" w:hAnsi="宋体" w:cs="宋体"/>
      <w:sz w:val="24"/>
      <w:szCs w:val="24"/>
    </w:rPr>
  </w:style>
  <w:style w:type="character" w:customStyle="1" w:styleId="116">
    <w:name w:val="l6"/>
    <w:qFormat/>
    <w:uiPriority w:val="0"/>
    <w:rPr>
      <w:color w:val="999999"/>
    </w:rPr>
  </w:style>
  <w:style w:type="character" w:customStyle="1" w:styleId="117">
    <w:name w:val="datetime"/>
    <w:qFormat/>
    <w:uiPriority w:val="0"/>
    <w:rPr>
      <w:rFonts w:hint="default" w:ascii="Arial" w:hAnsi="Arial" w:cs="Arial"/>
      <w:color w:val="999999"/>
      <w:sz w:val="21"/>
      <w:szCs w:val="21"/>
    </w:rPr>
  </w:style>
  <w:style w:type="character" w:customStyle="1" w:styleId="118">
    <w:name w:val="txt1"/>
    <w:basedOn w:val="49"/>
    <w:qFormat/>
    <w:uiPriority w:val="0"/>
  </w:style>
  <w:style w:type="character" w:customStyle="1" w:styleId="119">
    <w:name w:val="starting1"/>
    <w:qFormat/>
    <w:uiPriority w:val="0"/>
    <w:rPr>
      <w:color w:val="339900"/>
    </w:rPr>
  </w:style>
  <w:style w:type="character" w:customStyle="1" w:styleId="120">
    <w:name w:val="starting2"/>
    <w:qFormat/>
    <w:uiPriority w:val="0"/>
    <w:rPr>
      <w:color w:val="B60000"/>
    </w:rPr>
  </w:style>
  <w:style w:type="character" w:customStyle="1" w:styleId="121">
    <w:name w:val="标题 1 Char"/>
    <w:link w:val="2"/>
    <w:qFormat/>
    <w:uiPriority w:val="0"/>
    <w:rPr>
      <w:rFonts w:eastAsia="宋体"/>
      <w:b/>
      <w:bCs/>
      <w:kern w:val="44"/>
      <w:sz w:val="44"/>
      <w:szCs w:val="44"/>
      <w:lang w:val="en-US" w:eastAsia="zh-CN" w:bidi="ar-SA"/>
    </w:rPr>
  </w:style>
  <w:style w:type="character" w:customStyle="1" w:styleId="122">
    <w:name w:val="red"/>
    <w:qFormat/>
    <w:uiPriority w:val="0"/>
    <w:rPr>
      <w:rFonts w:hint="default" w:ascii="Arial" w:hAnsi="Arial" w:cs="Arial"/>
      <w:color w:val="E50000"/>
    </w:rPr>
  </w:style>
  <w:style w:type="character" w:customStyle="1" w:styleId="123">
    <w:name w:val="Char Char4"/>
    <w:qFormat/>
    <w:uiPriority w:val="0"/>
    <w:rPr>
      <w:rFonts w:eastAsia="宋体"/>
      <w:b/>
      <w:bCs/>
      <w:kern w:val="44"/>
      <w:sz w:val="44"/>
      <w:szCs w:val="44"/>
      <w:lang w:val="en-US" w:eastAsia="zh-CN" w:bidi="ar-SA"/>
    </w:rPr>
  </w:style>
  <w:style w:type="character" w:customStyle="1" w:styleId="124">
    <w:name w:val="font161"/>
    <w:qFormat/>
    <w:uiPriority w:val="0"/>
    <w:rPr>
      <w:b/>
      <w:bCs/>
      <w:sz w:val="32"/>
      <w:szCs w:val="32"/>
    </w:rPr>
  </w:style>
  <w:style w:type="character" w:customStyle="1" w:styleId="125">
    <w:name w:val="Char Char8"/>
    <w:qFormat/>
    <w:uiPriority w:val="0"/>
    <w:rPr>
      <w:rFonts w:ascii="Arial" w:hAnsi="Arial" w:eastAsia="黑体"/>
      <w:b/>
      <w:bCs/>
      <w:kern w:val="2"/>
      <w:sz w:val="32"/>
      <w:szCs w:val="32"/>
      <w:lang w:val="en-US" w:eastAsia="zh-CN" w:bidi="ar-SA"/>
    </w:rPr>
  </w:style>
  <w:style w:type="character" w:customStyle="1" w:styleId="126">
    <w:name w:val="msg-box29"/>
    <w:basedOn w:val="49"/>
    <w:qFormat/>
    <w:uiPriority w:val="0"/>
  </w:style>
  <w:style w:type="character" w:customStyle="1" w:styleId="127">
    <w:name w:val="over2"/>
    <w:qFormat/>
    <w:uiPriority w:val="0"/>
    <w:rPr>
      <w:color w:val="999999"/>
    </w:rPr>
  </w:style>
  <w:style w:type="character" w:customStyle="1" w:styleId="128">
    <w:name w:val="img_title7"/>
    <w:qFormat/>
    <w:uiPriority w:val="0"/>
    <w:rPr>
      <w:vanish/>
    </w:rPr>
  </w:style>
  <w:style w:type="character" w:customStyle="1" w:styleId="129">
    <w:name w:val="l7"/>
    <w:qFormat/>
    <w:uiPriority w:val="0"/>
    <w:rPr>
      <w:color w:val="999999"/>
    </w:rPr>
  </w:style>
  <w:style w:type="character" w:customStyle="1" w:styleId="130">
    <w:name w:val="标题 5 Char"/>
    <w:link w:val="6"/>
    <w:qFormat/>
    <w:uiPriority w:val="0"/>
    <w:rPr>
      <w:b/>
      <w:bCs/>
      <w:kern w:val="2"/>
      <w:sz w:val="28"/>
      <w:szCs w:val="28"/>
    </w:rPr>
  </w:style>
  <w:style w:type="character" w:customStyle="1" w:styleId="131">
    <w:name w:val="l51"/>
    <w:qFormat/>
    <w:uiPriority w:val="0"/>
    <w:rPr>
      <w:color w:val="999999"/>
    </w:rPr>
  </w:style>
  <w:style w:type="character" w:customStyle="1" w:styleId="132">
    <w:name w:val="num81"/>
    <w:basedOn w:val="49"/>
    <w:qFormat/>
    <w:uiPriority w:val="0"/>
  </w:style>
  <w:style w:type="character" w:customStyle="1" w:styleId="133">
    <w:name w:val="Char Char1"/>
    <w:qFormat/>
    <w:uiPriority w:val="0"/>
    <w:rPr>
      <w:rFonts w:eastAsia="宋体"/>
      <w:kern w:val="2"/>
      <w:sz w:val="21"/>
      <w:szCs w:val="24"/>
      <w:lang w:val="en-US" w:eastAsia="zh-CN" w:bidi="ar-SA"/>
    </w:rPr>
  </w:style>
  <w:style w:type="character" w:customStyle="1" w:styleId="134">
    <w:name w:val="zs"/>
    <w:qFormat/>
    <w:uiPriority w:val="0"/>
    <w:rPr>
      <w:color w:val="8D744B"/>
      <w:sz w:val="18"/>
      <w:szCs w:val="18"/>
    </w:rPr>
  </w:style>
  <w:style w:type="character" w:customStyle="1" w:styleId="135">
    <w:name w:val="bigfont"/>
    <w:basedOn w:val="49"/>
    <w:qFormat/>
    <w:uiPriority w:val="0"/>
  </w:style>
  <w:style w:type="character" w:customStyle="1" w:styleId="136">
    <w:name w:val="txt"/>
    <w:qFormat/>
    <w:uiPriority w:val="0"/>
    <w:rPr>
      <w:color w:val="C0C0C0"/>
    </w:rPr>
  </w:style>
  <w:style w:type="character" w:customStyle="1" w:styleId="137">
    <w:name w:val="纯文本 Char2"/>
    <w:link w:val="24"/>
    <w:qFormat/>
    <w:uiPriority w:val="0"/>
    <w:rPr>
      <w:rFonts w:ascii="Courier New" w:hAnsi="Courier New" w:eastAsia="宋体"/>
      <w:kern w:val="2"/>
      <w:sz w:val="21"/>
      <w:lang w:val="en-US" w:eastAsia="zh-CN" w:bidi="ar-SA"/>
    </w:rPr>
  </w:style>
  <w:style w:type="character" w:customStyle="1" w:styleId="138">
    <w:name w:val="jg"/>
    <w:basedOn w:val="49"/>
    <w:qFormat/>
    <w:uiPriority w:val="0"/>
  </w:style>
  <w:style w:type="character" w:customStyle="1" w:styleId="139">
    <w:name w:val="17"/>
    <w:qFormat/>
    <w:uiPriority w:val="0"/>
    <w:rPr>
      <w:rFonts w:ascii="仿宋_GB2312" w:eastAsia="仿宋_GB2312"/>
      <w:color w:val="auto"/>
      <w:sz w:val="28"/>
      <w:szCs w:val="28"/>
      <w:u w:val="single"/>
    </w:rPr>
  </w:style>
  <w:style w:type="character" w:customStyle="1" w:styleId="140">
    <w:name w:val="job"/>
    <w:basedOn w:val="49"/>
    <w:qFormat/>
    <w:uiPriority w:val="0"/>
  </w:style>
  <w:style w:type="character" w:customStyle="1" w:styleId="141">
    <w:name w:val="job1"/>
    <w:basedOn w:val="49"/>
    <w:qFormat/>
    <w:uiPriority w:val="0"/>
  </w:style>
  <w:style w:type="character" w:customStyle="1" w:styleId="142">
    <w:name w:val="标题 2 Char"/>
    <w:qFormat/>
    <w:uiPriority w:val="0"/>
    <w:rPr>
      <w:rFonts w:ascii="Arial" w:hAnsi="Arial" w:eastAsia="黑体"/>
      <w:b/>
      <w:bCs/>
      <w:kern w:val="2"/>
      <w:sz w:val="21"/>
      <w:szCs w:val="32"/>
      <w:lang w:val="en-US" w:eastAsia="zh-CN" w:bidi="ar-SA"/>
    </w:rPr>
  </w:style>
  <w:style w:type="character" w:customStyle="1" w:styleId="143">
    <w:name w:val="正文文本 Char"/>
    <w:link w:val="20"/>
    <w:qFormat/>
    <w:uiPriority w:val="0"/>
    <w:rPr>
      <w:rFonts w:eastAsia="宋体"/>
      <w:kern w:val="2"/>
      <w:sz w:val="21"/>
      <w:szCs w:val="24"/>
      <w:lang w:val="en-US" w:eastAsia="zh-CN" w:bidi="ar-SA"/>
    </w:rPr>
  </w:style>
  <w:style w:type="character" w:customStyle="1" w:styleId="144">
    <w:name w:val="p05"/>
    <w:basedOn w:val="49"/>
    <w:qFormat/>
    <w:uiPriority w:val="0"/>
  </w:style>
  <w:style w:type="character" w:customStyle="1" w:styleId="145">
    <w:name w:val="Char Char7"/>
    <w:qFormat/>
    <w:uiPriority w:val="0"/>
    <w:rPr>
      <w:rFonts w:ascii="Arial" w:hAnsi="Arial" w:eastAsia="黑体"/>
      <w:b/>
      <w:bCs/>
      <w:kern w:val="2"/>
      <w:sz w:val="32"/>
      <w:szCs w:val="32"/>
      <w:lang w:val="en-US" w:eastAsia="zh-CN" w:bidi="ar-SA"/>
    </w:rPr>
  </w:style>
  <w:style w:type="character" w:customStyle="1" w:styleId="146">
    <w:name w:val="over3"/>
    <w:basedOn w:val="49"/>
    <w:qFormat/>
    <w:uiPriority w:val="0"/>
  </w:style>
  <w:style w:type="character" w:customStyle="1" w:styleId="147">
    <w:name w:val="Char Char3"/>
    <w:qFormat/>
    <w:uiPriority w:val="0"/>
    <w:rPr>
      <w:rFonts w:ascii="Arial" w:hAnsi="Arial" w:eastAsia="黑体"/>
      <w:b/>
      <w:bCs/>
      <w:kern w:val="2"/>
      <w:sz w:val="32"/>
      <w:szCs w:val="32"/>
      <w:lang w:val="en-US" w:eastAsia="zh-CN" w:bidi="ar-SA"/>
    </w:rPr>
  </w:style>
  <w:style w:type="character" w:customStyle="1" w:styleId="148">
    <w:name w:val="Char Char71"/>
    <w:qFormat/>
    <w:uiPriority w:val="0"/>
    <w:rPr>
      <w:rFonts w:ascii="Arial" w:hAnsi="Arial" w:eastAsia="黑体"/>
      <w:b/>
      <w:bCs/>
      <w:kern w:val="2"/>
      <w:sz w:val="32"/>
      <w:szCs w:val="32"/>
      <w:lang w:val="en-US" w:eastAsia="zh-CN" w:bidi="ar-SA"/>
    </w:rPr>
  </w:style>
  <w:style w:type="character" w:customStyle="1" w:styleId="149">
    <w:name w:val="num51"/>
    <w:basedOn w:val="49"/>
    <w:qFormat/>
    <w:uiPriority w:val="0"/>
  </w:style>
  <w:style w:type="character" w:customStyle="1" w:styleId="150">
    <w:name w:val="Char Char Char"/>
    <w:qFormat/>
    <w:uiPriority w:val="0"/>
    <w:rPr>
      <w:rFonts w:eastAsia="宋体"/>
      <w:b/>
      <w:bCs/>
      <w:kern w:val="44"/>
      <w:sz w:val="44"/>
      <w:szCs w:val="44"/>
      <w:lang w:val="en-US" w:eastAsia="zh-CN" w:bidi="ar-SA"/>
    </w:rPr>
  </w:style>
  <w:style w:type="character" w:customStyle="1" w:styleId="151">
    <w:name w:val="msg-box31"/>
    <w:basedOn w:val="49"/>
    <w:qFormat/>
    <w:uiPriority w:val="0"/>
  </w:style>
  <w:style w:type="character" w:customStyle="1" w:styleId="152">
    <w:name w:val="msg-box30"/>
    <w:basedOn w:val="49"/>
    <w:qFormat/>
    <w:uiPriority w:val="0"/>
  </w:style>
  <w:style w:type="character" w:customStyle="1" w:styleId="153">
    <w:name w:val="标题 1 Char Char"/>
    <w:qFormat/>
    <w:uiPriority w:val="0"/>
    <w:rPr>
      <w:rFonts w:eastAsia="宋体"/>
      <w:b/>
      <w:bCs/>
      <w:kern w:val="44"/>
      <w:sz w:val="44"/>
      <w:szCs w:val="44"/>
      <w:lang w:val="en-US" w:eastAsia="zh-CN" w:bidi="ar-SA"/>
    </w:rPr>
  </w:style>
  <w:style w:type="character" w:customStyle="1" w:styleId="154">
    <w:name w:val="标题 3 Char"/>
    <w:link w:val="4"/>
    <w:qFormat/>
    <w:uiPriority w:val="0"/>
    <w:rPr>
      <w:b/>
      <w:bCs/>
      <w:sz w:val="32"/>
      <w:szCs w:val="32"/>
    </w:rPr>
  </w:style>
  <w:style w:type="character" w:customStyle="1" w:styleId="155">
    <w:name w:val="c1"/>
    <w:basedOn w:val="49"/>
    <w:qFormat/>
    <w:uiPriority w:val="0"/>
  </w:style>
  <w:style w:type="character" w:customStyle="1" w:styleId="156">
    <w:name w:val="纯文本 Char1"/>
    <w:qFormat/>
    <w:uiPriority w:val="0"/>
    <w:rPr>
      <w:rFonts w:ascii="Courier New" w:hAnsi="Courier New" w:eastAsia="宋体"/>
      <w:kern w:val="2"/>
      <w:sz w:val="21"/>
      <w:lang w:val="en-US" w:eastAsia="zh-CN" w:bidi="ar-SA"/>
    </w:rPr>
  </w:style>
  <w:style w:type="character" w:customStyle="1" w:styleId="157">
    <w:name w:val="Char Char Char1"/>
    <w:qFormat/>
    <w:uiPriority w:val="0"/>
    <w:rPr>
      <w:rFonts w:ascii="Arial" w:hAnsi="Arial" w:eastAsia="黑体"/>
      <w:b/>
      <w:bCs/>
      <w:kern w:val="2"/>
      <w:sz w:val="32"/>
      <w:szCs w:val="32"/>
      <w:lang w:val="en-US" w:eastAsia="zh-CN" w:bidi="ar-SA"/>
    </w:rPr>
  </w:style>
  <w:style w:type="character" w:customStyle="1" w:styleId="158">
    <w:name w:val="l3"/>
    <w:qFormat/>
    <w:uiPriority w:val="0"/>
    <w:rPr>
      <w:color w:val="999999"/>
    </w:rPr>
  </w:style>
  <w:style w:type="character" w:customStyle="1" w:styleId="159">
    <w:name w:val="tit14"/>
    <w:qFormat/>
    <w:uiPriority w:val="0"/>
    <w:rPr>
      <w:color w:val="B60000"/>
    </w:rPr>
  </w:style>
  <w:style w:type="character" w:customStyle="1" w:styleId="160">
    <w:name w:val="tit10"/>
    <w:qFormat/>
    <w:uiPriority w:val="0"/>
    <w:rPr>
      <w:color w:val="B60000"/>
    </w:rPr>
  </w:style>
  <w:style w:type="character" w:customStyle="1" w:styleId="161">
    <w:name w:val="l21"/>
    <w:qFormat/>
    <w:uiPriority w:val="0"/>
    <w:rPr>
      <w:color w:val="999999"/>
    </w:rPr>
  </w:style>
  <w:style w:type="character" w:customStyle="1" w:styleId="162">
    <w:name w:val="num71"/>
    <w:basedOn w:val="49"/>
    <w:qFormat/>
    <w:uiPriority w:val="0"/>
  </w:style>
  <w:style w:type="character" w:customStyle="1" w:styleId="163">
    <w:name w:val="标题 2 Char Char"/>
    <w:qFormat/>
    <w:uiPriority w:val="0"/>
    <w:rPr>
      <w:rFonts w:ascii="Arial" w:hAnsi="Arial" w:eastAsia="黑体"/>
      <w:b/>
      <w:bCs/>
      <w:kern w:val="2"/>
      <w:sz w:val="32"/>
      <w:szCs w:val="32"/>
      <w:lang w:val="en-US" w:eastAsia="zh-CN" w:bidi="ar-SA"/>
    </w:rPr>
  </w:style>
  <w:style w:type="character" w:customStyle="1" w:styleId="164">
    <w:name w:val="buvis"/>
    <w:qFormat/>
    <w:uiPriority w:val="0"/>
    <w:rPr>
      <w:color w:val="999999"/>
    </w:rPr>
  </w:style>
  <w:style w:type="character" w:customStyle="1" w:styleId="165">
    <w:name w:val="name"/>
    <w:qFormat/>
    <w:uiPriority w:val="0"/>
    <w:rPr>
      <w:color w:val="444444"/>
      <w:sz w:val="21"/>
      <w:szCs w:val="21"/>
    </w:rPr>
  </w:style>
  <w:style w:type="character" w:customStyle="1" w:styleId="166">
    <w:name w:val="layui-this"/>
    <w:qFormat/>
    <w:uiPriority w:val="0"/>
    <w:rPr>
      <w:bdr w:val="single" w:color="EEEEEE" w:sz="6" w:space="0"/>
      <w:shd w:val="clear" w:color="auto" w:fill="FFFFFF"/>
    </w:rPr>
  </w:style>
  <w:style w:type="character" w:customStyle="1" w:styleId="167">
    <w:name w:val="标题 2 Char1"/>
    <w:qFormat/>
    <w:uiPriority w:val="0"/>
    <w:rPr>
      <w:rFonts w:ascii="Arial" w:hAnsi="Arial" w:eastAsia="黑体"/>
      <w:b/>
      <w:bCs/>
      <w:kern w:val="2"/>
      <w:sz w:val="32"/>
      <w:szCs w:val="32"/>
      <w:lang w:val="en-US" w:eastAsia="zh-CN" w:bidi="ar-SA"/>
    </w:rPr>
  </w:style>
  <w:style w:type="character" w:customStyle="1" w:styleId="168">
    <w:name w:val="zw"/>
    <w:qFormat/>
    <w:uiPriority w:val="0"/>
    <w:rPr>
      <w:color w:val="BD1E22"/>
      <w:sz w:val="22"/>
      <w:szCs w:val="22"/>
    </w:rPr>
  </w:style>
  <w:style w:type="character" w:customStyle="1" w:styleId="169">
    <w:name w:val="name1"/>
    <w:qFormat/>
    <w:uiPriority w:val="0"/>
    <w:rPr>
      <w:color w:val="695435"/>
      <w:sz w:val="24"/>
      <w:szCs w:val="24"/>
    </w:rPr>
  </w:style>
  <w:style w:type="character" w:customStyle="1" w:styleId="170">
    <w:name w:val="num61"/>
    <w:basedOn w:val="49"/>
    <w:qFormat/>
    <w:uiPriority w:val="0"/>
  </w:style>
  <w:style w:type="character" w:customStyle="1" w:styleId="171">
    <w:name w:val="mesg-myd"/>
    <w:qFormat/>
    <w:uiPriority w:val="0"/>
    <w:rPr>
      <w:color w:val="EE0000"/>
    </w:rPr>
  </w:style>
  <w:style w:type="character" w:customStyle="1" w:styleId="172">
    <w:name w:val="c2"/>
    <w:basedOn w:val="49"/>
    <w:qFormat/>
    <w:uiPriority w:val="0"/>
  </w:style>
  <w:style w:type="character" w:customStyle="1" w:styleId="173">
    <w:name w:val="c3"/>
    <w:basedOn w:val="49"/>
    <w:qFormat/>
    <w:uiPriority w:val="0"/>
  </w:style>
  <w:style w:type="character" w:customStyle="1" w:styleId="174">
    <w:name w:val="over1"/>
    <w:qFormat/>
    <w:uiPriority w:val="0"/>
    <w:rPr>
      <w:color w:val="B60000"/>
    </w:rPr>
  </w:style>
  <w:style w:type="character" w:customStyle="1" w:styleId="175">
    <w:name w:val="tit13"/>
    <w:qFormat/>
    <w:uiPriority w:val="0"/>
    <w:rPr>
      <w:color w:val="FFFFFF"/>
    </w:rPr>
  </w:style>
  <w:style w:type="character" w:customStyle="1" w:styleId="176">
    <w:name w:val="Char Char21"/>
    <w:qFormat/>
    <w:uiPriority w:val="0"/>
    <w:rPr>
      <w:rFonts w:eastAsia="宋体"/>
      <w:kern w:val="2"/>
      <w:sz w:val="21"/>
      <w:szCs w:val="24"/>
      <w:lang w:val="en-US" w:eastAsia="zh-CN" w:bidi="ar-SA"/>
    </w:rPr>
  </w:style>
  <w:style w:type="character" w:customStyle="1" w:styleId="177">
    <w:name w:val="l41"/>
    <w:qFormat/>
    <w:uiPriority w:val="0"/>
    <w:rPr>
      <w:color w:val="999999"/>
    </w:rPr>
  </w:style>
  <w:style w:type="character" w:customStyle="1" w:styleId="178">
    <w:name w:val="16"/>
    <w:qFormat/>
    <w:uiPriority w:val="0"/>
    <w:rPr>
      <w:rFonts w:ascii="仿宋_GB2312" w:eastAsia="仿宋_GB2312"/>
      <w:color w:val="auto"/>
      <w:sz w:val="28"/>
      <w:szCs w:val="28"/>
    </w:rPr>
  </w:style>
  <w:style w:type="character" w:customStyle="1" w:styleId="179">
    <w:name w:val="num31"/>
    <w:basedOn w:val="49"/>
    <w:qFormat/>
    <w:uiPriority w:val="0"/>
  </w:style>
  <w:style w:type="character" w:customStyle="1" w:styleId="180">
    <w:name w:val="starting4"/>
    <w:basedOn w:val="49"/>
    <w:qFormat/>
    <w:uiPriority w:val="0"/>
  </w:style>
  <w:style w:type="character" w:customStyle="1" w:styleId="181">
    <w:name w:val="bsharetext"/>
    <w:basedOn w:val="49"/>
    <w:qFormat/>
    <w:uiPriority w:val="0"/>
  </w:style>
  <w:style w:type="character" w:customStyle="1" w:styleId="182">
    <w:name w:val="unit"/>
    <w:qFormat/>
    <w:uiPriority w:val="0"/>
    <w:rPr>
      <w:color w:val="999999"/>
    </w:rPr>
  </w:style>
  <w:style w:type="character" w:customStyle="1" w:styleId="183">
    <w:name w:val="nostart2"/>
    <w:qFormat/>
    <w:uiPriority w:val="0"/>
    <w:rPr>
      <w:color w:val="B60000"/>
    </w:rPr>
  </w:style>
  <w:style w:type="character" w:customStyle="1" w:styleId="184">
    <w:name w:val="纯文本 Char"/>
    <w:qFormat/>
    <w:uiPriority w:val="99"/>
    <w:rPr>
      <w:rFonts w:ascii="Courier New" w:hAnsi="Courier New" w:eastAsia="宋体"/>
      <w:kern w:val="2"/>
      <w:sz w:val="21"/>
      <w:lang w:val="en-US" w:eastAsia="zh-CN" w:bidi="ar-SA"/>
    </w:rPr>
  </w:style>
  <w:style w:type="character" w:customStyle="1" w:styleId="185">
    <w:name w:val="Char Char81"/>
    <w:qFormat/>
    <w:uiPriority w:val="0"/>
    <w:rPr>
      <w:rFonts w:ascii="Arial" w:hAnsi="Arial" w:eastAsia="黑体"/>
      <w:b/>
      <w:bCs/>
      <w:kern w:val="2"/>
      <w:sz w:val="32"/>
      <w:szCs w:val="32"/>
      <w:lang w:val="en-US" w:eastAsia="zh-CN" w:bidi="ar-SA"/>
    </w:rPr>
  </w:style>
  <w:style w:type="character" w:customStyle="1" w:styleId="186">
    <w:name w:val="starting"/>
    <w:qFormat/>
    <w:uiPriority w:val="0"/>
    <w:rPr>
      <w:color w:val="339900"/>
    </w:rPr>
  </w:style>
  <w:style w:type="character" w:customStyle="1" w:styleId="187">
    <w:name w:val="nostart1"/>
    <w:qFormat/>
    <w:uiPriority w:val="0"/>
    <w:rPr>
      <w:color w:val="FF0000"/>
    </w:rPr>
  </w:style>
  <w:style w:type="character" w:customStyle="1" w:styleId="188">
    <w:name w:val="num210"/>
    <w:basedOn w:val="49"/>
    <w:qFormat/>
    <w:uiPriority w:val="0"/>
  </w:style>
  <w:style w:type="character" w:customStyle="1" w:styleId="189">
    <w:name w:val="buvis1"/>
    <w:qFormat/>
    <w:uiPriority w:val="0"/>
    <w:rPr>
      <w:color w:val="CC0000"/>
    </w:rPr>
  </w:style>
  <w:style w:type="character" w:customStyle="1" w:styleId="190">
    <w:name w:val="starting3"/>
    <w:basedOn w:val="49"/>
    <w:qFormat/>
    <w:uiPriority w:val="0"/>
  </w:style>
  <w:style w:type="character" w:customStyle="1" w:styleId="191">
    <w:name w:val="textcontents"/>
    <w:basedOn w:val="49"/>
    <w:qFormat/>
    <w:uiPriority w:val="0"/>
  </w:style>
  <w:style w:type="character" w:customStyle="1" w:styleId="192">
    <w:name w:val="num41"/>
    <w:basedOn w:val="49"/>
    <w:qFormat/>
    <w:uiPriority w:val="0"/>
  </w:style>
  <w:style w:type="character" w:customStyle="1" w:styleId="193">
    <w:name w:val="tit9"/>
    <w:qFormat/>
    <w:uiPriority w:val="0"/>
    <w:rPr>
      <w:color w:val="B60000"/>
      <w:sz w:val="27"/>
      <w:szCs w:val="27"/>
      <w:bdr w:val="single" w:color="DFCEB8" w:sz="6" w:space="0"/>
      <w:shd w:val="clear" w:color="auto" w:fill="FFFFFF"/>
    </w:rPr>
  </w:style>
  <w:style w:type="character" w:customStyle="1" w:styleId="194">
    <w:name w:val="name2"/>
    <w:qFormat/>
    <w:uiPriority w:val="0"/>
    <w:rPr>
      <w:color w:val="000000"/>
      <w:sz w:val="39"/>
      <w:szCs w:val="39"/>
    </w:rPr>
  </w:style>
  <w:style w:type="character" w:customStyle="1" w:styleId="195">
    <w:name w:val="img_title8"/>
    <w:qFormat/>
    <w:uiPriority w:val="0"/>
    <w:rPr>
      <w:vanish/>
    </w:rPr>
  </w:style>
  <w:style w:type="character" w:customStyle="1" w:styleId="196">
    <w:name w:val="tit15"/>
    <w:qFormat/>
    <w:uiPriority w:val="0"/>
    <w:rPr>
      <w:b/>
      <w:color w:val="B60000"/>
    </w:rPr>
  </w:style>
  <w:style w:type="character" w:customStyle="1" w:styleId="197">
    <w:name w:val="img_title9"/>
    <w:qFormat/>
    <w:uiPriority w:val="0"/>
    <w:rPr>
      <w:vanish/>
    </w:rPr>
  </w:style>
  <w:style w:type="character" w:customStyle="1" w:styleId="198">
    <w:name w:val="标题 2 Char2"/>
    <w:link w:val="3"/>
    <w:qFormat/>
    <w:uiPriority w:val="0"/>
    <w:rPr>
      <w:rFonts w:ascii="Arial" w:hAnsi="Arial" w:eastAsia="黑体"/>
      <w:b/>
      <w:bCs/>
      <w:kern w:val="2"/>
      <w:sz w:val="21"/>
      <w:szCs w:val="32"/>
      <w:lang w:val="en-US" w:eastAsia="zh-CN" w:bidi="ar-SA"/>
    </w:rPr>
  </w:style>
  <w:style w:type="paragraph" w:customStyle="1" w:styleId="199">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200">
    <w:name w:val="font12"/>
    <w:basedOn w:val="49"/>
    <w:qFormat/>
    <w:uiPriority w:val="0"/>
    <w:rPr>
      <w:rFonts w:hint="eastAsia" w:ascii="仿宋" w:hAnsi="仿宋" w:eastAsia="仿宋" w:cs="仿宋"/>
      <w:b/>
      <w:color w:val="000000"/>
      <w:sz w:val="32"/>
      <w:szCs w:val="32"/>
      <w:u w:val="none"/>
    </w:rPr>
  </w:style>
  <w:style w:type="character" w:customStyle="1" w:styleId="201">
    <w:name w:val="font101"/>
    <w:basedOn w:val="49"/>
    <w:qFormat/>
    <w:uiPriority w:val="0"/>
    <w:rPr>
      <w:rFonts w:hint="default" w:ascii="Times New Roman" w:hAnsi="Times New Roman" w:cs="Times New Roman"/>
      <w:color w:val="000000"/>
      <w:sz w:val="24"/>
      <w:szCs w:val="24"/>
      <w:u w:val="none"/>
    </w:rPr>
  </w:style>
  <w:style w:type="character" w:customStyle="1" w:styleId="202">
    <w:name w:val="font111"/>
    <w:basedOn w:val="49"/>
    <w:qFormat/>
    <w:uiPriority w:val="0"/>
    <w:rPr>
      <w:rFonts w:ascii="仿宋_GB2312" w:eastAsia="仿宋_GB2312" w:cs="仿宋_GB2312"/>
      <w:color w:val="000000"/>
      <w:sz w:val="24"/>
      <w:szCs w:val="24"/>
      <w:u w:val="none"/>
    </w:rPr>
  </w:style>
  <w:style w:type="character" w:customStyle="1" w:styleId="203">
    <w:name w:val="font91"/>
    <w:basedOn w:val="49"/>
    <w:qFormat/>
    <w:uiPriority w:val="0"/>
    <w:rPr>
      <w:rFonts w:hint="eastAsia" w:ascii="仿宋" w:hAnsi="仿宋" w:eastAsia="仿宋" w:cs="仿宋"/>
      <w:color w:val="000000"/>
      <w:sz w:val="24"/>
      <w:szCs w:val="24"/>
      <w:u w:val="single"/>
    </w:rPr>
  </w:style>
  <w:style w:type="character" w:customStyle="1" w:styleId="204">
    <w:name w:val="font81"/>
    <w:basedOn w:val="49"/>
    <w:qFormat/>
    <w:uiPriority w:val="0"/>
    <w:rPr>
      <w:rFonts w:hint="default" w:ascii="Times New Roman" w:hAnsi="Times New Roman" w:cs="Times New Roman"/>
      <w:color w:val="000000"/>
      <w:sz w:val="24"/>
      <w:szCs w:val="24"/>
      <w:u w:val="none"/>
    </w:rPr>
  </w:style>
  <w:style w:type="character" w:customStyle="1" w:styleId="205">
    <w:name w:val="font61"/>
    <w:basedOn w:val="49"/>
    <w:qFormat/>
    <w:uiPriority w:val="0"/>
    <w:rPr>
      <w:rFonts w:hint="eastAsia" w:ascii="仿宋_GB2312" w:eastAsia="仿宋_GB2312" w:cs="仿宋_GB2312"/>
      <w:color w:val="000000"/>
      <w:sz w:val="24"/>
      <w:szCs w:val="24"/>
      <w:u w:val="none"/>
    </w:rPr>
  </w:style>
  <w:style w:type="character" w:customStyle="1" w:styleId="206">
    <w:name w:val="font21"/>
    <w:basedOn w:val="49"/>
    <w:qFormat/>
    <w:uiPriority w:val="0"/>
    <w:rPr>
      <w:rFonts w:hint="default" w:ascii="Times New Roman" w:hAnsi="Times New Roman" w:cs="Times New Roman"/>
      <w:color w:val="000000"/>
      <w:sz w:val="24"/>
      <w:szCs w:val="24"/>
      <w:u w:val="none"/>
    </w:rPr>
  </w:style>
  <w:style w:type="character" w:customStyle="1" w:styleId="207">
    <w:name w:val="NormalCharacter"/>
    <w:semiHidden/>
    <w:qFormat/>
    <w:uiPriority w:val="0"/>
    <w:rPr>
      <w:snapToGrid w:val="0"/>
      <w:kern w:val="0"/>
      <w:sz w:val="32"/>
      <w:szCs w:val="32"/>
      <w:lang w:val="en-US" w:eastAsia="zh-CN" w:bidi="ar-SA"/>
    </w:rPr>
  </w:style>
  <w:style w:type="character" w:customStyle="1" w:styleId="208">
    <w:name w:val="first-child1"/>
    <w:basedOn w:val="49"/>
    <w:qFormat/>
    <w:uiPriority w:val="0"/>
  </w:style>
  <w:style w:type="character" w:customStyle="1" w:styleId="209">
    <w:name w:val="hover1"/>
    <w:basedOn w:val="49"/>
    <w:qFormat/>
    <w:uiPriority w:val="0"/>
    <w:rPr>
      <w:color w:val="2590EB"/>
    </w:rPr>
  </w:style>
  <w:style w:type="character" w:customStyle="1" w:styleId="210">
    <w:name w:val="hover2"/>
    <w:basedOn w:val="49"/>
    <w:qFormat/>
    <w:uiPriority w:val="0"/>
  </w:style>
  <w:style w:type="character" w:customStyle="1" w:styleId="211">
    <w:name w:val="hover3"/>
    <w:basedOn w:val="49"/>
    <w:qFormat/>
    <w:uiPriority w:val="0"/>
    <w:rPr>
      <w:color w:val="2590EB"/>
    </w:rPr>
  </w:style>
  <w:style w:type="character" w:customStyle="1" w:styleId="212">
    <w:name w:val="hover4"/>
    <w:basedOn w:val="49"/>
    <w:qFormat/>
    <w:uiPriority w:val="0"/>
    <w:rPr>
      <w:color w:val="2590EB"/>
      <w:shd w:val="clear" w:fill="E9F4FD"/>
    </w:rPr>
  </w:style>
  <w:style w:type="character" w:customStyle="1" w:styleId="213">
    <w:name w:val="mini-outputtext1"/>
    <w:basedOn w:val="49"/>
    <w:qFormat/>
    <w:uiPriority w:val="0"/>
  </w:style>
  <w:style w:type="character" w:customStyle="1" w:styleId="214">
    <w:name w:val="hover"/>
    <w:basedOn w:val="49"/>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13831</Words>
  <Characters>14664</Characters>
  <Lines>411</Lines>
  <Paragraphs>115</Paragraphs>
  <TotalTime>10</TotalTime>
  <ScaleCrop>false</ScaleCrop>
  <LinksUpToDate>false</LinksUpToDate>
  <CharactersWithSpaces>14939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Pim Pom丶</cp:lastModifiedBy>
  <cp:lastPrinted>2023-06-08T00:43:00Z</cp:lastPrinted>
  <dcterms:modified xsi:type="dcterms:W3CDTF">2025-07-30T08:23:10Z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A043BCE6217D4796BD3B7680B756B4DE_13</vt:lpwstr>
  </property>
  <property fmtid="{D5CDD505-2E9C-101B-9397-08002B2CF9AE}" pid="4" name="KSOTemplateDocerSaveRecord">
    <vt:lpwstr>eyJoZGlkIjoiMDk2MmQyNTdjMmYyM2I4Njk3YjVkOTliYjhhNDZiYTEiLCJ1c2VySWQiOiI0MDkyMjI1MTkifQ==</vt:lpwstr>
  </property>
</Properties>
</file>